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Handbook</w:t>
      </w:r>
    </w:p>
    <w:p>
      <w:r>
        <w:t>This handbook applies to every supplier registered with Graphbase Retail.</w:t>
      </w:r>
    </w:p>
    <w:p>
      <w:pPr>
        <w:pStyle w:val="Heading1"/>
      </w:pPr>
      <w:r>
        <w:t>Onboarding</w:t>
      </w:r>
    </w:p>
    <w:p>
      <w:pPr>
        <w:pStyle w:val="ListBullet"/>
      </w:pPr>
      <w:r>
        <w:t>GST registration certificate</w:t>
      </w:r>
    </w:p>
    <w:p>
      <w:pPr>
        <w:pStyle w:val="ListBullet"/>
      </w:pPr>
      <w:r>
        <w:t>Cancelled cheque for the payout account</w:t>
      </w:r>
    </w:p>
    <w:p>
      <w:pPr>
        <w:pStyle w:val="ListBullet"/>
      </w:pPr>
      <w:r>
        <w:t>Signed code of conduct</w:t>
      </w:r>
    </w:p>
    <w:p>
      <w:pPr>
        <w:pStyle w:val="ListBullet"/>
      </w:pPr>
      <w:r>
        <w:t>Two trade references</w:t>
      </w:r>
    </w:p>
    <w:p>
      <w:pPr>
        <w:pStyle w:val="Heading1"/>
      </w:pPr>
      <w:r>
        <w:t>Payment terms</w:t>
      </w:r>
    </w:p>
    <w:p>
      <w:r>
        <w:t>Invoices are paid on net 45 day terms from the date a correct invoice is received. Early payment at a 1.5% discount is available on request for invoices paid within 10 days.</w:t>
      </w:r>
    </w:p>
    <w:p>
      <w:pPr>
        <w:pStyle w:val="Heading1"/>
      </w:pPr>
      <w:r>
        <w:t>Performance targets</w:t>
      </w:r>
    </w:p>
    <w:tbl>
      <w:tblPr>
        <w:tblW w:type="auto" w:w="0"/>
        <w:tblLook w:firstColumn="1" w:firstRow="1" w:lastColumn="0" w:lastRow="0" w:noHBand="0" w:noVBand="1" w:val="04A0"/>
      </w:tblPr>
      <w:tblGrid>
        <w:gridCol w:w="4320"/>
        <w:gridCol w:w="4320"/>
      </w:tblGrid>
      <w:tr>
        <w:tc>
          <w:tcPr>
            <w:tcW w:type="dxa" w:w="4320"/>
          </w:tcPr>
          <w:p>
            <w:r>
              <w:t>KPI</w:t>
            </w:r>
          </w:p>
        </w:tc>
        <w:tc>
          <w:tcPr>
            <w:tcW w:type="dxa" w:w="4320"/>
          </w:tcPr>
          <w:p>
            <w:r>
              <w:t>Target</w:t>
            </w:r>
          </w:p>
        </w:tc>
      </w:tr>
      <w:tr>
        <w:tc>
          <w:tcPr>
            <w:tcW w:type="dxa" w:w="4320"/>
          </w:tcPr>
          <w:p>
            <w:r>
              <w:t>On time in full (OTIF)</w:t>
            </w:r>
          </w:p>
        </w:tc>
        <w:tc>
          <w:tcPr>
            <w:tcW w:type="dxa" w:w="4320"/>
          </w:tcPr>
          <w:p>
            <w:r>
              <w:t>95% or higher</w:t>
            </w:r>
          </w:p>
        </w:tc>
      </w:tr>
      <w:tr>
        <w:tc>
          <w:tcPr>
            <w:tcW w:type="dxa" w:w="4320"/>
          </w:tcPr>
          <w:p>
            <w:r>
              <w:t>Defect rate</w:t>
            </w:r>
          </w:p>
        </w:tc>
        <w:tc>
          <w:tcPr>
            <w:tcW w:type="dxa" w:w="4320"/>
          </w:tcPr>
          <w:p>
            <w:r>
              <w:t>below 1.5%</w:t>
            </w:r>
          </w:p>
        </w:tc>
      </w:tr>
      <w:tr>
        <w:tc>
          <w:tcPr>
            <w:tcW w:type="dxa" w:w="4320"/>
          </w:tcPr>
          <w:p>
            <w:r>
              <w:t>Invoice accuracy</w:t>
            </w:r>
          </w:p>
        </w:tc>
        <w:tc>
          <w:tcPr>
            <w:tcW w:type="dxa" w:w="4320"/>
          </w:tcPr>
          <w:p>
            <w:r>
              <w:t>98% or higher</w:t>
            </w:r>
          </w:p>
        </w:tc>
      </w:tr>
    </w:tbl>
    <w:p>
      <w:pPr>
        <w:pStyle w:val="Heading1"/>
      </w:pPr>
      <w:r>
        <w:t>Late delivery penalty</w:t>
      </w:r>
    </w:p>
    <w:p>
      <w:r>
        <w:t>Late deliveries attract a penalty of 2% of the purchase order value for each week of delay, capped at 10% of the purchase order value.</w:t>
      </w:r>
    </w:p>
    <w:p>
      <w:pPr>
        <w:pStyle w:val="Heading1"/>
      </w:pPr>
      <w:r>
        <w:t>Escalation contacts</w:t>
      </w:r>
    </w:p>
    <w:p>
      <w:r>
        <w:t>Procurement lead: Priya Nair, priya.nair@graphbase-retail.example, +91 98400 11223.</w:t>
      </w:r>
    </w:p>
    <w:p>
      <w:r>
        <w:t>Accounts payable: Venkat Rao, ap@graphbase-retail.example, +91 98400 44556.</w:t>
      </w:r>
    </w:p>
    <w:p>
      <w:r>
        <w:t>All staff must follow this policy consistently across stores, warehouses and the online channel. Exceptions require written approval from the regional operations head and must be logged in the exceptions register.</w:t>
      </w:r>
    </w:p>
    <w:p>
      <w:r>
        <w:t>Store teams should explain the policy politely to customers and offer an exchange before a refund where the product is in resaleable condition. Refunds are issued to the original payment method.</w:t>
      </w:r>
    </w:p>
    <w:p>
      <w:r>
        <w:t>This document is reviewed every year by the Customer Experience and Legal teams. Printed copies may be out of date; the version on the intranet is authoritative.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