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Cost Structure and Channel-Wise Profitability Analysis for Multi-Channel Restaurants</w:t>
      </w:r>
    </w:p>
    <w:p>
      <w:r>
        <w:t>SkyCity Auckland Restaurants &amp; Bars</w:t>
      </w:r>
    </w:p>
    <w:p>
      <w:r>
        <w:t>Academic Project Report</w:t>
      </w:r>
    </w:p>
    <w:p>
      <w:pPr>
        <w:pStyle w:val="Heading1"/>
      </w:pPr>
      <w:r>
        <w:t>Abstract</w:t>
      </w:r>
    </w:p>
    <w:p>
      <w:r>
        <w:t>This project analyzes the cost structure and profitability of multi-channel restaurant operations using a dataset of 1,696 restaurant-month records. The analysis compares In-Store, Uber Eats, DoorDash and Self Delivery channels using revenue, order volume, operating costs, commissions and delivery expenses. Key performance measures include net profit per order, channel margin, commission drag, self-delivery ROI and profitability volatility. The dataset records total channel revenue of approximately $77,739,306.80 and total channel net profit of approximately $7,866,306.13, giving an aggregate margin of 10.12%. An interactive Streamlit dashboard is developed to support filtering and commission/delivery-cost what-if analysis.</w:t>
      </w:r>
    </w:p>
    <w:p>
      <w:pPr>
        <w:pStyle w:val="Heading1"/>
      </w:pPr>
      <w:r>
        <w:t>1. Introduction</w:t>
      </w:r>
    </w:p>
    <w:p>
      <w:r>
        <w:t>Restaurants increasingly operate through multiple sales and delivery channels. Revenue growth alone does not guarantee financial sustainability because third-party commissions and delivery costs can materially reduce contribution margins. This project therefore focuses on unit economics and channel-level profitability rather than sales volume alone.</w:t>
      </w:r>
    </w:p>
    <w:p>
      <w:pPr>
        <w:pStyle w:val="Heading1"/>
      </w:pPr>
      <w:r>
        <w:t>2. Problem Statement</w:t>
      </w:r>
    </w:p>
    <w:p>
      <w:r>
        <w:t>Restaurant operators may lack a clear side-by-side view of channel profitability, commission drag, delivery cost burden and loss-prone channels. The project addresses this gap through a structured profitability and cost analysis.</w:t>
      </w:r>
    </w:p>
    <w:p>
      <w:pPr>
        <w:pStyle w:val="Heading1"/>
      </w:pPr>
      <w:r>
        <w:t>3. Objectives</w:t>
      </w:r>
    </w:p>
    <w:p>
      <w:r>
        <w:t>Primary objectives are to compare net profitability across In-Store, Uber Eats, DoorDash and Self Delivery; quantify margin erosion from commissions and delivery costs; and identify cost-efficient channel characteristics. Secondary objectives are to support channel prioritization, provide evidence for aggregator negotiations, and examine self-delivery cost thresholds.</w:t>
      </w:r>
    </w:p>
    <w:p>
      <w:pPr>
        <w:pStyle w:val="Heading1"/>
      </w:pPr>
      <w:r>
        <w:t>4. Dataset Description</w:t>
      </w:r>
    </w:p>
    <w:p>
      <w:r>
        <w:t>The supplied dataset contains 1,696 rows and 30 columns. Variables cover restaurant identity, cuisine, business segment, Auckland subregion, growth factor, average order value, monthly orders, channel-specific orders and revenue, COGS and OPEX rates, commission rate, delivery radius, delivery cost and channel-specific net profit.</w:t>
      </w:r>
    </w:p>
    <w:p>
      <w:pPr>
        <w:pStyle w:val="Heading1"/>
      </w:pPr>
      <w:r>
        <w:t>5. Methodology</w:t>
      </w:r>
    </w:p>
    <w:p>
      <w:r>
        <w:t>First, data quality was checked for missing values and structural consistency. Next, the supplied net-profit formulas were independently recreated. Channel revenue, order counts, net profit, profit per order and margin percentage were then aggregated. Cost components were decomposed into COGS, OPEX, aggregator commission and self-delivery logistics. Cuisine and segment comparisons were created, followed by loss-prone channel and volatility analysis. Finally, a Streamlit application was developed with filters and what-if controls.</w:t>
      </w:r>
    </w:p>
    <w:p>
      <w:pPr>
        <w:pStyle w:val="Heading1"/>
      </w:pPr>
      <w:r>
        <w:t>6. Profit Formula Validation</w:t>
      </w:r>
    </w:p>
    <w:p>
      <w:r>
        <w:t>In-Store profit was validated as Revenue × (1 − COGS rate − OPEX rate). Uber Eats and DoorDash profit were validated as Revenue × (1 − COGS rate − OPEX rate − Commission rate). Self Delivery profit was validated as Revenue × (1 − COGS rate − OPEX rate) − Self-Delivery Orders × Delivery Cost per Order. Differences from the supplied profit fields are below one cent at the record level, consistent with rounding.</w:t>
      </w:r>
    </w:p>
    <w:p>
      <w:pPr>
        <w:pStyle w:val="Heading1"/>
      </w:pPr>
      <w:r>
        <w:t>7. Channel Results</w:t>
      </w:r>
    </w:p>
    <w:p>
      <w:r>
        <w:t>Table 1 summarizes the aggregate channel economics calculated from the dataset.</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Channel</w:t>
            </w:r>
          </w:p>
        </w:tc>
        <w:tc>
          <w:tcPr>
            <w:tcW w:type="dxa" w:w="1440"/>
          </w:tcPr>
          <w:p>
            <w:r>
              <w:t>Orders</w:t>
            </w:r>
          </w:p>
        </w:tc>
        <w:tc>
          <w:tcPr>
            <w:tcW w:type="dxa" w:w="1440"/>
          </w:tcPr>
          <w:p>
            <w:r>
              <w:t>Revenue</w:t>
            </w:r>
          </w:p>
        </w:tc>
        <w:tc>
          <w:tcPr>
            <w:tcW w:type="dxa" w:w="1440"/>
          </w:tcPr>
          <w:p>
            <w:r>
              <w:t>Net Profit</w:t>
            </w:r>
          </w:p>
        </w:tc>
        <w:tc>
          <w:tcPr>
            <w:tcW w:type="dxa" w:w="1440"/>
          </w:tcPr>
          <w:p>
            <w:r>
              <w:t>Profit/Order</w:t>
            </w:r>
          </w:p>
        </w:tc>
        <w:tc>
          <w:tcPr>
            <w:tcW w:type="dxa" w:w="1440"/>
          </w:tcPr>
          <w:p>
            <w:r>
              <w:t>Margin</w:t>
            </w:r>
          </w:p>
        </w:tc>
      </w:tr>
      <w:tr>
        <w:tc>
          <w:tcPr>
            <w:tcW w:type="dxa" w:w="1440"/>
          </w:tcPr>
          <w:p>
            <w:r>
              <w:t>In-Store</w:t>
            </w:r>
          </w:p>
        </w:tc>
        <w:tc>
          <w:tcPr>
            <w:tcW w:type="dxa" w:w="1440"/>
          </w:tcPr>
          <w:p>
            <w:r>
              <w:t>371,391</w:t>
            </w:r>
          </w:p>
        </w:tc>
        <w:tc>
          <w:tcPr>
            <w:tcW w:type="dxa" w:w="1440"/>
          </w:tcPr>
          <w:p>
            <w:r>
              <w:t>$14,284,378.07</w:t>
            </w:r>
          </w:p>
        </w:tc>
        <w:tc>
          <w:tcPr>
            <w:tcW w:type="dxa" w:w="1440"/>
          </w:tcPr>
          <w:p>
            <w:r>
              <w:t>$3,828,417.36</w:t>
            </w:r>
          </w:p>
        </w:tc>
        <w:tc>
          <w:tcPr>
            <w:tcW w:type="dxa" w:w="1440"/>
          </w:tcPr>
          <w:p>
            <w:r>
              <w:t>$10.31</w:t>
            </w:r>
          </w:p>
        </w:tc>
        <w:tc>
          <w:tcPr>
            <w:tcW w:type="dxa" w:w="1440"/>
          </w:tcPr>
          <w:p>
            <w:r>
              <w:t>26.80%</w:t>
            </w:r>
          </w:p>
        </w:tc>
      </w:tr>
      <w:tr>
        <w:tc>
          <w:tcPr>
            <w:tcW w:type="dxa" w:w="1440"/>
          </w:tcPr>
          <w:p>
            <w:r>
              <w:t>Uber Eats</w:t>
            </w:r>
          </w:p>
        </w:tc>
        <w:tc>
          <w:tcPr>
            <w:tcW w:type="dxa" w:w="1440"/>
          </w:tcPr>
          <w:p>
            <w:r>
              <w:t>800,353</w:t>
            </w:r>
          </w:p>
        </w:tc>
        <w:tc>
          <w:tcPr>
            <w:tcW w:type="dxa" w:w="1440"/>
          </w:tcPr>
          <w:p>
            <w:r>
              <w:t>$30,816,371.49</w:t>
            </w:r>
          </w:p>
        </w:tc>
        <w:tc>
          <w:tcPr>
            <w:tcW w:type="dxa" w:w="1440"/>
          </w:tcPr>
          <w:p>
            <w:r>
              <w:t>$258,488.08</w:t>
            </w:r>
          </w:p>
        </w:tc>
        <w:tc>
          <w:tcPr>
            <w:tcW w:type="dxa" w:w="1440"/>
          </w:tcPr>
          <w:p>
            <w:r>
              <w:t>$0.32</w:t>
            </w:r>
          </w:p>
        </w:tc>
        <w:tc>
          <w:tcPr>
            <w:tcW w:type="dxa" w:w="1440"/>
          </w:tcPr>
          <w:p>
            <w:r>
              <w:t>0.84%</w:t>
            </w:r>
          </w:p>
        </w:tc>
      </w:tr>
      <w:tr>
        <w:tc>
          <w:tcPr>
            <w:tcW w:type="dxa" w:w="1440"/>
          </w:tcPr>
          <w:p>
            <w:r>
              <w:t>DoorDash</w:t>
            </w:r>
          </w:p>
        </w:tc>
        <w:tc>
          <w:tcPr>
            <w:tcW w:type="dxa" w:w="1440"/>
          </w:tcPr>
          <w:p>
            <w:r>
              <w:t>436,135</w:t>
            </w:r>
          </w:p>
        </w:tc>
        <w:tc>
          <w:tcPr>
            <w:tcW w:type="dxa" w:w="1440"/>
          </w:tcPr>
          <w:p>
            <w:r>
              <w:t>$16,789,380.95</w:t>
            </w:r>
          </w:p>
        </w:tc>
        <w:tc>
          <w:tcPr>
            <w:tcW w:type="dxa" w:w="1440"/>
          </w:tcPr>
          <w:p>
            <w:r>
              <w:t>$151,122.25</w:t>
            </w:r>
          </w:p>
        </w:tc>
        <w:tc>
          <w:tcPr>
            <w:tcW w:type="dxa" w:w="1440"/>
          </w:tcPr>
          <w:p>
            <w:r>
              <w:t>$0.35</w:t>
            </w:r>
          </w:p>
        </w:tc>
        <w:tc>
          <w:tcPr>
            <w:tcW w:type="dxa" w:w="1440"/>
          </w:tcPr>
          <w:p>
            <w:r>
              <w:t>0.90%</w:t>
            </w:r>
          </w:p>
        </w:tc>
      </w:tr>
      <w:tr>
        <w:tc>
          <w:tcPr>
            <w:tcW w:type="dxa" w:w="1440"/>
          </w:tcPr>
          <w:p>
            <w:r>
              <w:t>Self Delivery</w:t>
            </w:r>
          </w:p>
        </w:tc>
        <w:tc>
          <w:tcPr>
            <w:tcW w:type="dxa" w:w="1440"/>
          </w:tcPr>
          <w:p>
            <w:r>
              <w:t>411,255</w:t>
            </w:r>
          </w:p>
        </w:tc>
        <w:tc>
          <w:tcPr>
            <w:tcW w:type="dxa" w:w="1440"/>
          </w:tcPr>
          <w:p>
            <w:r>
              <w:t>$15,849,176.29</w:t>
            </w:r>
          </w:p>
        </w:tc>
        <w:tc>
          <w:tcPr>
            <w:tcW w:type="dxa" w:w="1440"/>
          </w:tcPr>
          <w:p>
            <w:r>
              <w:t>$3,628,278.44</w:t>
            </w:r>
          </w:p>
        </w:tc>
        <w:tc>
          <w:tcPr>
            <w:tcW w:type="dxa" w:w="1440"/>
          </w:tcPr>
          <w:p>
            <w:r>
              <w:t>$8.82</w:t>
            </w:r>
          </w:p>
        </w:tc>
        <w:tc>
          <w:tcPr>
            <w:tcW w:type="dxa" w:w="1440"/>
          </w:tcPr>
          <w:p>
            <w:r>
              <w:t>22.89%</w:t>
            </w:r>
          </w:p>
        </w:tc>
      </w:tr>
    </w:tbl>
    <w:p>
      <w:pPr>
        <w:pStyle w:val="Heading1"/>
      </w:pPr>
      <w:r>
        <w:t>8. Key Findings</w:t>
      </w:r>
    </w:p>
    <w:p>
      <w:r>
        <w:t>The analysis shows substantial differences between channel revenue scale and unit profitability. In-Store generated $3,828,417.36 net profit at $10.31 per order, while Uber Eats generated $258,488.08 at $0.32 per order. DoorDash generated $151,122.25 at $0.35 per order. Self Delivery generated $3,628,278.44 at $8.82 per order. The dataset contains 538 loss-making Uber Eats records, 538 loss-making DoorDash records and 90 loss-making Self Delivery records; no loss-making In-Store records were found.</w:t>
      </w:r>
    </w:p>
    <w:p>
      <w:pPr>
        <w:pStyle w:val="Heading1"/>
      </w:pPr>
      <w:r>
        <w:t>9. Cost and Commission Analysis</w:t>
      </w:r>
    </w:p>
    <w:p>
      <w:r>
        <w:t>COGS and OPEX reduce the contribution available from every channel. Third-party channels additionally incur commissions, creating a direct margin drag. Self Delivery avoids aggregator commission but incurs a per-order logistics cost. The dashboard allows users to vary commission rate and delivery cost per order to examine how these assumptions affect estimated channel profit.</w:t>
      </w:r>
    </w:p>
    <w:p>
      <w:pPr>
        <w:pStyle w:val="Heading1"/>
      </w:pPr>
      <w:r>
        <w:t>10. Cuisine and Segment Analysis</w:t>
      </w:r>
    </w:p>
    <w:p>
      <w:r>
        <w:t>Profitability is also compared across cuisine types and business segments. This helps distinguish channel economics from restaurant mix effects. Results should be interpreted as descriptive evidence from the supplied dataset rather than as causal estimates.</w:t>
      </w:r>
    </w:p>
    <w:p>
      <w:pPr>
        <w:pStyle w:val="Heading1"/>
      </w:pPr>
      <w:r>
        <w:t>11. Streamlit Application</w:t>
      </w:r>
    </w:p>
    <w:p>
      <w:r>
        <w:t>The dashboard contains KPI cards, channel profitability charts, margin charts, cost component analysis, cuisine-segment heatmaps, loss-prone channel analysis, filters and what-if controls. The application is designed for interactive exploration by restaurant managers and stakeholders.</w:t>
      </w:r>
    </w:p>
    <w:p>
      <w:pPr>
        <w:pStyle w:val="Heading1"/>
      </w:pPr>
      <w:r>
        <w:t>12. Conclusion</w:t>
      </w:r>
    </w:p>
    <w:p>
      <w:r>
        <w:t>The project demonstrates why channel selection should consider unit economics, not only order volume or gross revenue. The combined analysis provides a transparent framework for comparing commission-heavy aggregator channels with in-store and self-managed delivery operations. The Streamlit dashboard turns the analysis into an interactive decision-support tool.</w:t>
      </w:r>
    </w:p>
    <w:p>
      <w:pPr>
        <w:pStyle w:val="Heading1"/>
      </w:pPr>
      <w:r>
        <w:t>13. Limitations and Future Scope</w:t>
      </w:r>
    </w:p>
    <w:p>
      <w:r>
        <w:t>The dataset represents restaurant-month observations and does not establish causal relationships. Future work could incorporate customer acquisition cost, labour hours, delivery time, repeat-customer behaviour, weather or event effects, and time-series forecasting. More detailed financial accounting data could also improve cost allocation.</w:t>
      </w:r>
    </w:p>
    <w:p>
      <w:pPr>
        <w:pStyle w:val="Heading1"/>
      </w:pPr>
      <w:r>
        <w:t>14. References</w:t>
      </w:r>
    </w:p>
    <w:p>
      <w:r>
        <w:t>Project technical documentation supplied through the Unified Mentor project portal. Dataset: SkyCity Auckland Restaurants &amp; Bars, supplied with the project brief.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