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SHAP-Based Explainable Machine Learning Report</w:t>
      </w:r>
    </w:p>
    <w:p>
      <w:pPr>
        <w:pStyle w:val="Heading2"/>
      </w:pPr>
      <w:r>
        <w:t>Random Forest Model for Bankruptcy Prediction</w:t>
      </w:r>
    </w:p>
    <w:p>
      <w:pPr>
        <w:pStyle w:val="Heading3"/>
      </w:pPr>
      <w:r>
        <w:t>1. Model Training and Optimization</w:t>
      </w:r>
    </w:p>
    <w:p>
      <w:r>
        <w:t>A Random Forest classifier was developed to predict corporate bankruptcy. The model was optimized using GridSearchCV with 3-fold cross-validation. The best configuration included 400 decision trees, a maximum depth of 20, and a balanced class weight. This resulted in strong recall for identifying bankrupt firms, an essential metric in financial risk analysis.</w:t>
      </w:r>
    </w:p>
    <w:p>
      <w:pPr>
        <w:pStyle w:val="Heading3"/>
      </w:pPr>
      <w:r>
        <w:t>2. Global Feature Importance (SHAP Analysis)</w:t>
      </w:r>
    </w:p>
    <w:p>
      <w:r>
        <w:t>SHAP (SHapley Additive ExPlanations) was used to evaluate how each financial variable influenced the predictions. The most influential features identified by SHAP were:</w:t>
      </w:r>
    </w:p>
    <w:p>
      <w:pPr>
        <w:pStyle w:val="ListBullet"/>
      </w:pPr>
      <w:r>
        <w:t>ROA(C) before interest and depreciation</w:t>
      </w:r>
    </w:p>
    <w:p>
      <w:pPr>
        <w:pStyle w:val="ListBullet"/>
      </w:pPr>
      <w:r>
        <w:t>Persistent EPS in the last four seasons</w:t>
      </w:r>
    </w:p>
    <w:p>
      <w:pPr>
        <w:pStyle w:val="ListBullet"/>
      </w:pPr>
      <w:r>
        <w:t>Debt Ratio (%)</w:t>
      </w:r>
    </w:p>
    <w:p>
      <w:pPr>
        <w:pStyle w:val="ListBullet"/>
      </w:pPr>
      <w:r>
        <w:t>Net worth to total assets</w:t>
      </w:r>
    </w:p>
    <w:p>
      <w:pPr>
        <w:pStyle w:val="ListBullet"/>
      </w:pPr>
      <w:r>
        <w:t>Cash flow to total assets</w:t>
      </w:r>
    </w:p>
    <w:p>
      <w:r>
        <w:t>SHAP provides insights into both importance and direction of impact, offering deeper interpretability compared to traditional Random Forest feature importance.</w:t>
      </w:r>
    </w:p>
    <w:p>
      <w:pPr>
        <w:pStyle w:val="Heading3"/>
      </w:pPr>
      <w:r>
        <w:t>3. Local Case-Level Explanations</w:t>
      </w:r>
    </w:p>
    <w:p>
      <w:pPr>
        <w:pStyle w:val="Heading4"/>
      </w:pPr>
      <w:r>
        <w:t>Case 1 — High-Risk Company</w:t>
      </w:r>
    </w:p>
    <w:p>
      <w:r>
        <w:t>• Low return on assets</w:t>
        <w:br/>
        <w:t>• High financial leverage</w:t>
        <w:br/>
        <w:t>• Negative cash flow</w:t>
        <w:br/>
        <w:t>SHAP contributions strongly pushed the prediction toward 'Bankrupt.'</w:t>
      </w:r>
    </w:p>
    <w:p>
      <w:pPr>
        <w:pStyle w:val="Heading4"/>
      </w:pPr>
      <w:r>
        <w:t>Case 2 — Low-Risk Company</w:t>
      </w:r>
    </w:p>
    <w:p>
      <w:r>
        <w:t>• Strong profitability</w:t>
        <w:br/>
        <w:t>• Healthy capital structure</w:t>
        <w:br/>
        <w:t>SHAP values moved the prediction toward 'Not Bankrupt.'</w:t>
      </w:r>
    </w:p>
    <w:p>
      <w:pPr>
        <w:pStyle w:val="Heading4"/>
      </w:pPr>
      <w:r>
        <w:t>Case 3 — Borderline Company</w:t>
      </w:r>
    </w:p>
    <w:p>
      <w:r>
        <w:t>• Mixed financial indicators</w:t>
        <w:br/>
        <w:t>• Competing SHAP forces in both directions</w:t>
        <w:br/>
        <w:t>This case reflects ambiguous financial health, making it useful for deeper analyst review.</w:t>
      </w:r>
    </w:p>
    <w:p>
      <w:pPr>
        <w:pStyle w:val="Heading3"/>
      </w:pPr>
      <w:r>
        <w:t>4. Random Forest Importance vs SHAP Importance</w:t>
      </w:r>
    </w:p>
    <w:p>
      <w:r>
        <w:t>A comparison between Random Forest feature importance and SHAP importance revealed key differences:</w:t>
      </w:r>
    </w:p>
    <w:p>
      <w:r>
        <w:t>• Random Forest importance measures split frequency, whereas SHAP captures true marginal contributions.</w:t>
        <w:br/>
        <w:t>• SHAP avoids biases associated with high-cardinality features.</w:t>
        <w:br/>
        <w:t>• SHAP provides clearer interpretability by showing direction of impact.</w:t>
      </w:r>
    </w:p>
    <w:p>
      <w:pPr>
        <w:pStyle w:val="Heading3"/>
      </w:pPr>
      <w:r>
        <w:t>5. Business Implications</w:t>
      </w:r>
    </w:p>
    <w:p>
      <w:r>
        <w:t>The study highlights that bankruptcy risk is heavily influenced by profitability ratios, leverage metrics, earnings stability, and cash generation ability. These factors should guide financial managers, lenders, investors, and analysts when assessing early signs of financial distress.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