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2</w:t>
      </w:r>
    </w:p>
    <w:p>
      <w:pPr>
        <w:jc w:val="center"/>
      </w:pPr>
      <w:r>
        <w:rPr>
          <w:b/>
          <w:sz w:val="28"/>
        </w:rPr>
        <w:t>FitBuddy – Requirement Analysis</w:t>
      </w:r>
    </w:p>
    <w:p>
      <w:pPr>
        <w:pStyle w:val="Heading1"/>
      </w:pPr>
      <w:r>
        <w:t>1.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FR-01</w:t>
            </w:r>
          </w:p>
        </w:tc>
        <w:tc>
          <w:tcPr>
            <w:tcW w:type="dxa" w:w="4968"/>
          </w:tcPr>
          <w:p>
            <w:r>
              <w:t>Display the FitBuddy home page.</w:t>
            </w:r>
          </w:p>
        </w:tc>
      </w:tr>
      <w:tr>
        <w:tc>
          <w:tcPr>
            <w:tcW w:type="dxa" w:w="4968"/>
          </w:tcPr>
          <w:p>
            <w:r>
              <w:t>FR-02</w:t>
            </w:r>
          </w:p>
        </w:tc>
        <w:tc>
          <w:tcPr>
            <w:tcW w:type="dxa" w:w="4968"/>
          </w:tcPr>
          <w:p>
            <w:r>
              <w:t>Accept a unique user ID.</w:t>
            </w:r>
          </w:p>
        </w:tc>
      </w:tr>
      <w:tr>
        <w:tc>
          <w:tcPr>
            <w:tcW w:type="dxa" w:w="4968"/>
          </w:tcPr>
          <w:p>
            <w:r>
              <w:t>FR-03</w:t>
            </w:r>
          </w:p>
        </w:tc>
        <w:tc>
          <w:tcPr>
            <w:tcW w:type="dxa" w:w="4968"/>
          </w:tcPr>
          <w:p>
            <w:r>
              <w:t>Accept name, age and weight.</w:t>
            </w:r>
          </w:p>
        </w:tc>
      </w:tr>
      <w:tr>
        <w:tc>
          <w:tcPr>
            <w:tcW w:type="dxa" w:w="4968"/>
          </w:tcPr>
          <w:p>
            <w:r>
              <w:t>FR-04</w:t>
            </w:r>
          </w:p>
        </w:tc>
        <w:tc>
          <w:tcPr>
            <w:tcW w:type="dxa" w:w="4968"/>
          </w:tcPr>
          <w:p>
            <w:r>
              <w:t>Accept one of four fitness goals: weight loss, muscle gain, general wellness or flexibility.</w:t>
            </w:r>
          </w:p>
        </w:tc>
      </w:tr>
      <w:tr>
        <w:tc>
          <w:tcPr>
            <w:tcW w:type="dxa" w:w="4968"/>
          </w:tcPr>
          <w:p>
            <w:r>
              <w:t>FR-05</w:t>
            </w:r>
          </w:p>
        </w:tc>
        <w:tc>
          <w:tcPr>
            <w:tcW w:type="dxa" w:w="4968"/>
          </w:tcPr>
          <w:p>
            <w:r>
              <w:t>Accept low, medium or high intensity.</w:t>
            </w:r>
          </w:p>
        </w:tc>
      </w:tr>
      <w:tr>
        <w:tc>
          <w:tcPr>
            <w:tcW w:type="dxa" w:w="4968"/>
          </w:tcPr>
          <w:p>
            <w:r>
              <w:t>FR-06</w:t>
            </w:r>
          </w:p>
        </w:tc>
        <w:tc>
          <w:tcPr>
            <w:tcW w:type="dxa" w:w="4968"/>
          </w:tcPr>
          <w:p>
            <w:r>
              <w:t>Validate age and weight ranges.</w:t>
            </w:r>
          </w:p>
        </w:tc>
      </w:tr>
      <w:tr>
        <w:tc>
          <w:tcPr>
            <w:tcW w:type="dxa" w:w="4968"/>
          </w:tcPr>
          <w:p>
            <w:r>
              <w:t>FR-07</w:t>
            </w:r>
          </w:p>
        </w:tc>
        <w:tc>
          <w:tcPr>
            <w:tcW w:type="dxa" w:w="4968"/>
          </w:tcPr>
          <w:p>
            <w:r>
              <w:t>Generate a 7-day workout plan.</w:t>
            </w:r>
          </w:p>
        </w:tc>
      </w:tr>
      <w:tr>
        <w:tc>
          <w:tcPr>
            <w:tcW w:type="dxa" w:w="4968"/>
          </w:tcPr>
          <w:p>
            <w:r>
              <w:t>FR-08</w:t>
            </w:r>
          </w:p>
        </w:tc>
        <w:tc>
          <w:tcPr>
            <w:tcW w:type="dxa" w:w="4968"/>
          </w:tcPr>
          <w:p>
            <w:r>
              <w:t>Generate a nutrition/recovery tip.</w:t>
            </w:r>
          </w:p>
        </w:tc>
      </w:tr>
      <w:tr>
        <w:tc>
          <w:tcPr>
            <w:tcW w:type="dxa" w:w="4968"/>
          </w:tcPr>
          <w:p>
            <w:r>
              <w:t>FR-09</w:t>
            </w:r>
          </w:p>
        </w:tc>
        <w:tc>
          <w:tcPr>
            <w:tcW w:type="dxa" w:w="4968"/>
          </w:tcPr>
          <w:p>
            <w:r>
              <w:t>Use Gemini when a valid API key is available.</w:t>
            </w:r>
          </w:p>
        </w:tc>
      </w:tr>
      <w:tr>
        <w:tc>
          <w:tcPr>
            <w:tcW w:type="dxa" w:w="4968"/>
          </w:tcPr>
          <w:p>
            <w:r>
              <w:t>FR-10</w:t>
            </w:r>
          </w:p>
        </w:tc>
        <w:tc>
          <w:tcPr>
            <w:tcW w:type="dxa" w:w="4968"/>
          </w:tcPr>
          <w:p>
            <w:r>
              <w:t>Use a local fallback when Gemini is unavailable.</w:t>
            </w:r>
          </w:p>
        </w:tc>
      </w:tr>
      <w:tr>
        <w:tc>
          <w:tcPr>
            <w:tcW w:type="dxa" w:w="4968"/>
          </w:tcPr>
          <w:p>
            <w:r>
              <w:t>FR-11</w:t>
            </w:r>
          </w:p>
        </w:tc>
        <w:tc>
          <w:tcPr>
            <w:tcW w:type="dxa" w:w="4968"/>
          </w:tcPr>
          <w:p>
            <w:r>
              <w:t>Save user information in SQLite.</w:t>
            </w:r>
          </w:p>
        </w:tc>
      </w:tr>
      <w:tr>
        <w:tc>
          <w:tcPr>
            <w:tcW w:type="dxa" w:w="4968"/>
          </w:tcPr>
          <w:p>
            <w:r>
              <w:t>FR-12</w:t>
            </w:r>
          </w:p>
        </w:tc>
        <w:tc>
          <w:tcPr>
            <w:tcW w:type="dxa" w:w="4968"/>
          </w:tcPr>
          <w:p>
            <w:r>
              <w:t>Save the generated plan and nutrition tip.</w:t>
            </w:r>
          </w:p>
        </w:tc>
      </w:tr>
      <w:tr>
        <w:tc>
          <w:tcPr>
            <w:tcW w:type="dxa" w:w="4968"/>
          </w:tcPr>
          <w:p>
            <w:r>
              <w:t>FR-13</w:t>
            </w:r>
          </w:p>
        </w:tc>
        <w:tc>
          <w:tcPr>
            <w:tcW w:type="dxa" w:w="4968"/>
          </w:tcPr>
          <w:p>
            <w:r>
              <w:t>Retrieve the latest plan for a user.</w:t>
            </w:r>
          </w:p>
        </w:tc>
      </w:tr>
      <w:tr>
        <w:tc>
          <w:tcPr>
            <w:tcW w:type="dxa" w:w="4968"/>
          </w:tcPr>
          <w:p>
            <w:r>
              <w:t>FR-14</w:t>
            </w:r>
          </w:p>
        </w:tc>
        <w:tc>
          <w:tcPr>
            <w:tcW w:type="dxa" w:w="4968"/>
          </w:tcPr>
          <w:p>
            <w:r>
              <w:t>Accept user feedback for plan refinement.</w:t>
            </w:r>
          </w:p>
        </w:tc>
      </w:tr>
      <w:tr>
        <w:tc>
          <w:tcPr>
            <w:tcW w:type="dxa" w:w="4968"/>
          </w:tcPr>
          <w:p>
            <w:r>
              <w:t>FR-15</w:t>
            </w:r>
          </w:p>
        </w:tc>
        <w:tc>
          <w:tcPr>
            <w:tcW w:type="dxa" w:w="4968"/>
          </w:tcPr>
          <w:p>
            <w:r>
              <w:t>Generate an updated plan from feedback.</w:t>
            </w:r>
          </w:p>
        </w:tc>
      </w:tr>
      <w:tr>
        <w:tc>
          <w:tcPr>
            <w:tcW w:type="dxa" w:w="4968"/>
          </w:tcPr>
          <w:p>
            <w:r>
              <w:t>FR-16</w:t>
            </w:r>
          </w:p>
        </w:tc>
        <w:tc>
          <w:tcPr>
            <w:tcW w:type="dxa" w:w="4968"/>
          </w:tcPr>
          <w:p>
            <w:r>
              <w:t>Store the updated plan and feedback.</w:t>
            </w:r>
          </w:p>
        </w:tc>
      </w:tr>
      <w:tr>
        <w:tc>
          <w:tcPr>
            <w:tcW w:type="dxa" w:w="4968"/>
          </w:tcPr>
          <w:p>
            <w:r>
              <w:t>FR-17</w:t>
            </w:r>
          </w:p>
        </w:tc>
        <w:tc>
          <w:tcPr>
            <w:tcW w:type="dxa" w:w="4968"/>
          </w:tcPr>
          <w:p>
            <w:r>
              <w:t>Show original and updated plans in the result page.</w:t>
            </w:r>
          </w:p>
        </w:tc>
      </w:tr>
      <w:tr>
        <w:tc>
          <w:tcPr>
            <w:tcW w:type="dxa" w:w="4968"/>
          </w:tcPr>
          <w:p>
            <w:r>
              <w:t>FR-18</w:t>
            </w:r>
          </w:p>
        </w:tc>
        <w:tc>
          <w:tcPr>
            <w:tcW w:type="dxa" w:w="4968"/>
          </w:tcPr>
          <w:p>
            <w:r>
              <w:t>Provide an all-users/admin view.</w:t>
            </w:r>
          </w:p>
        </w:tc>
      </w:tr>
      <w:tr>
        <w:tc>
          <w:tcPr>
            <w:tcW w:type="dxa" w:w="4968"/>
          </w:tcPr>
          <w:p>
            <w:r>
              <w:t>FR-19</w:t>
            </w:r>
          </w:p>
        </w:tc>
        <w:tc>
          <w:tcPr>
            <w:tcW w:type="dxa" w:w="4968"/>
          </w:tcPr>
          <w:p>
            <w:r>
              <w:t>Expose FastAPI Swagger documentation at /docs.</w:t>
            </w:r>
          </w:p>
        </w:tc>
      </w:tr>
      <w:tr>
        <w:tc>
          <w:tcPr>
            <w:tcW w:type="dxa" w:w="4968"/>
          </w:tcPr>
          <w:p>
            <w:r>
              <w:t>FR-20</w:t>
            </w:r>
          </w:p>
        </w:tc>
        <w:tc>
          <w:tcPr>
            <w:tcW w:type="dxa" w:w="4968"/>
          </w:tcPr>
          <w:p>
            <w:r>
              <w:t>Return 404 for feedback submitted for an unknown user/plan.</w:t>
            </w:r>
          </w:p>
        </w:tc>
      </w:tr>
    </w:tbl>
    <w:p>
      <w:pPr>
        <w:pStyle w:val="Heading1"/>
      </w:pPr>
      <w:r>
        <w:t>2.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Requirement</w:t>
            </w:r>
          </w:p>
        </w:tc>
      </w:tr>
      <w:tr>
        <w:tc>
          <w:tcPr>
            <w:tcW w:type="dxa" w:w="3312"/>
          </w:tcPr>
          <w:p>
            <w:r>
              <w:t>NFR-01</w:t>
            </w:r>
          </w:p>
        </w:tc>
        <w:tc>
          <w:tcPr>
            <w:tcW w:type="dxa" w:w="3312"/>
          </w:tcPr>
          <w:p>
            <w:r>
              <w:t>Usability</w:t>
            </w:r>
          </w:p>
        </w:tc>
        <w:tc>
          <w:tcPr>
            <w:tcW w:type="dxa" w:w="3312"/>
          </w:tcPr>
          <w:p>
            <w:r>
              <w:t>Simple responsive browser interface.</w:t>
            </w:r>
          </w:p>
        </w:tc>
      </w:tr>
      <w:tr>
        <w:tc>
          <w:tcPr>
            <w:tcW w:type="dxa" w:w="3312"/>
          </w:tcPr>
          <w:p>
            <w:r>
              <w:t>NFR-02</w:t>
            </w:r>
          </w:p>
        </w:tc>
        <w:tc>
          <w:tcPr>
            <w:tcW w:type="dxa" w:w="3312"/>
          </w:tcPr>
          <w:p>
            <w:r>
              <w:t>Reliability</w:t>
            </w:r>
          </w:p>
        </w:tc>
        <w:tc>
          <w:tcPr>
            <w:tcW w:type="dxa" w:w="3312"/>
          </w:tcPr>
          <w:p>
            <w:r>
              <w:t>Local fallback keeps core generation available without Gemini.</w:t>
            </w:r>
          </w:p>
        </w:tc>
      </w:tr>
      <w:tr>
        <w:tc>
          <w:tcPr>
            <w:tcW w:type="dxa" w:w="3312"/>
          </w:tcPr>
          <w:p>
            <w:r>
              <w:t>NFR-03</w:t>
            </w:r>
          </w:p>
        </w:tc>
        <w:tc>
          <w:tcPr>
            <w:tcW w:type="dxa" w:w="3312"/>
          </w:tcPr>
          <w:p>
            <w:r>
              <w:t>Performance</w:t>
            </w:r>
          </w:p>
        </w:tc>
        <w:tc>
          <w:tcPr>
            <w:tcW w:type="dxa" w:w="3312"/>
          </w:tcPr>
          <w:p>
            <w:r>
              <w:t>Lightweight FastAPI + SQLite MVP suitable for local development.</w:t>
            </w:r>
          </w:p>
        </w:tc>
      </w:tr>
      <w:tr>
        <w:tc>
          <w:tcPr>
            <w:tcW w:type="dxa" w:w="3312"/>
          </w:tcPr>
          <w:p>
            <w:r>
              <w:t>NFR-04</w:t>
            </w:r>
          </w:p>
        </w:tc>
        <w:tc>
          <w:tcPr>
            <w:tcW w:type="dxa" w:w="3312"/>
          </w:tcPr>
          <w:p>
            <w:r>
              <w:t>Maintainability</w:t>
            </w:r>
          </w:p>
        </w:tc>
        <w:tc>
          <w:tcPr>
            <w:tcW w:type="dxa" w:w="3312"/>
          </w:tcPr>
          <w:p>
            <w:r>
              <w:t>AI generation, database, routes and services are separated into modules.</w:t>
            </w:r>
          </w:p>
        </w:tc>
      </w:tr>
      <w:tr>
        <w:tc>
          <w:tcPr>
            <w:tcW w:type="dxa" w:w="3312"/>
          </w:tcPr>
          <w:p>
            <w:r>
              <w:t>NFR-05</w:t>
            </w:r>
          </w:p>
        </w:tc>
        <w:tc>
          <w:tcPr>
            <w:tcW w:type="dxa" w:w="3312"/>
          </w:tcPr>
          <w:p>
            <w:r>
              <w:t>Validation</w:t>
            </w:r>
          </w:p>
        </w:tc>
        <w:tc>
          <w:tcPr>
            <w:tcW w:type="dxa" w:w="3312"/>
          </w:tcPr>
          <w:p>
            <w:r>
              <w:t>Pydantic validates age, weight, goal and intensity.</w:t>
            </w:r>
          </w:p>
        </w:tc>
      </w:tr>
      <w:tr>
        <w:tc>
          <w:tcPr>
            <w:tcW w:type="dxa" w:w="3312"/>
          </w:tcPr>
          <w:p>
            <w:r>
              <w:t>NFR-06</w:t>
            </w:r>
          </w:p>
        </w:tc>
        <w:tc>
          <w:tcPr>
            <w:tcW w:type="dxa" w:w="331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API credentials are loaded from environment variables rather than hard-coded.</w:t>
            </w:r>
          </w:p>
        </w:tc>
      </w:tr>
      <w:tr>
        <w:tc>
          <w:tcPr>
            <w:tcW w:type="dxa" w:w="3312"/>
          </w:tcPr>
          <w:p>
            <w:r>
              <w:t>NFR-07</w:t>
            </w:r>
          </w:p>
        </w:tc>
        <w:tc>
          <w:tcPr>
            <w:tcW w:type="dxa" w:w="3312"/>
          </w:tcPr>
          <w:p>
            <w:r>
              <w:t>Portability</w:t>
            </w:r>
          </w:p>
        </w:tc>
        <w:tc>
          <w:tcPr>
            <w:tcW w:type="dxa" w:w="3312"/>
          </w:tcPr>
          <w:p>
            <w:r>
              <w:t>Runs with a Python virtual environment on Windows/Linux/macOS.</w:t>
            </w:r>
          </w:p>
        </w:tc>
      </w:tr>
      <w:tr>
        <w:tc>
          <w:tcPr>
            <w:tcW w:type="dxa" w:w="3312"/>
          </w:tcPr>
          <w:p>
            <w:r>
              <w:t>NFR-08</w:t>
            </w:r>
          </w:p>
        </w:tc>
        <w:tc>
          <w:tcPr>
            <w:tcW w:type="dxa" w:w="3312"/>
          </w:tcPr>
          <w:p>
            <w:r>
              <w:t>Testability</w:t>
            </w:r>
          </w:p>
        </w:tc>
        <w:tc>
          <w:tcPr>
            <w:tcW w:type="dxa" w:w="3312"/>
          </w:tcPr>
          <w:p>
            <w:r>
              <w:t>Pytest tests cover core pages and generation/refinement flows.</w:t>
            </w:r>
          </w:p>
        </w:tc>
      </w:tr>
      <w:tr>
        <w:tc>
          <w:tcPr>
            <w:tcW w:type="dxa" w:w="3312"/>
          </w:tcPr>
          <w:p>
            <w:r>
              <w:t>NFR-09</w:t>
            </w:r>
          </w:p>
        </w:tc>
        <w:tc>
          <w:tcPr>
            <w:tcW w:type="dxa" w:w="3312"/>
          </w:tcPr>
          <w:p>
            <w:r>
              <w:t>Scalability</w:t>
            </w:r>
          </w:p>
        </w:tc>
        <w:tc>
          <w:tcPr>
            <w:tcW w:type="dxa" w:w="3312"/>
          </w:tcPr>
          <w:p>
            <w:r>
              <w:t>Architecture allows the AI provider and storage layer to be extended.</w:t>
            </w:r>
          </w:p>
        </w:tc>
      </w:tr>
      <w:tr>
        <w:tc>
          <w:tcPr>
            <w:tcW w:type="dxa" w:w="3312"/>
          </w:tcPr>
          <w:p>
            <w:r>
              <w:t>NFR-10</w:t>
            </w:r>
          </w:p>
        </w:tc>
        <w:tc>
          <w:tcPr>
            <w:tcW w:type="dxa" w:w="3312"/>
          </w:tcPr>
          <w:p>
            <w:r>
              <w:t>Documentation</w:t>
            </w:r>
          </w:p>
        </w:tc>
        <w:tc>
          <w:tcPr>
            <w:tcW w:type="dxa" w:w="3312"/>
          </w:tcPr>
          <w:p>
            <w:r>
              <w:t>Swagger/OpenAPI and README provide setup information.</w:t>
            </w:r>
          </w:p>
        </w:tc>
      </w:tr>
    </w:tbl>
    <w:p>
      <w:pPr>
        <w:pStyle w:val="Heading1"/>
      </w:pPr>
      <w:r>
        <w:t>3. User Roles</w:t>
      </w:r>
    </w:p>
    <w:p>
      <w:pPr>
        <w:pStyle w:val="ListBullet"/>
      </w:pPr>
      <w:r>
        <w:t>End User – enters profile data, receives a workout plan, nutrition tip and can submit feedback.</w:t>
      </w:r>
    </w:p>
    <w:p>
      <w:pPr>
        <w:pStyle w:val="ListBullet"/>
      </w:pPr>
      <w:r>
        <w:t>Admin/Reviewer – opens the All Users view to inspect stored users and plans.</w:t>
      </w:r>
    </w:p>
    <w:p>
      <w:pPr>
        <w:pStyle w:val="Heading1"/>
      </w:pPr>
      <w:r>
        <w:t>4. Constraints and Assumptions</w:t>
      </w:r>
    </w:p>
    <w:p>
      <w:pPr>
        <w:pStyle w:val="ListBullet"/>
      </w:pPr>
      <w:r>
        <w:t>The current project is an MVP and does not replace professional medical or fitness advice.</w:t>
      </w:r>
    </w:p>
    <w:p>
      <w:pPr>
        <w:pStyle w:val="ListBullet"/>
      </w:pPr>
      <w:r>
        <w:t>Gemini integration is optional; the fallback path is used when no API key is supplied or an AI request fails.</w:t>
      </w:r>
    </w:p>
    <w:p>
      <w:pPr>
        <w:pStyle w:val="ListBullet"/>
      </w:pPr>
      <w:r>
        <w:t>SQLite is used for local persistence.</w:t>
      </w:r>
    </w:p>
    <w:p>
      <w:pPr>
        <w:pStyle w:val="ListBullet"/>
      </w:pPr>
      <w:r>
        <w:t>Workout content is general-purpose and includes a safety note to adjust difficulty and stop for pain, dizziness or unusual symptoms.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