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F5496"/>
          <w:sz w:val="36"/>
        </w:rPr>
        <w:t>Monish Reddy Edulakanti</w:t>
      </w:r>
    </w:p>
    <w:p>
      <w:pPr>
        <w:spacing w:before="0" w:after="40"/>
        <w:jc w:val="center"/>
      </w:pPr>
      <w:r>
        <w:rPr>
          <w:rFonts w:ascii="Calibri" w:hAnsi="Calibri"/>
          <w:b w:val="0"/>
          <w:color w:val="595959"/>
          <w:sz w:val="20"/>
        </w:rPr>
        <w:t>Technical Solutions Consultant  |  APIs &amp; Platform Integration  |  Partner Growth &amp; Enablement</w:t>
      </w:r>
    </w:p>
    <w:p>
      <w:pPr>
        <w:spacing w:before="0" w:after="80"/>
        <w:jc w:val="center"/>
      </w:pPr>
      <w:r>
        <w:rPr>
          <w:rFonts w:ascii="Calibri" w:hAnsi="Calibri"/>
          <w:b w:val="0"/>
          <w:sz w:val="19"/>
        </w:rPr>
        <w:t>New York, NY  ·  +1 (812) 262-4911  ·  emonishreddy@rediffmail.com  ·  linkedin.com/in/monish-reddy-edulakanti  ·  github.com/monishreddye</w:t>
      </w:r>
    </w:p>
    <w:p>
      <w:pPr>
        <w:spacing w:before="120" w:after="0"/>
        <w:jc w:val="left"/>
      </w:pPr>
      <w:r>
        <w:rPr>
          <w:rFonts w:ascii="Calibri" w:hAnsi="Calibri"/>
          <w:b/>
          <w:color w:val="2F5496"/>
          <w:sz w:val="20"/>
        </w:rPr>
        <w:t>SUMMARY</w:t>
      </w:r>
    </w:p>
    <w:p>
      <w:pPr>
        <w:spacing w:before="20" w:after="20"/>
        <w:pBdr>
          <w:bottom w:val="single" w:sz="6" w:space="1" w:color="2F5496"/>
        </w:pBdr>
      </w:pPr>
    </w:p>
    <w:p>
      <w:pPr>
        <w:spacing w:before="60" w:after="60"/>
        <w:ind w:firstLine="0"/>
        <w:jc w:val="left"/>
      </w:pPr>
      <w:r>
        <w:rPr>
          <w:rFonts w:ascii="Calibri" w:hAnsi="Calibri"/>
          <w:b w:val="0"/>
          <w:sz w:val="19"/>
        </w:rPr>
        <w:t>Technical Solutions Consultant with 6 years of experience serving as a trusted technical advisor for enterprise partners and clients — diagnosing and resolving complex API and platform integration issues, unblocking partners facing production challenges, and enabling them to scale effectively. Worked directly with FedEx and USAA stakeholders across Python, REST APIs, SQL, Azure, and technical documentation to translate technical findings into clear, actionable recommendations for engineering teams and business executives at all levels. Experienced in leveraging AI-integrated workflows to accelerate root-cause analysis, solution development, and partner-facing communications; demonstrated pattern identification and scalable tooling improvements that cut resolution time by 40% and reduced manual effort by 70%.</w:t>
      </w:r>
    </w:p>
    <w:p>
      <w:pPr>
        <w:spacing w:before="120" w:after="0"/>
        <w:jc w:val="left"/>
      </w:pPr>
      <w:r>
        <w:rPr>
          <w:rFonts w:ascii="Calibri" w:hAnsi="Calibri"/>
          <w:b/>
          <w:color w:val="2F5496"/>
          <w:sz w:val="20"/>
        </w:rPr>
        <w:t>TECHNICAL SKILLS</w:t>
      </w:r>
    </w:p>
    <w:p>
      <w:pPr>
        <w:spacing w:before="20" w:after="20"/>
        <w:pBdr>
          <w:bottom w:val="single" w:sz="6" w:space="1" w:color="2F5496"/>
        </w:pBdr>
      </w:pPr>
    </w:p>
    <w:p>
      <w:pPr>
        <w:spacing w:before="40" w:after="20"/>
        <w:jc w:val="left"/>
      </w:pPr>
      <w:r>
        <w:rPr>
          <w:rFonts w:ascii="Calibri" w:hAnsi="Calibri"/>
          <w:b/>
          <w:sz w:val="19"/>
        </w:rPr>
        <w:t xml:space="preserve">Technical Consulting &amp; Partner Delivery: </w:t>
      </w:r>
      <w:r>
        <w:rPr>
          <w:rFonts w:ascii="Calibri" w:hAnsi="Calibri"/>
          <w:b w:val="0"/>
          <w:sz w:val="19"/>
        </w:rPr>
        <w:t>Partner/client communication, requirements gathering, technical discovery, root-cause analysis, solution recommendations, escalation management, stakeholder communication across all org levels (engineering to C-suite), release coordination, post-launch support, partner enablement</w:t>
      </w:r>
    </w:p>
    <w:p>
      <w:pPr>
        <w:spacing w:before="40" w:after="20"/>
        <w:jc w:val="left"/>
      </w:pPr>
      <w:r>
        <w:rPr>
          <w:rFonts w:ascii="Calibri" w:hAnsi="Calibri"/>
          <w:b/>
          <w:sz w:val="19"/>
        </w:rPr>
        <w:t xml:space="preserve">APIs &amp; Integration: </w:t>
      </w:r>
      <w:r>
        <w:rPr>
          <w:rFonts w:ascii="Calibri" w:hAnsi="Calibri"/>
          <w:b w:val="0"/>
          <w:sz w:val="19"/>
        </w:rPr>
        <w:t>REST APIs, FastAPI, API diagnostics &amp; troubleshooting, integration support, API documentation review, Python, PowerShell, SQL, XML, C#/.NET, JavaScript, React</w:t>
      </w:r>
    </w:p>
    <w:p>
      <w:pPr>
        <w:spacing w:before="40" w:after="20"/>
        <w:jc w:val="left"/>
      </w:pPr>
      <w:r>
        <w:rPr>
          <w:rFonts w:ascii="Calibri" w:hAnsi="Calibri"/>
          <w:b/>
          <w:sz w:val="19"/>
        </w:rPr>
        <w:t xml:space="preserve">AI &amp; Automation: </w:t>
      </w:r>
      <w:r>
        <w:rPr>
          <w:rFonts w:ascii="Calibri" w:hAnsi="Calibri"/>
          <w:b w:val="0"/>
          <w:sz w:val="19"/>
        </w:rPr>
        <w:t>AI-integrated workflow acceleration, responsible AI practices, prompt/context engineering, agent orchestration, process automation, quality &amp; accuracy validation, bias and error mitigation</w:t>
      </w:r>
    </w:p>
    <w:p>
      <w:pPr>
        <w:spacing w:before="40" w:after="20"/>
        <w:jc w:val="left"/>
      </w:pPr>
      <w:r>
        <w:rPr>
          <w:rFonts w:ascii="Calibri" w:hAnsi="Calibri"/>
          <w:b/>
          <w:sz w:val="19"/>
        </w:rPr>
        <w:t xml:space="preserve">Signals, Measurement &amp; Data: </w:t>
      </w:r>
      <w:r>
        <w:rPr>
          <w:rFonts w:ascii="Calibri" w:hAnsi="Calibri"/>
          <w:b w:val="0"/>
          <w:sz w:val="19"/>
        </w:rPr>
        <w:t>Data integration, data-flow analysis, signal quality, measurement validation, data-pipeline root-cause analysis, SQL Server, SSMS, Power BI, Excel</w:t>
      </w:r>
    </w:p>
    <w:p>
      <w:pPr>
        <w:spacing w:before="40" w:after="20"/>
        <w:jc w:val="left"/>
      </w:pPr>
      <w:r>
        <w:rPr>
          <w:rFonts w:ascii="Calibri" w:hAnsi="Calibri"/>
          <w:b/>
          <w:sz w:val="19"/>
        </w:rPr>
        <w:t xml:space="preserve">Cloud, Systems &amp; Infrastructure: </w:t>
      </w:r>
      <w:r>
        <w:rPr>
          <w:rFonts w:ascii="Calibri" w:hAnsi="Calibri"/>
          <w:b w:val="0"/>
          <w:sz w:val="19"/>
        </w:rPr>
        <w:t>Microsoft Azure, Google Cloud Platform, Firebase, Windows Server, IIS, VMware, LDAP, DNS, TCP/IP, load balancing</w:t>
      </w:r>
    </w:p>
    <w:p>
      <w:pPr>
        <w:spacing w:before="40" w:after="20"/>
        <w:jc w:val="left"/>
      </w:pPr>
      <w:r>
        <w:rPr>
          <w:rFonts w:ascii="Calibri" w:hAnsi="Calibri"/>
          <w:b/>
          <w:sz w:val="19"/>
        </w:rPr>
        <w:t xml:space="preserve">Platforms &amp; Practices: </w:t>
      </w:r>
      <w:r>
        <w:rPr>
          <w:rFonts w:ascii="Calibri" w:hAnsi="Calibri"/>
          <w:b w:val="0"/>
          <w:sz w:val="19"/>
        </w:rPr>
        <w:t>RSA Archer IRM, ServiceNow, Jira, Confluence, Git, technical documentation, knowledge management, ITIL 4, Agile</w:t>
      </w:r>
    </w:p>
    <w:p>
      <w:pPr>
        <w:spacing w:before="120" w:after="0"/>
        <w:jc w:val="left"/>
      </w:pPr>
      <w:r>
        <w:rPr>
          <w:rFonts w:ascii="Calibri" w:hAnsi="Calibri"/>
          <w:b/>
          <w:color w:val="2F5496"/>
          <w:sz w:val="20"/>
        </w:rPr>
        <w:t>EXPERIENCE</w:t>
      </w:r>
    </w:p>
    <w:p>
      <w:pPr>
        <w:spacing w:before="20" w:after="20"/>
        <w:pBdr>
          <w:bottom w:val="single" w:sz="6" w:space="1" w:color="2F5496"/>
        </w:pBdr>
      </w:pPr>
    </w:p>
    <w:p>
      <w:pPr>
        <w:spacing w:before="80" w:after="0"/>
        <w:jc w:val="left"/>
      </w:pPr>
      <w:r>
        <w:rPr>
          <w:rFonts w:ascii="Calibri" w:hAnsi="Calibri"/>
          <w:b/>
          <w:sz w:val="20"/>
        </w:rPr>
        <w:t>Indiana State University</w:t>
      </w:r>
      <w:r>
        <w:rPr>
          <w:rFonts w:ascii="Calibri" w:hAnsi="Calibri"/>
          <w:b w:val="0"/>
          <w:color w:val="595959"/>
          <w:sz w:val="19"/>
        </w:rPr>
        <w:t xml:space="preserve">    Mar 2024 – Dec 2025</w:t>
      </w:r>
    </w:p>
    <w:p>
      <w:pPr>
        <w:spacing w:before="0" w:after="20"/>
        <w:jc w:val="left"/>
      </w:pPr>
      <w:r>
        <w:rPr>
          <w:rFonts w:ascii="Calibri" w:hAnsi="Calibri"/>
          <w:b/>
          <w:sz w:val="19"/>
        </w:rPr>
        <w:t>Graduate Assistant</w:t>
      </w:r>
      <w:r>
        <w:rPr>
          <w:rFonts w:ascii="Calibri" w:hAnsi="Calibri"/>
          <w:b w:val="0"/>
          <w:color w:val="595959"/>
          <w:sz w:val="19"/>
        </w:rPr>
        <w:t xml:space="preserve">    Terre Haute, IN</w:t>
      </w:r>
    </w:p>
    <w:p>
      <w:pPr>
        <w:pStyle w:val="ListBullet"/>
        <w:spacing w:before="0" w:after="40"/>
        <w:ind w:left="360"/>
      </w:pPr>
      <w:r>
        <w:rPr>
          <w:rFonts w:ascii="Calibri" w:hAnsi="Calibri"/>
          <w:b w:val="0"/>
          <w:sz w:val="19"/>
        </w:rPr>
        <w:t>Partnered with faculty and administrative teams to gather requirements, recommend Firebase and Google Cloud solutions, obtain deployment approvals, and own web application delivery from development through post-launch support.</w:t>
      </w:r>
    </w:p>
    <w:p>
      <w:pPr>
        <w:pStyle w:val="ListBullet"/>
        <w:spacing w:before="0" w:after="40"/>
        <w:ind w:left="360"/>
      </w:pPr>
      <w:r>
        <w:rPr>
          <w:rFonts w:ascii="Calibri" w:hAnsi="Calibri"/>
          <w:b w:val="0"/>
          <w:sz w:val="19"/>
        </w:rPr>
        <w:t>Integrated AI models into university workflows to reduce manual effort and human error; built and maintained troubleshooting guides and setup documentation that enabled users to self-serve and resolve common issues without escalation.</w:t>
      </w:r>
    </w:p>
    <w:p>
      <w:pPr>
        <w:spacing w:before="80" w:after="0"/>
        <w:jc w:val="left"/>
      </w:pPr>
      <w:r>
        <w:rPr>
          <w:rFonts w:ascii="Calibri" w:hAnsi="Calibri"/>
          <w:b/>
          <w:sz w:val="20"/>
        </w:rPr>
        <w:t>HCLTech</w:t>
      </w:r>
      <w:r>
        <w:rPr>
          <w:rFonts w:ascii="Calibri" w:hAnsi="Calibri"/>
          <w:b w:val="0"/>
          <w:color w:val="595959"/>
          <w:sz w:val="19"/>
        </w:rPr>
        <w:t xml:space="preserve">    Sep 2019 – Dec 2023</w:t>
      </w:r>
    </w:p>
    <w:p>
      <w:pPr>
        <w:spacing w:before="0" w:after="20"/>
        <w:jc w:val="left"/>
      </w:pPr>
      <w:r>
        <w:rPr>
          <w:rFonts w:ascii="Calibri" w:hAnsi="Calibri"/>
          <w:b/>
          <w:sz w:val="19"/>
        </w:rPr>
        <w:t>Senior Analyst  (promoted from Analyst and Graduate Engineer Trainee)</w:t>
      </w:r>
      <w:r>
        <w:rPr>
          <w:rFonts w:ascii="Calibri" w:hAnsi="Calibri"/>
          <w:b w:val="0"/>
          <w:color w:val="595959"/>
          <w:sz w:val="19"/>
        </w:rPr>
        <w:t xml:space="preserve">    Chennai &amp; Noida, India</w:t>
      </w:r>
    </w:p>
    <w:p>
      <w:pPr>
        <w:pStyle w:val="ListBullet"/>
        <w:spacing w:before="0" w:after="40"/>
        <w:ind w:left="360"/>
      </w:pPr>
      <w:r>
        <w:rPr>
          <w:rFonts w:ascii="Calibri" w:hAnsi="Calibri"/>
          <w:b w:val="0"/>
          <w:sz w:val="19"/>
        </w:rPr>
        <w:t>Served as the primary technical point of contact for FedEx and USAA partners, diagnosing and resolving complex application, API, and platform integration issues to unblock partner growth and maintain operational continuity across enterprise-scale deployments.</w:t>
      </w:r>
    </w:p>
    <w:p>
      <w:pPr>
        <w:pStyle w:val="ListBullet"/>
        <w:spacing w:before="0" w:after="40"/>
        <w:ind w:left="360"/>
      </w:pPr>
      <w:r>
        <w:rPr>
          <w:rFonts w:ascii="Calibri" w:hAnsi="Calibri"/>
          <w:b w:val="0"/>
          <w:sz w:val="19"/>
        </w:rPr>
        <w:t>Analyzed partner technical architectures and data flows — reviewing API requests/responses, logs, SQL records, authentication, server health, network paths, and downstream dependencies — to identify root causes and recommend solutions that enabled partners to scale effectively.</w:t>
      </w:r>
    </w:p>
    <w:p>
      <w:pPr>
        <w:pStyle w:val="ListBullet"/>
        <w:spacing w:before="0" w:after="40"/>
        <w:ind w:left="360"/>
      </w:pPr>
      <w:r>
        <w:rPr>
          <w:rFonts w:ascii="Calibri" w:hAnsi="Calibri"/>
          <w:b w:val="0"/>
          <w:sz w:val="19"/>
        </w:rPr>
        <w:t>Built internal tools and automation using Python, PowerShell, SQL, REST APIs, and XML for system health checks, data validation, reporting, user administration, and recurring operational workflows; reduced manual effort by 70% and saved 15+ hours per week.</w:t>
      </w:r>
    </w:p>
    <w:p>
      <w:pPr>
        <w:pStyle w:val="ListBullet"/>
        <w:spacing w:before="0" w:after="40"/>
        <w:ind w:left="360"/>
      </w:pPr>
      <w:r>
        <w:rPr>
          <w:rFonts w:ascii="Calibri" w:hAnsi="Calibri"/>
          <w:b w:val="0"/>
          <w:sz w:val="19"/>
        </w:rPr>
        <w:t>Developed and published integration and troubleshooting guides — with screenshots, validation steps, root-cause findings, and recovery instructions — enabling partners and internal teams to self-serve and resolve common issues without escalation.</w:t>
      </w:r>
    </w:p>
    <w:p>
      <w:pPr>
        <w:pStyle w:val="ListBullet"/>
        <w:spacing w:before="0" w:after="40"/>
        <w:ind w:left="360"/>
      </w:pPr>
      <w:r>
        <w:rPr>
          <w:rFonts w:ascii="Calibri" w:hAnsi="Calibri"/>
          <w:b w:val="0"/>
          <w:sz w:val="19"/>
        </w:rPr>
        <w:t>Identified recurring patterns across partner issues and proposed scalable fixes and tooling improvements, contributing to a 40% reduction in resolution time and 99.9% platform availability for FedEx stakeholders.</w:t>
      </w:r>
    </w:p>
    <w:p>
      <w:pPr>
        <w:pStyle w:val="ListBullet"/>
        <w:spacing w:before="0" w:after="40"/>
        <w:ind w:left="360"/>
      </w:pPr>
      <w:r>
        <w:rPr>
          <w:rFonts w:ascii="Calibri" w:hAnsi="Calibri"/>
          <w:b w:val="0"/>
          <w:sz w:val="19"/>
        </w:rPr>
        <w:t>Used operational metrics, incident trends, and validation results to evaluate solution effectiveness and communicated measurable outcomes clearly to FedEx partner stakeholders and executive sponsors.</w:t>
      </w:r>
    </w:p>
    <w:p>
      <w:pPr>
        <w:pStyle w:val="ListBullet"/>
        <w:spacing w:before="0" w:after="40"/>
        <w:ind w:left="360"/>
      </w:pPr>
      <w:r>
        <w:rPr>
          <w:rFonts w:ascii="Calibri" w:hAnsi="Calibri"/>
          <w:b w:val="0"/>
          <w:sz w:val="19"/>
        </w:rPr>
        <w:t>Collaborated with cross-functional application, database, infrastructure, and network teams to coordinate fixes, deliver partner-facing solutions, and support go-to-market and post-launch operations.</w:t>
      </w:r>
    </w:p>
    <w:p>
      <w:pPr>
        <w:pStyle w:val="ListBullet"/>
        <w:spacing w:before="0" w:after="40"/>
        <w:ind w:left="360"/>
      </w:pPr>
      <w:r>
        <w:rPr>
          <w:rFonts w:ascii="Calibri" w:hAnsi="Calibri"/>
          <w:b w:val="0"/>
          <w:sz w:val="19"/>
        </w:rPr>
        <w:t>Leveraged AI-integrated workflows to accelerate root-cause analysis, automate recurring support tasks, and improve the quality and speed of partner-facing communications and technical documentation.</w:t>
      </w:r>
    </w:p>
    <w:p>
      <w:pPr>
        <w:spacing w:before="120" w:after="0"/>
        <w:jc w:val="left"/>
      </w:pPr>
      <w:r>
        <w:rPr>
          <w:rFonts w:ascii="Calibri" w:hAnsi="Calibri"/>
          <w:b/>
          <w:color w:val="2F5496"/>
          <w:sz w:val="20"/>
        </w:rPr>
        <w:t>PROJECTS</w:t>
      </w:r>
    </w:p>
    <w:p>
      <w:pPr>
        <w:spacing w:before="20" w:after="20"/>
        <w:pBdr>
          <w:bottom w:val="single" w:sz="6" w:space="1" w:color="2F5496"/>
        </w:pBdr>
      </w:pPr>
    </w:p>
    <w:p>
      <w:pPr>
        <w:spacing w:before="80" w:after="0"/>
        <w:jc w:val="left"/>
      </w:pPr>
      <w:r>
        <w:rPr>
          <w:rFonts w:ascii="Calibri" w:hAnsi="Calibri"/>
          <w:b/>
          <w:sz w:val="20"/>
        </w:rPr>
        <w:t>Monish Labs  |  Financial Data &amp; Analytics Platform</w:t>
      </w:r>
      <w:r>
        <w:rPr>
          <w:rFonts w:ascii="Calibri" w:hAnsi="Calibri"/>
          <w:b w:val="0"/>
          <w:color w:val="595959"/>
          <w:sz w:val="19"/>
        </w:rPr>
        <w:t xml:space="preserve">    2025 – Present</w:t>
      </w:r>
    </w:p>
    <w:p>
      <w:pPr>
        <w:spacing w:before="0" w:after="20"/>
        <w:jc w:val="left"/>
      </w:pPr>
      <w:r>
        <w:rPr>
          <w:rFonts w:ascii="Calibri" w:hAnsi="Calibri"/>
          <w:b/>
          <w:sz w:val="19"/>
        </w:rPr>
      </w:r>
      <w:r>
        <w:rPr>
          <w:rFonts w:ascii="Calibri" w:hAnsi="Calibri"/>
          <w:b w:val="0"/>
          <w:color w:val="595959"/>
          <w:sz w:val="19"/>
        </w:rPr>
        <w:t xml:space="preserve">    </w:t>
      </w:r>
    </w:p>
    <w:p>
      <w:pPr>
        <w:pStyle w:val="ListBullet"/>
        <w:spacing w:before="0" w:after="40"/>
        <w:ind w:left="360"/>
      </w:pPr>
      <w:r>
        <w:rPr>
          <w:rFonts w:ascii="Calibri" w:hAnsi="Calibri"/>
          <w:b w:val="0"/>
          <w:sz w:val="19"/>
        </w:rPr>
        <w:t>Built a financial-market data and analytics platform using Python, SQL Server, FastAPI, REST APIs, React, and C#/.NET WPF; architected data ingestion, validation, monitoring, reporting, and user-facing workflows across database, API, backend, and desktop layers.</w:t>
      </w:r>
    </w:p>
    <w:p>
      <w:pPr>
        <w:pStyle w:val="ListBullet"/>
        <w:spacing w:before="0" w:after="40"/>
        <w:ind w:left="360"/>
      </w:pPr>
      <w:r>
        <w:rPr>
          <w:rFonts w:ascii="Calibri" w:hAnsi="Calibri"/>
          <w:b w:val="0"/>
          <w:sz w:val="19"/>
        </w:rPr>
        <w:t>Integrated AI agents to orchestrate repetitive development and operational workflows — assigning tasks to automated processes that ran independently — demonstrating hands-on agent orchestration and AI-driven workflow redesign.</w:t>
      </w:r>
    </w:p>
    <w:p>
      <w:pPr>
        <w:pStyle w:val="ListBullet"/>
        <w:spacing w:before="0" w:after="40"/>
        <w:ind w:left="360"/>
      </w:pPr>
      <w:r>
        <w:rPr>
          <w:rFonts w:ascii="Calibri" w:hAnsi="Calibri"/>
          <w:b w:val="0"/>
          <w:sz w:val="19"/>
        </w:rPr>
        <w:t>Implemented data-quality and integration-failure checks and applied responsible AI practices (accuracy reviews, bias mitigation) to ensure reliability of AI-assisted analysis and outputs.</w:t>
      </w:r>
    </w:p>
    <w:p>
      <w:pPr>
        <w:spacing w:before="120" w:after="0"/>
        <w:jc w:val="left"/>
      </w:pPr>
      <w:r>
        <w:rPr>
          <w:rFonts w:ascii="Calibri" w:hAnsi="Calibri"/>
          <w:b/>
          <w:color w:val="2F5496"/>
          <w:sz w:val="20"/>
        </w:rPr>
        <w:t>EDUCATION</w:t>
      </w:r>
    </w:p>
    <w:p>
      <w:pPr>
        <w:spacing w:before="20" w:after="20"/>
        <w:pBdr>
          <w:bottom w:val="single" w:sz="6" w:space="1" w:color="2F5496"/>
        </w:pBdr>
      </w:pPr>
    </w:p>
    <w:p>
      <w:pPr>
        <w:spacing w:before="60" w:after="20"/>
        <w:jc w:val="left"/>
      </w:pPr>
      <w:r>
        <w:rPr>
          <w:rFonts w:ascii="Calibri" w:hAnsi="Calibri"/>
          <w:b/>
          <w:sz w:val="19"/>
        </w:rPr>
        <w:t>Indiana State University — Terre Haute, IN</w:t>
      </w:r>
    </w:p>
    <w:p>
      <w:pPr>
        <w:spacing w:before="0" w:after="20"/>
        <w:jc w:val="left"/>
      </w:pPr>
      <w:r>
        <w:rPr>
          <w:rFonts w:ascii="Calibri" w:hAnsi="Calibri"/>
          <w:b w:val="0"/>
          <w:sz w:val="19"/>
        </w:rPr>
        <w:t>Master of Science in Computer Science  ·  Jan 2024 – Dec 2025</w:t>
      </w:r>
    </w:p>
    <w:p>
      <w:pPr>
        <w:spacing w:before="60" w:after="20"/>
        <w:jc w:val="left"/>
      </w:pPr>
      <w:r>
        <w:rPr>
          <w:rFonts w:ascii="Calibri" w:hAnsi="Calibri"/>
          <w:b/>
          <w:sz w:val="19"/>
        </w:rPr>
        <w:t>Jayamukhi Institute of Technological Sciences — Warangal, India</w:t>
      </w:r>
    </w:p>
    <w:p>
      <w:pPr>
        <w:spacing w:before="0" w:after="20"/>
        <w:jc w:val="left"/>
      </w:pPr>
      <w:r>
        <w:rPr>
          <w:rFonts w:ascii="Calibri" w:hAnsi="Calibri"/>
          <w:b w:val="0"/>
          <w:sz w:val="19"/>
        </w:rPr>
        <w:t>Bachelor of Technology in Computer Science and Engineering  ·  Aug 2015 – May 2019</w:t>
      </w:r>
    </w:p>
    <w:p>
      <w:pPr>
        <w:spacing w:before="120" w:after="0"/>
        <w:jc w:val="left"/>
      </w:pPr>
      <w:r>
        <w:rPr>
          <w:rFonts w:ascii="Calibri" w:hAnsi="Calibri"/>
          <w:b/>
          <w:color w:val="2F5496"/>
          <w:sz w:val="20"/>
        </w:rPr>
        <w:t>CERTIFICATIONS &amp; RECOGNITION</w:t>
      </w:r>
    </w:p>
    <w:p>
      <w:pPr>
        <w:spacing w:before="20" w:after="20"/>
        <w:pBdr>
          <w:bottom w:val="single" w:sz="6" w:space="1" w:color="2F5496"/>
        </w:pBdr>
      </w:pPr>
    </w:p>
    <w:p>
      <w:pPr>
        <w:spacing w:before="60" w:after="40"/>
        <w:jc w:val="left"/>
      </w:pPr>
      <w:r>
        <w:rPr>
          <w:rFonts w:ascii="Calibri" w:hAnsi="Calibri"/>
          <w:b w:val="0"/>
          <w:sz w:val="19"/>
        </w:rPr>
        <w:t>ServiceNow Administration Fundamentals – In Progress  |  HCL Distinguished Performance Award – 2022  |  ITIL v4 Foundation – 2020</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