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250605- FICHA TÉCNICA - MANEJO SOCIAL v01</w:t>
      </w:r>
    </w:p>
    <w:p>
      <w:r>
        <w:rPr>
          <w:b/>
        </w:rPr>
        <w:t xml:space="preserve">Archivo fuente: </w:t>
      </w:r>
      <w:r>
        <w:t>250605- FICHA TÉCNICA - MANEJO SOCIAL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MANEJO SOCIAL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Identificar las afectaciones generadas por la empresa, buscando minimizarlas, con foco en las comunidades del área de influencia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Contar con información sobre la percepción y expectativas de los miembros de las comunidades con relación a desempeño de Paracel, a fin de establacer acciones de mejora.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Realizar espacios informativos en el año, en las comunidades del área de influencia directa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Reuniones semestrales con pobladores del ADA, AID y con las comunidades indígena para transferir información sobre Paracel, acompañar y monitorear la percepción de los mismos con relación a Paracel.</w:t>
              <w:br/>
              <w:t>2. Toma de datos acerca de la percepción de las personas y datos sobre migración.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Informe de percepción.</w:t>
              <w:br/>
              <w:t xml:space="preserve"> - Materiales informativos | educativos desarrollados.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Miembros de las comunidades informados.</w:t>
              <w:br/>
              <w:t xml:space="preserve"> - Mejora continua en nuestros procesos con relación a expectativas de los miembros de las comunidades.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8.442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Alinear expectativas de miembros de las comunidades y otros grupos de interés acerca del funcionamiento de Paracel e inversiones sociales.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 xml:space="preserve">1. Reuniones semestrales con los líderes y lideresas de las comunidades rurales e indígenas del área de influencia de Paracel, para la socialización y actualización de las actividades desarrolladas en el marco de los programas sociales de la empresa. </w:t>
              <w:br/>
              <w:t>2. Alinear expectativas de líderes y líderesas de comunidades indígenas a través de una reunión anual.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Informe de percepción.</w:t>
              <w:br/>
              <w:t xml:space="preserve"> - Materiales informativos | educativos desarrollados.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Líderes y lideresas de las comunidades informados/as.</w:t>
              <w:br/>
              <w:t xml:space="preserve"> - Mejora continua en nuestros procesos con relación a expectativas de los miembros de las comunidades.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6.044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2025-06-05 -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MANEJO SOCIAL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Número de personas participantes por comunidad clasificadas, por edad, sexo, franja etaria, comunidad, etnia.</w:t>
              <w:br/>
              <w:t>2. Índice de percepción.</w:t>
              <w:br/>
              <w:t xml:space="preserve">3. Datos sobre migración </w:t>
              <w:br/>
              <w:t>4. Materiales desarrollados.</w:t>
              <w:br/>
              <w:t>5. Número de personas de las diferentes áreas de Paracel participantes.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Número de personas participantes por comunidad clasificadas, por edad, sexo, franja etaria, comunidad, etnia.</w:t>
              <w:br/>
              <w:t>2. Índice de percepción.</w:t>
              <w:br/>
              <w:t>3. Materiales desarrollados.</w:t>
              <w:br/>
              <w:t>4. Número de personas de las diferentes áreas de Paracel participantes.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