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04E"/>
          <w:sz w:val="44"/>
        </w:rPr>
        <w:t>TÉRMINOS Y CONDICIONES DE CONTRATACIÓN</w:t>
        <w:br/>
        <w:t>Y LICENCIA DE USO</w:t>
      </w:r>
    </w:p>
    <w:p>
      <w:pPr>
        <w:jc w:val="center"/>
      </w:pPr>
      <w:r>
        <w:rPr>
          <w:rFonts w:ascii="Arial" w:hAnsi="Arial"/>
          <w:color w:val="41485F"/>
          <w:sz w:val="23"/>
        </w:rPr>
        <w:t>Servicio de página web para organización y administración de bingos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FFF3B0"/>
            <w:tcBorders>
              <w:top w:val="single" w:sz="8" w:color="E1B500"/>
              <w:left w:val="single" w:sz="8" w:color="E1B500"/>
              <w:bottom w:val="single" w:sz="8" w:color="E1B500"/>
              <w:right w:val="single" w:sz="8" w:color="E1B5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5A4600"/>
                <w:sz w:val="16"/>
              </w:rPr>
              <w:t>VERSIÓN</w:t>
              <w:br/>
            </w:r>
            <w:r>
              <w:rPr>
                <w:b/>
                <w:color w:val="07104E"/>
                <w:sz w:val="20"/>
              </w:rPr>
              <w:t>1.0</w:t>
            </w:r>
          </w:p>
        </w:tc>
        <w:tc>
          <w:tcPr>
            <w:tcW w:type="dxa" w:w="3331"/>
            <w:shd w:fill="FFF3B0"/>
            <w:tcBorders>
              <w:top w:val="single" w:sz="8" w:color="E1B500"/>
              <w:left w:val="single" w:sz="8" w:color="E1B500"/>
              <w:bottom w:val="single" w:sz="8" w:color="E1B500"/>
              <w:right w:val="single" w:sz="8" w:color="E1B5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5A4600"/>
                <w:sz w:val="16"/>
              </w:rPr>
              <w:t>VIGENCIA</w:t>
              <w:br/>
            </w:r>
            <w:r>
              <w:rPr>
                <w:b/>
                <w:color w:val="07104E"/>
                <w:sz w:val="20"/>
              </w:rPr>
              <w:t>26/07/2026</w:t>
            </w:r>
          </w:p>
        </w:tc>
        <w:tc>
          <w:tcPr>
            <w:tcW w:type="dxa" w:w="3331"/>
            <w:shd w:fill="FFF3B0"/>
            <w:tcBorders>
              <w:top w:val="single" w:sz="8" w:color="E1B500"/>
              <w:left w:val="single" w:sz="8" w:color="E1B500"/>
              <w:bottom w:val="single" w:sz="8" w:color="E1B500"/>
              <w:right w:val="single" w:sz="8" w:color="E1B5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5A4600"/>
                <w:sz w:val="16"/>
              </w:rPr>
              <w:t>CONTACTO</w:t>
              <w:br/>
            </w:r>
            <w:r>
              <w:rPr>
                <w:b/>
                <w:color w:val="07104E"/>
                <w:sz w:val="20"/>
              </w:rPr>
              <w:t>+58 412-3714136</w:t>
            </w:r>
          </w:p>
        </w:tc>
      </w:tr>
    </w:tbl>
    <w:p/>
    <w:p>
      <w:pPr>
        <w:pStyle w:val="Heading1"/>
      </w:pPr>
      <w:r>
        <w:t>IDENTIFICACIÓN DEL PRESTADOR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EF1F8"/>
          </w:tcPr>
          <w:p>
            <w:r>
              <w:rPr>
                <w:b/>
              </w:rPr>
              <w:t>Nombre comercial</w:t>
            </w:r>
          </w:p>
        </w:tc>
        <w:tc>
          <w:tcPr>
            <w:tcW w:type="dxa" w:w="4997"/>
          </w:tcPr>
          <w:p>
            <w:r>
              <w:t>Goldenpro.Ven</w:t>
            </w:r>
          </w:p>
        </w:tc>
      </w:tr>
      <w:tr>
        <w:trPr>
          <w:cantSplit/>
        </w:trPr>
        <w:tc>
          <w:tcPr>
            <w:tcW w:type="dxa" w:w="4997"/>
            <w:shd w:fill="EEF1F8"/>
          </w:tcPr>
          <w:p>
            <w:r>
              <w:rPr>
                <w:b/>
              </w:rPr>
              <w:t>Nombre legal / titular</w:t>
            </w:r>
          </w:p>
        </w:tc>
        <w:tc>
          <w:tcPr>
            <w:tcW w:type="dxa" w:w="4997"/>
          </w:tcPr>
          <w:p>
            <w:r>
              <w:rPr>
                <w:b/>
                <w:color w:val="B94B19"/>
              </w:rPr>
              <w:t>[COMPLETAR ANTES DE PUBLICAR]</w:t>
            </w:r>
          </w:p>
        </w:tc>
      </w:tr>
      <w:tr>
        <w:trPr>
          <w:cantSplit/>
        </w:trPr>
        <w:tc>
          <w:tcPr>
            <w:tcW w:type="dxa" w:w="4997"/>
            <w:shd w:fill="EEF1F8"/>
          </w:tcPr>
          <w:p>
            <w:r>
              <w:rPr>
                <w:b/>
              </w:rPr>
              <w:t>Cédula o RIF</w:t>
            </w:r>
          </w:p>
        </w:tc>
        <w:tc>
          <w:tcPr>
            <w:tcW w:type="dxa" w:w="4997"/>
          </w:tcPr>
          <w:p>
            <w:r>
              <w:rPr>
                <w:b/>
                <w:color w:val="B94B19"/>
              </w:rPr>
              <w:t>[COMPLETAR ANTES DE PUBLICAR]</w:t>
            </w:r>
          </w:p>
        </w:tc>
      </w:tr>
      <w:tr>
        <w:trPr>
          <w:cantSplit/>
        </w:trPr>
        <w:tc>
          <w:tcPr>
            <w:tcW w:type="dxa" w:w="4997"/>
            <w:shd w:fill="EEF1F8"/>
          </w:tcPr>
          <w:p>
            <w:r>
              <w:rPr>
                <w:b/>
              </w:rPr>
              <w:t>Domicilio y correo</w:t>
            </w:r>
          </w:p>
        </w:tc>
        <w:tc>
          <w:tcPr>
            <w:tcW w:type="dxa" w:w="4997"/>
          </w:tcPr>
          <w:p>
            <w:r>
              <w:rPr>
                <w:b/>
                <w:color w:val="B94B19"/>
              </w:rPr>
              <w:t>[COMPLETAR ANTES DE PUBLICAR]</w:t>
            </w:r>
          </w:p>
        </w:tc>
      </w:tr>
      <w:tr>
        <w:trPr>
          <w:cantSplit/>
        </w:trPr>
        <w:tc>
          <w:tcPr>
            <w:tcW w:type="dxa" w:w="4997"/>
            <w:shd w:fill="EEF1F8"/>
          </w:tcPr>
          <w:p>
            <w:r>
              <w:rPr>
                <w:b/>
              </w:rPr>
              <w:t>WhatsApp comercial</w:t>
            </w:r>
          </w:p>
        </w:tc>
        <w:tc>
          <w:tcPr>
            <w:tcW w:type="dxa" w:w="4997"/>
          </w:tcPr>
          <w:p>
            <w:r>
              <w:t>+58 412-3714136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8D8"/>
            <w:tcBorders>
              <w:top w:val="single" w:sz="12" w:color="E1B500"/>
              <w:left w:val="single" w:sz="12" w:color="E1B500"/>
              <w:bottom w:val="single" w:sz="12" w:color="E1B500"/>
              <w:right w:val="single" w:sz="12" w:color="E1B500"/>
            </w:tcBorders>
          </w:tcPr>
          <w:p>
            <w:r>
              <w:rPr>
                <w:b/>
                <w:color w:val="6E5000"/>
              </w:rPr>
              <w:t xml:space="preserve">AVISO IMPORTANTE. </w:t>
            </w:r>
            <w:r>
              <w:rPr>
                <w:sz w:val="19"/>
              </w:rPr>
              <w:t>Complete la identificación legal del prestador antes de publicar o utilizar este documento. Este modelo es una base contractual profesional y debe ser revisado por un abogado venezolano para adaptarlo a la situación fiscal, comercial y regulatoria concreta del negocio.</w:t>
            </w:r>
          </w:p>
        </w:tc>
      </w:tr>
    </w:tbl>
    <w:p>
      <w:r>
        <w:rPr>
          <w:b/>
        </w:rPr>
        <w:t xml:space="preserve">Al contratar el servicio, el comprador declara haber leído, comprendido y aceptado las cláusulas siguientes. </w:t>
      </w:r>
      <w:r>
        <w:t>La aceptación podrá registrarse mediante casillas electrónicas, constancia generada por la landing page, mensajes de WhatsApp, comprobantes de pago y demás comunicaciones vinculadas a la contratación.</w:t>
      </w:r>
    </w:p>
    <w:p>
      <w:pPr>
        <w:pStyle w:val="Heading1"/>
      </w:pPr>
      <w:r>
        <w:t>1. Definiciones</w:t>
      </w:r>
    </w:p>
    <w:p>
      <w:pPr>
        <w:pStyle w:val="Clause"/>
      </w:pPr>
      <w:r>
        <w:rPr>
          <w:b/>
          <w:color w:val="07104E"/>
        </w:rPr>
        <w:t xml:space="preserve">Prestador </w:t>
      </w:r>
      <w:r>
        <w:t>Goldenpro.Ven o la persona natural o jurídica identificada en la orden de servicio.</w:t>
      </w:r>
    </w:p>
    <w:p>
      <w:pPr>
        <w:pStyle w:val="Clause"/>
      </w:pPr>
      <w:r>
        <w:rPr>
          <w:b/>
          <w:color w:val="07104E"/>
        </w:rPr>
        <w:t xml:space="preserve">Comprador </w:t>
      </w:r>
      <w:r>
        <w:t>Persona natural o jurídica que solicita y paga el servicio.</w:t>
      </w:r>
    </w:p>
    <w:p>
      <w:pPr>
        <w:pStyle w:val="Clause"/>
      </w:pPr>
      <w:r>
        <w:rPr>
          <w:b/>
          <w:color w:val="07104E"/>
        </w:rPr>
        <w:t xml:space="preserve">Sistema </w:t>
      </w:r>
      <w:r>
        <w:t>Página web, panel de administración, configuraciones, componentes y funcionalidades ofrecidas.</w:t>
      </w:r>
    </w:p>
    <w:p>
      <w:pPr>
        <w:pStyle w:val="Clause"/>
      </w:pPr>
      <w:r>
        <w:rPr>
          <w:b/>
          <w:color w:val="07104E"/>
        </w:rPr>
        <w:t xml:space="preserve">Licencia de uso </w:t>
      </w:r>
      <w:r>
        <w:t>Autorización limitada para usar el sistema durante la vigencia del servicio, sin transferencia del código fuente ni de la propiedad intelectual.</w:t>
      </w:r>
    </w:p>
    <w:p>
      <w:pPr>
        <w:pStyle w:val="Heading1"/>
      </w:pPr>
      <w:r>
        <w:t>2. Objeto y naturaleza de la contratación</w:t>
      </w:r>
    </w:p>
    <w:p>
      <w:pPr>
        <w:pStyle w:val="Clause"/>
      </w:pPr>
      <w:r>
        <w:rPr>
          <w:b/>
          <w:color w:val="07104E"/>
        </w:rPr>
        <w:t xml:space="preserve">2.1 </w:t>
      </w:r>
      <w:r>
        <w:t>El Prestador configura y habilita una página web destinada a facilitar la organización, administración y presentación de actividades de bingo.</w:t>
      </w:r>
    </w:p>
    <w:p>
      <w:pPr>
        <w:pStyle w:val="Clause"/>
      </w:pPr>
      <w:r>
        <w:rPr>
          <w:b/>
          <w:color w:val="07104E"/>
        </w:rPr>
        <w:t xml:space="preserve">2.2 </w:t>
      </w:r>
      <w:r>
        <w:t>La contratación corresponde a una licencia de uso y a servicios de configuración y soporte. No constituye compraventa del código fuente, cesión de infraestructura, transferencia de cuentas técnicas ni entrega de archivos del sistema, salvo acuerdo escrito y firmado que expresamente lo indique.</w:t>
      </w:r>
    </w:p>
    <w:p>
      <w:pPr>
        <w:pStyle w:val="Clause"/>
      </w:pPr>
      <w:r>
        <w:rPr>
          <w:b/>
          <w:color w:val="07104E"/>
        </w:rPr>
        <w:t xml:space="preserve">2.3 </w:t>
      </w:r>
      <w:r>
        <w:t>El comprador no podrá copiar, revender, sublicenciar, descompilar, reproducir o explotar comercialmente la tecnología del Prestador fuera del uso autorizado.</w:t>
      </w:r>
    </w:p>
    <w:p>
      <w:pPr>
        <w:pStyle w:val="Heading1"/>
      </w:pPr>
      <w:r>
        <w:t>3. Planes, precios y forma de pago</w:t>
      </w:r>
    </w:p>
    <w:p>
      <w:pPr>
        <w:pStyle w:val="Clause"/>
      </w:pPr>
      <w:r>
        <w:rPr>
          <w:b/>
          <w:color w:val="07104E"/>
        </w:rPr>
        <w:t xml:space="preserve">3.1 </w:t>
      </w:r>
      <w:r>
        <w:t>Plan financiado: inicial de USD 150 calculada a la tasa BCV vigente y doce (12) cuotas de aproximadamente USD 33,33 calculadas a la tasa BCV vigente, para un precio total financiado de USD 550. La última cuota se ajustará para completar exactamente el precio total.</w:t>
      </w:r>
    </w:p>
    <w:p>
      <w:pPr>
        <w:pStyle w:val="Clause"/>
      </w:pPr>
      <w:r>
        <w:rPr>
          <w:b/>
          <w:color w:val="07104E"/>
        </w:rPr>
        <w:t xml:space="preserve">3.2 </w:t>
      </w:r>
      <w:r>
        <w:t>Plan de contado: pago único de USD 450 calculado a la tasa BCV vigente al momento del pago.</w:t>
      </w:r>
    </w:p>
    <w:p>
      <w:pPr>
        <w:pStyle w:val="Clause"/>
      </w:pPr>
      <w:r>
        <w:rPr>
          <w:b/>
          <w:color w:val="07104E"/>
        </w:rPr>
        <w:t xml:space="preserve">3.3 </w:t>
      </w:r>
      <w:r>
        <w:t>Las fechas de pago, datos bancarios y confirmaciones se documentarán por escrito. El comprobante no se considerará pago confirmado hasta que el Prestador verifique la recepción efectiva de los fondos.</w:t>
      </w:r>
    </w:p>
    <w:p>
      <w:pPr>
        <w:pStyle w:val="Clause"/>
      </w:pPr>
      <w:r>
        <w:rPr>
          <w:b/>
          <w:color w:val="07104E"/>
        </w:rPr>
        <w:t xml:space="preserve">3.4 </w:t>
      </w:r>
      <w:r>
        <w:t>Comisiones bancarias, impuestos, costos de conversión o cargos de terceros serán asumidos por quien corresponda conforme a la propuesta y a la normativa aplicable.</w:t>
      </w:r>
    </w:p>
    <w:p>
      <w:pPr>
        <w:pStyle w:val="Heading1"/>
      </w:pPr>
      <w:r>
        <w:t>4. Reserva de cupo, inicio y entrega</w:t>
      </w:r>
    </w:p>
    <w:p>
      <w:pPr>
        <w:pStyle w:val="Clause"/>
      </w:pPr>
      <w:r>
        <w:rPr>
          <w:b/>
          <w:color w:val="07104E"/>
        </w:rPr>
        <w:t xml:space="preserve">4.1 </w:t>
      </w:r>
      <w:r>
        <w:t>La oferta comercial está limitada a diez (10) cupos. El cupo se considera reservado únicamente después de la verificación del pago inicial o del pago de contado y de la aceptación de estos términos.</w:t>
      </w:r>
    </w:p>
    <w:p>
      <w:pPr>
        <w:pStyle w:val="Clause"/>
      </w:pPr>
      <w:r>
        <w:rPr>
          <w:b/>
          <w:color w:val="07104E"/>
        </w:rPr>
        <w:t xml:space="preserve">4.2 </w:t>
      </w:r>
      <w:r>
        <w:t>La configuración comenzará cuando el Comprador entregue la información, imágenes, logotipos, datos de pago, enlaces y demás materiales necesarios.</w:t>
      </w:r>
    </w:p>
    <w:p>
      <w:pPr>
        <w:pStyle w:val="Clause"/>
      </w:pPr>
      <w:r>
        <w:rPr>
          <w:b/>
          <w:color w:val="07104E"/>
        </w:rPr>
        <w:t xml:space="preserve">4.3 </w:t>
      </w:r>
      <w:r>
        <w:t>El alcance, las etapas y el cronograma de entrega se confirmarán por escrito. Retrasos causados por falta de información, cambios del Comprador o servicios externos extenderán razonablemente los plazos.</w:t>
      </w:r>
    </w:p>
    <w:p>
      <w:pPr>
        <w:pStyle w:val="Heading1"/>
      </w:pPr>
      <w:r>
        <w:t>5. Alcance y solicitudes adicionales</w:t>
      </w:r>
    </w:p>
    <w:p>
      <w:pPr>
        <w:pStyle w:val="Clause"/>
      </w:pPr>
      <w:r>
        <w:rPr>
          <w:b/>
          <w:color w:val="07104E"/>
        </w:rPr>
        <w:t xml:space="preserve">5.1 </w:t>
      </w:r>
      <w:r>
        <w:t>El servicio incluye únicamente las funciones indicadas en la propuesta, demostración o confirmación escrita.</w:t>
      </w:r>
    </w:p>
    <w:p>
      <w:pPr>
        <w:pStyle w:val="Clause"/>
      </w:pPr>
      <w:r>
        <w:rPr>
          <w:b/>
          <w:color w:val="07104E"/>
        </w:rPr>
        <w:t xml:space="preserve">5.2 </w:t>
      </w:r>
      <w:r>
        <w:t>Cambios de diseño, integraciones, migraciones, funciones nuevas, carga masiva de datos, dominios, alojamiento, servicios de correo, bases de datos o trabajos no incluidos podrán generar una cotización adicional.</w:t>
      </w:r>
    </w:p>
    <w:p>
      <w:pPr>
        <w:pStyle w:val="Clause"/>
      </w:pPr>
      <w:r>
        <w:rPr>
          <w:b/>
          <w:color w:val="07104E"/>
        </w:rPr>
        <w:t xml:space="preserve">5.3 </w:t>
      </w:r>
      <w:r>
        <w:t>La demostración comercial tiene carácter ilustrativo. La versión final podrá presentar ajustes visuales o técnicos razonables sin reducir las funciones contratadas.</w:t>
      </w:r>
    </w:p>
    <w:p>
      <w:pPr>
        <w:pStyle w:val="Heading1"/>
      </w:pPr>
      <w:r>
        <w:t>6. Incumplimiento, pausa y reactivación</w:t>
      </w:r>
    </w:p>
    <w:p>
      <w:pPr>
        <w:pStyle w:val="Clause"/>
      </w:pPr>
      <w:r>
        <w:rPr>
          <w:b/>
          <w:color w:val="07104E"/>
        </w:rPr>
        <w:t xml:space="preserve">6.1 </w:t>
      </w:r>
      <w:r>
        <w:t>Si el Comprador incumple una fecha de pago, el Prestador podrá suspender temporalmente el acceso público o administrativo a la página hasta que la deuda sea regularizada.</w:t>
      </w:r>
    </w:p>
    <w:p>
      <w:pPr>
        <w:pStyle w:val="Clause"/>
      </w:pPr>
      <w:r>
        <w:rPr>
          <w:b/>
          <w:color w:val="07104E"/>
        </w:rPr>
        <w:t xml:space="preserve">6.2 </w:t>
      </w:r>
      <w:r>
        <w:t>La suspensión no elimina la obligación de pago ni extiende automáticamente la licencia. La reactivación se realizará después de verificar los montos pendientes y, cuando corresponda, costos de reactivación previamente informados.</w:t>
      </w:r>
    </w:p>
    <w:p>
      <w:pPr>
        <w:pStyle w:val="Clause"/>
      </w:pPr>
      <w:r>
        <w:rPr>
          <w:b/>
          <w:color w:val="07104E"/>
        </w:rPr>
        <w:t xml:space="preserve">6.3 </w:t>
      </w:r>
      <w:r>
        <w:t>Durante la suspensión, el Prestador no será responsable por ventas, reservas, eventos, ingresos o datos que el Comprador deje de procesar.</w:t>
      </w:r>
    </w:p>
    <w:p>
      <w:pPr>
        <w:pStyle w:val="Heading1"/>
      </w:pPr>
      <w:r>
        <w:t>7. Política de no devolución</w:t>
      </w:r>
    </w:p>
    <w:p>
      <w:pPr>
        <w:pStyle w:val="Clause"/>
      </w:pPr>
      <w:r>
        <w:rPr>
          <w:b/>
          <w:color w:val="07104E"/>
        </w:rPr>
        <w:t xml:space="preserve">7.1 </w:t>
      </w:r>
      <w:r>
        <w:t>Los pagos realizados se aplican a la reserva de cupo, disponibilidad técnica, configuración, personalización, soporte y licencia. Una vez iniciado el trabajo, los montos pagados no son reembolsables.</w:t>
      </w:r>
    </w:p>
    <w:p>
      <w:pPr>
        <w:pStyle w:val="Clause"/>
      </w:pPr>
      <w:r>
        <w:rPr>
          <w:b/>
          <w:color w:val="07104E"/>
        </w:rPr>
        <w:t xml:space="preserve">7.2 </w:t>
      </w:r>
      <w:r>
        <w:t>La falta de uso, el cambio de decisión, la demora del Comprador, el incumplimiento de cuotas o la imposibilidad del Comprador de realizar su actividad no generan derecho automático a devolución.</w:t>
      </w:r>
    </w:p>
    <w:p>
      <w:pPr>
        <w:pStyle w:val="Clause"/>
      </w:pPr>
      <w:r>
        <w:rPr>
          <w:b/>
          <w:color w:val="07104E"/>
        </w:rPr>
        <w:t xml:space="preserve">7.3 </w:t>
      </w:r>
      <w:r>
        <w:t>Esta cláusula se aplicará sin perjuicio de cualquier derecho irrenunciable o disposición legal imperativa que resulte aplicable.</w:t>
      </w:r>
    </w:p>
    <w:p>
      <w:pPr>
        <w:pStyle w:val="Heading1"/>
      </w:pPr>
      <w:r>
        <w:t>8. Obligaciones y responsabilidad del comprador</w:t>
      </w:r>
    </w:p>
    <w:p>
      <w:pPr>
        <w:pStyle w:val="Clause"/>
      </w:pPr>
      <w:r>
        <w:rPr>
          <w:b/>
          <w:color w:val="07104E"/>
        </w:rPr>
        <w:t xml:space="preserve">8.1 </w:t>
      </w:r>
      <w:r>
        <w:t>El Comprador es responsable de la veracidad de la información suministrada, la custodia de sus claves y el uso realizado por sus administradores o colaboradores.</w:t>
      </w:r>
    </w:p>
    <w:p>
      <w:pPr>
        <w:pStyle w:val="Clause"/>
      </w:pPr>
      <w:r>
        <w:rPr>
          <w:b/>
          <w:color w:val="07104E"/>
        </w:rPr>
        <w:t xml:space="preserve">8.2 </w:t>
      </w:r>
      <w:r>
        <w:t>El Comprador asume la responsabilidad por la legalidad de sus sorteos, promociones, premios, publicidad, cobros, comprobantes, tratamiento de datos personales, protección al consumidor y cualquier permiso, licencia o autorización exigible.</w:t>
      </w:r>
    </w:p>
    <w:p>
      <w:pPr>
        <w:pStyle w:val="Clause"/>
      </w:pPr>
      <w:r>
        <w:rPr>
          <w:b/>
          <w:color w:val="07104E"/>
        </w:rPr>
        <w:t xml:space="preserve">8.3 </w:t>
      </w:r>
      <w:r>
        <w:t>El Sistema es una herramienta tecnológica. El Prestador no organiza el bingo, no recibe apuestas ni garantiza la legalidad de la actividad del Comprador.</w:t>
      </w:r>
    </w:p>
    <w:p>
      <w:pPr>
        <w:pStyle w:val="Clause"/>
      </w:pPr>
      <w:r>
        <w:rPr>
          <w:b/>
          <w:color w:val="07104E"/>
        </w:rPr>
        <w:t xml:space="preserve">8.4 </w:t>
      </w:r>
      <w:r>
        <w:t>El Comprador no utilizará el Sistema para fraude, suplantación, lavado de activos, actividades prohibidas, contenido ilícito o vulneración de derechos de terceros.</w:t>
      </w:r>
    </w:p>
    <w:p>
      <w:pPr>
        <w:pStyle w:val="Heading1"/>
      </w:pPr>
      <w:r>
        <w:t>9. Servicios y plataformas de terceros</w:t>
      </w:r>
    </w:p>
    <w:p>
      <w:pPr>
        <w:pStyle w:val="Clause"/>
      </w:pPr>
      <w:r>
        <w:rPr>
          <w:b/>
          <w:color w:val="07104E"/>
        </w:rPr>
        <w:t xml:space="preserve">9.1 </w:t>
      </w:r>
      <w:r>
        <w:t>El funcionamiento puede depender de dominio, alojamiento, base de datos, correo, servicios de transmisión, redes sociales, WhatsApp, proveedores de pagos u otras plataformas externas.</w:t>
      </w:r>
    </w:p>
    <w:p>
      <w:pPr>
        <w:pStyle w:val="Clause"/>
      </w:pPr>
      <w:r>
        <w:rPr>
          <w:b/>
          <w:color w:val="07104E"/>
        </w:rPr>
        <w:t xml:space="preserve">9.2 </w:t>
      </w:r>
      <w:r>
        <w:t>El Prestador no controla interrupciones, cambios de precio, límites, políticas, bloqueos o fallas de terceros. Cuando sea posible, brindará apoyo razonable para diagnosticar o mitigar la incidencia.</w:t>
      </w:r>
    </w:p>
    <w:p>
      <w:pPr>
        <w:pStyle w:val="Clause"/>
      </w:pPr>
      <w:r>
        <w:rPr>
          <w:b/>
          <w:color w:val="07104E"/>
        </w:rPr>
        <w:t xml:space="preserve">9.3 </w:t>
      </w:r>
      <w:r>
        <w:t>Los costos recurrentes de terceros solo estarán incluidos cuando la propuesta lo indique expresamente.</w:t>
      </w:r>
    </w:p>
    <w:p>
      <w:pPr>
        <w:pStyle w:val="Heading1"/>
      </w:pPr>
      <w:r>
        <w:t>10. Soporte, mantenimiento y disponibilidad</w:t>
      </w:r>
    </w:p>
    <w:p>
      <w:pPr>
        <w:pStyle w:val="Clause"/>
      </w:pPr>
      <w:r>
        <w:rPr>
          <w:b/>
          <w:color w:val="07104E"/>
        </w:rPr>
        <w:t xml:space="preserve">10.1 </w:t>
      </w:r>
      <w:r>
        <w:t>El soporte incluido cubre orientación de uso, corrección de fallas atribuibles al Sistema y ajustes expresamente acordados.</w:t>
      </w:r>
    </w:p>
    <w:p>
      <w:pPr>
        <w:pStyle w:val="Clause"/>
      </w:pPr>
      <w:r>
        <w:rPr>
          <w:b/>
          <w:color w:val="07104E"/>
        </w:rPr>
        <w:t xml:space="preserve">10.2 </w:t>
      </w:r>
      <w:r>
        <w:t>Podrán realizarse interrupciones razonables por mantenimiento, actualización, seguridad, copias de respaldo, fuerza mayor o fallas de proveedores externos.</w:t>
      </w:r>
    </w:p>
    <w:p>
      <w:pPr>
        <w:pStyle w:val="Clause"/>
      </w:pPr>
      <w:r>
        <w:rPr>
          <w:b/>
          <w:color w:val="07104E"/>
        </w:rPr>
        <w:t xml:space="preserve">10.3 </w:t>
      </w:r>
      <w:r>
        <w:t>No se garantiza disponibilidad ininterrumpida ni ausencia absoluta de errores. El Prestador aplicará esfuerzos comercialmente razonables para mantener y restablecer el servicio.</w:t>
      </w:r>
    </w:p>
    <w:p>
      <w:pPr>
        <w:pStyle w:val="Heading1"/>
      </w:pPr>
      <w:r>
        <w:t>11. Propiedad intelectual y confidencialidad</w:t>
      </w:r>
    </w:p>
    <w:p>
      <w:pPr>
        <w:pStyle w:val="Clause"/>
      </w:pPr>
      <w:r>
        <w:rPr>
          <w:b/>
          <w:color w:val="07104E"/>
        </w:rPr>
        <w:t xml:space="preserve">11.1 </w:t>
      </w:r>
      <w:r>
        <w:t>El Prestador conserva todos los derechos sobre el código, arquitectura, diseño base, documentación, procesos, mejoras y componentes reutilizables.</w:t>
      </w:r>
    </w:p>
    <w:p>
      <w:pPr>
        <w:pStyle w:val="Clause"/>
      </w:pPr>
      <w:r>
        <w:rPr>
          <w:b/>
          <w:color w:val="07104E"/>
        </w:rPr>
        <w:t xml:space="preserve">11.2 </w:t>
      </w:r>
      <w:r>
        <w:t>El Comprador conserva los derechos sobre sus marcas, textos, imágenes y materiales propios, y declara tener autorización para utilizarlos.</w:t>
      </w:r>
    </w:p>
    <w:p>
      <w:pPr>
        <w:pStyle w:val="Clause"/>
      </w:pPr>
      <w:r>
        <w:rPr>
          <w:b/>
          <w:color w:val="07104E"/>
        </w:rPr>
        <w:t xml:space="preserve">11.3 </w:t>
      </w:r>
      <w:r>
        <w:t>Cada parte protegerá la información confidencial recibida y no la divulgará salvo autorización, necesidad técnica o requerimiento legal.</w:t>
      </w:r>
    </w:p>
    <w:p>
      <w:pPr>
        <w:pStyle w:val="Heading1"/>
      </w:pPr>
      <w:r>
        <w:t>12. Datos personales y comunicaciones</w:t>
      </w:r>
    </w:p>
    <w:p>
      <w:pPr>
        <w:pStyle w:val="Clause"/>
      </w:pPr>
      <w:r>
        <w:rPr>
          <w:b/>
          <w:color w:val="07104E"/>
        </w:rPr>
        <w:t xml:space="preserve">12.1 </w:t>
      </w:r>
      <w:r>
        <w:t>Los datos del Comprador se utilizarán para tramitar la solicitud, verificar pagos, preparar constancias, prestar soporte, administrar la relación comercial y efectuar comunicaciones relacionadas con el servicio.</w:t>
      </w:r>
    </w:p>
    <w:p>
      <w:pPr>
        <w:pStyle w:val="Clause"/>
      </w:pPr>
      <w:r>
        <w:rPr>
          <w:b/>
          <w:color w:val="07104E"/>
        </w:rPr>
        <w:t xml:space="preserve">12.2 </w:t>
      </w:r>
      <w:r>
        <w:t>El Comprador autoriza el contacto por WhatsApp, correo y otros medios suministrados. Puede solicitar corrección de sus datos mediante el canal comercial.</w:t>
      </w:r>
    </w:p>
    <w:p>
      <w:pPr>
        <w:pStyle w:val="Clause"/>
      </w:pPr>
      <w:r>
        <w:rPr>
          <w:b/>
          <w:color w:val="07104E"/>
        </w:rPr>
        <w:t xml:space="preserve">12.3 </w:t>
      </w:r>
      <w:r>
        <w:t>El Comprador será responsable por los datos personales de jugadores o terceros que cargue o gestione mediante el Sistema y deberá aplicar medidas de información, seguridad y autorización que correspondan.</w:t>
      </w:r>
    </w:p>
    <w:p>
      <w:pPr>
        <w:pStyle w:val="Heading1"/>
      </w:pPr>
      <w:r>
        <w:t>13. Limitación de responsabilidad</w:t>
      </w:r>
    </w:p>
    <w:p>
      <w:pPr>
        <w:pStyle w:val="Clause"/>
      </w:pPr>
      <w:r>
        <w:rPr>
          <w:b/>
          <w:color w:val="07104E"/>
        </w:rPr>
        <w:t xml:space="preserve">13.1 </w:t>
      </w:r>
      <w:r>
        <w:t>El Prestador no garantiza resultados comerciales, cantidad de participantes, ingresos, premios, cumplimiento regulatorio ni continuidad de servicios externos.</w:t>
      </w:r>
    </w:p>
    <w:p>
      <w:pPr>
        <w:pStyle w:val="Clause"/>
      </w:pPr>
      <w:r>
        <w:rPr>
          <w:b/>
          <w:color w:val="07104E"/>
        </w:rPr>
        <w:t xml:space="preserve">13.2 </w:t>
      </w:r>
      <w:r>
        <w:t>Salvo dolo, culpa grave o responsabilidad que legalmente no pueda limitarse, la responsabilidad total del Prestador se limitará al monto efectivamente pagado por el Comprador durante la contratación que origine el reclamo.</w:t>
      </w:r>
    </w:p>
    <w:p>
      <w:pPr>
        <w:pStyle w:val="Clause"/>
      </w:pPr>
      <w:r>
        <w:rPr>
          <w:b/>
          <w:color w:val="07104E"/>
        </w:rPr>
        <w:t xml:space="preserve">13.3 </w:t>
      </w:r>
      <w:r>
        <w:t>No se responderá por daños indirectos, pérdida de ganancias, pérdida de oportunidades, fallas de conectividad, decisiones del organizador o uso incorrecto del Sistema.</w:t>
      </w:r>
    </w:p>
    <w:p>
      <w:pPr>
        <w:pStyle w:val="Heading1"/>
      </w:pPr>
      <w:r>
        <w:t>14. Terminación</w:t>
      </w:r>
    </w:p>
    <w:p>
      <w:pPr>
        <w:pStyle w:val="Clause"/>
      </w:pPr>
      <w:r>
        <w:rPr>
          <w:b/>
          <w:color w:val="07104E"/>
        </w:rPr>
        <w:t xml:space="preserve">14.1 </w:t>
      </w:r>
      <w:r>
        <w:t>El Prestador podrá terminar o suspender la relación por incumplimiento grave, actividad ilícita, riesgo de seguridad, uso abusivo, falta de pago o vulneración de propiedad intelectual.</w:t>
      </w:r>
    </w:p>
    <w:p>
      <w:pPr>
        <w:pStyle w:val="Clause"/>
      </w:pPr>
      <w:r>
        <w:rPr>
          <w:b/>
          <w:color w:val="07104E"/>
        </w:rPr>
        <w:t xml:space="preserve">14.2 </w:t>
      </w:r>
      <w:r>
        <w:t>El Comprador podrá solicitar la terminación, sin que ello genere devolución de pagos ya aplicados o extinga deudas pendientes.</w:t>
      </w:r>
    </w:p>
    <w:p>
      <w:pPr>
        <w:pStyle w:val="Clause"/>
      </w:pPr>
      <w:r>
        <w:rPr>
          <w:b/>
          <w:color w:val="07104E"/>
        </w:rPr>
        <w:t xml:space="preserve">14.3 </w:t>
      </w:r>
      <w:r>
        <w:t>Al terminar la licencia, el Comprador deberá cesar el uso del Sistema. La conservación o entrega de datos se realizará según lo acordado y las capacidades técnicas disponibles.</w:t>
      </w:r>
    </w:p>
    <w:p>
      <w:pPr>
        <w:pStyle w:val="Heading1"/>
      </w:pPr>
      <w:r>
        <w:t>15. Aceptación electrónica y evidencia</w:t>
      </w:r>
    </w:p>
    <w:p>
      <w:pPr>
        <w:pStyle w:val="Clause"/>
      </w:pPr>
      <w:r>
        <w:rPr>
          <w:b/>
          <w:color w:val="07104E"/>
        </w:rPr>
        <w:t xml:space="preserve">15.1 </w:t>
      </w:r>
      <w:r>
        <w:t>La marcación de casillas, el envío del formulario, la generación de una constancia con código, el mensaje de WhatsApp, los comprobantes y las confirmaciones constituyen registros electrónicos de la voluntad de contratar.</w:t>
      </w:r>
    </w:p>
    <w:p>
      <w:pPr>
        <w:pStyle w:val="Clause"/>
      </w:pPr>
      <w:r>
        <w:rPr>
          <w:b/>
          <w:color w:val="07104E"/>
        </w:rPr>
        <w:t xml:space="preserve">15.2 </w:t>
      </w:r>
      <w:r>
        <w:t>Las partes aceptan que la oferta y la aceptación puedan realizarse mediante mensajes de datos. Una aceptación simple no equivale necesariamente a una firma electrónica certificada, pero puede ser valorada junto con los demás elementos de la contratación.</w:t>
      </w:r>
    </w:p>
    <w:p>
      <w:pPr>
        <w:pStyle w:val="Clause"/>
      </w:pPr>
      <w:r>
        <w:rPr>
          <w:b/>
          <w:color w:val="07104E"/>
        </w:rPr>
        <w:t xml:space="preserve">15.3 </w:t>
      </w:r>
      <w:r>
        <w:t>El Comprador debe conservar la constancia y enviarla al canal del Prestador. El Prestador debe conservar conversaciones, comprobantes y confirmaciones relevantes.</w:t>
      </w:r>
    </w:p>
    <w:p>
      <w:pPr>
        <w:pStyle w:val="Heading1"/>
      </w:pPr>
      <w:r>
        <w:t>16. Ley aplicable y solución de controversias</w:t>
      </w:r>
    </w:p>
    <w:p>
      <w:pPr>
        <w:pStyle w:val="Clause"/>
      </w:pPr>
      <w:r>
        <w:rPr>
          <w:b/>
          <w:color w:val="07104E"/>
        </w:rPr>
        <w:t xml:space="preserve">16.1 </w:t>
      </w:r>
      <w:r>
        <w:t>La relación se regirá por las leyes de la República Bolivariana de Venezuela.</w:t>
      </w:r>
    </w:p>
    <w:p>
      <w:pPr>
        <w:pStyle w:val="Clause"/>
      </w:pPr>
      <w:r>
        <w:rPr>
          <w:b/>
          <w:color w:val="07104E"/>
        </w:rPr>
        <w:t xml:space="preserve">16.2 </w:t>
      </w:r>
      <w:r>
        <w:t>Las partes procurarán resolver cualquier diferencia mediante negociación directa durante un plazo razonable. Si no se alcanza un acuerdo, podrán acudir a las autoridades o tribunales competentes.</w:t>
      </w:r>
    </w:p>
    <w:p>
      <w:pPr>
        <w:pStyle w:val="Clause"/>
      </w:pPr>
      <w:r>
        <w:rPr>
          <w:b/>
          <w:color w:val="07104E"/>
        </w:rPr>
        <w:t xml:space="preserve">16.3 </w:t>
      </w:r>
      <w:r>
        <w:t>La nulidad o inaplicabilidad de una cláusula no afectará las demás. Cualquier modificación deberá constar por escrito.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4FF"/>
            <w:tcBorders>
              <w:top w:val="single" w:sz="8" w:color="7A9BD6"/>
              <w:left w:val="single" w:sz="8" w:color="7A9BD6"/>
              <w:bottom w:val="single" w:sz="8" w:color="7A9BD6"/>
              <w:right w:val="single" w:sz="8" w:color="7A9BD6"/>
            </w:tcBorders>
          </w:tcPr>
          <w:p>
            <w:r>
              <w:rPr>
                <w:b/>
              </w:rPr>
              <w:t xml:space="preserve">Referencia jurídica general: </w:t>
            </w:r>
            <w:r>
              <w:t>Decreto con Fuerza de Ley sobre Mensajes de Datos y Firmas Electrónicas, Gaceta Oficial N.º 37.148 del 28 de febrero de 2001, especialmente sus disposiciones sobre oferta y aceptación mediante mensajes de datos y valoración de firmas electrónicas.</w:t>
            </w:r>
          </w:p>
        </w:tc>
      </w:tr>
    </w:tbl>
    <w:p>
      <w:r>
        <w:br w:type="page"/>
      </w:r>
    </w:p>
    <w:p>
      <w:pPr>
        <w:pStyle w:val="Title"/>
      </w:pPr>
      <w:r>
        <w:t>ANEXO A - ORDEN DE SERVICIO Y CONSTANCIA DE ACEPTACIÓN</w:t>
      </w:r>
    </w:p>
    <w:p>
      <w:pPr>
        <w:jc w:val="center"/>
      </w:pPr>
      <w:r>
        <w:t>Este anexo puede imprimirse, firmarse o utilizarse como respaldo de la constancia electrónica generada por la landing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EF1F8"/>
          </w:tcPr>
          <w:p>
            <w:r>
              <w:rPr>
                <w:b/>
              </w:rPr>
              <w:t>Código de constancia</w:t>
            </w:r>
          </w:p>
        </w:tc>
        <w:tc>
          <w:tcPr>
            <w:tcW w:type="dxa" w:w="4997"/>
          </w:tcPr>
          <w:p>
            <w: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4997"/>
            <w:shd w:fill="EEF1F8"/>
          </w:tcPr>
          <w:p>
            <w:r>
              <w:rPr>
                <w:b/>
              </w:rPr>
              <w:t>Nombre del comprador</w:t>
            </w:r>
          </w:p>
        </w:tc>
        <w:tc>
          <w:tcPr>
            <w:tcW w:type="dxa" w:w="4997"/>
          </w:tcPr>
          <w:p>
            <w: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4997"/>
            <w:shd w:fill="EEF1F8"/>
          </w:tcPr>
          <w:p>
            <w:r>
              <w:rPr>
                <w:b/>
              </w:rPr>
              <w:t>Cédula o RIF</w:t>
            </w:r>
          </w:p>
        </w:tc>
        <w:tc>
          <w:tcPr>
            <w:tcW w:type="dxa" w:w="4997"/>
          </w:tcPr>
          <w:p>
            <w: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4997"/>
            <w:shd w:fill="EEF1F8"/>
          </w:tcPr>
          <w:p>
            <w:r>
              <w:rPr>
                <w:b/>
              </w:rPr>
              <w:t>WhatsApp</w:t>
            </w:r>
          </w:p>
        </w:tc>
        <w:tc>
          <w:tcPr>
            <w:tcW w:type="dxa" w:w="4997"/>
          </w:tcPr>
          <w:p>
            <w: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4997"/>
            <w:shd w:fill="EEF1F8"/>
          </w:tcPr>
          <w:p>
            <w:r>
              <w:rPr>
                <w:b/>
              </w:rPr>
              <w:t>Correo</w:t>
            </w:r>
          </w:p>
        </w:tc>
        <w:tc>
          <w:tcPr>
            <w:tcW w:type="dxa" w:w="4997"/>
          </w:tcPr>
          <w:p>
            <w: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4997"/>
            <w:shd w:fill="EEF1F8"/>
          </w:tcPr>
          <w:p>
            <w:r>
              <w:rPr>
                <w:b/>
              </w:rPr>
              <w:t>Fecha y hora</w:t>
            </w:r>
          </w:p>
        </w:tc>
        <w:tc>
          <w:tcPr>
            <w:tcW w:type="dxa" w:w="4997"/>
          </w:tcPr>
          <w:p>
            <w:r>
              <w:t>____________________________________________</w:t>
            </w:r>
          </w:p>
        </w:tc>
      </w:tr>
    </w:tbl>
    <w:p>
      <w:pPr>
        <w:pStyle w:val="Heading1"/>
      </w:pPr>
      <w:r>
        <w:t>PLAN SELECCIONADO</w:t>
      </w:r>
    </w:p>
    <w:p>
      <w:pPr>
        <w:ind w:left="288"/>
      </w:pPr>
      <w:r>
        <w:t>☐ Plan financiado: inicial USD 150 a BCV + 12 cuotas aproximadas de USD 33,33 a BCV. Total USD 550.</w:t>
      </w:r>
    </w:p>
    <w:p>
      <w:pPr>
        <w:ind w:left="288"/>
      </w:pPr>
      <w:r>
        <w:t>☐ Pago de contado: USD 450 a BCV.</w:t>
      </w:r>
    </w:p>
    <w:p>
      <w:pPr>
        <w:pStyle w:val="Heading1"/>
      </w:pPr>
      <w:r>
        <w:t>DECLARACIONES DEL COMPRADOR</w:t>
      </w:r>
    </w:p>
    <w:p>
      <w:pPr>
        <w:ind w:left="288"/>
      </w:pPr>
      <w:r>
        <w:t>☐ He leído y acepto los Términos y Condiciones, incluyendo pago, suspensión y política de no devolución.</w:t>
      </w:r>
    </w:p>
    <w:p>
      <w:pPr>
        <w:ind w:left="288"/>
      </w:pPr>
      <w:r>
        <w:t>☐ Entiendo que recibo una licencia de uso y que no se me entrega ni transfiere el código fuente.</w:t>
      </w:r>
    </w:p>
    <w:p>
      <w:pPr>
        <w:ind w:left="288"/>
      </w:pPr>
      <w:r>
        <w:t>☐ Declaro que mis datos son correctos, que tengo capacidad para contratar y que soy responsable de la legalidad de mi actividad.</w:t>
      </w:r>
    </w:p>
    <w:p>
      <w:pPr>
        <w:ind w:left="288"/>
      </w:pPr>
      <w:r>
        <w:t>☐ Autorizo el tratamiento de mis datos y el contacto por WhatsApp o correo para gestionar la contratación.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Firma del comprador</w:t>
            </w:r>
          </w:p>
        </w:tc>
        <w:tc>
          <w:tcPr>
            <w:tcW w:type="dxa" w:w="49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Firma del prestador</w:t>
            </w:r>
          </w:p>
        </w:tc>
      </w:tr>
      <w:tr>
        <w:trPr>
          <w:cantSplit/>
        </w:trPr>
        <w:tc>
          <w:tcPr>
            <w:tcW w:type="dxa" w:w="49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t>________________________________</w:t>
            </w:r>
          </w:p>
        </w:tc>
        <w:tc>
          <w:tcPr>
            <w:tcW w:type="dxa" w:w="49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t>________________________________</w:t>
            </w:r>
          </w:p>
        </w:tc>
      </w:tr>
      <w:tr>
        <w:trPr>
          <w:cantSplit/>
        </w:trPr>
        <w:tc>
          <w:tcPr>
            <w:tcW w:type="dxa" w:w="49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Nombre: ________________________</w:t>
            </w:r>
          </w:p>
        </w:tc>
        <w:tc>
          <w:tcPr>
            <w:tcW w:type="dxa" w:w="499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Nombre: 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6978"/>
        <w:sz w:val="16"/>
      </w:rPr>
      <w:t>Versión 1.0 - 26 de julio de 2026  |  Documento contractual para revisión y personalización</w:t>
    </w:r>
  </w:p>
  <w:p>
    <w:pPr>
      <w:jc w:val="right"/>
    </w:pPr>
    <w:r>
      <w:t xml:space="preserve">Página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07104E"/>
        <w:sz w:val="24"/>
      </w:rPr>
      <w:t>GOLDENPRO.VEN</w:t>
    </w:r>
    <w:r>
      <w:rPr>
        <w:rFonts w:ascii="Arial" w:hAnsi="Arial"/>
        <w:color w:val="5A6278"/>
        <w:sz w:val="18"/>
      </w:rPr>
      <w:t xml:space="preserve">  |  Página web de bingo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710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7104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710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use">
    <w:name w:val="Clause"/>
    <w:pPr>
      <w:spacing w:after="100" w:line="269" w:lineRule="auto"/>
    </w:pPr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y Condiciones - Goldenpro.Ven</dc:title>
  <dc:subject>Contratación y licencia de uso de página web de bingo</dc:subject>
  <dc:creator>Emprende.Vene</dc:creator>
  <cp:keywords/>
  <dc:description>Plantilla para revisión legal y personalización.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