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C5E"/>
        </w:rPr>
        <w:t>TECHNICAL SPECIFICATION — OFFICE FIT-OUT</w:t>
      </w:r>
    </w:p>
    <w:p>
      <w:r>
        <w:t>Project: Kingdom Tower Annex — Floor 12 Office Fit-Out</w:t>
      </w:r>
    </w:p>
    <w:p>
      <w:r>
        <w:t>Location: King Fahd Road, Riyadh, KSA</w:t>
      </w:r>
    </w:p>
    <w:p>
      <w:r>
        <w:t>Client: [Confidential]</w:t>
      </w:r>
    </w:p>
    <w:p>
      <w:r>
        <w:t>Total Area: 650 m² (NLA) | Grade: Premium | Date: Q1 2025</w:t>
      </w:r>
    </w:p>
    <w:p/>
    <w:p>
      <w:pPr>
        <w:pStyle w:val="Heading2"/>
      </w:pPr>
      <w:r>
        <w:rPr>
          <w:color w:val="1A3C5E"/>
        </w:rPr>
        <w:t>1. SCOPE OF WORKS</w:t>
      </w:r>
    </w:p>
    <w:p>
      <w:r>
        <w:t>This specification covers the complete interior fit-out of Floor 12 including all civil, architectural finishing, MEP, and FF&amp;E works as described herein. Structural modifications are excluded unless explicitly noted.</w:t>
      </w:r>
    </w:p>
    <w:p>
      <w:pPr>
        <w:pStyle w:val="Heading3"/>
      </w:pPr>
      <w:r>
        <w:rPr>
          <w:color w:val="1A3C5E"/>
        </w:rPr>
        <w:t>1.1 Included Trades</w:t>
      </w:r>
    </w:p>
    <w:p>
      <w:pPr>
        <w:pStyle w:val="ListBullet"/>
      </w:pPr>
      <w:r>
        <w:t>Civil &amp; Partition Works</w:t>
      </w:r>
    </w:p>
    <w:p>
      <w:pPr>
        <w:pStyle w:val="ListBullet"/>
      </w:pPr>
      <w:r>
        <w:t>Flooring &amp; Floor Finishes</w:t>
      </w:r>
    </w:p>
    <w:p>
      <w:pPr>
        <w:pStyle w:val="ListBullet"/>
      </w:pPr>
      <w:r>
        <w:t>Ceiling Systems</w:t>
      </w:r>
    </w:p>
    <w:p>
      <w:pPr>
        <w:pStyle w:val="ListBullet"/>
      </w:pPr>
      <w:r>
        <w:t>Painting &amp; Wall Finishing</w:t>
      </w:r>
    </w:p>
    <w:p>
      <w:pPr>
        <w:pStyle w:val="ListBullet"/>
      </w:pPr>
      <w:r>
        <w:t>Mechanical &amp; Electrical (MEP)</w:t>
      </w:r>
    </w:p>
    <w:p>
      <w:pPr>
        <w:pStyle w:val="ListBullet"/>
      </w:pPr>
      <w:r>
        <w:t>Furniture, Fixtures &amp; Equipment (FF&amp;E)</w:t>
      </w:r>
    </w:p>
    <w:p>
      <w:pPr>
        <w:pStyle w:val="Heading3"/>
      </w:pPr>
      <w:r>
        <w:rPr>
          <w:color w:val="1A3C5E"/>
        </w:rPr>
        <w:t>1.2 Excluded Works</w:t>
      </w:r>
    </w:p>
    <w:p>
      <w:pPr>
        <w:pStyle w:val="ListBullet"/>
      </w:pPr>
      <w:r>
        <w:t>Structural modifications</w:t>
      </w:r>
    </w:p>
    <w:p>
      <w:pPr>
        <w:pStyle w:val="ListBullet"/>
      </w:pPr>
      <w:r>
        <w:t>Building facade works</w:t>
      </w:r>
    </w:p>
    <w:p>
      <w:pPr>
        <w:pStyle w:val="ListBullet"/>
      </w:pPr>
      <w:r>
        <w:t>External landscaping</w:t>
      </w:r>
    </w:p>
    <w:p>
      <w:pPr>
        <w:pStyle w:val="ListBullet"/>
      </w:pPr>
      <w:r>
        <w:t>IT infrastructure &amp; cabling (by others)</w:t>
      </w:r>
    </w:p>
    <w:p>
      <w:pPr>
        <w:pStyle w:val="ListBullet"/>
      </w:pPr>
      <w:r>
        <w:t>Permits and authority approvals</w:t>
      </w:r>
    </w:p>
    <w:p>
      <w:pPr>
        <w:pStyle w:val="Heading2"/>
      </w:pPr>
      <w:r>
        <w:rPr>
          <w:color w:val="1A3C5E"/>
        </w:rPr>
        <w:t>2. MATERIALS SPECIFICATION</w:t>
      </w:r>
    </w:p>
    <w:p>
      <w:pPr>
        <w:pStyle w:val="Heading3"/>
      </w:pPr>
      <w:r>
        <w:rPr>
          <w:color w:val="1A3C5E"/>
        </w:rPr>
        <w:t>2.1 Flooring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Material</w:t>
            </w:r>
          </w:p>
        </w:tc>
        <w:tc>
          <w:tcPr>
            <w:tcW w:type="dxa" w:w="2160"/>
          </w:tcPr>
          <w:p>
            <w:r>
              <w:t>Size/Spec</w:t>
            </w:r>
          </w:p>
        </w:tc>
        <w:tc>
          <w:tcPr>
            <w:tcW w:type="dxa" w:w="2160"/>
          </w:tcPr>
          <w:p>
            <w:r>
              <w:t>Brand/Grade</w:t>
            </w:r>
          </w:p>
        </w:tc>
      </w:tr>
      <w:tr>
        <w:tc>
          <w:tcPr>
            <w:tcW w:type="dxa" w:w="2160"/>
          </w:tcPr>
          <w:p>
            <w:r>
              <w:t>Reception &amp; Corridors</w:t>
            </w:r>
          </w:p>
        </w:tc>
        <w:tc>
          <w:tcPr>
            <w:tcW w:type="dxa" w:w="2160"/>
          </w:tcPr>
          <w:p>
            <w:r>
              <w:t>Porcelain Floor Tiles</w:t>
            </w:r>
          </w:p>
        </w:tc>
        <w:tc>
          <w:tcPr>
            <w:tcW w:type="dxa" w:w="2160"/>
          </w:tcPr>
          <w:p>
            <w:r>
              <w:t>600x600mm, Rectified, Polished</w:t>
            </w:r>
          </w:p>
        </w:tc>
        <w:tc>
          <w:tcPr>
            <w:tcW w:type="dxa" w:w="2160"/>
          </w:tcPr>
          <w:p>
            <w:r>
              <w:t>RAK Ceramics / Porcelanosa</w:t>
            </w:r>
          </w:p>
        </w:tc>
      </w:tr>
      <w:tr>
        <w:tc>
          <w:tcPr>
            <w:tcW w:type="dxa" w:w="2160"/>
          </w:tcPr>
          <w:p>
            <w:r>
              <w:t>Open Plan Office</w:t>
            </w:r>
          </w:p>
        </w:tc>
        <w:tc>
          <w:tcPr>
            <w:tcW w:type="dxa" w:w="2160"/>
          </w:tcPr>
          <w:p>
            <w:r>
              <w:t>Raised Access Floor</w:t>
            </w:r>
          </w:p>
        </w:tc>
        <w:tc>
          <w:tcPr>
            <w:tcW w:type="dxa" w:w="2160"/>
          </w:tcPr>
          <w:p>
            <w:r>
              <w:t>600x600, 150mm ht, 12kN/m²</w:t>
            </w:r>
          </w:p>
        </w:tc>
        <w:tc>
          <w:tcPr>
            <w:tcW w:type="dxa" w:w="2160"/>
          </w:tcPr>
          <w:p>
            <w:r>
              <w:t>Kingspan / Tate</w:t>
            </w:r>
          </w:p>
        </w:tc>
      </w:tr>
      <w:tr>
        <w:tc>
          <w:tcPr>
            <w:tcW w:type="dxa" w:w="2160"/>
          </w:tcPr>
          <w:p>
            <w:r>
              <w:t>Private Offices</w:t>
            </w:r>
          </w:p>
        </w:tc>
        <w:tc>
          <w:tcPr>
            <w:tcW w:type="dxa" w:w="2160"/>
          </w:tcPr>
          <w:p>
            <w:r>
              <w:t>Carpet Tiles</w:t>
            </w:r>
          </w:p>
        </w:tc>
        <w:tc>
          <w:tcPr>
            <w:tcW w:type="dxa" w:w="2160"/>
          </w:tcPr>
          <w:p>
            <w:r>
              <w:t>500x500mm, 6.5mm pile, Loop</w:t>
            </w:r>
          </w:p>
        </w:tc>
        <w:tc>
          <w:tcPr>
            <w:tcW w:type="dxa" w:w="2160"/>
          </w:tcPr>
          <w:p>
            <w:r>
              <w:t>Interface / Shaw</w:t>
            </w:r>
          </w:p>
        </w:tc>
      </w:tr>
      <w:tr>
        <w:tc>
          <w:tcPr>
            <w:tcW w:type="dxa" w:w="2160"/>
          </w:tcPr>
          <w:p>
            <w:r>
              <w:t>Pantry &amp; Support</w:t>
            </w:r>
          </w:p>
        </w:tc>
        <w:tc>
          <w:tcPr>
            <w:tcW w:type="dxa" w:w="2160"/>
          </w:tcPr>
          <w:p>
            <w:r>
              <w:t>LVT Vinyl Flooring</w:t>
            </w:r>
          </w:p>
        </w:tc>
        <w:tc>
          <w:tcPr>
            <w:tcW w:type="dxa" w:w="2160"/>
          </w:tcPr>
          <w:p>
            <w:r>
              <w:t>4mm, 0.5mm wear layer</w:t>
            </w:r>
          </w:p>
        </w:tc>
        <w:tc>
          <w:tcPr>
            <w:tcW w:type="dxa" w:w="2160"/>
          </w:tcPr>
          <w:p>
            <w:r>
              <w:t>Karndean / Amtico</w:t>
            </w:r>
          </w:p>
        </w:tc>
      </w:tr>
      <w:tr>
        <w:tc>
          <w:tcPr>
            <w:tcW w:type="dxa" w:w="2160"/>
          </w:tcPr>
          <w:p>
            <w:r>
              <w:t>Board Rooms</w:t>
            </w:r>
          </w:p>
        </w:tc>
        <w:tc>
          <w:tcPr>
            <w:tcW w:type="dxa" w:w="2160"/>
          </w:tcPr>
          <w:p>
            <w:r>
              <w:t>Engineered Wood Flooring</w:t>
            </w:r>
          </w:p>
        </w:tc>
        <w:tc>
          <w:tcPr>
            <w:tcW w:type="dxa" w:w="2160"/>
          </w:tcPr>
          <w:p>
            <w:r>
              <w:t>180x900mm, 14mm thick, Oak</w:t>
            </w:r>
          </w:p>
        </w:tc>
        <w:tc>
          <w:tcPr>
            <w:tcW w:type="dxa" w:w="2160"/>
          </w:tcPr>
          <w:p>
            <w:r>
              <w:t>Boen / Kahrs</w:t>
            </w:r>
          </w:p>
        </w:tc>
      </w:tr>
    </w:tbl>
    <w:p/>
    <w:p>
      <w:pPr>
        <w:pStyle w:val="Heading3"/>
      </w:pPr>
      <w:r>
        <w:rPr>
          <w:color w:val="1A3C5E"/>
        </w:rPr>
        <w:t>2.2 Partitions &amp; Ceilings</w:t>
      </w:r>
    </w:p>
    <w:p>
      <w:r>
        <w:t>Gypsum Board Partitions: 75mm metal stud, double skin 12.5mm moisture-resistant gypsum board, mineral wool infill for acoustic rating Rw 42dB minimum. Height: floor to structural slab (approx. 3.2m). All partitions to be fully coordinated with MEP services.</w:t>
      </w:r>
    </w:p>
    <w:p>
      <w:r>
        <w:t>Glass Partitions: 12mm tempered clear glass, floor-to-ceiling, aluminium framing system (Schüco or equivalent). Manifestation to comply with SASO and building regulations.</w:t>
      </w:r>
    </w:p>
    <w:p>
      <w:r>
        <w:t>Suspended Ceiling: Armstrong Ultima 600x600 mineral fibre tiles, exposed grid system, colour white. Grid to be fully coordinated with lighting, A/C, fire alarm, and sprinkler layout.</w:t>
      </w:r>
    </w:p>
    <w:p>
      <w:pPr>
        <w:pStyle w:val="Heading3"/>
      </w:pPr>
      <w:r>
        <w:rPr>
          <w:color w:val="1A3C5E"/>
        </w:rPr>
        <w:t>2.3 MEP Specifications</w:t>
      </w:r>
    </w:p>
    <w:p>
      <w:r>
        <w:t>Air Conditioning: Daikin or Carrier split units, R-410A refrigerant. All units to be SASO-certified and comply with Saudi Energy Efficiency Program (SEEP) requirements. Minimum EER: 3.2.</w:t>
      </w:r>
    </w:p>
    <w:p>
      <w:r>
        <w:t>Electrical: All works to comply with Saudi Arabian Standards (SASO) and IEC standards. Cables to be LSZH (Low Smoke Zero Halogen). Distribution boards to be fully labelled with load schedules provided.</w:t>
      </w:r>
    </w:p>
    <w:p>
      <w:r>
        <w:t>Fire Alarm: Addressable system complying with NFPA 72 and Saudi Civil Defense requirements. System to be connected to building BMS. All devices to be listed/approved.</w:t>
      </w:r>
    </w:p>
    <w:p>
      <w:pPr>
        <w:pStyle w:val="Heading2"/>
      </w:pPr>
      <w:r>
        <w:rPr>
          <w:color w:val="1A3C5E"/>
        </w:rPr>
        <w:t>3. QUALITY STANDARDS</w:t>
      </w:r>
    </w:p>
    <w:p>
      <w:r>
        <w:t>All materials and workmanship shall comply with the following standards:</w:t>
      </w:r>
    </w:p>
    <w:p>
      <w:pPr>
        <w:pStyle w:val="ListBullet"/>
      </w:pPr>
      <w:r>
        <w:t>SASO (Saudi Standards, Metrology and Quality Organization)</w:t>
      </w:r>
    </w:p>
    <w:p>
      <w:pPr>
        <w:pStyle w:val="ListBullet"/>
      </w:pPr>
      <w:r>
        <w:t>IEC / ISO standards where applicable</w:t>
      </w:r>
    </w:p>
    <w:p>
      <w:pPr>
        <w:pStyle w:val="ListBullet"/>
      </w:pPr>
      <w:r>
        <w:t>NFPA life safety codes</w:t>
      </w:r>
    </w:p>
    <w:p>
      <w:pPr>
        <w:pStyle w:val="ListBullet"/>
      </w:pPr>
      <w:r>
        <w:t>ASHRAE 90.1 for MEP energy efficiency</w:t>
      </w:r>
    </w:p>
    <w:p>
      <w:pPr>
        <w:pStyle w:val="ListBullet"/>
      </w:pPr>
      <w:r>
        <w:t>Manufacturer's written installation instructions</w:t>
      </w:r>
    </w:p>
    <w:p>
      <w:pPr>
        <w:pStyle w:val="Heading2"/>
      </w:pPr>
      <w:r>
        <w:rPr>
          <w:color w:val="1A3C5E"/>
        </w:rPr>
        <w:t>4. PROJECT CONSTRAINTS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Constraint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Access Hours</w:t>
            </w:r>
          </w:p>
        </w:tc>
        <w:tc>
          <w:tcPr>
            <w:tcW w:type="dxa" w:w="4320"/>
          </w:tcPr>
          <w:p>
            <w:r>
              <w:t>7:00 AM – 5:00 PM, Saturday to Thursday</w:t>
            </w:r>
          </w:p>
        </w:tc>
      </w:tr>
      <w:tr>
        <w:tc>
          <w:tcPr>
            <w:tcW w:type="dxa" w:w="4320"/>
          </w:tcPr>
          <w:p>
            <w:r>
              <w:t>Noise Restrictions</w:t>
            </w:r>
          </w:p>
        </w:tc>
        <w:tc>
          <w:tcPr>
            <w:tcW w:type="dxa" w:w="4320"/>
          </w:tcPr>
          <w:p>
            <w:r>
              <w:t>No heavy demolition/drilling before 8:00 AM</w:t>
            </w:r>
          </w:p>
        </w:tc>
      </w:tr>
      <w:tr>
        <w:tc>
          <w:tcPr>
            <w:tcW w:type="dxa" w:w="4320"/>
          </w:tcPr>
          <w:p>
            <w:r>
              <w:t>Hoisting</w:t>
            </w:r>
          </w:p>
        </w:tc>
        <w:tc>
          <w:tcPr>
            <w:tcW w:type="dxa" w:w="4320"/>
          </w:tcPr>
          <w:p>
            <w:r>
              <w:t>Freight elevator available – max load 1,500 kg</w:t>
            </w:r>
          </w:p>
        </w:tc>
      </w:tr>
      <w:tr>
        <w:tc>
          <w:tcPr>
            <w:tcW w:type="dxa" w:w="4320"/>
          </w:tcPr>
          <w:p>
            <w:r>
              <w:t>Dust Control</w:t>
            </w:r>
          </w:p>
        </w:tc>
        <w:tc>
          <w:tcPr>
            <w:tcW w:type="dxa" w:w="4320"/>
          </w:tcPr>
          <w:p>
            <w:r>
              <w:t>Hoarding required on all occupied adjacent floors</w:t>
            </w:r>
          </w:p>
        </w:tc>
      </w:tr>
      <w:tr>
        <w:tc>
          <w:tcPr>
            <w:tcW w:type="dxa" w:w="4320"/>
          </w:tcPr>
          <w:p>
            <w:r>
              <w:t>Program</w:t>
            </w:r>
          </w:p>
        </w:tc>
        <w:tc>
          <w:tcPr>
            <w:tcW w:type="dxa" w:w="4320"/>
          </w:tcPr>
          <w:p>
            <w:r>
              <w:t>Target completion: 14 weeks from mobilization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Fit-Out Technical Specification</dc:title>
  <dc:subject/>
  <dc:creator>EstimatePRO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