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11.5.2022</w:t>
      </w:r>
      <w:r>
        <w:br/>
      </w:r>
      <w:r>
        <w:t xml:space="preserve">SWD(2022) 145 final/2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COUNCIL DIRECTIVE</w:t>
      </w:r>
      <w:r>
        <w:t xml:space="preserve"> </w:t>
      </w:r>
      <w:r>
        <w:t xml:space="preserve">on laying down rules on a debt-equity bias reduction allowance and on limiting the</w:t>
      </w:r>
      <w:r>
        <w:t xml:space="preserve"> </w:t>
      </w:r>
      <w:r>
        <w:t xml:space="preserve">deductibility of interest for corporate income tax purposes</w:t>
      </w:r>
      <w:r>
        <w:t xml:space="preserve"> </w:t>
      </w:r>
      <w:r>
        <w:t xml:space="preserve">{COM(2022) 216 final} - {SEC(2022) 204 final} - {SWD(2022) 144 final} -</w:t>
      </w:r>
      <w:r>
        <w:t xml:space="preserve"> </w:t>
      </w:r>
      <w:r>
        <w:t xml:space="preserve">{SWD(2022) 146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4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2.1. What are the problems? ……………………………………………………………………………. 7</w:t>
      </w:r>
      <w:r>
        <w:t xml:space="preserve"> </w:t>
      </w:r>
      <w:r>
        <w:t xml:space="preserve">2.2. What are the problem drivers? ………………………………………………………………… 14</w:t>
      </w:r>
      <w:r>
        <w:t xml:space="preserve"> </w:t>
      </w:r>
      <w:r>
        <w:t xml:space="preserve">2.3. How will the problem evolve? ………………………………………………………………… 16</w:t>
      </w:r>
      <w:r>
        <w:t xml:space="preserve"> </w:t>
      </w:r>
      <w:r>
        <w:t xml:space="preserve">2.4. DEBRA in context of the Commission’s Strategic Foresight report …………….. 17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……………………………………………………………………………………………18</w:t>
      </w:r>
      <w:r>
        <w:t xml:space="preserve"> </w:t>
      </w:r>
      <w:r>
        <w:t xml:space="preserve">3.1. Legal basis ……………………………………………………………………………………………. 18</w:t>
      </w:r>
      <w:r>
        <w:t xml:space="preserve"> </w:t>
      </w:r>
      <w:r>
        <w:t xml:space="preserve">3.2. Subsidiarity …………………………………………………………………………………………… 19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……………………………………………………………………..21</w:t>
      </w:r>
      <w:r>
        <w:t xml:space="preserve"> </w:t>
      </w:r>
      <w:r>
        <w:t xml:space="preserve">4.1. General objectives …………………………………………………………………………………. 22</w:t>
      </w:r>
      <w:r>
        <w:t xml:space="preserve"> </w:t>
      </w:r>
      <w:r>
        <w:t xml:space="preserve">4.2. Specific objectives …………………………………………………………………………………. 24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……………………………………………………………24</w:t>
      </w:r>
      <w:r>
        <w:t xml:space="preserve"> </w:t>
      </w:r>
      <w:r>
        <w:t xml:space="preserve">5.1. What is the baseline from which options are assessed? ………………………………. 24</w:t>
      </w:r>
      <w:r>
        <w:t xml:space="preserve"> </w:t>
      </w:r>
      <w:r>
        <w:t xml:space="preserve">5.2. Policy Options ………………………………………………………………………………………. 25</w:t>
      </w:r>
      <w:r>
        <w:t xml:space="preserve"> </w:t>
      </w:r>
      <w:r>
        <w:t xml:space="preserve">5.3. Common elements …………………………………………………………………………………. 30</w:t>
      </w:r>
      <w:r>
        <w:t xml:space="preserve"> </w:t>
      </w:r>
      <w:r>
        <w:t xml:space="preserve">5.4. Grandfathering of existing allowances for equity ………………………………………. 32</w:t>
      </w:r>
      <w:r>
        <w:t xml:space="preserve"> </w:t>
      </w:r>
      <w:r>
        <w:t xml:space="preserve">5.5. Options discarded at an early stage …………………………………………………………..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……………………………………………………32</w:t>
      </w:r>
      <w:r>
        <w:t xml:space="preserve"> </w:t>
      </w:r>
      <w:r>
        <w:t xml:space="preserve">6.1. The modelling approach with CORTAX ………………………………………………….. 33</w:t>
      </w:r>
      <w:r>
        <w:t xml:space="preserve"> </w:t>
      </w:r>
      <w:r>
        <w:t xml:space="preserve">6.2. Impacts on debt bias and financing decisions of firms ……………………………….. 34</w:t>
      </w:r>
      <w:r>
        <w:t xml:space="preserve"> </w:t>
      </w:r>
      <w:r>
        <w:t xml:space="preserve">6.3. Impacts on investment and growth …………………………………………………………… 36</w:t>
      </w:r>
      <w:r>
        <w:t xml:space="preserve"> </w:t>
      </w:r>
      <w:r>
        <w:t xml:space="preserve">6.4. Impacts on tax revenue …………………………………………………………………………… 38</w:t>
      </w:r>
      <w:r>
        <w:t xml:space="preserve"> </w:t>
      </w:r>
      <w:r>
        <w:t xml:space="preserve">6.5. Impact on the burden for businesses ………………………………………………………… 39</w:t>
      </w:r>
      <w:r>
        <w:t xml:space="preserve"> </w:t>
      </w:r>
      <w:r>
        <w:t xml:space="preserve">6.6. Impact on the burden for tax authorities …………………………………………………… 40</w:t>
      </w:r>
      <w:r>
        <w:t xml:space="preserve"> </w:t>
      </w:r>
      <w:r>
        <w:t xml:space="preserve">6.7. Relevance of the legislative initiative for SMEs ………………………………………… 41</w:t>
      </w:r>
      <w:r>
        <w:t xml:space="preserve"> </w:t>
      </w:r>
      <w:r>
        <w:t xml:space="preserve">6.8. Fairness impacts ……………………………………………………………………………………. 42</w:t>
      </w:r>
      <w:r>
        <w:t xml:space="preserve"> </w:t>
      </w:r>
      <w:r>
        <w:t xml:space="preserve">6.9. Sustainable Development Goals ………………………………………………………………. 42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…………………………………………………………………………………42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– THE ALLOWANCE ON NEW EQUITY WITH AN INTEREST</w:t>
      </w:r>
      <w:r>
        <w:t xml:space="preserve"> </w:t>
      </w:r>
      <w:r>
        <w:t xml:space="preserve">LIMITATION ……………………………………………………………………………………………………………………..47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EVALUATED?……………………………..49</w:t>
      </w:r>
      <w:r>
        <w:t xml:space="preserve"> </w:t>
      </w:r>
      <w:r>
        <w:t xml:space="preserve">REFERENCES …………………………………………………………………………………………………………………………….51</w:t>
      </w:r>
      <w:r>
        <w:t xml:space="preserve"> </w:t>
      </w:r>
      <w:r>
        <w:t xml:space="preserve">ANNEX 1: PROCEDURAL INFORMATION …………………………………………………………………………………56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 56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………………………………………………………………………. 56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………………………………………………………………………. 56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………………………………………………………………. 56</w:t>
      </w:r>
      <w:r>
        <w:t xml:space="preserve"> </w:t>
      </w:r>
      <w:r>
        <w:t xml:space="preserve">ANNEX 2: STAKEHOLDER CONSULTATION…………………………………………………………………………….58</w:t>
      </w:r>
      <w:r>
        <w:t xml:space="preserve"> </w:t>
      </w:r>
      <w:r>
        <w:t xml:space="preserve">1.</w:t>
      </w:r>
      <w:r>
        <w:t xml:space="preserve"> </w:t>
      </w:r>
      <w:r>
        <w:t xml:space="preserve">Summary of feedback to the Inception Impact Assessment ………………………. 58</w:t>
      </w:r>
      <w:r>
        <w:t xml:space="preserve"> </w:t>
      </w:r>
      <w:r>
        <w:t xml:space="preserve">2.</w:t>
      </w:r>
      <w:r>
        <w:t xml:space="preserve"> </w:t>
      </w:r>
      <w:r>
        <w:t xml:space="preserve">Summary of meeting with EESC ………………………………………………………….. 59</w:t>
      </w:r>
      <w:r>
        <w:t xml:space="preserve"> </w:t>
      </w:r>
      <w:r>
        <w:t xml:space="preserve">3.</w:t>
      </w:r>
      <w:r>
        <w:t xml:space="preserve"> </w:t>
      </w:r>
      <w:r>
        <w:t xml:space="preserve">Summary of the open public consultation ………………………………………………. 59</w:t>
      </w:r>
      <w:r>
        <w:t xml:space="preserve"> </w:t>
      </w:r>
      <w:r>
        <w:t xml:space="preserve">ANNEX 3: WHO IS AFFECTED AND HOW? ……………………………………………………………………………….67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 ……………………………………………………. 67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 67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………………………………………………. 69</w:t>
      </w:r>
      <w:r>
        <w:t xml:space="preserve"> </w:t>
      </w:r>
      <w:r>
        <w:t xml:space="preserve">ANNEX 4: ANALYTICAL METHODS …………………………………………………………………………………………71</w:t>
      </w:r>
      <w:r>
        <w:t xml:space="preserve"> </w:t>
      </w:r>
      <w:r>
        <w:t xml:space="preserve">1.</w:t>
      </w:r>
      <w:r>
        <w:t xml:space="preserve"> </w:t>
      </w:r>
      <w:r>
        <w:t xml:space="preserve">CORTAX: A model to simulate corporate tax policies …………………………….. 71</w:t>
      </w:r>
      <w:r>
        <w:t xml:space="preserve"> </w:t>
      </w:r>
      <w:r>
        <w:t xml:space="preserve">2.</w:t>
      </w:r>
      <w:r>
        <w:t xml:space="preserve"> </w:t>
      </w:r>
      <w:r>
        <w:t xml:space="preserve">Measuring the cost of capital and effective average tax rates ……………………. 73</w:t>
      </w:r>
      <w:r>
        <w:t xml:space="preserve"> </w:t>
      </w:r>
      <w:r>
        <w:t xml:space="preserve">ANNEX 5: COMPLEMENTARY RESULTS FROM CORTAX ………………………………………………………..75</w:t>
      </w:r>
      <w:r>
        <w:t xml:space="preserve"> </w:t>
      </w:r>
      <w:r>
        <w:t xml:space="preserve">1.</w:t>
      </w:r>
      <w:r>
        <w:t xml:space="preserve"> </w:t>
      </w:r>
      <w:r>
        <w:t xml:space="preserve">Results on economic impacts from the uncompensated approach ……………… 75</w:t>
      </w:r>
      <w:r>
        <w:t xml:space="preserve"> </w:t>
      </w:r>
      <w:r>
        <w:t xml:space="preserve">2.</w:t>
      </w:r>
      <w:r>
        <w:t xml:space="preserve"> </w:t>
      </w:r>
      <w:r>
        <w:t xml:space="preserve">Increased equity allowance for SMEs ……………………………………………………. 76</w:t>
      </w:r>
      <w:r>
        <w:t xml:space="preserve"> </w:t>
      </w:r>
      <w:r>
        <w:t xml:space="preserve">3.</w:t>
      </w:r>
      <w:r>
        <w:t xml:space="preserve"> </w:t>
      </w:r>
      <w:r>
        <w:t xml:space="preserve">Analysis of restricted equity …………………………………………………………………. 79</w:t>
      </w:r>
      <w:r>
        <w:t xml:space="preserve"> </w:t>
      </w:r>
      <w:r>
        <w:t xml:space="preserve">4.</w:t>
      </w:r>
      <w:r>
        <w:t xml:space="preserve"> </w:t>
      </w:r>
      <w:r>
        <w:t xml:space="preserve">Calibration of the preferred Option 5 …………………………………………………….. 81</w:t>
      </w:r>
      <w:r>
        <w:t xml:space="preserve"> </w:t>
      </w:r>
      <w:r>
        <w:t xml:space="preserve">ANNEX 6: STATISTICS ON CORPORATE INDEBTEDNESS ……………………………………………………….83</w:t>
      </w:r>
      <w:r>
        <w:t xml:space="preserve"> </w:t>
      </w:r>
      <w:r>
        <w:t xml:space="preserve">1.</w:t>
      </w:r>
      <w:r>
        <w:t xml:space="preserve"> </w:t>
      </w:r>
      <w:r>
        <w:t xml:space="preserve">ATAD 1 – Interest limitation rules ………………………………………………………… 83</w:t>
      </w:r>
      <w:r>
        <w:t xml:space="preserve"> </w:t>
      </w:r>
      <w:r>
        <w:t xml:space="preserve">ANNEX 7: OVERVIEW OF EXISTING MEASURES IN MEMBER STATES ………………………………….86</w:t>
      </w:r>
      <w:r>
        <w:t xml:space="preserve"> </w:t>
      </w:r>
      <w:r>
        <w:t xml:space="preserve">1.</w:t>
      </w:r>
      <w:r>
        <w:t xml:space="preserve"> </w:t>
      </w:r>
      <w:r>
        <w:t xml:space="preserve">Existing measures of interest allowance for equity in EU Member</w:t>
      </w:r>
      <w:r>
        <w:t xml:space="preserve"> </w:t>
      </w:r>
      <w:r>
        <w:t xml:space="preserve">States…………………………………………………………………………………………………. 86</w:t>
      </w:r>
      <w:r>
        <w:t xml:space="preserve"> </w:t>
      </w:r>
      <w:r>
        <w:t xml:space="preserve">2.</w:t>
      </w:r>
      <w:r>
        <w:t xml:space="preserve"> </w:t>
      </w:r>
      <w:r>
        <w:t xml:space="preserve">Transposition of ATAD 1 interest limitation rules in EU Member</w:t>
      </w:r>
      <w:r>
        <w:t xml:space="preserve"> </w:t>
      </w:r>
      <w:r>
        <w:t xml:space="preserve">States…………………………………………………………………………………………………. 87</w:t>
      </w:r>
      <w:r>
        <w:t xml:space="preserve"> </w:t>
      </w:r>
      <w:r>
        <w:t xml:space="preserve">ANNEX 8: ANTI TAX AVOIDANCE RULES ……………………………………………………………………………….89</w:t>
      </w:r>
      <w:r>
        <w:t xml:space="preserve"> </w:t>
      </w:r>
      <w:r>
        <w:t xml:space="preserve">1.</w:t>
      </w:r>
      <w:r>
        <w:t xml:space="preserve"> </w:t>
      </w:r>
      <w:r>
        <w:t xml:space="preserve">General Anti Avoidance Rule (GAAR) …………………………………………………. 89</w:t>
      </w:r>
      <w:r>
        <w:t xml:space="preserve"> </w:t>
      </w:r>
      <w:r>
        <w:t xml:space="preserve">2.</w:t>
      </w:r>
      <w:r>
        <w:t xml:space="preserve"> </w:t>
      </w:r>
      <w:r>
        <w:t xml:space="preserve">Special Anti Avoidance Rules (SAARS) ……………………………………………….. 89</w:t>
      </w:r>
      <w:r>
        <w:t xml:space="preserve"> </w:t>
      </w:r>
      <w:r>
        <w:t xml:space="preserve">3.</w:t>
      </w:r>
      <w:r>
        <w:t xml:space="preserve"> </w:t>
      </w:r>
      <w:r>
        <w:t xml:space="preserve">SAAR based on the Arm’s Length Principle (ALP) ………………………………… 90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CIT</w:t>
      </w:r>
      <w:r>
        <w:t xml:space="preserve"> </w:t>
      </w:r>
      <w:r>
        <w:t xml:space="preserve">Corporate income tax</w:t>
      </w:r>
      <w:r>
        <w:t xml:space="preserve"> </w:t>
      </w:r>
      <w:r>
        <w:t xml:space="preserve">ACC</w:t>
      </w:r>
      <w:r>
        <w:t xml:space="preserve"> </w:t>
      </w:r>
      <w:r>
        <w:t xml:space="preserve">Allowance for corporate capital</w:t>
      </w:r>
      <w:r>
        <w:t xml:space="preserve"> </w:t>
      </w:r>
      <w:r>
        <w:t xml:space="preserve">ACE</w:t>
      </w:r>
      <w:r>
        <w:t xml:space="preserve"> </w:t>
      </w:r>
      <w:r>
        <w:t xml:space="preserve">Allowance for corporate equity</w:t>
      </w:r>
      <w:r>
        <w:t xml:space="preserve"> </w:t>
      </w:r>
      <w:r>
        <w:t xml:space="preserve">ANCE</w:t>
      </w:r>
      <w:r>
        <w:t xml:space="preserve"> </w:t>
      </w:r>
      <w:r>
        <w:t xml:space="preserve">Allowance for new corporate equity</w:t>
      </w:r>
      <w:r>
        <w:t xml:space="preserve"> </w:t>
      </w:r>
      <w:r>
        <w:t xml:space="preserve">ATAD</w:t>
      </w:r>
      <w:r>
        <w:t xml:space="preserve"> </w:t>
      </w:r>
      <w:r>
        <w:t xml:space="preserve">Anti tax avoidance directive</w:t>
      </w:r>
      <w:r>
        <w:t xml:space="preserve"> </w:t>
      </w:r>
      <w:r>
        <w:t xml:space="preserve">CMU</w:t>
      </w:r>
      <w:r>
        <w:t xml:space="preserve"> </w:t>
      </w:r>
      <w:r>
        <w:t xml:space="preserve">Capital market union</w:t>
      </w:r>
      <w:r>
        <w:t xml:space="preserve"> </w:t>
      </w:r>
      <w:r>
        <w:t xml:space="preserve">COVID</w:t>
      </w:r>
      <w:r>
        <w:t xml:space="preserve"> </w:t>
      </w:r>
      <w:r>
        <w:t xml:space="preserve">Corona virus disease</w:t>
      </w:r>
      <w:r>
        <w:t xml:space="preserve"> </w:t>
      </w:r>
      <w:r>
        <w:t xml:space="preserve">DEBRA</w:t>
      </w:r>
      <w:r>
        <w:t xml:space="preserve"> </w:t>
      </w:r>
      <w:r>
        <w:t xml:space="preserve">Debt equity bias reduction allowance</w:t>
      </w:r>
      <w:r>
        <w:t xml:space="preserve"> </w:t>
      </w:r>
      <w:r>
        <w:t xml:space="preserve">EBITD</w:t>
      </w:r>
      <w:r>
        <w:t xml:space="preserve"> </w:t>
      </w:r>
      <w:r>
        <w:t xml:space="preserve">Earnings Before Interest, Taxes, Depreciation,</w:t>
      </w:r>
      <w:r>
        <w:br/>
      </w:r>
      <w:r>
        <w:t xml:space="preserve">EBITDA</w:t>
      </w:r>
      <w:r>
        <w:t xml:space="preserve"> </w:t>
      </w:r>
      <w:r>
        <w:t xml:space="preserve">Earnings Before Interest, Taxes and Depreciation and Amortization</w:t>
      </w:r>
      <w:r>
        <w:t xml:space="preserve"> </w:t>
      </w:r>
      <w:r>
        <w:t xml:space="preserve">EESC</w:t>
      </w:r>
      <w:r>
        <w:t xml:space="preserve"> </w:t>
      </w:r>
      <w:r>
        <w:t xml:space="preserve">European Economic and Social Committee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  <w:r>
        <w:t xml:space="preserve"> </w:t>
      </w:r>
      <w:r>
        <w:t xml:space="preserve">EIOPA</w:t>
      </w:r>
      <w:r>
        <w:t xml:space="preserve"> </w:t>
      </w:r>
      <w:r>
        <w:t xml:space="preserve">European Insurance and Occupational Pensions Authority</w:t>
      </w:r>
      <w:r>
        <w:t xml:space="preserve"> </w:t>
      </w:r>
      <w:r>
        <w:t xml:space="preserve">FC</w:t>
      </w:r>
      <w:r>
        <w:br/>
      </w:r>
      <w:r>
        <w:t xml:space="preserve">Financial corporation</w:t>
      </w:r>
      <w:r>
        <w:t xml:space="preserve"> </w:t>
      </w:r>
      <w:r>
        <w:t xml:space="preserve">GAAR</w:t>
      </w:r>
      <w:r>
        <w:t xml:space="preserve"> </w:t>
      </w:r>
      <w:r>
        <w:t xml:space="preserve">General anti avoidance rule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ILR</w:t>
      </w:r>
      <w:r>
        <w:t xml:space="preserve"> </w:t>
      </w:r>
      <w:r>
        <w:t xml:space="preserve">Interest limitation rules</w:t>
      </w:r>
      <w:r>
        <w:t xml:space="preserve"> </w:t>
      </w:r>
      <w:r>
        <w:t xml:space="preserve">IMF</w:t>
      </w:r>
      <w:r>
        <w:t xml:space="preserve"> </w:t>
      </w:r>
      <w:r>
        <w:t xml:space="preserve">International Monetary Fund</w:t>
      </w:r>
      <w:r>
        <w:t xml:space="preserve"> </w:t>
      </w:r>
      <w:r>
        <w:t xml:space="preserve">MNE</w:t>
      </w:r>
      <w:r>
        <w:t xml:space="preserve"> </w:t>
      </w:r>
      <w:r>
        <w:t xml:space="preserve">Multinational Enterprise</w:t>
      </w:r>
      <w:r>
        <w:t xml:space="preserve"> </w:t>
      </w:r>
      <w:r>
        <w:t xml:space="preserve">NDI</w:t>
      </w:r>
      <w:r>
        <w:t xml:space="preserve"> </w:t>
      </w:r>
      <w:r>
        <w:t xml:space="preserve">Non-deductibility of interest</w:t>
      </w:r>
      <w:r>
        <w:t xml:space="preserve"> </w:t>
      </w:r>
      <w:r>
        <w:t xml:space="preserve">NFC</w:t>
      </w:r>
      <w:r>
        <w:t xml:space="preserve"> </w:t>
      </w:r>
      <w:r>
        <w:t xml:space="preserve">Non-financial corporations</w:t>
      </w:r>
      <w:r>
        <w:t xml:space="preserve"> </w:t>
      </w:r>
      <w:r>
        <w:t xml:space="preserve">NID</w:t>
      </w:r>
      <w:r>
        <w:t xml:space="preserve"> </w:t>
      </w:r>
      <w:r>
        <w:t xml:space="preserve">Notional interest deduction</w:t>
      </w:r>
      <w:r>
        <w:t xml:space="preserve"> </w:t>
      </w:r>
      <w:r>
        <w:t xml:space="preserve">NIR</w:t>
      </w:r>
      <w:r>
        <w:t xml:space="preserve"> </w:t>
      </w:r>
      <w:r>
        <w:t xml:space="preserve">Notional interest rate</w:t>
      </w:r>
      <w:r>
        <w:t xml:space="preserve"> </w:t>
      </w:r>
      <w:r>
        <w:t xml:space="preserve">OPC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OECD</w:t>
      </w:r>
      <w:r>
        <w:t xml:space="preserve"> </w:t>
      </w:r>
      <w:r>
        <w:t xml:space="preserve">Organisation for Economic Co-operation and Development</w:t>
      </w:r>
      <w:r>
        <w:t xml:space="preserve"> </w:t>
      </w:r>
      <w:r>
        <w:t xml:space="preserve">RFR</w:t>
      </w:r>
      <w:r>
        <w:t xml:space="preserve"> </w:t>
      </w:r>
      <w:r>
        <w:t xml:space="preserve">Risk free rate</w:t>
      </w:r>
      <w:r>
        <w:t xml:space="preserve"> </w:t>
      </w:r>
      <w:r>
        <w:t xml:space="preserve">SAAR</w:t>
      </w:r>
      <w:r>
        <w:t xml:space="preserve"> </w:t>
      </w:r>
      <w:r>
        <w:t xml:space="preserve">Special anti-avoidance rule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sized enterprise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The initiative analysed in this impact assessment is embedded in a comprehensive EU tax</w:t>
      </w:r>
      <w:r>
        <w:t xml:space="preserve"> </w:t>
      </w:r>
      <w:r>
        <w:t xml:space="preserve">agenda and results directly from the Communication on Business Taxation for the 21st</w:t>
      </w:r>
      <w:r>
        <w:t xml:space="preserve"> </w:t>
      </w:r>
      <w:r>
        <w:t xml:space="preserve">Century1. Therein, the Commission set out both a long-term vision to provide a fair and</w:t>
      </w:r>
      <w:r>
        <w:t xml:space="preserve"> </w:t>
      </w:r>
      <w:r>
        <w:t xml:space="preserve">sustainable business environment and an EU tax system, as well as a tax agenda with</w:t>
      </w:r>
      <w:r>
        <w:t xml:space="preserve"> </w:t>
      </w:r>
      <w:r>
        <w:t xml:space="preserve">targeted measures intended to promote productive investment and entrepreneurship, and</w:t>
      </w:r>
      <w:r>
        <w:t xml:space="preserve"> </w:t>
      </w:r>
      <w:r>
        <w:t xml:space="preserve">ensure effective taxation.</w:t>
      </w:r>
      <w:r>
        <w:br/>
      </w:r>
      <w:r>
        <w:t xml:space="preserve">Amid those targeted measures, the Commission announced a proposal for addressing the</w:t>
      </w:r>
      <w:r>
        <w:t xml:space="preserve"> </w:t>
      </w:r>
      <w:r>
        <w:t xml:space="preserve">debt-equity bias in corporate taxation – the so-called Debt Equity Bias Reduction</w:t>
      </w:r>
      <w:r>
        <w:t xml:space="preserve"> </w:t>
      </w:r>
      <w:r>
        <w:t xml:space="preserve">Allowance (DEBRA). The initiative is coherent with the other actions set out in the</w:t>
      </w:r>
      <w:r>
        <w:t xml:space="preserve"> </w:t>
      </w:r>
      <w:r>
        <w:t xml:space="preserve">Communication, and, in particular, with the forthcoming “Business in Europe:</w:t>
      </w:r>
      <w:r>
        <w:t xml:space="preserve"> </w:t>
      </w:r>
      <w:r>
        <w:t xml:space="preserve">Framework for Income Taxation” (or BEFIT), which will provide a single corporate tax</w:t>
      </w:r>
      <w:r>
        <w:t xml:space="preserve"> </w:t>
      </w:r>
      <w:r>
        <w:t xml:space="preserve">rulebook for the EU, providing for fairer allocation of taxing rights between Member</w:t>
      </w:r>
      <w:r>
        <w:t xml:space="preserve"> </w:t>
      </w:r>
      <w:r>
        <w:t xml:space="preserve">States, taking into account reforms in the international corporate tax framework. While</w:t>
      </w:r>
      <w:r>
        <w:t xml:space="preserve"> </w:t>
      </w:r>
      <w:r>
        <w:t xml:space="preserve">the BEFIT proposal is still in an early stage of development, the two initiatives contribute</w:t>
      </w:r>
      <w:r>
        <w:t xml:space="preserve"> </w:t>
      </w:r>
      <w:r>
        <w:t xml:space="preserve">to the same vision of a fair and sustainable business environment in the EU. As set out in</w:t>
      </w:r>
      <w:r>
        <w:t xml:space="preserve"> </w:t>
      </w:r>
      <w:r>
        <w:t xml:space="preserve">the Communication, targeted action on specific issues, including on the debt-equity bias</w:t>
      </w:r>
      <w:r>
        <w:t xml:space="preserve"> </w:t>
      </w:r>
      <w:r>
        <w:t xml:space="preserve">is envisaged in the shorter term in order to address current problems in the EU tax</w:t>
      </w:r>
      <w:r>
        <w:t xml:space="preserve"> </w:t>
      </w:r>
      <w:r>
        <w:t xml:space="preserve">system.</w:t>
      </w:r>
      <w:r>
        <w:t xml:space="preserve"> </w:t>
      </w:r>
      <w:r>
        <w:t xml:space="preserve">The initiative is part of and supports the EU’s wider policy agenda; and most notably the</w:t>
      </w:r>
      <w:r>
        <w:t xml:space="preserve"> </w:t>
      </w:r>
      <w:r>
        <w:t xml:space="preserve">European Green Deal2, the Commission’s digital agenda, the New Industrial Strategy for</w:t>
      </w:r>
      <w:r>
        <w:t xml:space="preserve"> </w:t>
      </w:r>
      <w:r>
        <w:t xml:space="preserve">Europe3 and the furthering of the Capital Markets Union4. The initiative would, for</w:t>
      </w:r>
      <w:r>
        <w:t xml:space="preserve"> </w:t>
      </w:r>
      <w:r>
        <w:t xml:space="preserve">example, directly contribute to the objective of the EU’s Capital Markets Union Action</w:t>
      </w:r>
      <w:r>
        <w:t xml:space="preserve"> </w:t>
      </w:r>
      <w:r>
        <w:t xml:space="preserve">Plan to help companies avoid over reliance on debt and improve their equity position, at</w:t>
      </w:r>
      <w:r>
        <w:t xml:space="preserve"> </w:t>
      </w:r>
      <w:r>
        <w:t xml:space="preserve">a time when the corporate sector enters the post-COVID recovery period with higher</w:t>
      </w:r>
      <w:r>
        <w:t xml:space="preserve"> </w:t>
      </w:r>
      <w:r>
        <w:t xml:space="preserve">deficits and debt levels, and a greater need for equity investment. More specifically, an</w:t>
      </w:r>
      <w:r>
        <w:t xml:space="preserve"> </w:t>
      </w:r>
      <w:r>
        <w:t xml:space="preserve">initiative at EU level to address the debt-equity bias would complement Action 4 of the</w:t>
      </w:r>
      <w:r>
        <w:t xml:space="preserve"> </w:t>
      </w:r>
      <w:r>
        <w:t xml:space="preserve">Capital Markets Union Action Plan5, which aims to incentivise institutional investors to</w:t>
      </w:r>
      <w:r>
        <w:t xml:space="preserve"> </w:t>
      </w:r>
      <w:r>
        <w:t xml:space="preserve">make more long-term investments and thus support re-equitisation in the corporate</w:t>
      </w:r>
      <w:r>
        <w:t xml:space="preserve"> </w:t>
      </w:r>
      <w:r>
        <w:t xml:space="preserve">sector, with a view to fostering the sustainable transition. The Communication explicitly</w:t>
      </w:r>
      <w:r>
        <w:t xml:space="preserve"> </w:t>
      </w:r>
      <w:r>
        <w:t xml:space="preserve">calls for the debt bias in taxation to be addressed in order to remove undue fiscal</w:t>
      </w:r>
      <w:r>
        <w:t xml:space="preserve"> </w:t>
      </w:r>
      <w:r>
        <w:t xml:space="preserve">incentives for debt financing, while also broadly calling for measures that support more</w:t>
      </w:r>
      <w:r>
        <w:t xml:space="preserve"> </w:t>
      </w:r>
      <w:r>
        <w:t xml:space="preserve">stable and long-term financing to companies and infrastructure projects, in particular</w:t>
      </w:r>
      <w:r>
        <w:t xml:space="preserve"> </w:t>
      </w:r>
      <w:r>
        <w:t xml:space="preserve">those contributing to the objective of smart, sustainable and inclusive growth.</w:t>
      </w:r>
      <w:r>
        <w:t xml:space="preserve"> </w:t>
      </w:r>
      <w:r>
        <w:t xml:space="preserve">Finally, the initiative replies to the European Parliament’s expectation that the</w:t>
      </w:r>
      <w:r>
        <w:t xml:space="preserve"> </w:t>
      </w:r>
      <w:r>
        <w:t xml:space="preserve">Commission would put forth a proposal for a debt-equity bias reduction allowance, in</w:t>
      </w:r>
      <w:r>
        <w:t xml:space="preserve"> </w:t>
      </w:r>
      <w:r>
        <w:t xml:space="preserve">which the Parliament urged the Commission to perform a thorough impact assessment</w:t>
      </w:r>
    </w:p>
    <w:p>
      <w:pPr>
        <w:pStyle w:val="BodyText"/>
      </w:pPr>
      <w:r>
        <w:t xml:space="preserve">1 COM(2021) 251 final</w:t>
      </w:r>
      <w:r>
        <w:t xml:space="preserve"> </w:t>
      </w:r>
      <w:r>
        <w:t xml:space="preserve">2 COM(2019) 640 final</w:t>
      </w:r>
      <w:r>
        <w:t xml:space="preserve"> </w:t>
      </w:r>
      <w:r>
        <w:t xml:space="preserve">3 COM(2020) 102 final</w:t>
      </w:r>
      <w:r>
        <w:t xml:space="preserve"> </w:t>
      </w:r>
      <w:r>
        <w:t xml:space="preserve">4 COM(2020) 590 final</w:t>
      </w:r>
      <w:r>
        <w:t xml:space="preserve"> </w:t>
      </w:r>
      <w:r>
        <w:t xml:space="preserve">5 Action 4 - Encouraging more long-term and equity financing from institutional investors | European Commission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and incorporate effective anti-avoidance provisions to avoid any allowance on equity</w:t>
      </w:r>
      <w:r>
        <w:t xml:space="preserve"> </w:t>
      </w:r>
      <w:r>
        <w:t xml:space="preserve">being used as a new tool for base erosion6. In the current context of climate change,</w:t>
      </w:r>
      <w:r>
        <w:t xml:space="preserve"> </w:t>
      </w:r>
      <w:r>
        <w:t xml:space="preserve">environmental degradation, globalisation and digitalisation, the EU needs a robust,</w:t>
      </w:r>
      <w:r>
        <w:t xml:space="preserve"> </w:t>
      </w:r>
      <w:r>
        <w:t xml:space="preserve">efficient and fair tax framework that provides direct support to the recovery from the</w:t>
      </w:r>
      <w:r>
        <w:t xml:space="preserve"> </w:t>
      </w:r>
      <w:r>
        <w:t xml:space="preserve">pandemic and the green and digital transitions. But, one that also simultaneously meets</w:t>
      </w:r>
      <w:r>
        <w:t xml:space="preserve"> </w:t>
      </w:r>
      <w:r>
        <w:t xml:space="preserve">fiscal sustainability requirements against a background in which the government debt-to-</w:t>
      </w:r>
      <w:r>
        <w:t xml:space="preserve"> </w:t>
      </w:r>
      <w:r>
        <w:t xml:space="preserve">GDP ratio in the EU has increased from 77.2 % at the end of 2019 to 90.1 % at the end of</w:t>
      </w:r>
      <w:r>
        <w:t xml:space="preserve"> </w:t>
      </w:r>
      <w:r>
        <w:t xml:space="preserve">the third quarter of 20217 and deficits remain high, with an overall EU government</w:t>
      </w:r>
      <w:r>
        <w:t xml:space="preserve"> </w:t>
      </w:r>
      <w:r>
        <w:t xml:space="preserve">deficit at 3.7%.8 The tax framework must, therefore, work to support and create an</w:t>
      </w:r>
      <w:r>
        <w:t xml:space="preserve"> </w:t>
      </w:r>
      <w:r>
        <w:t xml:space="preserve">environment conducive to fair, sustainable growth and investment, while taking into</w:t>
      </w:r>
      <w:r>
        <w:t xml:space="preserve"> </w:t>
      </w:r>
      <w:r>
        <w:t xml:space="preserve">account fiscal sustainability considerations.</w:t>
      </w:r>
      <w:r>
        <w:t xml:space="preserve"> </w:t>
      </w:r>
      <w:r>
        <w:t xml:space="preserve">Taxation has an important role to play in supporting businesses to invest and grow. The</w:t>
      </w:r>
      <w:r>
        <w:t xml:space="preserve"> </w:t>
      </w:r>
      <w:r>
        <w:t xml:space="preserve">ecological and digital transitions arising from the EU decision to move towards a climate</w:t>
      </w:r>
      <w:r>
        <w:t xml:space="preserve"> </w:t>
      </w:r>
      <w:r>
        <w:t xml:space="preserve">neutral and digital economy will require new technologies and innovation that imply</w:t>
      </w:r>
      <w:r>
        <w:t xml:space="preserve"> </w:t>
      </w:r>
      <w:r>
        <w:t xml:space="preserve">large amounts of investment. In such a context, addressing the debt-equity bias would</w:t>
      </w:r>
      <w:r>
        <w:t xml:space="preserve"> </w:t>
      </w:r>
      <w:r>
        <w:t xml:space="preserve">contribute to the re-equitisation of businesses, which would contribute to more risky</w:t>
      </w:r>
      <w:r>
        <w:t xml:space="preserve"> </w:t>
      </w:r>
      <w:r>
        <w:t xml:space="preserve">investments in vital break-through technologies. Equity financing, for example, can be a</w:t>
      </w:r>
      <w:r>
        <w:t xml:space="preserve"> </w:t>
      </w:r>
      <w:r>
        <w:t xml:space="preserve">viable solution for projects with high risk-return profile that would be too risky for the</w:t>
      </w:r>
      <w:r>
        <w:t xml:space="preserve"> </w:t>
      </w:r>
      <w:r>
        <w:t xml:space="preserve">banking sector to finance.</w:t>
      </w:r>
      <w:r>
        <w:br/>
      </w:r>
      <w:r>
        <w:t xml:space="preserve">The ways in which current tax systems across the EU treat interest costs creates a</w:t>
      </w:r>
      <w:r>
        <w:t xml:space="preserve"> </w:t>
      </w:r>
      <w:r>
        <w:t xml:space="preserve">persistent pro-debt bias. National tax laws across all Member States accept the</w:t>
      </w:r>
      <w:r>
        <w:t xml:space="preserve"> </w:t>
      </w:r>
      <w:r>
        <w:t xml:space="preserve">deductibility of interest payments on debt for tax purposes, thereby reducing the tax base</w:t>
      </w:r>
      <w:r>
        <w:t xml:space="preserve"> </w:t>
      </w:r>
      <w:r>
        <w:t xml:space="preserve">for the purpose of corporate income taxation. At the same time, costs related to equity</w:t>
      </w:r>
      <w:r>
        <w:t xml:space="preserve"> </w:t>
      </w:r>
      <w:r>
        <w:t xml:space="preserve">financing (dividends paid) are non-tax deductible in most Member States. This</w:t>
      </w:r>
      <w:r>
        <w:t xml:space="preserve"> </w:t>
      </w:r>
      <w:r>
        <w:t xml:space="preserve">asymmetric tax treatment of the deductibility of costs comes from the fact that the cost of</w:t>
      </w:r>
      <w:r>
        <w:t xml:space="preserve"> </w:t>
      </w:r>
      <w:r>
        <w:t xml:space="preserve">debt is fixed, has to be paid whatever the profit or loss of the year, and is part of the</w:t>
      </w:r>
      <w:r>
        <w:t xml:space="preserve"> </w:t>
      </w:r>
      <w:r>
        <w:t xml:space="preserve">firm’s current expenses thereby reducing its revenues. Dividends on equity are variable,</w:t>
      </w:r>
      <w:r>
        <w:t xml:space="preserve"> </w:t>
      </w:r>
      <w:r>
        <w:t xml:space="preserve">depending on the firms’ profits, and are not mandatory. This differentiation induces a</w:t>
      </w:r>
      <w:r>
        <w:t xml:space="preserve"> </w:t>
      </w:r>
      <w:r>
        <w:t xml:space="preserve">bias in investment decisions towards debt financing since a business that finances a new</w:t>
      </w:r>
      <w:r>
        <w:t xml:space="preserve"> </w:t>
      </w:r>
      <w:r>
        <w:t xml:space="preserve">investment with debt will reduce its tax base compared to a situation in which the same</w:t>
      </w:r>
      <w:r>
        <w:t xml:space="preserve"> </w:t>
      </w:r>
      <w:r>
        <w:t xml:space="preserve">company financed the very same investment with an equity increase. The higher the rate</w:t>
      </w:r>
      <w:r>
        <w:t xml:space="preserve"> </w:t>
      </w:r>
      <w:r>
        <w:t xml:space="preserve">of corporate income tax in a given country, the stronger the tax bias towards debt for</w:t>
      </w:r>
      <w:r>
        <w:t xml:space="preserve"> </w:t>
      </w:r>
      <w:r>
        <w:t xml:space="preserve">financing new investments. This tax-induced debt bias is a long-standing issue, one</w:t>
      </w:r>
      <w:r>
        <w:t xml:space="preserve"> </w:t>
      </w:r>
      <w:r>
        <w:t xml:space="preserve">which has even been highlighted in the European Semester in relation to several EU</w:t>
      </w:r>
      <w:r>
        <w:t xml:space="preserve"> </w:t>
      </w:r>
      <w:r>
        <w:t xml:space="preserve">Member States whose statutory corporate income tax rate is higher than the EU average.</w:t>
      </w:r>
      <w:r>
        <w:t xml:space="preserve"> </w:t>
      </w:r>
      <w:r>
        <w:t xml:space="preserve">Of course, there are multiple factors that impact or influence financing decisions. Debt</w:t>
      </w:r>
      <w:r>
        <w:t xml:space="preserve"> </w:t>
      </w:r>
      <w:r>
        <w:t xml:space="preserve">could be chosen to increase the return on equity, because access to equity financing is</w:t>
      </w:r>
    </w:p>
    <w:p>
      <w:pPr>
        <w:pStyle w:val="BodyText"/>
      </w:pPr>
      <w:r>
        <w:t xml:space="preserve">6 Report on the impact of national tax reforms on the EU economy, (2021/2074(INI))</w:t>
      </w:r>
      <w:r>
        <w:t xml:space="preserve"> </w:t>
      </w:r>
      <w:r>
        <w:t xml:space="preserve">https://www.europarl.europa.eu/doceo/document/A-9-2021-0348_EN.html</w:t>
      </w:r>
      <w:r>
        <w:br/>
      </w:r>
      <w:r>
        <w:t xml:space="preserve">7 Latest available data from ESTAT, 21 January 2022: https://ec.europa.eu/eurostat/documents/2995521/14176362/2-</w:t>
      </w:r>
      <w:r>
        <w:t xml:space="preserve"> </w:t>
      </w:r>
      <w:r>
        <w:t xml:space="preserve">21012022-AP-EN.pdf/4785530c-a1dc-5d07-1e94-acb29d9986a7</w:t>
      </w:r>
      <w:r>
        <w:br/>
      </w:r>
      <w:r>
        <w:t xml:space="preserve">8 Latest available data from ESTAT, 21 January 2022: https://ec.europa.eu/eurostat/documents/2995521/14176365/2-</w:t>
      </w:r>
      <w:r>
        <w:t xml:space="preserve"> </w:t>
      </w:r>
      <w:r>
        <w:t xml:space="preserve">21012022-BP-EN.pdf/76140a97-e846-2eea-7bce-97c0a3260189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limited, because debt financing is cheaper than equity financing (especially when interest</w:t>
      </w:r>
      <w:r>
        <w:t xml:space="preserve"> </w:t>
      </w:r>
      <w:r>
        <w:t xml:space="preserve">rates are low), to diversify risk, to reduce tax liabilities, and to avoid the dilution of</w:t>
      </w:r>
      <w:r>
        <w:t xml:space="preserve"> </w:t>
      </w:r>
      <w:r>
        <w:t xml:space="preserve">control/voting rights of existing equity holders (owners). The argument about dilution of</w:t>
      </w:r>
      <w:r>
        <w:t xml:space="preserve"> </w:t>
      </w:r>
      <w:r>
        <w:t xml:space="preserve">control/voting rights when new equity is taken up is especially important in the context</w:t>
      </w:r>
      <w:r>
        <w:t xml:space="preserve"> </w:t>
      </w:r>
      <w:r>
        <w:t xml:space="preserve">of family-held companies and could explain, to some extent, national differences.</w:t>
      </w:r>
      <w:r>
        <w:br/>
      </w:r>
      <w:r>
        <w:t xml:space="preserve">The Commission’s objective with DEBRA is to address the specific issue of using debt</w:t>
      </w:r>
      <w:r>
        <w:t xml:space="preserve"> </w:t>
      </w:r>
      <w:r>
        <w:t xml:space="preserve">because of the tax benefit it gives; this is where legislative action at the EU level can</w:t>
      </w:r>
      <w:r>
        <w:t xml:space="preserve"> </w:t>
      </w:r>
      <w:r>
        <w:t xml:space="preserve">have an impact and where it can act in complementarity to other initiatives intended to</w:t>
      </w:r>
      <w:r>
        <w:t xml:space="preserve"> </w:t>
      </w:r>
      <w:r>
        <w:t xml:space="preserve">support diversification of funding, longer-term funding options, and incentivise equity.</w:t>
      </w:r>
      <w:r>
        <w:br/>
      </w:r>
      <w:r>
        <w:t xml:space="preserve">Since the tax induced debt-equity bias incentivises financing investments with debt, it</w:t>
      </w:r>
      <w:r>
        <w:t xml:space="preserve"> </w:t>
      </w:r>
      <w:r>
        <w:t xml:space="preserve">can contribute to an excessive accumulation of debt for non-financial corporations.</w:t>
      </w:r>
      <w:r>
        <w:t xml:space="preserve"> </w:t>
      </w:r>
      <w:r>
        <w:t xml:space="preserve">Excessive debt levels make businesses vulnerable to unforeseen changes in the business</w:t>
      </w:r>
      <w:r>
        <w:t xml:space="preserve"> </w:t>
      </w:r>
      <w:r>
        <w:t xml:space="preserve">environment and increase their risk of insolvency. Necessary business restructuring</w:t>
      </w:r>
      <w:r>
        <w:t xml:space="preserve"> </w:t>
      </w:r>
      <w:r>
        <w:t xml:space="preserve">following insolvency procedures often comes with considerable social costs in the form</w:t>
      </w:r>
      <w:r>
        <w:t xml:space="preserve"> </w:t>
      </w:r>
      <w:r>
        <w:t xml:space="preserve">of layoffs. Furthermore, a large number of related non-performing loans can negatively</w:t>
      </w:r>
      <w:r>
        <w:t xml:space="preserve"> </w:t>
      </w:r>
      <w:r>
        <w:t xml:space="preserve">affect financial stability. The total indebtedness of non-financial corporations in the EU</w:t>
      </w:r>
      <w:r>
        <w:t xml:space="preserve"> </w:t>
      </w:r>
      <w:r>
        <w:t xml:space="preserve">amounted to almost EUR 14.9 trillion in 2020 or 111% of GDP9. Against such</w:t>
      </w:r>
      <w:r>
        <w:t xml:space="preserve"> </w:t>
      </w:r>
      <w:r>
        <w:t xml:space="preserve">background, it is worth stressing that businesses with a solid capital structure may be less</w:t>
      </w:r>
      <w:r>
        <w:t xml:space="preserve"> </w:t>
      </w:r>
      <w:r>
        <w:t xml:space="preserve">vulnerable to shocks, and more prone to make investments. Therefore, reducing the over-</w:t>
      </w:r>
      <w:r>
        <w:t xml:space="preserve"> </w:t>
      </w:r>
      <w:r>
        <w:t xml:space="preserve">reliance on debt-financing, and thus supporting a possible rebalancing of companies’</w:t>
      </w:r>
      <w:r>
        <w:t xml:space="preserve"> </w:t>
      </w:r>
      <w:r>
        <w:t xml:space="preserve">capital structure, can on a macroeconomic level positively affect competitiveness and</w:t>
      </w:r>
      <w:r>
        <w:t xml:space="preserve"> </w:t>
      </w:r>
      <w:r>
        <w:t xml:space="preserve">growth.</w:t>
      </w:r>
      <w:r>
        <w:t xml:space="preserve"> </w:t>
      </w:r>
      <w:r>
        <w:t xml:space="preserve">Six EU Member States (Belgium, Cyprus, Italy, Malta, Poland, and Portugal)10 and other</w:t>
      </w:r>
      <w:r>
        <w:t xml:space="preserve"> </w:t>
      </w:r>
      <w:r>
        <w:t xml:space="preserve">neighbouring jurisdictions (like Liechtenstein or Switzerland) already have legislative</w:t>
      </w:r>
      <w:r>
        <w:t xml:space="preserve"> </w:t>
      </w:r>
      <w:r>
        <w:t xml:space="preserve">measures in place to tackle the tax induced debt-equity bias, by providing some kind of a</w:t>
      </w:r>
      <w:r>
        <w:t xml:space="preserve"> </w:t>
      </w:r>
      <w:r>
        <w:t xml:space="preserve">tax allowance on equity. These domestic measures are heterogeneous and differ in terms</w:t>
      </w:r>
      <w:r>
        <w:t xml:space="preserve"> </w:t>
      </w:r>
      <w:r>
        <w:t xml:space="preserve">of their policy design. They have been introduced for different reasons weighing the pros</w:t>
      </w:r>
      <w:r>
        <w:t xml:space="preserve"> </w:t>
      </w:r>
      <w:r>
        <w:t xml:space="preserve">and cons of different design choices from a domestic point of view. Motivations to</w:t>
      </w:r>
      <w:r>
        <w:t xml:space="preserve"> </w:t>
      </w:r>
      <w:r>
        <w:t xml:space="preserve">introduce a domestic measure might have been to attract investment, or to address</w:t>
      </w:r>
      <w:r>
        <w:t xml:space="preserve"> </w:t>
      </w:r>
      <w:r>
        <w:t xml:space="preserve">specific needs given the capital structures of companies or certain challenges faced.</w:t>
      </w:r>
      <w:r>
        <w:t xml:space="preserve"> </w:t>
      </w:r>
      <w:r>
        <w:t xml:space="preserve">Those Member States that did not introduce such measures made other political choices:</w:t>
      </w:r>
      <w:r>
        <w:t xml:space="preserve"> </w:t>
      </w:r>
      <w:r>
        <w:t xml:space="preserve">for instance, some Member States apply a very low statutory corporate income tax (CIT)</w:t>
      </w:r>
      <w:r>
        <w:t xml:space="preserve"> </w:t>
      </w:r>
      <w:r>
        <w:t xml:space="preserve">rate, another way to mitigate the debt-equity bias. The Commission previously included</w:t>
      </w:r>
      <w:r>
        <w:t xml:space="preserve"> </w:t>
      </w:r>
      <w:r>
        <w:t xml:space="preserve">an Allowance for Growth and Investment (AGI), as part of its 2016 proposals for a</w:t>
      </w:r>
      <w:r>
        <w:t xml:space="preserve"> </w:t>
      </w:r>
      <w:r>
        <w:t xml:space="preserve">Common Consolidated Corporate Tax Base11 (CCCTB). The CCCTB, in which the AGI</w:t>
      </w:r>
    </w:p>
    <w:p>
      <w:pPr>
        <w:pStyle w:val="BodyText"/>
      </w:pPr>
      <w:r>
        <w:t xml:space="preserve">9 Own calculations based on Eurostat’s financial national accounts (online data code: NASA_10_F_BS).</w:t>
      </w:r>
      <w:r>
        <w:t xml:space="preserve"> </w:t>
      </w:r>
      <w:r>
        <w:t xml:space="preserve">Debt is the sum of debt securities, loans and financial derivatives and employee stock options. Non-</w:t>
      </w:r>
      <w:r>
        <w:t xml:space="preserve"> </w:t>
      </w:r>
      <w:r>
        <w:t xml:space="preserve">consolidated data. Only non-financial corporations are considered.</w:t>
      </w:r>
      <w:r>
        <w:t xml:space="preserve"> </w:t>
      </w:r>
      <w:r>
        <w:t xml:space="preserve">10 An overview of existing measures of interest allowance for equity in EU Member States is given in</w:t>
      </w:r>
      <w:r>
        <w:t xml:space="preserve"> </w:t>
      </w:r>
      <w:r>
        <w:t xml:space="preserve">Annex 7. Two neighbouring countries, Switzerland and Liechtenstein also have systems of notional interest</w:t>
      </w:r>
      <w:r>
        <w:t xml:space="preserve"> </w:t>
      </w:r>
      <w:r>
        <w:t xml:space="preserve">deduction for equity in place.</w:t>
      </w:r>
      <w:r>
        <w:t xml:space="preserve"> </w:t>
      </w:r>
      <w:r>
        <w:t xml:space="preserve">11 COM(2016) 685 final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was one part of a broader reform, did not reach agreement in Council and will be</w:t>
      </w:r>
      <w:r>
        <w:t xml:space="preserve"> </w:t>
      </w:r>
      <w:r>
        <w:t xml:space="preserve">replaced by the forthcoming BEFIT proposal.</w:t>
      </w:r>
      <w:r>
        <w:t xml:space="preserve"> </w:t>
      </w:r>
      <w:r>
        <w:t xml:space="preserve">As for the international context, it should be noted that in the four main EU trading</w:t>
      </w:r>
      <w:r>
        <w:t xml:space="preserve"> </w:t>
      </w:r>
      <w:r>
        <w:t xml:space="preserve">partners (i.e. US, Japan, China, UK), interest payments are a deductible expense while</w:t>
      </w:r>
      <w:r>
        <w:t xml:space="preserve"> </w:t>
      </w:r>
      <w:r>
        <w:t xml:space="preserve">dividends are not. There is thus a debt-equity bias present in these economies as well.</w:t>
      </w:r>
      <w:r>
        <w:t xml:space="preserve"> </w:t>
      </w:r>
      <w:r>
        <w:t xml:space="preserve">They all have interest limitation rules. Only a few have or are considering an allowance</w:t>
      </w:r>
      <w:r>
        <w:t xml:space="preserve"> </w:t>
      </w:r>
      <w:r>
        <w:t xml:space="preserve">on equity. The UK is working on a UK Secondary Capital Raising Review; they plan to</w:t>
      </w:r>
      <w:r>
        <w:t xml:space="preserve"> </w:t>
      </w:r>
      <w:r>
        <w:t xml:space="preserve">publish a report soon. However, the possibility and potential benefits of introducing such</w:t>
      </w:r>
      <w:r>
        <w:t xml:space="preserve"> </w:t>
      </w:r>
      <w:r>
        <w:t xml:space="preserve">measure have been long discussed, including by the IMF, OECD, ECB and other private</w:t>
      </w:r>
      <w:r>
        <w:t xml:space="preserve"> </w:t>
      </w:r>
      <w:r>
        <w:t xml:space="preserve">and public stakeholders. It is also worth noting that it is generally argued – by other</w:t>
      </w:r>
      <w:r>
        <w:t xml:space="preserve"> </w:t>
      </w:r>
      <w:r>
        <w:t xml:space="preserve">international organisations, in EU research, and academia – that equity markets are better</w:t>
      </w:r>
      <w:r>
        <w:t xml:space="preserve"> </w:t>
      </w:r>
      <w:r>
        <w:t xml:space="preserve">developed and that equity supply is generally higher in the US, which may be the reason</w:t>
      </w:r>
      <w:r>
        <w:t xml:space="preserve"> </w:t>
      </w:r>
      <w:r>
        <w:t xml:space="preserve">why an equity allowance is not currently under consideration in the EU’s closest trading</w:t>
      </w:r>
      <w:r>
        <w:t xml:space="preserve"> </w:t>
      </w:r>
      <w:r>
        <w:t xml:space="preserve">partner.</w:t>
      </w:r>
      <w:r>
        <w:t xml:space="preserve"> </w:t>
      </w:r>
      <w:r>
        <w:t xml:space="preserve">Analysis and tax related casework demonstrates that, in the past, tax allowances for</w:t>
      </w:r>
      <w:r>
        <w:t xml:space="preserve"> </w:t>
      </w:r>
      <w:r>
        <w:t xml:space="preserve">equity have been abused for the purpose of facilitating tax avoidance. The important</w:t>
      </w:r>
      <w:r>
        <w:t xml:space="preserve"> </w:t>
      </w:r>
      <w:r>
        <w:t xml:space="preserve">lessons learned, should be used to inform further legislation. Past experiences clearly</w:t>
      </w:r>
      <w:r>
        <w:t xml:space="preserve"> </w:t>
      </w:r>
      <w:r>
        <w:t xml:space="preserve">illustrate the need for a strong anti-tax abuse framework to accompany a tax allowance</w:t>
      </w:r>
      <w:r>
        <w:t xml:space="preserve"> </w:t>
      </w:r>
      <w:r>
        <w:t xml:space="preserve">for equity. Robust anti-tax abuse measures will ensure that the initiative is not</w:t>
      </w:r>
      <w:r>
        <w:t xml:space="preserve"> </w:t>
      </w:r>
      <w:r>
        <w:t xml:space="preserve">undermined by tax avoidance practices and will contribute to a stronger and fairer</w:t>
      </w:r>
      <w:r>
        <w:t xml:space="preserve"> </w:t>
      </w:r>
      <w:r>
        <w:t xml:space="preserve">European market economy. It is against this background that the Commission’s</w:t>
      </w:r>
      <w:r>
        <w:t xml:space="preserve"> </w:t>
      </w:r>
      <w:r>
        <w:t xml:space="preserve">Communication on Business Taxation in the 21st Century already established a</w:t>
      </w:r>
      <w:r>
        <w:t xml:space="preserve"> </w:t>
      </w:r>
      <w:r>
        <w:t xml:space="preserve">commitment that any initiative to address the debt-equity bias would be coupled with</w:t>
      </w:r>
      <w:r>
        <w:t xml:space="preserve"> </w:t>
      </w:r>
      <w:r>
        <w:t xml:space="preserve">robust anti-abuse measures, to ensure that the rules are not used for unintended purposes.</w:t>
      </w:r>
      <w:r>
        <w:t xml:space="preserve"> </w:t>
      </w:r>
      <w:r>
        <w:t xml:space="preserve">The anti-abuse measures will benefit from the thorough review of all six NID regimes</w:t>
      </w:r>
      <w:r>
        <w:t xml:space="preserve"> </w:t>
      </w:r>
      <w:r>
        <w:t xml:space="preserve">undertaken by the Code of Conduct Group for Business Taxation, which led to</w:t>
      </w:r>
      <w:r>
        <w:t xml:space="preserve"> </w:t>
      </w:r>
      <w:r>
        <w:t xml:space="preserve">guidance12 being issued on 17 October 2019.</w:t>
      </w:r>
      <w:r>
        <w:t xml:space="preserve"> </w:t>
      </w:r>
      <w:r>
        <w:t xml:space="preserve">An EU approach to address the debt-equity bias would allow to apply the same measures</w:t>
      </w:r>
      <w:r>
        <w:t xml:space="preserve"> </w:t>
      </w:r>
      <w:r>
        <w:t xml:space="preserve">to all Member States in a coordinated manner and ensure that equity is treated in a</w:t>
      </w:r>
      <w:r>
        <w:t xml:space="preserve"> </w:t>
      </w:r>
      <w:r>
        <w:t xml:space="preserve">similar way across the single market, removing possible tax related distortions. A</w:t>
      </w:r>
      <w:r>
        <w:t xml:space="preserve"> </w:t>
      </w:r>
      <w:r>
        <w:t xml:space="preserve">majority of respondents to the public consultation13 are of the view that the debt-equity</w:t>
      </w:r>
      <w:r>
        <w:t xml:space="preserve"> </w:t>
      </w:r>
      <w:r>
        <w:t xml:space="preserve">bias should not be addressed at national level, but at an EU level and that doing so would</w:t>
      </w:r>
      <w:r>
        <w:t xml:space="preserve"> </w:t>
      </w:r>
      <w:r>
        <w:t xml:space="preserve">improve the business environment.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This section defines and analyses the problems and their drivers and assesses the</w:t>
      </w:r>
      <w:r>
        <w:t xml:space="preserve"> </w:t>
      </w:r>
      <w:r>
        <w:t xml:space="preserve">evolution of these problems in the absence of EU policy intervention. The ‘Problem tree’</w:t>
      </w:r>
      <w:r>
        <w:t xml:space="preserve"> </w:t>
      </w:r>
      <w:r>
        <w:t xml:space="preserve">in Figure 1 visually presents the problems, their drivers, and their consequences.</w:t>
      </w:r>
    </w:p>
    <w:p>
      <w:pPr>
        <w:pStyle w:val="BodyText"/>
      </w:pPr>
      <w:r>
        <w:t xml:space="preserve">12 WK 11093/2019 REV 1</w:t>
      </w:r>
      <w:r>
        <w:t xml:space="preserve"> </w:t>
      </w:r>
      <w:r>
        <w:t xml:space="preserve">13 The public consultation is discussed in detail in Annex 2.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2.1. What are the problems?</w:t>
      </w:r>
      <w:r>
        <w:t xml:space="preserve"> </w:t>
      </w:r>
      <w:r>
        <w:t xml:space="preserve">Tax systems in the EU allow for the deduction of interest payments on debt when</w:t>
      </w:r>
      <w:r>
        <w:t xml:space="preserve"> </w:t>
      </w:r>
      <w:r>
        <w:t xml:space="preserve">calculating the tax base for corporate income tax purposes14; while costs related to equity</w:t>
      </w:r>
      <w:r>
        <w:t xml:space="preserve"> </w:t>
      </w:r>
      <w:r>
        <w:t xml:space="preserve">financing, such as dividends, are mostly non-tax deductible. This asymmetry favours</w:t>
      </w:r>
      <w:r>
        <w:t xml:space="preserve"> </w:t>
      </w:r>
      <w:r>
        <w:t xml:space="preserve">using debt over equity for financing investments15.</w:t>
      </w:r>
      <w:r>
        <w:br/>
      </w:r>
      <w:r>
        <w:t xml:space="preserve">The debt-bias can create several problems. As discussed in detail below, the preferential</w:t>
      </w:r>
      <w:r>
        <w:t xml:space="preserve"> </w:t>
      </w:r>
      <w:r>
        <w:t xml:space="preserve">tax treatment of debt can induce businesses to finance their investments with debt.</w:t>
      </w:r>
      <w:r>
        <w:t xml:space="preserve"> </w:t>
      </w:r>
      <w:r>
        <w:t xml:space="preserve">Corporate debt levels are consequently higher than they would be without the bias. This</w:t>
      </w:r>
      <w:r>
        <w:t xml:space="preserve"> </w:t>
      </w:r>
      <w:r>
        <w:t xml:space="preserve">increases the risk of excessive indebtedness in the corporate sector, which makes</w:t>
      </w:r>
      <w:r>
        <w:t xml:space="preserve"> </w:t>
      </w:r>
      <w:r>
        <w:t xml:space="preserve">businesses vulnerable to crisis and increases the risk of insolvency. Excessive</w:t>
      </w:r>
      <w:r>
        <w:t xml:space="preserve"> </w:t>
      </w:r>
      <w:r>
        <w:t xml:space="preserve">indebtedness increases leverage of the financial sector with the potential to lead to</w:t>
      </w:r>
      <w:r>
        <w:t xml:space="preserve"> </w:t>
      </w:r>
      <w:r>
        <w:t xml:space="preserve">financial instability.</w:t>
      </w:r>
      <w:r>
        <w:br/>
      </w:r>
      <w:r>
        <w:t xml:space="preserve">There are multiple reasons beyond the tax induced debt-equity bias why companies</w:t>
      </w:r>
      <w:r>
        <w:t xml:space="preserve"> </w:t>
      </w:r>
      <w:r>
        <w:t xml:space="preserve">might prefer debt to equity financing. Debt could be chosen to increase the return on</w:t>
      </w:r>
      <w:r>
        <w:t xml:space="preserve"> </w:t>
      </w:r>
      <w:r>
        <w:t xml:space="preserve">equity, because access to equity financing is limited, because debt financing is cheaper</w:t>
      </w:r>
      <w:r>
        <w:t xml:space="preserve"> </w:t>
      </w:r>
      <w:r>
        <w:t xml:space="preserve">than equity financing (especially when interest rates are low), to diversify risk, to reduce</w:t>
      </w:r>
      <w:r>
        <w:t xml:space="preserve"> </w:t>
      </w:r>
      <w:r>
        <w:t xml:space="preserve">tax liabilities, and to avoid the dilution of control/voting rights of existing equity holders</w:t>
      </w:r>
      <w:r>
        <w:t xml:space="preserve"> </w:t>
      </w:r>
      <w:r>
        <w:t xml:space="preserve">(owners). These reasons for the choice of debt have been evaluated in the questionnaire</w:t>
      </w:r>
      <w:r>
        <w:t xml:space="preserve"> </w:t>
      </w:r>
      <w:r>
        <w:t xml:space="preserve">of the open public consultation for DEBRA and stakeholders acknowledged the</w:t>
      </w:r>
      <w:r>
        <w:t xml:space="preserve"> </w:t>
      </w:r>
      <w:r>
        <w:t xml:space="preserve">relevance of all these elements. NGOs and academics respondents think that debt is used</w:t>
      </w:r>
      <w:r>
        <w:t xml:space="preserve"> </w:t>
      </w:r>
      <w:r>
        <w:t xml:space="preserve">mainly by companies to decrease their tax liability and avoid dilution of shareholders,</w:t>
      </w:r>
      <w:r>
        <w:t xml:space="preserve"> </w:t>
      </w:r>
      <w:r>
        <w:t xml:space="preserve">whereas business associations and companies put as main reasons the necessity to find</w:t>
      </w:r>
      <w:r>
        <w:t xml:space="preserve"> </w:t>
      </w:r>
      <w:r>
        <w:t xml:space="preserve">financing means and the opportunity of low interest rates available.</w:t>
      </w:r>
      <w:r>
        <w:t xml:space="preserve"> </w:t>
      </w:r>
      <w:r>
        <w:t xml:space="preserve">In addition to contributing to financial instability, the debt bias also reinforces the</w:t>
      </w:r>
      <w:r>
        <w:t xml:space="preserve"> </w:t>
      </w:r>
      <w:r>
        <w:t xml:space="preserve">disadvantage for young and innovative businesses. These businesses are often deemed</w:t>
      </w:r>
      <w:r>
        <w:t xml:space="preserve"> </w:t>
      </w:r>
      <w:r>
        <w:t xml:space="preserve">risky as investments by commercial banks and other traditional credit providers. In order</w:t>
      </w:r>
      <w:r>
        <w:t xml:space="preserve"> </w:t>
      </w:r>
      <w:r>
        <w:t xml:space="preserve">to thrive, these businesses are therefore often dependent on equity financing, which is</w:t>
      </w:r>
      <w:r>
        <w:t xml:space="preserve"> </w:t>
      </w:r>
      <w:r>
        <w:t xml:space="preserve">scarce in the European markets, making it very hard for them to obtain the funds they</w:t>
      </w:r>
      <w:r>
        <w:t xml:space="preserve"> </w:t>
      </w:r>
      <w:r>
        <w:t xml:space="preserve">need. Reducing the bias would have a positive effect on the availability of equity and</w:t>
      </w:r>
      <w:r>
        <w:t xml:space="preserve"> </w:t>
      </w:r>
      <w:r>
        <w:t xml:space="preserve">would thus promote higher levels of equity investment in the EU market. Investors will</w:t>
      </w:r>
      <w:r>
        <w:t xml:space="preserve"> </w:t>
      </w:r>
      <w:r>
        <w:t xml:space="preserve">be incentivised to invest in the EU through a decrease of the cost of capital, at a time</w:t>
      </w:r>
      <w:r>
        <w:t xml:space="preserve"> </w:t>
      </w:r>
      <w:r>
        <w:t xml:space="preserve">when the digital and climate transition require more investments.</w:t>
      </w:r>
      <w:r>
        <w:br/>
      </w:r>
      <w:r>
        <w:t xml:space="preserve">The current situation, where only a minority of Member States addresses the debt bias,</w:t>
      </w:r>
      <w:r>
        <w:t xml:space="preserve"> </w:t>
      </w:r>
      <w:r>
        <w:t xml:space="preserve">creates opportunities for aggressive tax planning and has the potential to distort</w:t>
      </w:r>
      <w:r>
        <w:t xml:space="preserve"> </w:t>
      </w:r>
      <w:r>
        <w:t xml:space="preserve">investment decisions in the single market. Moreover, discrepancies in how an allowance</w:t>
      </w:r>
      <w:r>
        <w:t xml:space="preserve"> </w:t>
      </w:r>
      <w:r>
        <w:t xml:space="preserve">for equity is implemented across the subset of Member States where such a measure</w:t>
      </w:r>
    </w:p>
    <w:p>
      <w:pPr>
        <w:pStyle w:val="BodyText"/>
      </w:pPr>
      <w:r>
        <w:t xml:space="preserve">14 As previously noted, this is the case for most but not necessarily all Member States as two EU Member</w:t>
      </w:r>
      <w:r>
        <w:t xml:space="preserve"> </w:t>
      </w:r>
      <w:r>
        <w:t xml:space="preserve">States – Estonia and Latvia – do not allow for a (comparable) deduction of interest on debt given their</w:t>
      </w:r>
      <w:r>
        <w:t xml:space="preserve"> </w:t>
      </w:r>
      <w:r>
        <w:t xml:space="preserve">differentiated tax systems.</w:t>
      </w:r>
      <w:r>
        <w:br/>
      </w:r>
      <w:r>
        <w:t xml:space="preserve">15 On the debt bias, see e.g. Fatica et al. (2013), Auerbach et al. (2010), Griffith et al. (2010), Langendijk et</w:t>
      </w:r>
      <w:r>
        <w:t xml:space="preserve"> </w:t>
      </w:r>
      <w:r>
        <w:t xml:space="preserve">al. (2014) and Bräutigam et al. (2018).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exists, can hamper the efficient functioning of the Single Market and distort firms’</w:t>
      </w:r>
      <w:r>
        <w:t xml:space="preserve"> </w:t>
      </w:r>
      <w:r>
        <w:t xml:space="preserve">decisions.</w:t>
      </w:r>
      <w:r>
        <w:br/>
      </w:r>
      <w:r>
        <w:t xml:space="preserve">These issues have been raised by several stakeholders in the context of DEBRA’s public</w:t>
      </w:r>
      <w:r>
        <w:t xml:space="preserve"> </w:t>
      </w:r>
      <w:r>
        <w:t xml:space="preserve">consultation. Different business associations agree that reducing the debt-equity bias to</w:t>
      </w:r>
      <w:r>
        <w:t xml:space="preserve"> </w:t>
      </w:r>
      <w:r>
        <w:t xml:space="preserve">encourage equity financing would have an overall positive effect on the solvency and</w:t>
      </w:r>
      <w:r>
        <w:t xml:space="preserve"> </w:t>
      </w:r>
      <w:r>
        <w:t xml:space="preserve">financial stability of businesses, especially in times of economic slowdown or crisis.</w:t>
      </w:r>
      <w:r>
        <w:t xml:space="preserve"> </w:t>
      </w:r>
      <w:r>
        <w:t xml:space="preserve">Moreover, stakeholders from business and academic backgrounds acknowledge the need</w:t>
      </w:r>
      <w:r>
        <w:t xml:space="preserve"> </w:t>
      </w:r>
      <w:r>
        <w:t xml:space="preserve">for measures to tackle the debt-equity bias generated by the different tax treatment of</w:t>
      </w:r>
      <w:r>
        <w:t xml:space="preserve"> </w:t>
      </w:r>
      <w:r>
        <w:t xml:space="preserve">these two types of financing. Businesses were supportive of measures to mitigate the</w:t>
      </w:r>
      <w:r>
        <w:t xml:space="preserve"> </w:t>
      </w:r>
      <w:r>
        <w:t xml:space="preserve">debt-equity bias, defending the view that the bias incentivises companies to opt for debt</w:t>
      </w:r>
      <w:r>
        <w:t xml:space="preserve"> </w:t>
      </w:r>
      <w:r>
        <w:t xml:space="preserve">instead of equity, and that high-levels of debt increase risks of bankruptcy, frequently at</w:t>
      </w:r>
      <w:r>
        <w:t xml:space="preserve"> </w:t>
      </w:r>
      <w:r>
        <w:t xml:space="preserve">creditors’ expense.</w:t>
      </w:r>
      <w:r>
        <w:br/>
      </w:r>
      <w:r>
        <w:t xml:space="preserve">Higher levels of indebtedness and their negative repercussions</w:t>
      </w:r>
      <w:r>
        <w:t xml:space="preserve"> </w:t>
      </w:r>
      <w:r>
        <w:t xml:space="preserve">The debt-equity bias is a long-standing issue, and has been the subject of substantial</w:t>
      </w:r>
      <w:r>
        <w:t xml:space="preserve"> </w:t>
      </w:r>
      <w:r>
        <w:t xml:space="preserve">academic and policy work. There is extensive academic literature establishing the</w:t>
      </w:r>
      <w:r>
        <w:t xml:space="preserve"> </w:t>
      </w:r>
      <w:r>
        <w:t xml:space="preserve">influence that national tax systems have on corporate capital structure (e.g. Huizinga et</w:t>
      </w:r>
      <w:r>
        <w:t xml:space="preserve"> </w:t>
      </w:r>
      <w:r>
        <w:t xml:space="preserve">al. 2008). The literature is condensed in two meta-studies. De Mooij (2011) and Feld and</w:t>
      </w:r>
      <w:r>
        <w:t xml:space="preserve"> </w:t>
      </w:r>
      <w:r>
        <w:t xml:space="preserve">others (2013) which find a typical impact coefficient of the corporate income tax (CIT)</w:t>
      </w:r>
      <w:r>
        <w:t xml:space="preserve"> </w:t>
      </w:r>
      <w:r>
        <w:t xml:space="preserve">rate on the debt-asset ratio of about 0.2716. This means that for a CIT rate of 26 percent</w:t>
      </w:r>
      <w:r>
        <w:t xml:space="preserve"> </w:t>
      </w:r>
      <w:r>
        <w:t xml:space="preserve">(the weighted average rate in the EU), the debt-equity bias would be responsible for a 7</w:t>
      </w:r>
      <w:r>
        <w:t xml:space="preserve"> </w:t>
      </w:r>
      <w:r>
        <w:t xml:space="preserve">percentage-point higher debt-to-equity ratio in an average corporation. The results also</w:t>
      </w:r>
      <w:r>
        <w:t xml:space="preserve"> </w:t>
      </w:r>
      <w:r>
        <w:t xml:space="preserve">indicate that the response increases over time (i.e., the relationship between tax induced</w:t>
      </w:r>
      <w:r>
        <w:t xml:space="preserve"> </w:t>
      </w:r>
      <w:r>
        <w:t xml:space="preserve">debt-bias and capital structure becomes stronger) and that the relationship may not be</w:t>
      </w:r>
      <w:r>
        <w:t xml:space="preserve"> </w:t>
      </w:r>
      <w:r>
        <w:t xml:space="preserve">linear. The first system to address the tax debt bias was originally proposed in 1991 by</w:t>
      </w:r>
      <w:r>
        <w:t xml:space="preserve"> </w:t>
      </w:r>
      <w:r>
        <w:t xml:space="preserve">the Capital Taxes Committee of the Institute for Fiscal Studies17.</w:t>
      </w:r>
      <w:r>
        <w:t xml:space="preserve"> </w:t>
      </w:r>
      <w:r>
        <w:t xml:space="preserve">Under the current tax rules of most Member States, a company that finances a new</w:t>
      </w:r>
      <w:r>
        <w:t xml:space="preserve"> </w:t>
      </w:r>
      <w:r>
        <w:t xml:space="preserve">investment with debt will reduce its tax base and therefore maximise its after-tax profit,</w:t>
      </w:r>
      <w:r>
        <w:t xml:space="preserve"> </w:t>
      </w:r>
      <w:r>
        <w:t xml:space="preserve">compared to the situation where the company finances the same investment with an</w:t>
      </w:r>
      <w:r>
        <w:t xml:space="preserve"> </w:t>
      </w:r>
      <w:r>
        <w:t xml:space="preserve">equity increase. Businesses thus tend to favour investments financed by debt. This leads</w:t>
      </w:r>
      <w:r>
        <w:t xml:space="preserve"> </w:t>
      </w:r>
      <w:r>
        <w:t xml:space="preserve">to higher debt-equity ratios compared to a situation in which debt and equity have the</w:t>
      </w:r>
      <w:r>
        <w:t xml:space="preserve"> </w:t>
      </w:r>
      <w:r>
        <w:t xml:space="preserve">same tax treatment. The debt-bias increases with the rate of corporate income taxation in</w:t>
      </w:r>
      <w:r>
        <w:t xml:space="preserve"> </w:t>
      </w:r>
      <w:r>
        <w:t xml:space="preserve">a given country, since a given reduction of the tax base becomes more attractive with</w:t>
      </w:r>
      <w:r>
        <w:t xml:space="preserve"> </w:t>
      </w:r>
      <w:r>
        <w:t xml:space="preserve">higher tax rates. The tax induced debt-bias also increases with the interest rate, since a</w:t>
      </w:r>
      <w:r>
        <w:t xml:space="preserve"> </w:t>
      </w:r>
      <w:r>
        <w:t xml:space="preserve">given amount of debt results in higher deductible interest payments, further reducing the</w:t>
      </w:r>
      <w:r>
        <w:t xml:space="preserve"> </w:t>
      </w:r>
      <w:r>
        <w:t xml:space="preserve">tax base. Of course higher interest rates make debt more costly compared to equity, so</w:t>
      </w:r>
      <w:r>
        <w:t xml:space="preserve"> </w:t>
      </w:r>
      <w:r>
        <w:t xml:space="preserve">that this price effect counteracts the effect on the tax-induced debt-equity bias. There is</w:t>
      </w:r>
      <w:r>
        <w:t xml:space="preserve"> </w:t>
      </w:r>
      <w:r>
        <w:t xml:space="preserve">no available evidence, which of the two effects would be stronger but since the price</w:t>
      </w:r>
    </w:p>
    <w:p>
      <w:pPr>
        <w:pStyle w:val="BodyText"/>
      </w:pPr>
      <w:r>
        <w:t xml:space="preserve">16 De Mooij (2011) finds that a one percentage point higher tax rate increases the debt-asset ratio by</w:t>
      </w:r>
      <w:r>
        <w:t xml:space="preserve"> </w:t>
      </w:r>
      <w:r>
        <w:t xml:space="preserve">between 0.17 and 0.28. Feld et al. (2013) conclude a marginal tax effect on the debt ratio of 0.27.</w:t>
      </w:r>
      <w:r>
        <w:t xml:space="preserve"> </w:t>
      </w:r>
      <w:r>
        <w:t xml:space="preserve">17 ACE system proposal IFS, 1991; Devereux and Freeman, 1991.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effect operates directly while the tax-induced debt-equity bias operates mitigated through</w:t>
      </w:r>
      <w:r>
        <w:t xml:space="preserve"> </w:t>
      </w:r>
      <w:r>
        <w:t xml:space="preserve">the tax rate, it seems likely that the price effect might dominate.</w:t>
      </w:r>
      <w:r>
        <w:br/>
      </w:r>
      <w:r>
        <w:t xml:space="preserve">High debt-equity ratios can have negative repercussions on both the company and</w:t>
      </w:r>
      <w:r>
        <w:t xml:space="preserve"> </w:t>
      </w:r>
      <w:r>
        <w:t xml:space="preserve">macroeconomic levels. At the company level, higher debt-equity ratios can increase the</w:t>
      </w:r>
      <w:r>
        <w:t xml:space="preserve"> </w:t>
      </w:r>
      <w:r>
        <w:t xml:space="preserve">vulnerability to unforeseen changes in the business environment and the risk of</w:t>
      </w:r>
      <w:r>
        <w:t xml:space="preserve"> </w:t>
      </w:r>
      <w:r>
        <w:t xml:space="preserve">insolvency. Contrary to dividends, debt must be served regardless of the financial</w:t>
      </w:r>
      <w:r>
        <w:t xml:space="preserve"> </w:t>
      </w:r>
      <w:r>
        <w:t xml:space="preserve">situation of a company and the business environment. In this context, Giroud and</w:t>
      </w:r>
      <w:r>
        <w:t xml:space="preserve"> </w:t>
      </w:r>
      <w:r>
        <w:t xml:space="preserve">Mueller (2017) find a more pronounced decline in employment during the global</w:t>
      </w:r>
      <w:r>
        <w:t xml:space="preserve"> </w:t>
      </w:r>
      <w:r>
        <w:t xml:space="preserve">financial crisis in businesses with higher debt levels as compared to those with lower</w:t>
      </w:r>
      <w:r>
        <w:t xml:space="preserve"> </w:t>
      </w:r>
      <w:r>
        <w:t xml:space="preserve">debt-leverage18.</w:t>
      </w:r>
      <w:r>
        <w:br/>
      </w:r>
      <w:r>
        <w:t xml:space="preserve">All respondents to the public consultation acknowledge indebtedness of companies in the</w:t>
      </w:r>
      <w:r>
        <w:t xml:space="preserve"> </w:t>
      </w:r>
      <w:r>
        <w:t xml:space="preserve">EU, including SMEs, is too high and that it makes them more vulnerable to insolvency.</w:t>
      </w:r>
      <w:r>
        <w:t xml:space="preserve"> </w:t>
      </w:r>
      <w:r>
        <w:t xml:space="preserve">All respondents also find that an EU initiative to address the debt-equity bias would be a</w:t>
      </w:r>
      <w:r>
        <w:t xml:space="preserve"> </w:t>
      </w:r>
      <w:r>
        <w:t xml:space="preserve">useful tool to support the recovery of companies from the COVID-19 crisis and</w:t>
      </w:r>
      <w:r>
        <w:t xml:space="preserve"> </w:t>
      </w:r>
      <w:r>
        <w:t xml:space="preserve">incentivise investment through equity in the transition to a greener digitalised economy</w:t>
      </w:r>
      <w:r>
        <w:t xml:space="preserve"> </w:t>
      </w:r>
      <w:r>
        <w:t xml:space="preserve">without creating distortions in the single market. Companies, NGOs and academics</w:t>
      </w:r>
      <w:r>
        <w:t xml:space="preserve"> </w:t>
      </w:r>
      <w:r>
        <w:t xml:space="preserve">strongly think firms should be encouraged to use more equity and less debt.</w:t>
      </w:r>
      <w:r>
        <w:t xml:space="preserve"> </w:t>
      </w:r>
      <w:r>
        <w:t xml:space="preserve">At the macroeconomic level, higher debt-equity ratios can constitute systemic credit</w:t>
      </w:r>
      <w:r>
        <w:t xml:space="preserve"> </w:t>
      </w:r>
      <w:r>
        <w:t xml:space="preserve">externalities19 (Bianchi 2011). Sutherland and Hoeller (2012) find that higher leverage</w:t>
      </w:r>
      <w:r>
        <w:t xml:space="preserve"> </w:t>
      </w:r>
      <w:r>
        <w:t xml:space="preserve">ratios in the non-financial corporate sector are associated with a significantly higher</w:t>
      </w:r>
      <w:r>
        <w:t xml:space="preserve"> </w:t>
      </w:r>
      <w:r>
        <w:t xml:space="preserve">probability of recession. Jordà and others (2013) find that the build-up of corporate debt</w:t>
      </w:r>
      <w:r>
        <w:t xml:space="preserve"> </w:t>
      </w:r>
      <w:r>
        <w:t xml:space="preserve">during expansion periods increase the probability that subsequent recessions are deeper</w:t>
      </w:r>
      <w:r>
        <w:t xml:space="preserve"> </w:t>
      </w:r>
      <w:r>
        <w:t xml:space="preserve">and longer lasting. The link between higher corporate debt levels and economic</w:t>
      </w:r>
      <w:r>
        <w:t xml:space="preserve"> </w:t>
      </w:r>
      <w:r>
        <w:t xml:space="preserve">downturns is also shown by Bernanke et al. (1988) and IMF (2016).</w:t>
      </w:r>
      <w:r>
        <w:t xml:space="preserve"> </w:t>
      </w:r>
      <w:r>
        <w:t xml:space="preserve">Through input-output linkages, the default of one company can spill over to others and</w:t>
      </w:r>
      <w:r>
        <w:t xml:space="preserve"> </w:t>
      </w:r>
      <w:r>
        <w:t xml:space="preserve">amplify aggregate fluctuations in the economy (Acemoglu et al. 2012). Furthermore, a</w:t>
      </w:r>
      <w:r>
        <w:t xml:space="preserve"> </w:t>
      </w:r>
      <w:r>
        <w:t xml:space="preserve">large number of non-performing loans of non-financial corporations (NFCs) can have an</w:t>
      </w:r>
      <w:r>
        <w:t xml:space="preserve"> </w:t>
      </w:r>
      <w:r>
        <w:t xml:space="preserve">indirect negative effect on financial stability and increase the volatility of the business</w:t>
      </w:r>
      <w:r>
        <w:t xml:space="preserve"> </w:t>
      </w:r>
      <w:r>
        <w:t xml:space="preserve">cycle (Sutherland &amp; Hoeller 2012). Higher levels of corporate indebtedness thus increase</w:t>
      </w:r>
      <w:r>
        <w:t xml:space="preserve"> </w:t>
      </w:r>
      <w:r>
        <w:t xml:space="preserve">the risk of financial crises and also contribute to more lengthy recovery processes. An</w:t>
      </w:r>
      <w:r>
        <w:t xml:space="preserve"> </w:t>
      </w:r>
      <w:r>
        <w:t xml:space="preserve">example is the recovery from the 2008-2009 financial crisis (FSC Subgroup on Non-</w:t>
      </w:r>
      <w:r>
        <w:t xml:space="preserve"> </w:t>
      </w:r>
      <w:r>
        <w:t xml:space="preserve">Performing Loans 2017)20. The debt-bias thus creates allocative distortions, such as</w:t>
      </w:r>
      <w:r>
        <w:t xml:space="preserve"> </w:t>
      </w:r>
      <w:r>
        <w:t xml:space="preserve">higher agency costs or bankruptcy costs that result in welfare losses (Gordon 2010;</w:t>
      </w:r>
      <w:r>
        <w:t xml:space="preserve"> </w:t>
      </w:r>
      <w:r>
        <w:t xml:space="preserve">Kalemli-Ozcan et al. 2014).</w:t>
      </w:r>
    </w:p>
    <w:p>
      <w:pPr>
        <w:pStyle w:val="BodyText"/>
      </w:pPr>
      <w:r>
        <w:t xml:space="preserve">18 Debt leverage is interchangeable used to refer to the share of debt of total capital or the fraction of debt</w:t>
      </w:r>
      <w:r>
        <w:t xml:space="preserve"> </w:t>
      </w:r>
      <w:r>
        <w:t xml:space="preserve">to equity.</w:t>
      </w:r>
      <w:r>
        <w:t xml:space="preserve"> </w:t>
      </w:r>
      <w:r>
        <w:t xml:space="preserve">19 The externality arises because agents in times of crisis and credit constraint fail to internalize the debt-</w:t>
      </w:r>
      <w:r>
        <w:t xml:space="preserve"> </w:t>
      </w:r>
      <w:r>
        <w:t xml:space="preserve">deflation effects of additional borrowing.</w:t>
      </w:r>
      <w:r>
        <w:t xml:space="preserve"> </w:t>
      </w:r>
      <w:r>
        <w:t xml:space="preserve">20 This relationship is explained in the Report of the FSC Subgroup on Non-Performing Loans (2017),</w:t>
      </w:r>
      <w:r>
        <w:t xml:space="preserve"> </w:t>
      </w:r>
      <w:r>
        <w:t xml:space="preserve">https://data.consilium.europa.eu/doc/document/ST-9854-2017-INIT/en/pdf.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Figure 1: Problem Tree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Total indebtedness of non-financial corporations in the EU amounted to almost EUR</w:t>
      </w:r>
      <w:r>
        <w:t xml:space="preserve"> </w:t>
      </w:r>
      <w:r>
        <w:t xml:space="preserve">14.9 Trillion in 2020 or 111% of GDP, compared to EUR 11 Trillion or 100.4 % of GDP</w:t>
      </w:r>
      <w:r>
        <w:t xml:space="preserve"> </w:t>
      </w:r>
      <w:r>
        <w:t xml:space="preserve">in 201021.</w:t>
      </w:r>
      <w:r>
        <w:t xml:space="preserve"> </w:t>
      </w:r>
      <w:r>
        <w:t xml:space="preserve">COVID pandemic has increased economic risks</w:t>
      </w:r>
      <w:r>
        <w:t xml:space="preserve"> </w:t>
      </w:r>
      <w:r>
        <w:t xml:space="preserve">The COVID-19 pandemic has made it even more important to address the debt bias, as it</w:t>
      </w:r>
      <w:r>
        <w:t xml:space="preserve"> </w:t>
      </w:r>
      <w:r>
        <w:t xml:space="preserve">is expected to exacerbate debt financing. Economic losses resulting from the COVID-19</w:t>
      </w:r>
      <w:r>
        <w:t xml:space="preserve"> </w:t>
      </w:r>
      <w:r>
        <w:t xml:space="preserve">crisis have significantly weakened the equity position of many businesses. A drastic</w:t>
      </w:r>
      <w:r>
        <w:t xml:space="preserve"> </w:t>
      </w:r>
      <w:r>
        <w:t xml:space="preserve">reduction in incoming cash flows has prompted many European businesses to raise</w:t>
      </w:r>
      <w:r>
        <w:t xml:space="preserve"> </w:t>
      </w:r>
      <w:r>
        <w:t xml:space="preserve">additional debt to meet their short-term financial obligations. As a result, the capital</w:t>
      </w:r>
      <w:r>
        <w:t xml:space="preserve"> </w:t>
      </w:r>
      <w:r>
        <w:t xml:space="preserve">structure of a number of businesses has become more fragile, putting some on the verge</w:t>
      </w:r>
      <w:r>
        <w:t xml:space="preserve"> </w:t>
      </w:r>
      <w:r>
        <w:t xml:space="preserve">of insolvency. Researchers at the IMF estimate that about 2 to 3 percent of GDP will be</w:t>
      </w:r>
      <w:r>
        <w:t xml:space="preserve"> </w:t>
      </w:r>
      <w:r>
        <w:t xml:space="preserve">needed to close the equity gap and provide firms in Europe sufficient equity, so that they</w:t>
      </w:r>
      <w:r>
        <w:t xml:space="preserve"> </w:t>
      </w:r>
      <w:r>
        <w:t xml:space="preserve">would no longer be in difficulty (Ebeke et al. 2021). It is therefore of utmost importance</w:t>
      </w:r>
      <w:r>
        <w:t xml:space="preserve"> </w:t>
      </w:r>
      <w:r>
        <w:t xml:space="preserve">to address the corporate debt-bias and promote the equitisation of European businesses in</w:t>
      </w:r>
      <w:r>
        <w:t xml:space="preserve"> </w:t>
      </w:r>
      <w:r>
        <w:t xml:space="preserve">order to minimise future risks. Such a measure should also have positive effects at the</w:t>
      </w:r>
      <w:r>
        <w:t xml:space="preserve"> </w:t>
      </w:r>
      <w:r>
        <w:t xml:space="preserve">macro level.</w:t>
      </w:r>
      <w:r>
        <w:t xml:space="preserve"> </w:t>
      </w:r>
      <w:r>
        <w:t xml:space="preserve">The ECB’s financial risk assessment further strengthens such a conclusion. In November</w:t>
      </w:r>
      <w:r>
        <w:t xml:space="preserve"> </w:t>
      </w:r>
      <w:r>
        <w:t xml:space="preserve">2020, the ECB found that “the deterioration in NFC financial health was largely driven</w:t>
      </w:r>
      <w:r>
        <w:t xml:space="preserve"> </w:t>
      </w:r>
      <w:r>
        <w:t xml:space="preserve">by a drop in sales, lower actual and expected profitability, and an increase in leverage</w:t>
      </w:r>
      <w:r>
        <w:t xml:space="preserve"> </w:t>
      </w:r>
      <w:r>
        <w:t xml:space="preserve">and indebtedness” (ECB 2020). In May 2021, the ECB showed that the situation is</w:t>
      </w:r>
      <w:r>
        <w:t xml:space="preserve"> </w:t>
      </w:r>
      <w:r>
        <w:t xml:space="preserve">especially dire for already vulnerable businesses with high debt-to-equity ratios since</w:t>
      </w:r>
      <w:r>
        <w:t xml:space="preserve"> </w:t>
      </w:r>
      <w:r>
        <w:t xml:space="preserve">reliance on debt has increased among vulnerable businesses, amid higher rollover risks.</w:t>
      </w:r>
      <w:r>
        <w:t xml:space="preserve"> </w:t>
      </w:r>
      <w:r>
        <w:t xml:space="preserve">Among the highest leveraged businesses, the 90th percentile debt-to-equity ratios has</w:t>
      </w:r>
      <w:r>
        <w:t xml:space="preserve"> </w:t>
      </w:r>
      <w:r>
        <w:t xml:space="preserve">increased from 220% at end-2019 to over 270% in the final quarter of 2020 (see Figure 2,</w:t>
      </w:r>
      <w:r>
        <w:t xml:space="preserve"> </w:t>
      </w:r>
      <w:r>
        <w:t xml:space="preserve">left panel). Corporate earnings expectations for the euro area have remained below pre-</w:t>
      </w:r>
      <w:r>
        <w:t xml:space="preserve"> </w:t>
      </w:r>
      <w:r>
        <w:t xml:space="preserve">pandemic levels, while corporate funding conditions remained around the tightest levels</w:t>
      </w:r>
      <w:r>
        <w:t xml:space="preserve"> </w:t>
      </w:r>
      <w:r>
        <w:t xml:space="preserve">seen since the pandemic started, especially for SMEs, highlighting elevated refinancing</w:t>
      </w:r>
      <w:r>
        <w:t xml:space="preserve"> </w:t>
      </w:r>
      <w:r>
        <w:t xml:space="preserve">risks” (ECB 2021). According to IMF a share of maybe 20% of businesses face over-</w:t>
      </w:r>
      <w:r>
        <w:t xml:space="preserve"> </w:t>
      </w:r>
      <w:r>
        <w:t xml:space="preserve">indebtedness and risk insolvency. The IMF also identifies an extremely high insolvency</w:t>
      </w:r>
      <w:r>
        <w:t xml:space="preserve"> </w:t>
      </w:r>
      <w:r>
        <w:t xml:space="preserve">risk for SMEs under its current projections, potentially resulting in a loss of 1 in 10 SME</w:t>
      </w:r>
      <w:r>
        <w:t xml:space="preserve"> </w:t>
      </w:r>
      <w:r>
        <w:t xml:space="preserve">jobs. The major cause of insolvency risk is a lack of equity financing (Diez et al. 2021).</w:t>
      </w:r>
    </w:p>
    <w:p>
      <w:pPr>
        <w:pStyle w:val="BodyText"/>
      </w:pPr>
      <w:r>
        <w:t xml:space="preserve">21 Own calculations based on Eurostat’s financial national accounts (online data code: NASA_10_F_BS).</w:t>
      </w:r>
      <w:r>
        <w:t xml:space="preserve"> </w:t>
      </w:r>
      <w:r>
        <w:t xml:space="preserve">Debt is the sum of debt securities, loans and financial derivatives and employee stock options. Non-</w:t>
      </w:r>
      <w:r>
        <w:t xml:space="preserve"> </w:t>
      </w:r>
      <w:r>
        <w:t xml:space="preserve">consolidated data. Only non-financial corporations are considered.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Figure 2: Debt-to-equity ratios for Non-Financial Businesses and expected insolvencies.</w:t>
      </w:r>
    </w:p>
    <w:p>
      <w:pPr>
        <w:pStyle w:val="BodyText"/>
      </w:pPr>
      <w:r>
        <w:t xml:space="preserve">Notes: left panel, Q1-Q4 refers to quarter 1 to 4 of the respective year; right panel, t refers to the year the</w:t>
      </w:r>
      <w:r>
        <w:t xml:space="preserve"> </w:t>
      </w:r>
      <w:r>
        <w:t xml:space="preserve">respective crisis started as shown in the legend, t+1 indicates the following year and so on. The legend</w:t>
      </w:r>
      <w:r>
        <w:t xml:space="preserve"> </w:t>
      </w:r>
      <w:r>
        <w:t xml:space="preserve">indicates that for each crisis a four year interval is considered.</w:t>
      </w:r>
      <w:r>
        <w:t xml:space="preserve"> </w:t>
      </w:r>
      <w:r>
        <w:t xml:space="preserve">Source: ECB, Financial stability review May 2021, https://www.ecb.europa.eu/pub/financial-</w:t>
      </w:r>
      <w:r>
        <w:t xml:space="preserve"> </w:t>
      </w:r>
      <w:r>
        <w:t xml:space="preserve">stability/fsr/html/ecb.fsr202105~757f727fe4.en.html</w:t>
      </w:r>
      <w:r>
        <w:t xml:space="preserve"> </w:t>
      </w:r>
      <w:r>
        <w:t xml:space="preserve">The COVID-19 pandemic has resulted in high debt levels, not only at company but also</w:t>
      </w:r>
      <w:r>
        <w:t xml:space="preserve"> </w:t>
      </w:r>
      <w:r>
        <w:t xml:space="preserve">at the sovereign level. Member States will need to identify means to lower current debt</w:t>
      </w:r>
      <w:r>
        <w:t xml:space="preserve"> </w:t>
      </w:r>
      <w:r>
        <w:t xml:space="preserve">levels and increase revenues in order to engender a sustainable recovery and take</w:t>
      </w:r>
      <w:r>
        <w:t xml:space="preserve"> </w:t>
      </w:r>
      <w:r>
        <w:t xml:space="preserve">pressure off public finances in the near-term. Measures such as the interest deduction that</w:t>
      </w:r>
      <w:r>
        <w:t xml:space="preserve"> </w:t>
      </w:r>
      <w:r>
        <w:t xml:space="preserve">is currently applied across all Member States have an impact in this respect. They can</w:t>
      </w:r>
      <w:r>
        <w:t xml:space="preserve"> </w:t>
      </w:r>
      <w:r>
        <w:t xml:space="preserve">entail potentially important losses in revenues for Member States. If we were to assume,</w:t>
      </w:r>
      <w:r>
        <w:t xml:space="preserve"> </w:t>
      </w:r>
      <w:r>
        <w:t xml:space="preserve">for example, that the average interest rate of debt were 3%, and 70% of all debt is</w:t>
      </w:r>
      <w:r>
        <w:t xml:space="preserve"> </w:t>
      </w:r>
      <w:r>
        <w:t xml:space="preserve">serviced by tax deductible interest payments, applying an EU-average corporate income</w:t>
      </w:r>
      <w:r>
        <w:t xml:space="preserve"> </w:t>
      </w:r>
      <w:r>
        <w:t xml:space="preserve">tax rate of 26% would provide a very rough estimate of the costs of the existing</w:t>
      </w:r>
      <w:r>
        <w:t xml:space="preserve"> </w:t>
      </w:r>
      <w:r>
        <w:t xml:space="preserve">deductibility of interest of EUR 64 billion for non-financial corporations and EUR 206</w:t>
      </w:r>
      <w:r>
        <w:t xml:space="preserve"> </w:t>
      </w:r>
      <w:r>
        <w:t xml:space="preserve">billion for financial corporations.</w:t>
      </w:r>
      <w:r>
        <w:br/>
      </w:r>
      <w:r>
        <w:t xml:space="preserve">Specific investment needs require more equity</w:t>
      </w:r>
      <w:r>
        <w:br/>
      </w:r>
      <w:r>
        <w:t xml:space="preserve">Specific investment needs required for the green and digital transitions of the economy</w:t>
      </w:r>
      <w:r>
        <w:t xml:space="preserve"> </w:t>
      </w:r>
      <w:r>
        <w:t xml:space="preserve">and society provide further justification for tackling the debt-equity bias. These twin</w:t>
      </w:r>
      <w:r>
        <w:t xml:space="preserve"> </w:t>
      </w:r>
      <w:r>
        <w:t xml:space="preserve">transitions constitute a policy priority for the EU, one that will require many risky</w:t>
      </w:r>
      <w:r>
        <w:t xml:space="preserve"> </w:t>
      </w:r>
      <w:r>
        <w:t xml:space="preserve">investments, which in themselves will require greater equity investments. The EIB</w:t>
      </w:r>
      <w:r>
        <w:t xml:space="preserve"> </w:t>
      </w:r>
      <w:r>
        <w:t xml:space="preserve">provides evidence that “green investments are specific in nature. They enhance welfare</w:t>
      </w:r>
      <w:r>
        <w:t xml:space="preserve"> </w:t>
      </w:r>
      <w:r>
        <w:t xml:space="preserve">but are risky for investors.. Hence, the transition is likelier to be financed by risk-taking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and risk-absorbing instruments such as equity. Longer-term investors also need to be</w:t>
      </w:r>
      <w:r>
        <w:t xml:space="preserve"> </w:t>
      </w:r>
      <w:r>
        <w:t xml:space="preserve">attracted.”22 (EIB 2021, Chapter 6.).</w:t>
      </w:r>
      <w:r>
        <w:t xml:space="preserve"> </w:t>
      </w:r>
      <w:r>
        <w:t xml:space="preserve">The importance of equity to foster the twin green and digital transitions has been</w:t>
      </w:r>
      <w:r>
        <w:t xml:space="preserve"> </w:t>
      </w:r>
      <w:r>
        <w:t xml:space="preserve">highlighted by one of the business associations that responded to the public consultation.</w:t>
      </w:r>
      <w:r>
        <w:t xml:space="preserve"> </w:t>
      </w:r>
      <w:r>
        <w:t xml:space="preserve">According to this business association, the twin transitions will require important levels</w:t>
      </w:r>
      <w:r>
        <w:t xml:space="preserve"> </w:t>
      </w:r>
      <w:r>
        <w:t xml:space="preserve">of investment from both the public and the private sector, which means that businesses</w:t>
      </w:r>
      <w:r>
        <w:t xml:space="preserve"> </w:t>
      </w:r>
      <w:r>
        <w:t xml:space="preserve">will need to find more diversified sources of financing. Therefore, measures that would</w:t>
      </w:r>
      <w:r>
        <w:t xml:space="preserve"> </w:t>
      </w:r>
      <w:r>
        <w:t xml:space="preserve">reduce the debt-equity bias will be welcome to facilitate equity financing.</w:t>
      </w:r>
      <w:r>
        <w:t xml:space="preserve"> </w:t>
      </w:r>
      <w:r>
        <w:t xml:space="preserve">Insufficient equity financing</w:t>
      </w:r>
      <w:r>
        <w:br/>
      </w:r>
      <w:r>
        <w:t xml:space="preserve">The insufficient supply of equity financing discourages investment in projects with</w:t>
      </w:r>
      <w:r>
        <w:t xml:space="preserve"> </w:t>
      </w:r>
      <w:r>
        <w:t xml:space="preserve">higher risks which also have prospects for higher than average future returns. As such, it</w:t>
      </w:r>
      <w:r>
        <w:t xml:space="preserve"> </w:t>
      </w:r>
      <w:r>
        <w:t xml:space="preserve">hampers innovation and growth. The scarcity and the higher cost of equity finance affects</w:t>
      </w:r>
      <w:r>
        <w:t xml:space="preserve"> </w:t>
      </w:r>
      <w:r>
        <w:t xml:space="preserve">all companies, but is particularly problematic for young and innovative, businesses,</w:t>
      </w:r>
      <w:r>
        <w:t xml:space="preserve"> </w:t>
      </w:r>
      <w:r>
        <w:t xml:space="preserve">which due to their risk profile, often have limited access to external debt funding. This</w:t>
      </w:r>
      <w:r>
        <w:t xml:space="preserve"> </w:t>
      </w:r>
      <w:r>
        <w:t xml:space="preserve">problem is aggravated by limited access to alternative sources of finance such as venture</w:t>
      </w:r>
      <w:r>
        <w:t xml:space="preserve"> </w:t>
      </w:r>
      <w:r>
        <w:t xml:space="preserve">capital. A number of Member States (especially France, Belgian and Italy) have</w:t>
      </w:r>
      <w:r>
        <w:t xml:space="preserve"> </w:t>
      </w:r>
      <w:r>
        <w:t xml:space="preserve">introduced tax incentives to promote venture capital and business angel funding, but</w:t>
      </w:r>
      <w:r>
        <w:t xml:space="preserve"> </w:t>
      </w:r>
      <w:r>
        <w:t xml:space="preserve">these types of finance represent only a small proportion of the current total funding</w:t>
      </w:r>
      <w:r>
        <w:t xml:space="preserve"> </w:t>
      </w:r>
      <w:r>
        <w:t xml:space="preserve">mix23. Consequently, small and innovative businesses, often perceived by banks and</w:t>
      </w:r>
      <w:r>
        <w:t xml:space="preserve"> </w:t>
      </w:r>
      <w:r>
        <w:t xml:space="preserve">financial institutions to be higher risk, might be at a particular disadvantage, despite their</w:t>
      </w:r>
      <w:r>
        <w:t xml:space="preserve"> </w:t>
      </w:r>
      <w:r>
        <w:t xml:space="preserve">importance in generating future growth24. This problem also extends to businesses in</w:t>
      </w:r>
      <w:r>
        <w:t xml:space="preserve"> </w:t>
      </w:r>
      <w:r>
        <w:t xml:space="preserve">need of scale-up-financing (e.g. Aernoudt 2017).</w:t>
      </w:r>
      <w:r>
        <w:t xml:space="preserve"> </w:t>
      </w:r>
      <w:r>
        <w:t xml:space="preserve">The European Investment Bank (EIB) shows that the availability of sufficient equity</w:t>
      </w:r>
      <w:r>
        <w:t xml:space="preserve"> </w:t>
      </w:r>
      <w:r>
        <w:t xml:space="preserve">financing has further diminished during the COVID-19 crisis. Especially young and</w:t>
      </w:r>
      <w:r>
        <w:t xml:space="preserve"> </w:t>
      </w:r>
      <w:r>
        <w:t xml:space="preserve">small enterprises as well as SMEs face an adverse environment. The slump in demand is</w:t>
      </w:r>
      <w:r>
        <w:t xml:space="preserve"> </w:t>
      </w:r>
      <w:r>
        <w:t xml:space="preserve">more pronounced in sectors with many smaller firms, which have less flexible cost</w:t>
      </w:r>
      <w:r>
        <w:t xml:space="preserve"> </w:t>
      </w:r>
      <w:r>
        <w:t xml:space="preserve">structures and more restricted access to finance. “Survey indicators suggest that various</w:t>
      </w:r>
      <w:r>
        <w:t xml:space="preserve"> </w:t>
      </w:r>
      <w:r>
        <w:t xml:space="preserve">sources of finance specific to young enterprises and SMEs – such as private equity,</w:t>
      </w:r>
      <w:r>
        <w:t xml:space="preserve"> </w:t>
      </w:r>
      <w:r>
        <w:t xml:space="preserve">venture capital and business angels – may dry up. This should cause concern as these</w:t>
      </w:r>
      <w:r>
        <w:t xml:space="preserve"> </w:t>
      </w:r>
      <w:r>
        <w:t xml:space="preserve">sources of finance were already not sufficiently developed in Europe prior to the crisis”</w:t>
      </w:r>
      <w:r>
        <w:t xml:space="preserve"> </w:t>
      </w:r>
      <w:r>
        <w:t xml:space="preserve">(EIB 2021).</w:t>
      </w:r>
      <w:r>
        <w:t xml:space="preserve"> </w:t>
      </w:r>
      <w:r>
        <w:t xml:space="preserve">At the same time the impact of insufficient equity financing has become direr because of</w:t>
      </w:r>
      <w:r>
        <w:t xml:space="preserve"> </w:t>
      </w:r>
      <w:r>
        <w:t xml:space="preserve">the heightened specific investment needs related to the digital and green transition. This</w:t>
      </w:r>
      <w:r>
        <w:t xml:space="preserve"> </w:t>
      </w:r>
      <w:r>
        <w:t xml:space="preserve">could limit the opportunities especially for SMEs to engage in profitable investments,</w:t>
      </w:r>
    </w:p>
    <w:p>
      <w:pPr>
        <w:pStyle w:val="BodyText"/>
      </w:pPr>
      <w:r>
        <w:t xml:space="preserve">22 See Chapter 6 of the EIB Investment report 2020/2021 where ample evidence is presented that market</w:t>
      </w:r>
      <w:r>
        <w:t xml:space="preserve"> </w:t>
      </w:r>
      <w:r>
        <w:t xml:space="preserve">and equity based investments are more successful in greening the economy than</w:t>
      </w:r>
      <w:r>
        <w:br/>
      </w:r>
      <w:r>
        <w:t xml:space="preserve">23 See for example PWC (2017), Effectiveness of tax incentives for venture capital and business angels to</w:t>
      </w:r>
      <w:r>
        <w:t xml:space="preserve"> </w:t>
      </w:r>
      <w:r>
        <w:t xml:space="preserve">foster the investment of SMEs and start-ups.</w:t>
      </w:r>
      <w:r>
        <w:t xml:space="preserve"> </w:t>
      </w:r>
      <w:r>
        <w:t xml:space="preserve">24 Problems of equity financing are further discussed in a recent study on equity investments in Europe</w:t>
      </w:r>
      <w:r>
        <w:t xml:space="preserve"> </w:t>
      </w:r>
      <w:r>
        <w:t xml:space="preserve">(European Commission 2021), https://op.europa.eu/en/publication-detail/-/publication/4a355d87-669a-</w:t>
      </w:r>
      <w:r>
        <w:t xml:space="preserve"> </w:t>
      </w:r>
      <w:r>
        <w:t xml:space="preserve">11eb-aeb5-01aa75ed71a1/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due to their limited access to financing. This initiative could thus also support the</w:t>
      </w:r>
      <w:r>
        <w:t xml:space="preserve"> </w:t>
      </w:r>
      <w:r>
        <w:t xml:space="preserve">recovery of SMEs and help them adapt to the new business environment.</w:t>
      </w:r>
      <w:r>
        <w:t xml:space="preserve"> </w:t>
      </w:r>
      <w:r>
        <w:t xml:space="preserve">The view that equity financing is insufficient in the EU is shared by some of the</w:t>
      </w:r>
      <w:r>
        <w:t xml:space="preserve"> </w:t>
      </w:r>
      <w:r>
        <w:t xml:space="preserve">stakeholders that responded to the public consultation. According to a national business</w:t>
      </w:r>
      <w:r>
        <w:t xml:space="preserve"> </w:t>
      </w:r>
      <w:r>
        <w:t xml:space="preserve">association, apart from a favourable tax treatment of debt over equity, capital markets are</w:t>
      </w:r>
      <w:r>
        <w:t xml:space="preserve"> </w:t>
      </w:r>
      <w:r>
        <w:t xml:space="preserve">very hard to reach for SMEs, “as external private equity seems to be constrained to</w:t>
      </w:r>
      <w:r>
        <w:t xml:space="preserve"> </w:t>
      </w:r>
      <w:r>
        <w:t xml:space="preserve">specific types of entrepreneurship.” Another business association highlights the fact that</w:t>
      </w:r>
      <w:r>
        <w:t xml:space="preserve"> </w:t>
      </w:r>
      <w:r>
        <w:t xml:space="preserve">because European businesses are still widely financed by bank loans, these are more</w:t>
      </w:r>
      <w:r>
        <w:t xml:space="preserve"> </w:t>
      </w:r>
      <w:r>
        <w:t xml:space="preserve">vulnerable to shocks than American businesses which tend to have more access to other</w:t>
      </w:r>
      <w:r>
        <w:t xml:space="preserve"> </w:t>
      </w:r>
      <w:r>
        <w:t xml:space="preserve">sources of financing.</w:t>
      </w:r>
      <w:r>
        <w:br/>
      </w:r>
      <w:r>
        <w:t xml:space="preserve">Of course, this situation is not due to the debt bias alone; but this initiative would</w:t>
      </w:r>
      <w:r>
        <w:t xml:space="preserve"> </w:t>
      </w:r>
      <w:r>
        <w:t xml:space="preserve">contribute to the objective of the EU’s Capital Markets Union. In particular, and as</w:t>
      </w:r>
      <w:r>
        <w:t xml:space="preserve"> </w:t>
      </w:r>
      <w:r>
        <w:t xml:space="preserve">previously highlighted, it would complement Action 4 of the Capital Markets Union</w:t>
      </w:r>
      <w:r>
        <w:t xml:space="preserve"> </w:t>
      </w:r>
      <w:r>
        <w:t xml:space="preserve">Action Plan – which aims to incentivise institutional investors to make more long-term</w:t>
      </w:r>
      <w:r>
        <w:t xml:space="preserve"> </w:t>
      </w:r>
      <w:r>
        <w:t xml:space="preserve">investments and thus support re-equitisation in the corporate sector – by addressing</w:t>
      </w:r>
      <w:r>
        <w:t xml:space="preserve"> </w:t>
      </w:r>
      <w:r>
        <w:t xml:space="preserve">undue fiscal incentives for debt financing stemming from the differentiated tax treatment</w:t>
      </w:r>
      <w:r>
        <w:t xml:space="preserve"> </w:t>
      </w:r>
      <w:r>
        <w:t xml:space="preserve">of debt and equity costs. On top of this broad policy objective of incentivising equity and</w:t>
      </w:r>
      <w:r>
        <w:t xml:space="preserve"> </w:t>
      </w:r>
      <w:r>
        <w:t xml:space="preserve">diversifying financing, specific provisions of the initiative would align with other broader</w:t>
      </w:r>
      <w:r>
        <w:t xml:space="preserve"> </w:t>
      </w:r>
      <w:r>
        <w:t xml:space="preserve">tax policy objectives – such as the fight against tax avoidance and evasion.</w:t>
      </w:r>
      <w:r>
        <w:t xml:space="preserve"> </w:t>
      </w:r>
      <w:r>
        <w:t xml:space="preserve">Limited number of measures to mitigate the debt-equity bias through an allowance</w:t>
      </w:r>
      <w:r>
        <w:t xml:space="preserve"> </w:t>
      </w:r>
      <w:r>
        <w:t xml:space="preserve">on equity</w:t>
      </w:r>
      <w:r>
        <w:br/>
      </w:r>
      <w:r>
        <w:t xml:space="preserve">Currently, only six Member States (Belgium, Cyprus, Italy, Malta, Poland and Portugal)</w:t>
      </w:r>
      <w:r>
        <w:t xml:space="preserve"> </w:t>
      </w:r>
      <w:r>
        <w:t xml:space="preserve">have some form of tax allowance for equity in place in order to mitigate the debt-equity</w:t>
      </w:r>
      <w:r>
        <w:t xml:space="preserve"> </w:t>
      </w:r>
      <w:r>
        <w:t xml:space="preserve">bias (see Table A7.1 in Annex 7 for an overview). Table 1 below indicates the actual</w:t>
      </w:r>
      <w:r>
        <w:t xml:space="preserve"> </w:t>
      </w:r>
      <w:r>
        <w:t xml:space="preserve">debt-equity bias in those countries. The table reports effective average tax rates for</w:t>
      </w:r>
      <w:r>
        <w:t xml:space="preserve"> </w:t>
      </w:r>
      <w:r>
        <w:t xml:space="preserve">retained earnings, new equity and debt, based on a notional interest rate on equity and</w:t>
      </w:r>
      <w:r>
        <w:t xml:space="preserve"> </w:t>
      </w:r>
      <w:r>
        <w:t xml:space="preserve">retained earnings as applied in the respective Member States. The model used by ZEW to</w:t>
      </w:r>
      <w:r>
        <w:t xml:space="preserve"> </w:t>
      </w:r>
      <w:r>
        <w:t xml:space="preserve">calculate these effective rates assumes a nominal interest rate of 7.1%. If the notional</w:t>
      </w:r>
      <w:r>
        <w:t xml:space="preserve"> </w:t>
      </w:r>
      <w:r>
        <w:t xml:space="preserve">interest rate were equal to the nominal interest rate of 7.1%, only Cyprus would still have</w:t>
      </w:r>
      <w:r>
        <w:t xml:space="preserve"> </w:t>
      </w:r>
      <w:r>
        <w:t xml:space="preserve">a small debt bias due to the construction of its measure. The appropriate choice of the</w:t>
      </w:r>
      <w:r>
        <w:t xml:space="preserve"> </w:t>
      </w:r>
      <w:r>
        <w:t xml:space="preserve">notional interest rate can eliminate the debt bias (see ZEW 2020 and Annex 5).</w:t>
      </w:r>
      <w:r>
        <w:t xml:space="preserve"> </w:t>
      </w:r>
      <w:r>
        <w:t xml:space="preserve">Table 1: Effective average tax rates and debt-equity bias with actual notional interest</w:t>
      </w:r>
      <w:r>
        <w:t xml:space="preserve"> </w:t>
      </w:r>
      <w:r>
        <w:t xml:space="preserve">rate.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Cyprus</w:t>
      </w:r>
      <w:r>
        <w:t xml:space="preserve"> </w:t>
      </w:r>
      <w:r>
        <w:t xml:space="preserve">Italy</w:t>
      </w:r>
      <w:r>
        <w:t xml:space="preserve"> </w:t>
      </w:r>
      <w:r>
        <w:t xml:space="preserve">Malta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Notional</w:t>
      </w:r>
      <w:r>
        <w:t xml:space="preserve"> </w:t>
      </w:r>
      <w:r>
        <w:t xml:space="preserve">interest rate</w:t>
      </w:r>
      <w:r>
        <w:t xml:space="preserve"> </w:t>
      </w:r>
      <w:r>
        <w:t xml:space="preserve">0%</w:t>
      </w:r>
      <w:r>
        <w:t xml:space="preserve"> </w:t>
      </w:r>
      <w:r>
        <w:t xml:space="preserve">5.536%</w:t>
      </w:r>
      <w:r>
        <w:t xml:space="preserve"> </w:t>
      </w:r>
      <w:r>
        <w:t xml:space="preserve">1.3%</w:t>
      </w:r>
      <w:r>
        <w:t xml:space="preserve"> </w:t>
      </w:r>
      <w:r>
        <w:t xml:space="preserve">6.43%</w:t>
      </w:r>
      <w:r>
        <w:t xml:space="preserve"> </w:t>
      </w:r>
      <w:r>
        <w:t xml:space="preserve">1.5%</w:t>
      </w:r>
      <w:r>
        <w:t xml:space="preserve"> </w:t>
      </w:r>
      <w:r>
        <w:t xml:space="preserve">7.0%</w:t>
      </w:r>
      <w:r>
        <w:t xml:space="preserve"> </w:t>
      </w:r>
      <w:r>
        <w:t xml:space="preserve">Retained</w:t>
      </w:r>
      <w:r>
        <w:t xml:space="preserve"> </w:t>
      </w:r>
      <w:r>
        <w:t xml:space="preserve">Earnings</w:t>
      </w:r>
      <w:r>
        <w:t xml:space="preserve"> </w:t>
      </w:r>
      <w:r>
        <w:t xml:space="preserve">7</w:t>
      </w:r>
      <w:r>
        <w:t xml:space="preserve"> </w:t>
      </w:r>
      <w:r>
        <w:t xml:space="preserve">5.6</w:t>
      </w:r>
      <w:r>
        <w:t xml:space="preserve"> </w:t>
      </w:r>
      <w:r>
        <w:t xml:space="preserve">6.6</w:t>
      </w:r>
      <w:r>
        <w:t xml:space="preserve"> </w:t>
      </w:r>
      <w:r>
        <w:t xml:space="preserve">4.8</w:t>
      </w:r>
      <w:r>
        <w:t xml:space="preserve"> </w:t>
      </w:r>
      <w:r>
        <w:t xml:space="preserve">5.8</w:t>
      </w:r>
      <w:r>
        <w:t xml:space="preserve"> </w:t>
      </w:r>
      <w:r>
        <w:t xml:space="preserve">4.4</w:t>
      </w:r>
      <w:r>
        <w:t xml:space="preserve"> </w:t>
      </w:r>
      <w:r>
        <w:t xml:space="preserve">New Equity</w:t>
      </w:r>
      <w:r>
        <w:t xml:space="preserve"> </w:t>
      </w:r>
      <w:r>
        <w:t xml:space="preserve">7</w:t>
      </w:r>
      <w:r>
        <w:t xml:space="preserve"> </w:t>
      </w:r>
      <w:r>
        <w:t xml:space="preserve">5.6</w:t>
      </w:r>
      <w:r>
        <w:t xml:space="preserve"> </w:t>
      </w:r>
      <w:r>
        <w:t xml:space="preserve">6.6</w:t>
      </w:r>
      <w:r>
        <w:t xml:space="preserve"> </w:t>
      </w:r>
      <w:r>
        <w:t xml:space="preserve">4.8</w:t>
      </w:r>
      <w:r>
        <w:t xml:space="preserve"> </w:t>
      </w:r>
      <w:r>
        <w:t xml:space="preserve">5.8</w:t>
      </w:r>
      <w:r>
        <w:t xml:space="preserve"> </w:t>
      </w:r>
      <w:r>
        <w:t xml:space="preserve">4.4</w:t>
      </w:r>
      <w:r>
        <w:t xml:space="preserve"> </w:t>
      </w:r>
      <w:r>
        <w:t xml:space="preserve">Debt</w:t>
      </w:r>
      <w:r>
        <w:t xml:space="preserve"> </w:t>
      </w:r>
      <w:r>
        <w:t xml:space="preserve">4.7</w:t>
      </w:r>
      <w:r>
        <w:t xml:space="preserve"> </w:t>
      </w:r>
      <w:r>
        <w:t xml:space="preserve">4.9</w:t>
      </w:r>
      <w:r>
        <w:t xml:space="preserve"> </w:t>
      </w:r>
      <w:r>
        <w:t xml:space="preserve">4.8</w:t>
      </w:r>
      <w:r>
        <w:t xml:space="preserve"> </w:t>
      </w:r>
      <w:r>
        <w:t xml:space="preserve">4.4</w:t>
      </w:r>
      <w:r>
        <w:t xml:space="preserve"> </w:t>
      </w:r>
      <w:r>
        <w:t xml:space="preserve">4.7</w:t>
      </w:r>
      <w:r>
        <w:t xml:space="preserve"> </w:t>
      </w:r>
      <w:r>
        <w:t xml:space="preserve">4.3</w:t>
      </w:r>
      <w:r>
        <w:t xml:space="preserve"> </w:t>
      </w:r>
      <w:r>
        <w:t xml:space="preserve">Mean</w:t>
      </w:r>
      <w:r>
        <w:t xml:space="preserve"> </w:t>
      </w:r>
      <w:r>
        <w:t xml:space="preserve">6.2</w:t>
      </w:r>
      <w:r>
        <w:t xml:space="preserve"> </w:t>
      </w:r>
      <w:r>
        <w:t xml:space="preserve">5.4</w:t>
      </w:r>
      <w:r>
        <w:t xml:space="preserve"> </w:t>
      </w:r>
      <w:r>
        <w:t xml:space="preserve">6</w:t>
      </w:r>
      <w:r>
        <w:t xml:space="preserve"> </w:t>
      </w:r>
      <w:r>
        <w:t xml:space="preserve">4.6</w:t>
      </w:r>
      <w:r>
        <w:t xml:space="preserve"> </w:t>
      </w:r>
      <w:r>
        <w:t xml:space="preserve">5.4</w:t>
      </w:r>
      <w:r>
        <w:t xml:space="preserve"> </w:t>
      </w:r>
      <w:r>
        <w:t xml:space="preserve">4.3</w:t>
      </w:r>
      <w:r>
        <w:t xml:space="preserve"> </w:t>
      </w:r>
      <w:r>
        <w:t xml:space="preserve">Debt Bias*</w:t>
      </w:r>
      <w:r>
        <w:t xml:space="preserve"> </w:t>
      </w:r>
      <w:r>
        <w:t xml:space="preserve">2.3</w:t>
      </w:r>
      <w:r>
        <w:t xml:space="preserve"> </w:t>
      </w:r>
      <w:r>
        <w:t xml:space="preserve">0.7</w:t>
      </w:r>
      <w:r>
        <w:t xml:space="preserve"> </w:t>
      </w:r>
      <w:r>
        <w:t xml:space="preserve">1.8</w:t>
      </w:r>
      <w:r>
        <w:t xml:space="preserve"> </w:t>
      </w:r>
      <w:r>
        <w:t xml:space="preserve">0.4</w:t>
      </w:r>
      <w:r>
        <w:t xml:space="preserve"> </w:t>
      </w:r>
      <w:r>
        <w:t xml:space="preserve">1.1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Source: ZEW (2020)</w:t>
      </w:r>
      <w:r>
        <w:t xml:space="preserve"> </w:t>
      </w:r>
      <w:r>
        <w:t xml:space="preserve">Although all these measures provide for a tax allowance on equity, they differ in policy</w:t>
      </w:r>
      <w:r>
        <w:t xml:space="preserve"> </w:t>
      </w:r>
      <w:r>
        <w:t xml:space="preserve">design (e.g., interest rate of the allowance, calculation of the basis for the allowance, type</w:t>
      </w:r>
      <w:r>
        <w:t xml:space="preserve"> </w:t>
      </w:r>
      <w:r>
        <w:t xml:space="preserve">and severity of anti-tax avoidance measures). Such differences can have negative</w:t>
      </w:r>
      <w:r>
        <w:t xml:space="preserve"> </w:t>
      </w:r>
      <w:r>
        <w:t xml:space="preserve">consequences for the single market. Firstly, the interaction between different measures,</w:t>
      </w:r>
      <w:r>
        <w:t xml:space="preserve"> </w:t>
      </w:r>
      <w:r>
        <w:t xml:space="preserve">combined with the absence of equivalent measures in other Member States, can lead</w:t>
      </w:r>
      <w:r>
        <w:t xml:space="preserve"> </w:t>
      </w:r>
      <w:r>
        <w:t xml:space="preserve">businesses to base their investment financing decisions on the availability (or not) and the</w:t>
      </w:r>
      <w:r>
        <w:t xml:space="preserve"> </w:t>
      </w:r>
      <w:r>
        <w:t xml:space="preserve">generosity of rules that allow deductions for equity costs. This creates distortions and a</w:t>
      </w:r>
      <w:r>
        <w:t xml:space="preserve"> </w:t>
      </w:r>
      <w:r>
        <w:t xml:space="preserve">misallocation of investments in the single market. Secondly, these measures, when</w:t>
      </w:r>
      <w:r>
        <w:t xml:space="preserve"> </w:t>
      </w:r>
      <w:r>
        <w:t xml:space="preserve">applied at the national level only, without a harmonised anti-tax avoidance framework,</w:t>
      </w:r>
      <w:r>
        <w:t xml:space="preserve"> </w:t>
      </w:r>
      <w:r>
        <w:t xml:space="preserve">can create loopholes that can be exploited for aggressive tax planning purposes and</w:t>
      </w:r>
      <w:r>
        <w:t xml:space="preserve"> </w:t>
      </w:r>
      <w:r>
        <w:t xml:space="preserve">increase harmful tax competition among Member States, leading to tax avoidance and</w:t>
      </w:r>
      <w:r>
        <w:t xml:space="preserve"> </w:t>
      </w:r>
      <w:r>
        <w:t xml:space="preserve">evasion. Finally, different country-specific approaches to mitigate the debt-equity bias</w:t>
      </w:r>
      <w:r>
        <w:t xml:space="preserve"> </w:t>
      </w:r>
      <w:r>
        <w:t xml:space="preserve">increase compliance costs for businesses active across borders.</w:t>
      </w:r>
      <w:r>
        <w:t xml:space="preserve"> </w:t>
      </w:r>
      <w:r>
        <w:t xml:space="preserve">The need for measures to tackle the debt-equity bias, was recognized by some of the</w:t>
      </w:r>
      <w:r>
        <w:t xml:space="preserve"> </w:t>
      </w:r>
      <w:r>
        <w:t xml:space="preserve">stakeholders during the public consultation. One business association expressed the belief</w:t>
      </w:r>
      <w:r>
        <w:t xml:space="preserve"> </w:t>
      </w:r>
      <w:r>
        <w:t xml:space="preserve">that promoting equity financing is essential to promoting strong and sustainable business</w:t>
      </w:r>
      <w:r>
        <w:t xml:space="preserve"> </w:t>
      </w:r>
      <w:r>
        <w:t xml:space="preserve">growth. This view was shared by another stakeholder which specifically stated that: “Tax</w:t>
      </w:r>
      <w:r>
        <w:t xml:space="preserve"> </w:t>
      </w:r>
      <w:r>
        <w:t xml:space="preserve">measures that aim at facilitating equity financing will be welcome, provided they are</w:t>
      </w:r>
      <w:r>
        <w:t xml:space="preserve"> </w:t>
      </w:r>
      <w:r>
        <w:t xml:space="preserve">coherent with the overarching economic policies.” Business associations, companies and</w:t>
      </w:r>
      <w:r>
        <w:t xml:space="preserve"> </w:t>
      </w:r>
      <w:r>
        <w:t xml:space="preserve">academics respondents clearly agree that such an initiative will reduce tax competition</w:t>
      </w:r>
      <w:r>
        <w:t xml:space="preserve"> </w:t>
      </w:r>
      <w:r>
        <w:t xml:space="preserve">between Member States. Importantly, all respondents think that an EU initiative would</w:t>
      </w:r>
      <w:r>
        <w:t xml:space="preserve"> </w:t>
      </w:r>
      <w:r>
        <w:t xml:space="preserve">be beneficial for enterprises operating across countries in the single market.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The debt-equity bias and its determinants</w:t>
      </w:r>
      <w:r>
        <w:t xml:space="preserve"> </w:t>
      </w:r>
      <w:r>
        <w:t xml:space="preserve">How large is the debt-equity bias? One approach to measure the debt-equity bias is to</w:t>
      </w:r>
      <w:r>
        <w:t xml:space="preserve"> </w:t>
      </w:r>
      <w:r>
        <w:t xml:space="preserve">compare the cost of capital for equity-financed investments with that of debt-financed</w:t>
      </w:r>
      <w:r>
        <w:t xml:space="preserve"> </w:t>
      </w:r>
      <w:r>
        <w:t xml:space="preserve">investments. Figure 3 shows the debt bias in corporate taxation, measured as the</w:t>
      </w:r>
      <w:r>
        <w:t xml:space="preserve"> </w:t>
      </w:r>
      <w:r>
        <w:t xml:space="preserve">difference in cost of capital between new equity and debt-financed investment. One can</w:t>
      </w:r>
      <w:r>
        <w:t xml:space="preserve"> </w:t>
      </w:r>
      <w:r>
        <w:t xml:space="preserve">see that the Member States which have implemented an allowance for equity (i.e.,</w:t>
      </w:r>
      <w:r>
        <w:t xml:space="preserve"> </w:t>
      </w:r>
      <w:r>
        <w:t xml:space="preserve">Belgium, Cyprus, Italy, Malta, Poland and Portugal) have no or a very low debt-equity</w:t>
      </w:r>
      <w:r>
        <w:t xml:space="preserve"> </w:t>
      </w:r>
      <w:r>
        <w:t xml:space="preserve">bias25. Hence, the introduction of a specific measure on equity can lead to a reduction of</w:t>
      </w:r>
      <w:r>
        <w:t xml:space="preserve"> </w:t>
      </w:r>
      <w:r>
        <w:t xml:space="preserve">even the elimination of the bias.</w:t>
      </w:r>
    </w:p>
    <w:p>
      <w:pPr>
        <w:pStyle w:val="BodyText"/>
      </w:pPr>
      <w:r>
        <w:t xml:space="preserve">25 Note that the cost-of-capital calculations are theoretical calculations based on the tax code. A zero debt-</w:t>
      </w:r>
      <w:r>
        <w:t xml:space="preserve"> </w:t>
      </w:r>
      <w:r>
        <w:t xml:space="preserve">equity bias in MT, PT, IT, PL and BE thus follow by assumption and do not derive from an empirical</w:t>
      </w:r>
      <w:r>
        <w:t xml:space="preserve"> </w:t>
      </w:r>
      <w:r>
        <w:t xml:space="preserve">measurement.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Figure 3: Debt-equity bias in corporate financing 2010 and 202026</w:t>
      </w:r>
    </w:p>
    <w:p>
      <w:pPr>
        <w:pStyle w:val="BodyText"/>
      </w:pPr>
      <w:r>
        <w:t xml:space="preserve">Source: Annual Report on Taxation (European Commission 2021)</w:t>
      </w:r>
      <w:r>
        <w:br/>
      </w:r>
      <w:r>
        <w:t xml:space="preserve">Notes: (1) The cost of capital measures the required minimum pre-tax return of a real investment (the ‘marginal investment’) to</w:t>
      </w:r>
      <w:r>
        <w:t xml:space="preserve"> </w:t>
      </w:r>
      <w:r>
        <w:t xml:space="preserve">achieve a 5% after tax real return. (2) To reflect the allowance for corporate equity in Belgium, Cyprus, Italy, Malta, Poland and</w:t>
      </w:r>
      <w:r>
        <w:t xml:space="preserve"> </w:t>
      </w:r>
      <w:r>
        <w:t xml:space="preserve">Portugal, the assumption is that the rates of these allowances equal the market interest rate in the model. For Belgium, the debt-equity</w:t>
      </w:r>
      <w:r>
        <w:t xml:space="preserve"> </w:t>
      </w:r>
      <w:r>
        <w:t xml:space="preserve">bias could be non-zero due to the notional interest rate being relatively low, while the eligible equity only covers the average annual</w:t>
      </w:r>
      <w:r>
        <w:t xml:space="preserve"> </w:t>
      </w:r>
      <w:r>
        <w:t xml:space="preserve">increase over the previous 5 years. For Cyprus, the bias is small, since the allowance does not apply to investments in financial assets.</w:t>
      </w:r>
    </w:p>
    <w:p>
      <w:pPr>
        <w:pStyle w:val="BodyText"/>
      </w:pPr>
      <w:r>
        <w:t xml:space="preserve">One can also see that countries with high statutory CIT rates tend to have a higher debt-</w:t>
      </w:r>
      <w:r>
        <w:t xml:space="preserve"> </w:t>
      </w:r>
      <w:r>
        <w:t xml:space="preserve">equity bias. Ceteris paribus, the advantage of tax deductibility of interest payments</w:t>
      </w:r>
      <w:r>
        <w:t xml:space="preserve"> </w:t>
      </w:r>
      <w:r>
        <w:t xml:space="preserve">increases with the statutory tax rate. The higher the rate of the corporate income tax in a</w:t>
      </w:r>
      <w:r>
        <w:t xml:space="preserve"> </w:t>
      </w:r>
      <w:r>
        <w:t xml:space="preserve">given country, the stronger is the bias towards debt for the financing of new investments.</w:t>
      </w:r>
      <w:r>
        <w:t xml:space="preserve"> </w:t>
      </w:r>
      <w:r>
        <w:t xml:space="preserve">In the last decade, while the debt-equity bias has increased or remained stable for some</w:t>
      </w:r>
      <w:r>
        <w:t xml:space="preserve"> </w:t>
      </w:r>
      <w:r>
        <w:t xml:space="preserve">countries, it has decreased for others. The decrease is probably driven by the downward</w:t>
      </w:r>
      <w:r>
        <w:t xml:space="preserve"> </w:t>
      </w:r>
      <w:r>
        <w:t xml:space="preserve">trend of CIT rates in the EU and the consistent decline in interest rates. However, this is a</w:t>
      </w:r>
      <w:r>
        <w:t xml:space="preserve"> </w:t>
      </w:r>
      <w:r>
        <w:t xml:space="preserve">reversible trend such that specific measures might be needed to avoid a possible increase</w:t>
      </w:r>
      <w:r>
        <w:t xml:space="preserve"> </w:t>
      </w:r>
      <w:r>
        <w:t xml:space="preserve">in the debt bias due to changes in macroeconomic variables.</w:t>
      </w:r>
      <w:r>
        <w:t xml:space="preserve"> </w:t>
      </w:r>
      <w:r>
        <w:t xml:space="preserve">The prevailing interest rate also affects the debt-equity bias. A higher interest rate results</w:t>
      </w:r>
      <w:r>
        <w:t xml:space="preserve"> </w:t>
      </w:r>
      <w:r>
        <w:t xml:space="preserve">in higher interest payments that significantly reduce the taxable base of businesses. This</w:t>
      </w:r>
      <w:r>
        <w:t xml:space="preserve"> </w:t>
      </w:r>
      <w:r>
        <w:t xml:space="preserve">means less tax is due. The tax-induced bias for debt is thus stronger. However,</w:t>
      </w:r>
      <w:r>
        <w:t xml:space="preserve"> </w:t>
      </w:r>
      <w:r>
        <w:t xml:space="preserve">everything else being equal, one would expect that higher interest rates reduce the</w:t>
      </w:r>
      <w:r>
        <w:t xml:space="preserve"> </w:t>
      </w:r>
      <w:r>
        <w:t xml:space="preserve">demand for debt with a possible negative impact on investment. In a similar vein, rising</w:t>
      </w:r>
      <w:r>
        <w:t xml:space="preserve"> </w:t>
      </w:r>
      <w:r>
        <w:t xml:space="preserve">interest rates increase the burden for a company to service a given debt level. The ECB</w:t>
      </w:r>
      <w:r>
        <w:t xml:space="preserve"> </w:t>
      </w:r>
      <w:r>
        <w:t xml:space="preserve">points out that “higher (risk-free) rates would increase debt servicing costs from</w:t>
      </w:r>
      <w:r>
        <w:t xml:space="preserve"> </w:t>
      </w:r>
      <w:r>
        <w:t xml:space="preserve">historical lows and could raise medium-term risks in countries with elevated debt levels”</w:t>
      </w:r>
    </w:p>
    <w:p>
      <w:pPr>
        <w:pStyle w:val="BodyText"/>
      </w:pPr>
      <w:r>
        <w:t xml:space="preserve">26 BE appears in the figure as the sole country without a debt equity bias in 2010 because it was the only</w:t>
      </w:r>
      <w:r>
        <w:t xml:space="preserve"> </w:t>
      </w:r>
      <w:r>
        <w:t xml:space="preserve">EU member state with an allowance for equity in place at the time. The 5 others have been introduced after</w:t>
      </w:r>
      <w:r>
        <w:t xml:space="preserve"> </w:t>
      </w:r>
      <w:r>
        <w:t xml:space="preserve">2010.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(ECB, 2021). Increasing interest rates thus increase the business risk associated with</w:t>
      </w:r>
      <w:r>
        <w:t xml:space="preserve"> </w:t>
      </w:r>
      <w:r>
        <w:t xml:space="preserve">indebtedness and aggravate the problem of high debt levels.</w:t>
      </w:r>
      <w:r>
        <w:br/>
      </w:r>
      <w:r>
        <w:t xml:space="preserve">The debt-equity bias can also be addressed through the tax-treatment of corporate debt.</w:t>
      </w:r>
      <w:r>
        <w:t xml:space="preserve"> </w:t>
      </w:r>
      <w:r>
        <w:t xml:space="preserve">Many countries have implemented interest limitation rules or thin capitalization rules.</w:t>
      </w:r>
      <w:r>
        <w:t xml:space="preserve"> </w:t>
      </w:r>
      <w:r>
        <w:t xml:space="preserve">Such rules limit the amount of interest that can actually be deducted. It has been shown</w:t>
      </w:r>
      <w:r>
        <w:t xml:space="preserve"> </w:t>
      </w:r>
      <w:r>
        <w:t xml:space="preserve">that these rules increase the cost of debt and thus indeed reduce the debt-equity bias27.</w:t>
      </w:r>
      <w:r>
        <w:t xml:space="preserve"> </w:t>
      </w:r>
      <w:r>
        <w:t xml:space="preserve">Common interest limitation rules in the EU have been introduced by the first Anti-Tax</w:t>
      </w:r>
      <w:r>
        <w:t xml:space="preserve"> </w:t>
      </w:r>
      <w:r>
        <w:t xml:space="preserve">Avoidance Directive (ATAD 1)28 with the primary objective of countering tax avoidance</w:t>
      </w:r>
      <w:r>
        <w:t xml:space="preserve"> </w:t>
      </w:r>
      <w:r>
        <w:t xml:space="preserve">and aggressive tax planning. As indicated, these rules do to some extent also contribute</w:t>
      </w:r>
      <w:r>
        <w:t xml:space="preserve"> </w:t>
      </w:r>
      <w:r>
        <w:t xml:space="preserve">to mitigating the debt-equity bias and related over-indebtedness.</w:t>
      </w:r>
      <w:r>
        <w:br/>
      </w:r>
      <w:r>
        <w:t xml:space="preserve">The EU’s interest limitation rule is laid down in Article 4 of ATAD 1 and prescribes that</w:t>
      </w:r>
      <w:r>
        <w:t xml:space="preserve"> </w:t>
      </w:r>
      <w:r>
        <w:t xml:space="preserve">the total annual borrowing costs can be fully deductible for tax purposes to the extent that</w:t>
      </w:r>
      <w:r>
        <w:t xml:space="preserve"> </w:t>
      </w:r>
      <w:r>
        <w:t xml:space="preserve">they do not exceed taxable interest and other economically equivalent taxable revenues.</w:t>
      </w:r>
      <w:r>
        <w:t xml:space="preserve"> </w:t>
      </w:r>
      <w:r>
        <w:t xml:space="preserve">The deductibility of any excess borrowing costs (without distinction of whether the costs</w:t>
      </w:r>
      <w:r>
        <w:t xml:space="preserve"> </w:t>
      </w:r>
      <w:r>
        <w:t xml:space="preserve">derive from domestic or cross-border transactions) is limited to the higher of:</w:t>
      </w:r>
      <w:r>
        <w:t xml:space="preserve"> </w:t>
      </w:r>
      <w:r>
        <w:t xml:space="preserve"> A Safe Harbour of EUR 3 million, or</w:t>
      </w:r>
      <w:r>
        <w:t xml:space="preserve"> </w:t>
      </w:r>
      <w:r>
        <w:t xml:space="preserve"> 30% of EBITDA (Earnings before interest, tax, depreciation and amortisation)</w:t>
      </w:r>
      <w:r>
        <w:t xml:space="preserve"> </w:t>
      </w:r>
      <w:r>
        <w:t xml:space="preserve">These are de-minimis provisions and Member States have implemented these rules</w:t>
      </w:r>
      <w:r>
        <w:t xml:space="preserve"> </w:t>
      </w:r>
      <w:r>
        <w:t xml:space="preserve">differently. Some Member States have gone further, for example, by applying a lower</w:t>
      </w:r>
      <w:r>
        <w:t xml:space="preserve"> </w:t>
      </w:r>
      <w:r>
        <w:t xml:space="preserve">Safe Harbour, a lower percentage limit than foreseen in the ATAD provision, or</w:t>
      </w:r>
      <w:r>
        <w:t xml:space="preserve"> </w:t>
      </w:r>
      <w:r>
        <w:t xml:space="preserve">introducing the limit based on earnings before interest, tax and depreciation (EBITD)</w:t>
      </w:r>
      <w:r>
        <w:t xml:space="preserve"> </w:t>
      </w:r>
      <w:r>
        <w:t xml:space="preserve">instead of EBITDA. An overview of the specific interest limitation rules applied in the</w:t>
      </w:r>
      <w:r>
        <w:t xml:space="preserve"> </w:t>
      </w:r>
      <w:r>
        <w:t xml:space="preserve">EU is provided in Table A7.2 in Annex 7.</w:t>
      </w:r>
      <w:r>
        <w:t xml:space="preserve"> </w:t>
      </w:r>
      <w:r>
        <w:t xml:space="preserve">2.3. How will the problem evolve?</w:t>
      </w:r>
      <w:r>
        <w:t xml:space="preserve"> </w:t>
      </w:r>
      <w:r>
        <w:t xml:space="preserve">Most problems that are directly or indirectly related to the debt-equity bias will not</w:t>
      </w:r>
      <w:r>
        <w:t xml:space="preserve"> </w:t>
      </w:r>
      <w:r>
        <w:t xml:space="preserve">change as long as the debt-equity bias persists and no specific measures to address it are</w:t>
      </w:r>
      <w:r>
        <w:t xml:space="preserve"> </w:t>
      </w:r>
      <w:r>
        <w:t xml:space="preserve">introduced. The bias emanates from the different tax treatment of debt versus equity and</w:t>
      </w:r>
      <w:r>
        <w:t xml:space="preserve"> </w:t>
      </w:r>
      <w:r>
        <w:t xml:space="preserve">there are no external drivers that, if addressed, would permanently solve or mitigate the</w:t>
      </w:r>
      <w:r>
        <w:t xml:space="preserve"> </w:t>
      </w:r>
      <w:r>
        <w:t xml:space="preserve">issue. In other words, if no action is taken in the field of taxation, the debt bias and the</w:t>
      </w:r>
      <w:r>
        <w:t xml:space="preserve"> </w:t>
      </w:r>
      <w:r>
        <w:t xml:space="preserve">associated negative repercussions will persist.</w:t>
      </w:r>
      <w:r>
        <w:br/>
      </w:r>
      <w:r>
        <w:t xml:space="preserve">As detailed above, low CIT rates and low interest rates could reduce the bias. However,</w:t>
      </w:r>
      <w:r>
        <w:t xml:space="preserve"> </w:t>
      </w:r>
      <w:r>
        <w:t xml:space="preserve">such measures depend on the macroeconomic situation more generally and might change.</w:t>
      </w:r>
      <w:r>
        <w:t xml:space="preserve"> </w:t>
      </w:r>
      <w:r>
        <w:t xml:space="preserve">For example, an increase in inflation might lead to an increase in interest rates.</w:t>
      </w:r>
    </w:p>
    <w:p>
      <w:pPr>
        <w:pStyle w:val="BodyText"/>
      </w:pPr>
      <w:r>
        <w:t xml:space="preserve">27 See European Commission (2016b) and IMF (2016) on the effectiveness of interest limitation rules and</w:t>
      </w:r>
      <w:r>
        <w:t xml:space="preserve"> </w:t>
      </w:r>
      <w:r>
        <w:t xml:space="preserve">thin capitalization rules for mitigation of the debt-equity bias.</w:t>
      </w:r>
      <w:r>
        <w:t xml:space="preserve"> </w:t>
      </w:r>
      <w:r>
        <w:t xml:space="preserve">28 COUNCIL DIRECTIVE (EU) 2016/1164 of 12 July 2016 laying down rules against tax avoidance</w:t>
      </w:r>
      <w:r>
        <w:t xml:space="preserve"> </w:t>
      </w:r>
      <w:r>
        <w:t xml:space="preserve">practices that directly affect the functioning of the internal market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Member States could also individually implement actions that reduce the debt bias and</w:t>
      </w:r>
      <w:r>
        <w:t xml:space="preserve"> </w:t>
      </w:r>
      <w:r>
        <w:t xml:space="preserve">the ‘price’ of equity. So far, only a few Member States have used such measures, while</w:t>
      </w:r>
      <w:r>
        <w:t xml:space="preserve"> </w:t>
      </w:r>
      <w:r>
        <w:t xml:space="preserve">the issue has been a long-lasting one. Accordingly, one may expect that it would take</w:t>
      </w:r>
      <w:r>
        <w:t xml:space="preserve"> </w:t>
      </w:r>
      <w:r>
        <w:t xml:space="preserve">time for additional Member States to take action while some may continue to choose to</w:t>
      </w:r>
      <w:r>
        <w:t xml:space="preserve"> </w:t>
      </w:r>
      <w:r>
        <w:t xml:space="preserve">take no action at all. Moreover, actions taken at national level can result in a patchwork</w:t>
      </w:r>
      <w:r>
        <w:t xml:space="preserve"> </w:t>
      </w:r>
      <w:r>
        <w:t xml:space="preserve">of different rules, increasing regulatory complexity across the EU for businesses and</w:t>
      </w:r>
      <w:r>
        <w:t xml:space="preserve"> </w:t>
      </w:r>
      <w:r>
        <w:t xml:space="preserve">creating opportunities for tax planning and tax avoidance and evasion.</w:t>
      </w:r>
      <w:r>
        <w:br/>
      </w:r>
      <w:r>
        <w:t xml:space="preserve">Several EU policies that aim to provide incentives and access to financing, notably to</w:t>
      </w:r>
      <w:r>
        <w:t xml:space="preserve"> </w:t>
      </w:r>
      <w:r>
        <w:t xml:space="preserve">meet the investment needs related to the recovery and the digital and green transitions,</w:t>
      </w:r>
      <w:r>
        <w:t xml:space="preserve"> </w:t>
      </w:r>
      <w:r>
        <w:t xml:space="preserve">could contribute to reducing the cost of equity. The EU’s Recovery and Resilience</w:t>
      </w:r>
      <w:r>
        <w:t xml:space="preserve"> </w:t>
      </w:r>
      <w:r>
        <w:t xml:space="preserve">Facility (RRF) provides emergency financing for the recovery, containing minimum</w:t>
      </w:r>
      <w:r>
        <w:t xml:space="preserve"> </w:t>
      </w:r>
      <w:r>
        <w:t xml:space="preserve">thresholds for investments and reforms geared towards the green and digital transitions.</w:t>
      </w:r>
      <w:r>
        <w:t xml:space="preserve"> </w:t>
      </w:r>
      <w:r>
        <w:t xml:space="preserve">The RRF, however, is very much a country-led process in terms of the design and choice</w:t>
      </w:r>
      <w:r>
        <w:t xml:space="preserve"> </w:t>
      </w:r>
      <w:r>
        <w:t xml:space="preserve">of policies, so it would not necessarily address the issue of cross-country differences. The</w:t>
      </w:r>
      <w:r>
        <w:t xml:space="preserve"> </w:t>
      </w:r>
      <w:r>
        <w:t xml:space="preserve">Action Plan for the Capital Market Union29 has also announced several policy measures</w:t>
      </w:r>
      <w:r>
        <w:t xml:space="preserve"> </w:t>
      </w:r>
      <w:r>
        <w:t xml:space="preserve">aimed at improving the access to equity financing, such as encouraging more long-term</w:t>
      </w:r>
      <w:r>
        <w:t xml:space="preserve"> </w:t>
      </w:r>
      <w:r>
        <w:t xml:space="preserve">and equity financing from institutional investors and increasing the visibility of</w:t>
      </w:r>
      <w:r>
        <w:t xml:space="preserve"> </w:t>
      </w:r>
      <w:r>
        <w:t xml:space="preserve">businesses to cross-border investors. However, such measures do not directly address the</w:t>
      </w:r>
      <w:r>
        <w:t xml:space="preserve"> </w:t>
      </w:r>
      <w:r>
        <w:t xml:space="preserve">tax-system induced treatment that incentivises or favours the use of debt over equity,</w:t>
      </w:r>
      <w:r>
        <w:t xml:space="preserve"> </w:t>
      </w:r>
      <w:r>
        <w:t xml:space="preserve">which means the debt-equity bias will nonetheless persist. This is precisely why, as</w:t>
      </w:r>
      <w:r>
        <w:t xml:space="preserve"> </w:t>
      </w:r>
      <w:r>
        <w:t xml:space="preserve">previously mentioned, both the Capital Markets Union Action Plan itself and the</w:t>
      </w:r>
      <w:r>
        <w:t xml:space="preserve"> </w:t>
      </w:r>
      <w:r>
        <w:t xml:space="preserve">Commission’s Communication on Taxation for the 21st Century seek action to</w:t>
      </w:r>
      <w:r>
        <w:t xml:space="preserve"> </w:t>
      </w:r>
      <w:r>
        <w:t xml:space="preserve">specifically alleviate the tax associated burden in cross-border investment.</w:t>
      </w:r>
      <w:r>
        <w:br/>
      </w:r>
      <w:r>
        <w:t xml:space="preserve">2.4. DEBRA in context of the Commission’s Strategic Foresight report</w:t>
      </w:r>
      <w:r>
        <w:t xml:space="preserve"> </w:t>
      </w:r>
      <w:r>
        <w:t xml:space="preserve">An initiative to address the debt-equity bias is expected to foster an increase of equity</w:t>
      </w:r>
      <w:r>
        <w:t xml:space="preserve"> </w:t>
      </w:r>
      <w:r>
        <w:t xml:space="preserve">investments in the EU and mitigate tax-related incentives that help sustain high leverage</w:t>
      </w:r>
      <w:r>
        <w:t xml:space="preserve"> </w:t>
      </w:r>
      <w:r>
        <w:t xml:space="preserve">and overreliance on debt. Consequently, the DEBRA initiative could be expected to</w:t>
      </w:r>
      <w:r>
        <w:t xml:space="preserve"> </w:t>
      </w:r>
      <w:r>
        <w:t xml:space="preserve">contribute positively to three of the ten areas identified in the EU’s 2021 Strategic</w:t>
      </w:r>
      <w:r>
        <w:t xml:space="preserve"> </w:t>
      </w:r>
      <w:r>
        <w:t xml:space="preserve">Foresight Report (“SFR”)30. On the area of “Digital hyper connectivity and technological</w:t>
      </w:r>
      <w:r>
        <w:t xml:space="preserve"> </w:t>
      </w:r>
      <w:r>
        <w:t xml:space="preserve">transformations” the SFR states that the EU lags behind its main competitors in the</w:t>
      </w:r>
      <w:r>
        <w:t xml:space="preserve"> </w:t>
      </w:r>
      <w:r>
        <w:t xml:space="preserve">availability of “private investment into research”. By reducing the treatment differences</w:t>
      </w:r>
      <w:r>
        <w:t xml:space="preserve"> </w:t>
      </w:r>
      <w:r>
        <w:t xml:space="preserve">between debt and equity, DEBRA may create incentives to increase private investments</w:t>
      </w:r>
      <w:r>
        <w:t xml:space="preserve"> </w:t>
      </w:r>
      <w:r>
        <w:t xml:space="preserve">in the EU.</w:t>
      </w:r>
      <w:r>
        <w:t xml:space="preserve"> </w:t>
      </w:r>
      <w:r>
        <w:t xml:space="preserve">The same applies to the area of environmental and energy innovation. According to the</w:t>
      </w:r>
      <w:r>
        <w:t xml:space="preserve"> </w:t>
      </w:r>
      <w:r>
        <w:t xml:space="preserve">SFR, the EU will need EUR 470 billion in investment to reach its 2030 climate and</w:t>
      </w:r>
      <w:r>
        <w:t xml:space="preserve"> </w:t>
      </w:r>
      <w:r>
        <w:t xml:space="preserve">environmental objectives; and new technologies will be key to ensuring that energy</w:t>
      </w:r>
      <w:r>
        <w:t xml:space="preserve"> </w:t>
      </w:r>
      <w:r>
        <w:t xml:space="preserve">decarbonisation objectives are reached. These investments will require a massive</w:t>
      </w:r>
      <w:r>
        <w:t xml:space="preserve"> </w:t>
      </w:r>
      <w:r>
        <w:t xml:space="preserve">mobilization of private capital. Addressing the debt-equity bias and introducing a means</w:t>
      </w:r>
    </w:p>
    <w:p>
      <w:pPr>
        <w:pStyle w:val="BodyText"/>
      </w:pPr>
      <w:r>
        <w:t xml:space="preserve">29 COM(2020) 590 final</w:t>
      </w:r>
      <w:r>
        <w:t xml:space="preserve"> </w:t>
      </w:r>
      <w:r>
        <w:t xml:space="preserve">30 https://ec.europa.eu/info/strategy/strategic-planning/strategic-foresight/2021-strategic-foresight-</w:t>
      </w:r>
      <w:r>
        <w:t xml:space="preserve"> </w:t>
      </w:r>
      <w:r>
        <w:t xml:space="preserve">report_en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of incentivising equity would facilitate an increase in private investment in green</w:t>
      </w:r>
      <w:r>
        <w:t xml:space="preserve"> </w:t>
      </w:r>
      <w:r>
        <w:t xml:space="preserve">innovative technology and thus help the EU reach its 2030 climate objectives.</w:t>
      </w:r>
      <w:r>
        <w:t xml:space="preserve"> </w:t>
      </w:r>
      <w:r>
        <w:t xml:space="preserve">Lastly, the initiative is also in line with the EU’s objectives of creating resilient and</w:t>
      </w:r>
      <w:r>
        <w:t xml:space="preserve"> </w:t>
      </w:r>
      <w:r>
        <w:t xml:space="preserve">stable economies that are prepared for future shocks. According to the SFR, solid</w:t>
      </w:r>
      <w:r>
        <w:t xml:space="preserve"> </w:t>
      </w:r>
      <w:r>
        <w:t xml:space="preserve">economic fundamentals, productivity, investments and reforms will determine the EU’s</w:t>
      </w:r>
      <w:r>
        <w:t xml:space="preserve"> </w:t>
      </w:r>
      <w:r>
        <w:t xml:space="preserve">future economic performance, linked with positive financing conditions for the public</w:t>
      </w:r>
      <w:r>
        <w:t xml:space="preserve"> </w:t>
      </w:r>
      <w:r>
        <w:t xml:space="preserve">and private sector. High-levels of debt increase risks of bankruptcy and of a systemic</w:t>
      </w:r>
      <w:r>
        <w:t xml:space="preserve"> </w:t>
      </w:r>
      <w:r>
        <w:t xml:space="preserve">crisis. By reducing incentives to debt financing and promoting equity investments,</w:t>
      </w:r>
      <w:r>
        <w:t xml:space="preserve"> </w:t>
      </w:r>
      <w:r>
        <w:t xml:space="preserve">DEBRA would lower debt levels of EU companies and contribute to a more robust</w:t>
      </w:r>
      <w:r>
        <w:t xml:space="preserve"> </w:t>
      </w:r>
      <w:r>
        <w:t xml:space="preserve">economy.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The debt-equity bias is a long-standing issue that has gained much attention globally</w:t>
      </w:r>
      <w:r>
        <w:t xml:space="preserve"> </w:t>
      </w:r>
      <w:r>
        <w:t xml:space="preserve">from business and academic research. With this initiative, the EU, one of the world’s</w:t>
      </w:r>
      <w:r>
        <w:t xml:space="preserve"> </w:t>
      </w:r>
      <w:r>
        <w:t xml:space="preserve">major economic actors and one of the largest capital markets globally, would act to</w:t>
      </w:r>
      <w:r>
        <w:t xml:space="preserve"> </w:t>
      </w:r>
      <w:r>
        <w:t xml:space="preserve">remedy the bias in a coordinated and harmonised way, with a strong homogenous anti-</w:t>
      </w:r>
      <w:r>
        <w:t xml:space="preserve"> </w:t>
      </w:r>
      <w:r>
        <w:t xml:space="preserve">tax abuse framework applicable across the EU, mitigating mismatches and loopholes.</w:t>
      </w:r>
      <w:r>
        <w:t xml:space="preserve"> </w:t>
      </w:r>
      <w:r>
        <w:t xml:space="preserve">Only an EU-wide measure can mitigate the problem across the EU for all EU businesses,</w:t>
      </w:r>
      <w:r>
        <w:t xml:space="preserve"> </w:t>
      </w:r>
      <w:r>
        <w:t xml:space="preserve">while not leaving room for harmful tax practices.</w:t>
      </w:r>
      <w:r>
        <w:br/>
      </w:r>
      <w:r>
        <w:t xml:space="preserve">3.1. Legal basis</w:t>
      </w:r>
      <w:r>
        <w:t xml:space="preserve"> </w:t>
      </w:r>
      <w:r>
        <w:t xml:space="preserve">The legal base for this initiative is Article 115 TFEU on the approximation of laws of the</w:t>
      </w:r>
      <w:r>
        <w:t xml:space="preserve"> </w:t>
      </w:r>
      <w:r>
        <w:t xml:space="preserve">Member States, which directly affect the establishment or functioning of the internal</w:t>
      </w:r>
      <w:r>
        <w:t xml:space="preserve"> </w:t>
      </w:r>
      <w:r>
        <w:t xml:space="preserve">market. The identified problems, their underlying causes and reasons for coordinated</w:t>
      </w:r>
      <w:r>
        <w:t xml:space="preserve"> </w:t>
      </w:r>
      <w:r>
        <w:t xml:space="preserve">action are common to all Member States. The article provides for the adoption of</w:t>
      </w:r>
      <w:r>
        <w:t xml:space="preserve"> </w:t>
      </w:r>
      <w:r>
        <w:t xml:space="preserve">legislation through directives, following the special legislative procedure, which requires</w:t>
      </w:r>
      <w:r>
        <w:t xml:space="preserve"> </w:t>
      </w:r>
      <w:r>
        <w:t xml:space="preserve">a unanimous vote by Member States in Council. The European Parliament and the</w:t>
      </w:r>
      <w:r>
        <w:t xml:space="preserve"> </w:t>
      </w:r>
      <w:r>
        <w:t xml:space="preserve">Economic and Social Committee have to be consulted but do not hold decision-making</w:t>
      </w:r>
      <w:r>
        <w:t xml:space="preserve"> </w:t>
      </w:r>
      <w:r>
        <w:t xml:space="preserve">power. Directives are addressed to Member States and solely bind them as to the result to</w:t>
      </w:r>
      <w:r>
        <w:t xml:space="preserve"> </w:t>
      </w:r>
      <w:r>
        <w:t xml:space="preserve">be achieved while leaving the means (for doing so) to national transposition measures.</w:t>
      </w:r>
      <w:r>
        <w:br/>
      </w:r>
      <w:r>
        <w:t xml:space="preserve">The current initiative complements the new framework for business taxation in the EU</w:t>
      </w:r>
      <w:r>
        <w:t xml:space="preserve"> </w:t>
      </w:r>
      <w:r>
        <w:t xml:space="preserve">that the Commission is committed to present by 2023. The “Business in Europe:</w:t>
      </w:r>
      <w:r>
        <w:t xml:space="preserve"> </w:t>
      </w:r>
      <w:r>
        <w:t xml:space="preserve">Framework for Income Taxation” (or BEFIT) will provide a single corporate tax</w:t>
      </w:r>
      <w:r>
        <w:t xml:space="preserve"> </w:t>
      </w:r>
      <w:r>
        <w:t xml:space="preserve">rulebook for the EU, providing for fairer allocation of taxing rights between Member</w:t>
      </w:r>
      <w:r>
        <w:t xml:space="preserve"> </w:t>
      </w:r>
      <w:r>
        <w:t xml:space="preserve">States. BEFIT will replace the 2016 CCCTB proposals, which also included a proposal</w:t>
      </w:r>
      <w:r>
        <w:t xml:space="preserve"> </w:t>
      </w:r>
      <w:r>
        <w:t xml:space="preserve">for an Allowance for Growth and Investment31.</w:t>
      </w:r>
      <w:r>
        <w:t xml:space="preserve"> </w:t>
      </w:r>
      <w:r>
        <w:t xml:space="preserve">Concerning the anti-tax abuse framework that will need to accompany the rules on the</w:t>
      </w:r>
      <w:r>
        <w:t xml:space="preserve"> </w:t>
      </w:r>
      <w:r>
        <w:t xml:space="preserve">deductibility of equity costs, the Code of Conduct Group on Business Taxation has</w:t>
      </w:r>
    </w:p>
    <w:p>
      <w:pPr>
        <w:pStyle w:val="BodyText"/>
      </w:pPr>
      <w:r>
        <w:t xml:space="preserve">31 COM(2016) 685 final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issued guidance on notional interest deduction regimes32 and this blueprint will guide the</w:t>
      </w:r>
      <w:r>
        <w:t xml:space="preserve"> </w:t>
      </w:r>
      <w:r>
        <w:t xml:space="preserve">work on the anti-tax avoidance rules that will be integrated in the legal proposal.</w:t>
      </w:r>
      <w:r>
        <w:br/>
      </w:r>
      <w:r>
        <w:t xml:space="preserve">3.2. Subsidiarity</w:t>
      </w:r>
      <w:r>
        <w:t xml:space="preserve"> </w:t>
      </w:r>
      <w:r>
        <w:t xml:space="preserve">According to the subsidiarity principle laid down in Article 5(3) TFEU, action at EU</w:t>
      </w:r>
      <w:r>
        <w:t xml:space="preserve"> </w:t>
      </w:r>
      <w:r>
        <w:t xml:space="preserve">level should be taken only when the aims envisaged cannot be achieved sufficiently by</w:t>
      </w:r>
      <w:r>
        <w:t xml:space="preserve"> </w:t>
      </w:r>
      <w:r>
        <w:t xml:space="preserve">Member States acting alone and in addition, by reason of the scale or effects of the</w:t>
      </w:r>
      <w:r>
        <w:t xml:space="preserve"> </w:t>
      </w:r>
      <w:r>
        <w:t xml:space="preserve">proposed action, can be better achieved by the EU.</w:t>
      </w:r>
      <w:r>
        <w:t xml:space="preserve"> </w:t>
      </w:r>
      <w:r>
        <w:t xml:space="preserve">3.2.1. Subsidiarity: Necessity of EU action</w:t>
      </w:r>
      <w:r>
        <w:t xml:space="preserve"> </w:t>
      </w:r>
      <w:r>
        <w:t xml:space="preserve">There are a number of reasons why EU level action, rather than national action, is needed</w:t>
      </w:r>
      <w:r>
        <w:t xml:space="preserve"> </w:t>
      </w:r>
      <w:r>
        <w:t xml:space="preserve">to mitigate the tax debt-equity bias.</w:t>
      </w:r>
      <w:r>
        <w:br/>
      </w:r>
      <w:r>
        <w:t xml:space="preserve">First, the problem described in Chapter 2 is widespread across the EU and common to all</w:t>
      </w:r>
      <w:r>
        <w:t xml:space="preserve"> </w:t>
      </w:r>
      <w:r>
        <w:t xml:space="preserve">Member States. Most Member States’ corporate tax systems allow a company to deduct</w:t>
      </w:r>
      <w:r>
        <w:t xml:space="preserve"> </w:t>
      </w:r>
      <w:r>
        <w:t xml:space="preserve">for tax purposes interests that arise from debt financing while the costs related to equity</w:t>
      </w:r>
      <w:r>
        <w:t xml:space="preserve"> </w:t>
      </w:r>
      <w:r>
        <w:t xml:space="preserve">financing (notably, payments of dividends) are not tax deductible. It must be note that</w:t>
      </w:r>
      <w:r>
        <w:t xml:space="preserve"> </w:t>
      </w:r>
      <w:r>
        <w:t xml:space="preserve">interest deductions are already subject to some kind of limitations according to existing</w:t>
      </w:r>
      <w:r>
        <w:t xml:space="preserve"> </w:t>
      </w:r>
      <w:r>
        <w:t xml:space="preserve">EU rules (ATAD1).</w:t>
      </w:r>
      <w:r>
        <w:t xml:space="preserve"> </w:t>
      </w:r>
      <w:r>
        <w:t xml:space="preserve">Second, six Member States have already unilaterally addressed the debt-equity bias at</w:t>
      </w:r>
      <w:r>
        <w:t xml:space="preserve"> </w:t>
      </w:r>
      <w:r>
        <w:t xml:space="preserve">national level through the introduction of a tax allowance on equity. However, these</w:t>
      </w:r>
      <w:r>
        <w:t xml:space="preserve"> </w:t>
      </w:r>
      <w:r>
        <w:t xml:space="preserve">measures differ considerably in policy design (e.g. interest rate of the allowance,</w:t>
      </w:r>
      <w:r>
        <w:t xml:space="preserve"> </w:t>
      </w:r>
      <w:r>
        <w:t xml:space="preserve">calculation of the basis for the allowance, type and severity of anti-tax avoidance</w:t>
      </w:r>
      <w:r>
        <w:t xml:space="preserve"> </w:t>
      </w:r>
      <w:r>
        <w:t xml:space="preserve">measures). The interaction between these disparate national frameworks, combined with</w:t>
      </w:r>
      <w:r>
        <w:t xml:space="preserve"> </w:t>
      </w:r>
      <w:r>
        <w:t xml:space="preserve">the absence of equity-side measures in other Member States, may lead to market</w:t>
      </w:r>
      <w:r>
        <w:t xml:space="preserve"> </w:t>
      </w:r>
      <w:r>
        <w:t xml:space="preserve">distortions and a misallocation of investments in the single market, as businesses may</w:t>
      </w:r>
      <w:r>
        <w:t xml:space="preserve"> </w:t>
      </w:r>
      <w:r>
        <w:t xml:space="preserve">base their investment decisions on the availability (or not) and the generosity of rules that</w:t>
      </w:r>
      <w:r>
        <w:t xml:space="preserve"> </w:t>
      </w:r>
      <w:r>
        <w:t xml:space="preserve">allow deductions for equity costs.</w:t>
      </w:r>
      <w:r>
        <w:t xml:space="preserve"> </w:t>
      </w:r>
      <w:r>
        <w:t xml:space="preserve">In addition, the interaction of widely divergent national measures with a non-harmonised</w:t>
      </w:r>
      <w:r>
        <w:t xml:space="preserve"> </w:t>
      </w:r>
      <w:r>
        <w:t xml:space="preserve">anti-tax avoidance framework may inadvertently create loopholes, which can be</w:t>
      </w:r>
      <w:r>
        <w:t xml:space="preserve"> </w:t>
      </w:r>
      <w:r>
        <w:t xml:space="preserve">exploited for aggressive corporate tax planning purposes. While these elements are not</w:t>
      </w:r>
      <w:r>
        <w:t xml:space="preserve"> </w:t>
      </w:r>
      <w:r>
        <w:t xml:space="preserve">the only drivers, their combined effect is that the differentiation across the EU27 may</w:t>
      </w:r>
      <w:r>
        <w:t xml:space="preserve"> </w:t>
      </w:r>
      <w:r>
        <w:t xml:space="preserve">result in increasing harmful tax competition among Member States. These opportunities</w:t>
      </w:r>
      <w:r>
        <w:t xml:space="preserve"> </w:t>
      </w:r>
      <w:r>
        <w:t xml:space="preserve">encourage practices of tax avoidance and evasion in the EU. Existing EU legislation</w:t>
      </w:r>
      <w:r>
        <w:t xml:space="preserve"> </w:t>
      </w:r>
      <w:r>
        <w:t xml:space="preserve">cannot address such distortions, resulting from the differentiated tax treatment of debt</w:t>
      </w:r>
      <w:r>
        <w:t xml:space="preserve"> </w:t>
      </w:r>
      <w:r>
        <w:t xml:space="preserve">and equity.</w:t>
      </w:r>
      <w:r>
        <w:t xml:space="preserve"> </w:t>
      </w:r>
      <w:r>
        <w:t xml:space="preserve">Finally, different country specific rules also imply higher compliance costs for businesses</w:t>
      </w:r>
      <w:r>
        <w:t xml:space="preserve"> </w:t>
      </w:r>
      <w:r>
        <w:t xml:space="preserve">active in cross-border operations within the single market, as they are called on to</w:t>
      </w:r>
      <w:r>
        <w:t xml:space="preserve"> </w:t>
      </w:r>
      <w:r>
        <w:t xml:space="preserve">comply with various sets of different rules. Such compliance costs will be significantly</w:t>
      </w:r>
      <w:r>
        <w:t xml:space="preserve"> </w:t>
      </w:r>
      <w:r>
        <w:t xml:space="preserve">reduced if a single EU-wide rule applies.</w:t>
      </w:r>
    </w:p>
    <w:p>
      <w:pPr>
        <w:pStyle w:val="BodyText"/>
      </w:pPr>
      <w:r>
        <w:t xml:space="preserve">32 WK 11093/2019 REV 1 from 17 October 2019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In other words, there is a problem that is common to Member States and can only partly</w:t>
      </w:r>
      <w:r>
        <w:t xml:space="preserve"> </w:t>
      </w:r>
      <w:r>
        <w:t xml:space="preserve">be addressed by national action. In addition, national action may even have undesirable</w:t>
      </w:r>
      <w:r>
        <w:t xml:space="preserve"> </w:t>
      </w:r>
      <w:r>
        <w:t xml:space="preserve">implications, by leaving open a margin for harmful tax practices. This conclusion is</w:t>
      </w:r>
      <w:r>
        <w:t xml:space="preserve"> </w:t>
      </w:r>
      <w:r>
        <w:t xml:space="preserve">supported by some stakeholders, which state that an EU-wide initiative, establishing a</w:t>
      </w:r>
      <w:r>
        <w:t xml:space="preserve"> </w:t>
      </w:r>
      <w:r>
        <w:t xml:space="preserve">common approach, would reduce tax competition and fragmentation, establishing a</w:t>
      </w:r>
      <w:r>
        <w:t xml:space="preserve"> </w:t>
      </w:r>
      <w:r>
        <w:t xml:space="preserve">common approach. Stakeholders further highlighted that a common approach would help</w:t>
      </w:r>
      <w:r>
        <w:t xml:space="preserve"> </w:t>
      </w:r>
      <w:r>
        <w:t xml:space="preserve">reduce administrative burdens and facilitate access to the benefits of the measure.</w:t>
      </w:r>
      <w:r>
        <w:br/>
      </w:r>
      <w:r>
        <w:t xml:space="preserve">During bilateral contacts with the Commission services, a Member State shared the</w:t>
      </w:r>
      <w:r>
        <w:t xml:space="preserve"> </w:t>
      </w:r>
      <w:r>
        <w:t xml:space="preserve">outcome of their study into a more equal treatment of equity and debt. This study</w:t>
      </w:r>
      <w:r>
        <w:t xml:space="preserve"> </w:t>
      </w:r>
      <w:r>
        <w:t xml:space="preserve">concludes that a more equal tax treatment of equity and debt is desirable to reduce the</w:t>
      </w:r>
      <w:r>
        <w:t xml:space="preserve"> </w:t>
      </w:r>
      <w:r>
        <w:t xml:space="preserve">debt bias and strengthen the financial resilience of the business community and that it is</w:t>
      </w:r>
      <w:r>
        <w:t xml:space="preserve"> </w:t>
      </w:r>
      <w:r>
        <w:t xml:space="preserve">preferable to achieve this objective in an international or multilateral context. This study</w:t>
      </w:r>
      <w:r>
        <w:t xml:space="preserve"> </w:t>
      </w:r>
      <w:r>
        <w:t xml:space="preserve">also states that a European coordinated approach within the EU contributes to the</w:t>
      </w:r>
      <w:r>
        <w:t xml:space="preserve"> </w:t>
      </w:r>
      <w:r>
        <w:t xml:space="preserve">prevention of mismatches, tax avoidance and leads to less excessive debt financing.</w:t>
      </w:r>
      <w:r>
        <w:br/>
      </w:r>
      <w:r>
        <w:t xml:space="preserve">3.2.2. Subsidiarity and Proportionality: Added value of EU action</w:t>
      </w:r>
      <w:r>
        <w:t xml:space="preserve"> </w:t>
      </w:r>
      <w:r>
        <w:t xml:space="preserve">An EU level initiative will provide wider benefits for the single market compared to the</w:t>
      </w:r>
      <w:r>
        <w:t xml:space="preserve"> </w:t>
      </w:r>
      <w:r>
        <w:t xml:space="preserve">present fragmented situation of national initiatives.</w:t>
      </w:r>
      <w:r>
        <w:t xml:space="preserve"> </w:t>
      </w:r>
      <w:r>
        <w:t xml:space="preserve">It would alleviate distortions in the single market, which are potentially caused by</w:t>
      </w:r>
      <w:r>
        <w:t xml:space="preserve"> </w:t>
      </w:r>
      <w:r>
        <w:t xml:space="preserve">practices of harmful tax competition amongst Member States that are enabled due to</w:t>
      </w:r>
      <w:r>
        <w:t xml:space="preserve"> </w:t>
      </w:r>
      <w:r>
        <w:t xml:space="preserve">fragmentation. In addition to a harmonisation of rules, it would also provide a sound anti-</w:t>
      </w:r>
      <w:r>
        <w:t xml:space="preserve"> </w:t>
      </w:r>
      <w:r>
        <w:t xml:space="preserve">tax abuse framework, based on measures discussed and evaluated in the Code of Conduct</w:t>
      </w:r>
      <w:r>
        <w:t xml:space="preserve"> </w:t>
      </w:r>
      <w:r>
        <w:t xml:space="preserve">group, to tackle aggressive tax practices often linked to opportunities that arise when</w:t>
      </w:r>
      <w:r>
        <w:t xml:space="preserve"> </w:t>
      </w:r>
      <w:r>
        <w:t xml:space="preserve">equity costs are made deductible. Varying national rules for notional allowances on</w:t>
      </w:r>
      <w:r>
        <w:t xml:space="preserve"> </w:t>
      </w:r>
      <w:r>
        <w:t xml:space="preserve">equity can be exploited for aggressive tax planning purposes. Operating one set of rules</w:t>
      </w:r>
      <w:r>
        <w:t xml:space="preserve"> </w:t>
      </w:r>
      <w:r>
        <w:t xml:space="preserve">across the EU will help reduce aggressive tax planning in the single market. It will limit</w:t>
      </w:r>
      <w:r>
        <w:t xml:space="preserve"> </w:t>
      </w:r>
      <w:r>
        <w:t xml:space="preserve">the scope for mismatches between disparate rules and the loopholes that businesses can</w:t>
      </w:r>
      <w:r>
        <w:t xml:space="preserve"> </w:t>
      </w:r>
      <w:r>
        <w:t xml:space="preserve">take advantage of.</w:t>
      </w:r>
      <w:r>
        <w:br/>
      </w:r>
      <w:r>
        <w:t xml:space="preserve">A harmonised tax environment for businesses in this field could also create legal</w:t>
      </w:r>
      <w:r>
        <w:t xml:space="preserve"> </w:t>
      </w:r>
      <w:r>
        <w:t xml:space="preserve">certainty for taxpayers that the rules on the deductibility of equity costs are compliant</w:t>
      </w:r>
      <w:r>
        <w:t xml:space="preserve"> </w:t>
      </w:r>
      <w:r>
        <w:t xml:space="preserve">with EU law. A single set of rules could help taxpayers ascertain that all national tax</w:t>
      </w:r>
      <w:r>
        <w:t xml:space="preserve"> </w:t>
      </w:r>
      <w:r>
        <w:t xml:space="preserve">administrations apply these rules in a similar manner and hence lower the risk of</w:t>
      </w:r>
      <w:r>
        <w:t xml:space="preserve"> </w:t>
      </w:r>
      <w:r>
        <w:t xml:space="preserve">disputes.</w:t>
      </w:r>
      <w:r>
        <w:br/>
      </w:r>
      <w:r>
        <w:t xml:space="preserve">In the same vein, a measure at EU level would also simplify the compliance burden.</w:t>
      </w:r>
      <w:r>
        <w:t xml:space="preserve"> </w:t>
      </w:r>
      <w:r>
        <w:t xml:space="preserve">Given the cross-border dimension of the potential tax avoidance schemes linked to the</w:t>
      </w:r>
      <w:r>
        <w:t xml:space="preserve"> </w:t>
      </w:r>
      <w:r>
        <w:t xml:space="preserve">deduction of equity-financing costs, diverging anti-tax abuse rules, different definitions</w:t>
      </w:r>
      <w:r>
        <w:t xml:space="preserve"> </w:t>
      </w:r>
      <w:r>
        <w:t xml:space="preserve">of equity and the availability of various ways for integrating such measures in the overall</w:t>
      </w:r>
      <w:r>
        <w:t xml:space="preserve"> </w:t>
      </w:r>
      <w:r>
        <w:t xml:space="preserve">framework of tax deductions naturally increase compliance costs. For businesses active</w:t>
      </w:r>
      <w:r>
        <w:t xml:space="preserve"> </w:t>
      </w:r>
      <w:r>
        <w:t xml:space="preserve">across the EU, this initiative will thus bring gains in terms of simplification of</w:t>
      </w:r>
      <w:r>
        <w:t xml:space="preserve"> </w:t>
      </w:r>
      <w:r>
        <w:t xml:space="preserve">compliance. This cannot be effectively achieved through soft law instruments, as has</w:t>
      </w:r>
      <w:r>
        <w:t xml:space="preserve"> </w:t>
      </w:r>
      <w:r>
        <w:t xml:space="preserve">been proven in practice. Following a binding legislative initiative, a company, no matter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in which Member States it is active, would operate in the same legal context regarding</w:t>
      </w:r>
      <w:r>
        <w:t xml:space="preserve"> </w:t>
      </w:r>
      <w:r>
        <w:t xml:space="preserve">the tax treatment of equity financing. In addition, all affected businesses would benefit</w:t>
      </w:r>
      <w:r>
        <w:t xml:space="preserve"> </w:t>
      </w:r>
      <w:r>
        <w:t xml:space="preserve">from the same measure and face the same obligations, which would promote a level</w:t>
      </w:r>
      <w:r>
        <w:t xml:space="preserve"> </w:t>
      </w:r>
      <w:r>
        <w:t xml:space="preserve">playing field in the single market.</w:t>
      </w:r>
      <w:r>
        <w:br/>
      </w:r>
      <w:r>
        <w:t xml:space="preserve">An action at EU level will also be more effective than individual fragmented actions</w:t>
      </w:r>
      <w:r>
        <w:t xml:space="preserve"> </w:t>
      </w:r>
      <w:r>
        <w:t xml:space="preserve">taken at Member State level and at Member States’ discretion to address the tax-induced</w:t>
      </w:r>
      <w:r>
        <w:t xml:space="preserve"> </w:t>
      </w:r>
      <w:r>
        <w:t xml:space="preserve">debt bias. National measures can only be used by SMEs located in those Member States</w:t>
      </w:r>
      <w:r>
        <w:t xml:space="preserve"> </w:t>
      </w:r>
      <w:r>
        <w:t xml:space="preserve">that apply debt bias mitigating measures, or by MNEs that can afford to locate the</w:t>
      </w:r>
      <w:r>
        <w:t xml:space="preserve"> </w:t>
      </w:r>
      <w:r>
        <w:t xml:space="preserve">financing company of the group in such Member States. SMEs located in Member States</w:t>
      </w:r>
      <w:r>
        <w:t xml:space="preserve"> </w:t>
      </w:r>
      <w:r>
        <w:t xml:space="preserve">that do not have any tax debt bias mitigating measure can, as such, face higher costs for</w:t>
      </w:r>
      <w:r>
        <w:t xml:space="preserve"> </w:t>
      </w:r>
      <w:r>
        <w:t xml:space="preserve">equity financing as compared to SMEs in other Member States. An EU level initiative</w:t>
      </w:r>
      <w:r>
        <w:t xml:space="preserve"> </w:t>
      </w:r>
      <w:r>
        <w:t xml:space="preserve">will provide for a single solution to mitigating the tax-induced debt bias that all</w:t>
      </w:r>
      <w:r>
        <w:t xml:space="preserve"> </w:t>
      </w:r>
      <w:r>
        <w:t xml:space="preserve">businesses across Europe can avail themselves of, regardless of their size or Member</w:t>
      </w:r>
      <w:r>
        <w:t xml:space="preserve"> </w:t>
      </w:r>
      <w:r>
        <w:t xml:space="preserve">State of tax residence.</w:t>
      </w:r>
      <w:r>
        <w:t xml:space="preserve"> </w:t>
      </w:r>
      <w:r>
        <w:t xml:space="preserve">Finally, by reducing in all Member States the preferential tax treatment of debt which</w:t>
      </w:r>
      <w:r>
        <w:t xml:space="preserve"> </w:t>
      </w:r>
      <w:r>
        <w:t xml:space="preserve">comes at the expense of other financial instruments (in particular equity), the initiative</w:t>
      </w:r>
      <w:r>
        <w:t xml:space="preserve"> </w:t>
      </w:r>
      <w:r>
        <w:t xml:space="preserve">will contribute to making financing more accessible to all European businesses, a key</w:t>
      </w:r>
      <w:r>
        <w:t xml:space="preserve"> </w:t>
      </w:r>
      <w:r>
        <w:t xml:space="preserve">objective of the 2020 Communication on a Capital Markets Union (CMU) for people and</w:t>
      </w:r>
      <w:r>
        <w:t xml:space="preserve"> </w:t>
      </w:r>
      <w:r>
        <w:t xml:space="preserve">businesses33. By providing for a common approach to mitigating the debt bias, this</w:t>
      </w:r>
      <w:r>
        <w:t xml:space="preserve"> </w:t>
      </w:r>
      <w:r>
        <w:t xml:space="preserve">initiative will also contribute to the integration of national capital markets into a genuine</w:t>
      </w:r>
      <w:r>
        <w:t xml:space="preserve"> </w:t>
      </w:r>
      <w:r>
        <w:t xml:space="preserve">single market, another key objective of the CMU communication. By removing the tax</w:t>
      </w:r>
      <w:r>
        <w:t xml:space="preserve"> </w:t>
      </w:r>
      <w:r>
        <w:t xml:space="preserve">debt bias, which leads businesses to favour investment financed by debt, the initiative</w:t>
      </w:r>
      <w:r>
        <w:t xml:space="preserve"> </w:t>
      </w:r>
      <w:r>
        <w:t xml:space="preserve">will contribute to the re-equitisation of European businesses. This will increase their</w:t>
      </w:r>
      <w:r>
        <w:t xml:space="preserve"> </w:t>
      </w:r>
      <w:r>
        <w:t xml:space="preserve">resilience to unforeseen changes in the business environment and decrease the risk of</w:t>
      </w:r>
      <w:r>
        <w:t xml:space="preserve"> </w:t>
      </w:r>
      <w:r>
        <w:t xml:space="preserve">insolvency, thereby indirectly contributing to bringing more financial stability in the EU.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This section defines the general and specific objectives of the initiative. The ‘Intervention</w:t>
      </w:r>
      <w:r>
        <w:t xml:space="preserve"> </w:t>
      </w:r>
      <w:r>
        <w:t xml:space="preserve">Logic’ in Figure 4 visually presents the problems, their drivers, the specific objectives</w:t>
      </w:r>
      <w:r>
        <w:t xml:space="preserve"> </w:t>
      </w:r>
      <w:r>
        <w:t xml:space="preserve">and the general objective of DEBRA.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first important objective of this initiative is to establish the conditions necessary such</w:t>
      </w:r>
      <w:r>
        <w:t xml:space="preserve"> </w:t>
      </w:r>
      <w:r>
        <w:t xml:space="preserve">that financing decisions are made based on an appropriate risk management profile,</w:t>
      </w:r>
      <w:r>
        <w:t xml:space="preserve"> </w:t>
      </w:r>
      <w:r>
        <w:t xml:space="preserve">taking into account financing needs, without distortions being created by differentiated</w:t>
      </w:r>
      <w:r>
        <w:t xml:space="preserve"> </w:t>
      </w:r>
      <w:r>
        <w:t xml:space="preserve">tax treatments. While it is clear that a multiplicity of legitimate determinants influence</w:t>
      </w:r>
    </w:p>
    <w:p>
      <w:pPr>
        <w:pStyle w:val="BodyText"/>
      </w:pPr>
      <w:r>
        <w:t xml:space="preserve">33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Capital Markets Union -</w:t>
      </w:r>
      <w:r>
        <w:t xml:space="preserve"> </w:t>
      </w:r>
      <w:r>
        <w:t xml:space="preserve">Delivering One Year After The Action Plan, Com/2021/720 Final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businesses’ investment decisions, provisions of the tax system should not influence the</w:t>
      </w:r>
      <w:r>
        <w:t xml:space="preserve"> </w:t>
      </w:r>
      <w:r>
        <w:t xml:space="preserve">choice between equity and debt.34</w:t>
      </w:r>
      <w:r>
        <w:t xml:space="preserve"> </w:t>
      </w:r>
      <w:r>
        <w:t xml:space="preserve">The second objective is to reduce distortions in the single market created by the</w:t>
      </w:r>
      <w:r>
        <w:t xml:space="preserve"> </w:t>
      </w:r>
      <w:r>
        <w:t xml:space="preserve">interaction between disparate national measures combined with the absence of equivalent</w:t>
      </w:r>
      <w:r>
        <w:t xml:space="preserve"> </w:t>
      </w:r>
      <w:r>
        <w:t xml:space="preserve">measures in other Member States.</w:t>
      </w:r>
      <w:r>
        <w:t xml:space="preserve"> </w:t>
      </w:r>
      <w:r>
        <w:t xml:space="preserve">The third important objective of this initiative is to mitigate the risk that businesses take</w:t>
      </w:r>
      <w:r>
        <w:t xml:space="preserve"> </w:t>
      </w:r>
      <w:r>
        <w:t xml:space="preserve">advantage of the interaction among tax systems with and without debt-equity bias</w:t>
      </w:r>
      <w:r>
        <w:t xml:space="preserve"> </w:t>
      </w:r>
      <w:r>
        <w:t xml:space="preserve">mitigating measures and with non-harmonised anti-tax abuse frameworks for tax</w:t>
      </w:r>
      <w:r>
        <w:t xml:space="preserve"> </w:t>
      </w:r>
      <w:r>
        <w:t xml:space="preserve">avoidance and tax evasion practices.</w:t>
      </w:r>
      <w:r>
        <w:t xml:space="preserve"> </w:t>
      </w:r>
      <w:r>
        <w:t xml:space="preserve">A fourth objective is to increase the stability of the financial system such that action is</w:t>
      </w:r>
      <w:r>
        <w:t xml:space="preserve"> </w:t>
      </w:r>
      <w:r>
        <w:t xml:space="preserve">taken that will support growth and investment</w:t>
      </w:r>
      <w:r>
        <w:br/>
      </w:r>
      <w:r>
        <w:t xml:space="preserve">4.2. Specific objectives</w:t>
      </w:r>
      <w:r>
        <w:t xml:space="preserve"> </w:t>
      </w:r>
      <w:r>
        <w:t xml:space="preserve">This initiative supports the creation of a harmonised tax environment that places debt and</w:t>
      </w:r>
      <w:r>
        <w:t xml:space="preserve"> </w:t>
      </w:r>
      <w:r>
        <w:t xml:space="preserve">capital financing on an equal footing across the EU. This will encourage investment in</w:t>
      </w:r>
      <w:r>
        <w:t xml:space="preserve"> </w:t>
      </w:r>
      <w:r>
        <w:t xml:space="preserve">equity, help reduce distortions in the single market and facilitate cross-border activity.</w:t>
      </w:r>
      <w:r>
        <w:br/>
      </w:r>
      <w:r>
        <w:t xml:space="preserve">This initiative aims to contribute to the re-equitisation of EU-based businesses, thereby</w:t>
      </w:r>
      <w:r>
        <w:t xml:space="preserve"> </w:t>
      </w:r>
      <w:r>
        <w:t xml:space="preserve">supporting wider EU policies such as the European Green Deal, the Commission’s digital</w:t>
      </w:r>
      <w:r>
        <w:t xml:space="preserve"> </w:t>
      </w:r>
      <w:r>
        <w:t xml:space="preserve">agenda and the New Industrial Strategy for Europe. It aims to boost competitiveness,</w:t>
      </w:r>
      <w:r>
        <w:t xml:space="preserve"> </w:t>
      </w:r>
      <w:r>
        <w:t xml:space="preserve">growth and ultimately employment in the EU. Following the COVID-19 health crisis and</w:t>
      </w:r>
      <w:r>
        <w:t xml:space="preserve"> </w:t>
      </w:r>
      <w:r>
        <w:t xml:space="preserve">in the framework of the transition to a green and digitalised economy, substantial equity</w:t>
      </w:r>
      <w:r>
        <w:t xml:space="preserve"> </w:t>
      </w:r>
      <w:r>
        <w:t xml:space="preserve">financed investments are of central importance for a fast and sound recovery. The</w:t>
      </w:r>
      <w:r>
        <w:t xml:space="preserve"> </w:t>
      </w:r>
      <w:r>
        <w:t xml:space="preserve">ecological and digital transitions that the EU and its Member States are undertaking will</w:t>
      </w:r>
      <w:r>
        <w:t xml:space="preserve"> </w:t>
      </w:r>
      <w:r>
        <w:t xml:space="preserve">require new technologies and innovation that imply large investment. Break-through</w:t>
      </w:r>
      <w:r>
        <w:t xml:space="preserve"> </w:t>
      </w:r>
      <w:r>
        <w:t xml:space="preserve">technologies will likely require, like all risky investments, greater equity financing.</w:t>
      </w:r>
      <w:r>
        <w:t xml:space="preserve"> </w:t>
      </w:r>
      <w:r>
        <w:t xml:space="preserve">Moreover, businesses with a solid capital structure are less vulnerable to shocks and</w:t>
      </w:r>
      <w:r>
        <w:t xml:space="preserve"> </w:t>
      </w:r>
      <w:r>
        <w:t xml:space="preserve">more prone to make investments and to take risks.</w:t>
      </w:r>
      <w:r>
        <w:br/>
      </w:r>
      <w:r>
        <w:t xml:space="preserve">By addressing the asymmetric tax treatment between equity- and debt-related costs, the</w:t>
      </w:r>
      <w:r>
        <w:t xml:space="preserve"> </w:t>
      </w:r>
      <w:r>
        <w:t xml:space="preserve">initiative will help reduce the accumulation of debt for non-financial corporations,</w:t>
      </w:r>
      <w:r>
        <w:t xml:space="preserve"> </w:t>
      </w:r>
      <w:r>
        <w:t xml:space="preserve">thereby decreasing insolvency risks. It will contribute to building a fully functioning and</w:t>
      </w:r>
      <w:r>
        <w:t xml:space="preserve"> </w:t>
      </w:r>
      <w:r>
        <w:t xml:space="preserve">integrated market for capital, allowing the EU’s economy to grow in a sustainable way</w:t>
      </w:r>
      <w:r>
        <w:t xml:space="preserve"> </w:t>
      </w:r>
      <w:r>
        <w:t xml:space="preserve">and be more competitive as set out in the 2020 Communication on Capital Markets</w:t>
      </w:r>
      <w:r>
        <w:t xml:space="preserve"> </w:t>
      </w:r>
      <w:r>
        <w:t xml:space="preserve">Union.</w:t>
      </w:r>
      <w:r>
        <w:t xml:space="preserve"> </w:t>
      </w:r>
      <w:r>
        <w:t xml:space="preserve">In addition, this initiative is expected to further remove distortions in the single market,</w:t>
      </w:r>
      <w:r>
        <w:t xml:space="preserve"> </w:t>
      </w:r>
      <w:r>
        <w:t xml:space="preserve">as it will be combined with a comprehensive set of anti-tax abuse provisions to prevent</w:t>
      </w:r>
      <w:r>
        <w:t xml:space="preserve"> </w:t>
      </w:r>
      <w:r>
        <w:t xml:space="preserve">businesses from circumventing the measure.</w:t>
      </w:r>
    </w:p>
    <w:p>
      <w:pPr>
        <w:pStyle w:val="BodyText"/>
      </w:pPr>
      <w:r>
        <w:t xml:space="preserve">34 It is alternatively argued that in a situation with comparatively low levels of equity in the corporate</w:t>
      </w:r>
      <w:r>
        <w:t xml:space="preserve"> </w:t>
      </w:r>
      <w:r>
        <w:t xml:space="preserve">capital structure, the tax system should not be biased against equity.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Figure 4. Intervention logic</w:t>
      </w:r>
    </w:p>
    <w:p>
      <w:pPr>
        <w:pStyle w:val="BodyText"/>
      </w:pPr>
      <w:r>
        <w:t xml:space="preserve">26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 scenario is established on the premise that, in the absence of intervention at</w:t>
      </w:r>
      <w:r>
        <w:t xml:space="preserve"> </w:t>
      </w:r>
      <w:r>
        <w:t xml:space="preserve">the EU level, the tax induced debt-equity bias will persist in most Member States and the</w:t>
      </w:r>
      <w:r>
        <w:t xml:space="preserve"> </w:t>
      </w:r>
      <w:r>
        <w:t xml:space="preserve">minority of Member States that have been frontrunners in adopting measures to mitigate</w:t>
      </w:r>
      <w:r>
        <w:t xml:space="preserve"> </w:t>
      </w:r>
      <w:r>
        <w:t xml:space="preserve">the debt-equity bias at national level will continue to apply non harmonised tax-</w:t>
      </w:r>
      <w:r>
        <w:t xml:space="preserve"> </w:t>
      </w:r>
      <w:r>
        <w:t xml:space="preserve">allowances on equity financing. Businesses’ investment decisions will thus continue to</w:t>
      </w:r>
      <w:r>
        <w:t xml:space="preserve"> </w:t>
      </w:r>
      <w:r>
        <w:t xml:space="preserve">be distorted by the availability (or not) and the generosity of rules that allow notional</w:t>
      </w:r>
      <w:r>
        <w:t xml:space="preserve"> </w:t>
      </w:r>
      <w:r>
        <w:t xml:space="preserve">deductions for the cost of equity capital. In a baseline scenario, the distortions and</w:t>
      </w:r>
      <w:r>
        <w:t xml:space="preserve"> </w:t>
      </w:r>
      <w:r>
        <w:t xml:space="preserve">misallocations of investment in the single market as outlined earlier in this assessment</w:t>
      </w:r>
      <w:r>
        <w:t xml:space="preserve"> </w:t>
      </w:r>
      <w:r>
        <w:t xml:space="preserve">will persist alongside the other factors that impact or influence financing decisions, such</w:t>
      </w:r>
      <w:r>
        <w:t xml:space="preserve"> </w:t>
      </w:r>
      <w:r>
        <w:t xml:space="preserve">as avoiding the dilution of control/voting rights of existing equity owners, limited access</w:t>
      </w:r>
      <w:r>
        <w:t xml:space="preserve"> </w:t>
      </w:r>
      <w:r>
        <w:t xml:space="preserve">to equity financing, or debt financing being cheaper than equity financing.</w:t>
      </w:r>
      <w:r>
        <w:br/>
      </w:r>
      <w:r>
        <w:t xml:space="preserve">In the absence of an EU-wide initiative to tackle the tax induced debt-equity bias, it is</w:t>
      </w:r>
      <w:r>
        <w:t xml:space="preserve"> </w:t>
      </w:r>
      <w:r>
        <w:t xml:space="preserve">likely that compliance costs and the fragmentation of the legal framework in place will</w:t>
      </w:r>
      <w:r>
        <w:t xml:space="preserve"> </w:t>
      </w:r>
      <w:r>
        <w:t xml:space="preserve">persist or could even increase. As detailed in Chapters 2 and 3, maintaining diverse</w:t>
      </w:r>
      <w:r>
        <w:t xml:space="preserve"> </w:t>
      </w:r>
      <w:r>
        <w:t xml:space="preserve">national measures against the tax induced debt-equity bias across the Union is likely to</w:t>
      </w:r>
      <w:r>
        <w:t xml:space="preserve"> </w:t>
      </w:r>
      <w:r>
        <w:t xml:space="preserve">compromise the effectiveness and efficiency of these rules even at national level. Given</w:t>
      </w:r>
      <w:r>
        <w:t xml:space="preserve"> </w:t>
      </w:r>
      <w:r>
        <w:t xml:space="preserve">the close integration of European economies and the fact that corporate groups usually</w:t>
      </w:r>
      <w:r>
        <w:t xml:space="preserve"> </w:t>
      </w:r>
      <w:r>
        <w:t xml:space="preserve">operate across several Member States, compliance costs for groups faced with several</w:t>
      </w:r>
      <w:r>
        <w:t xml:space="preserve"> </w:t>
      </w:r>
      <w:r>
        <w:t xml:space="preserve">different national measures to mitigate the bias are higher compared to a situation in</w:t>
      </w:r>
      <w:r>
        <w:t xml:space="preserve"> </w:t>
      </w:r>
      <w:r>
        <w:t xml:space="preserve">which an EU-wide measure were to be in place. Concerning SMEs specifically, these</w:t>
      </w:r>
      <w:r>
        <w:t xml:space="preserve"> </w:t>
      </w:r>
      <w:r>
        <w:t xml:space="preserve">specific types of businesses can benefit from national measures only if they are located in</w:t>
      </w:r>
      <w:r>
        <w:t xml:space="preserve"> </w:t>
      </w:r>
      <w:r>
        <w:t xml:space="preserve">one of the Member States that have debt bias mitigating measures in place. SMEs located</w:t>
      </w:r>
      <w:r>
        <w:t xml:space="preserve"> </w:t>
      </w:r>
      <w:r>
        <w:t xml:space="preserve">in Member States that do not have any tax debt-bias mitigating measure face a higher</w:t>
      </w:r>
      <w:r>
        <w:t xml:space="preserve"> </w:t>
      </w:r>
      <w:r>
        <w:t xml:space="preserve">cost for their equity financing in comparison to other SMEs in the EU. This can act as a</w:t>
      </w:r>
      <w:r>
        <w:t xml:space="preserve"> </w:t>
      </w:r>
      <w:r>
        <w:t xml:space="preserve">barrier for such SMEs, preventing them from scaling up or making riskier investments</w:t>
      </w:r>
      <w:r>
        <w:t xml:space="preserve"> </w:t>
      </w:r>
      <w:r>
        <w:t xml:space="preserve">that would support their growth and stability, reducing the competitiveness of the</w:t>
      </w:r>
      <w:r>
        <w:t xml:space="preserve"> </w:t>
      </w:r>
      <w:r>
        <w:t xml:space="preserve">European economy as a whole35.</w:t>
      </w:r>
      <w:r>
        <w:br/>
      </w:r>
      <w:r>
        <w:t xml:space="preserve">At this stage, the EU Code of Conduct for business taxation is the sole instrument that</w:t>
      </w:r>
      <w:r>
        <w:t xml:space="preserve"> </w:t>
      </w:r>
      <w:r>
        <w:t xml:space="preserve">provides for a harmonised framework against abuse of Member States’ notional interest</w:t>
      </w:r>
      <w:r>
        <w:t xml:space="preserve"> </w:t>
      </w:r>
      <w:r>
        <w:t xml:space="preserve">deduction schemes. In 2019, the Code of Conduct issued “Guidance on the assessment of</w:t>
      </w:r>
      <w:r>
        <w:t xml:space="preserve"> </w:t>
      </w:r>
      <w:r>
        <w:t xml:space="preserve">NID Regimes”36. This Guidance mentions a number of limitations to the scope and anti-</w:t>
      </w:r>
      <w:r>
        <w:t xml:space="preserve"> </w:t>
      </w:r>
      <w:r>
        <w:t xml:space="preserve">tax abuse measures that should be in place in order to prevent tax planning and address</w:t>
      </w:r>
      <w:r>
        <w:t xml:space="preserve"> </w:t>
      </w:r>
      <w:r>
        <w:t xml:space="preserve">abusive situations when applying notional interest deduction regimes. However, the</w:t>
      </w:r>
      <w:r>
        <w:t xml:space="preserve"> </w:t>
      </w:r>
      <w:r>
        <w:t xml:space="preserve">Code, as a soft law instrument, which relies on a political commitment by Member</w:t>
      </w:r>
    </w:p>
    <w:p>
      <w:pPr>
        <w:pStyle w:val="FirstParagraph"/>
      </w:pPr>
      <w:r>
        <w:t xml:space="preserve">35 On the general financing problems for companies when scaling up see e.g. Aernoudt (2017).</w:t>
      </w:r>
      <w:r>
        <w:t xml:space="preserve"> </w:t>
      </w:r>
      <w:r>
        <w:t xml:space="preserve">36 WK 11093/2019 REV 1, Brussels 17 October 2019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States, does not provide for a fully harmonised anti-tax abuse framework for national</w:t>
      </w:r>
      <w:r>
        <w:t xml:space="preserve"> </w:t>
      </w:r>
      <w:r>
        <w:t xml:space="preserve">measures. The Code’s conclusions have not led to a similar approach to addressing the</w:t>
      </w:r>
      <w:r>
        <w:t xml:space="preserve"> </w:t>
      </w:r>
      <w:r>
        <w:t xml:space="preserve">debt-equity bias in those Member States who have implemented measures at national</w:t>
      </w:r>
      <w:r>
        <w:t xml:space="preserve"> </w:t>
      </w:r>
      <w:r>
        <w:t xml:space="preserve">level.</w:t>
      </w:r>
      <w:r>
        <w:br/>
      </w:r>
      <w:r>
        <w:t xml:space="preserve">A binding measure at EU level would tackle the specific issues at stake in a more</w:t>
      </w:r>
      <w:r>
        <w:t xml:space="preserve"> </w:t>
      </w:r>
      <w:r>
        <w:t xml:space="preserve">efficient and effective manner than the current mix of purely national measures and soft</w:t>
      </w:r>
      <w:r>
        <w:t xml:space="preserve"> </w:t>
      </w:r>
      <w:r>
        <w:t xml:space="preserve">law. This is even more important in the current context of ecological and digital</w:t>
      </w:r>
      <w:r>
        <w:t xml:space="preserve"> </w:t>
      </w:r>
      <w:r>
        <w:t xml:space="preserve">transitions, which will require major equity investments to finance the new technologies</w:t>
      </w:r>
      <w:r>
        <w:t xml:space="preserve"> </w:t>
      </w:r>
      <w:r>
        <w:t xml:space="preserve">and innovation needed. This legislative action at the EU level aims at addressing the</w:t>
      </w:r>
      <w:r>
        <w:t xml:space="preserve"> </w:t>
      </w:r>
      <w:r>
        <w:t xml:space="preserve">specific point of the tax debt equity bias; it will act in complementarity to other initiatives</w:t>
      </w:r>
      <w:r>
        <w:t xml:space="preserve"> </w:t>
      </w:r>
      <w:r>
        <w:t xml:space="preserve">intended to support diversification of funding, longer-term funding options, and</w:t>
      </w:r>
      <w:r>
        <w:t xml:space="preserve"> </w:t>
      </w:r>
      <w:r>
        <w:t xml:space="preserve">incentivise equity.</w:t>
      </w:r>
      <w:r>
        <w:t xml:space="preserve"> </w:t>
      </w:r>
      <w:r>
        <w:t xml:space="preserve">5.2. Policy Options</w:t>
      </w:r>
      <w:r>
        <w:t xml:space="preserve"> </w:t>
      </w:r>
      <w:r>
        <w:t xml:space="preserve">The following policy options would be applied to all businesses in the EU.</w:t>
      </w:r>
      <w:r>
        <w:br/>
      </w:r>
      <w:r>
        <w:t xml:space="preserve">5.2.1. Allowance for a notional interest on all corporate equity (Allowance for</w:t>
      </w:r>
      <w:r>
        <w:t xml:space="preserve"> </w:t>
      </w:r>
      <w:r>
        <w:t xml:space="preserve">corporate equity (ACE) - Option 1)</w:t>
      </w:r>
      <w:r>
        <w:t xml:space="preserve"> </w:t>
      </w:r>
      <w:r>
        <w:t xml:space="preserve">Option 1 provides for a legislative initiative that would envisage an allowance on the</w:t>
      </w:r>
      <w:r>
        <w:t xml:space="preserve"> </w:t>
      </w:r>
      <w:r>
        <w:t xml:space="preserve">stock of corporate equity. Equity is defined37 as the sum of paid-up capital, the share</w:t>
      </w:r>
      <w:r>
        <w:t xml:space="preserve"> </w:t>
      </w:r>
      <w:r>
        <w:t xml:space="preserve">premium accounts, revaluation reserve and reserves38 and profit or loss brought forward.</w:t>
      </w:r>
      <w:r>
        <w:t xml:space="preserve"> </w:t>
      </w:r>
      <w:r>
        <w:t xml:space="preserve">The value of the allowance is determined by multiplying the allowance base with the</w:t>
      </w:r>
      <w:r>
        <w:t xml:space="preserve"> </w:t>
      </w:r>
      <w:r>
        <w:t xml:space="preserve">notional interest rate.</w:t>
      </w:r>
      <w:r>
        <w:t xml:space="preserve"> </w:t>
      </w:r>
      <w:r>
        <w:t xml:space="preserve">The allowance base of a taxpayer in a given tax year is defined by the difference between</w:t>
      </w:r>
      <w:r>
        <w:t xml:space="preserve"> </w:t>
      </w:r>
      <w:r>
        <w:t xml:space="preserve">the stock of equity at the end of the tax year minus the tax value of its participation in the</w:t>
      </w:r>
      <w:r>
        <w:t xml:space="preserve"> </w:t>
      </w:r>
      <w:r>
        <w:t xml:space="preserve">capital of associated enterprises and the value of its own shares. Participations and the</w:t>
      </w:r>
      <w:r>
        <w:t xml:space="preserve"> </w:t>
      </w:r>
      <w:r>
        <w:t xml:space="preserve">value of own shares are excluded from the allowance base in order to prevent cascading</w:t>
      </w:r>
      <w:r>
        <w:t xml:space="preserve"> </w:t>
      </w:r>
      <w:r>
        <w:t xml:space="preserve">of the allowance through participations (for details see section 5.3.2 on associated</w:t>
      </w:r>
      <w:r>
        <w:t xml:space="preserve"> </w:t>
      </w:r>
      <w:r>
        <w:t xml:space="preserve">enterprises below).</w:t>
      </w:r>
      <w:r>
        <w:t xml:space="preserve"> </w:t>
      </w:r>
      <w:r>
        <w:t xml:space="preserve">Since the allowance is granted on the stock of corporate equity, the duration of the</w:t>
      </w:r>
      <w:r>
        <w:t xml:space="preserve"> </w:t>
      </w:r>
      <w:r>
        <w:t xml:space="preserve">allowance is implicitly unlimited. As long as the value of equity in a company is higher</w:t>
      </w:r>
      <w:r>
        <w:t xml:space="preserve"> </w:t>
      </w:r>
      <w:r>
        <w:t xml:space="preserve">than the value of its participations, the company can request the allowance.39</w:t>
      </w:r>
    </w:p>
    <w:p>
      <w:pPr>
        <w:pStyle w:val="BodyText"/>
      </w:pPr>
      <w:r>
        <w:t xml:space="preserve">37 In the sense of Annex III to Directive 2013/34/EU of the European Parliament and of the Council on the</w:t>
      </w:r>
      <w:r>
        <w:t xml:space="preserve"> </w:t>
      </w:r>
      <w:r>
        <w:t xml:space="preserve">annual financial statements, consolidated financial statements and related reports of certain types of</w:t>
      </w:r>
      <w:r>
        <w:t xml:space="preserve"> </w:t>
      </w:r>
      <w:r>
        <w:t xml:space="preserve">undertakings.</w:t>
      </w:r>
      <w:r>
        <w:t xml:space="preserve"> </w:t>
      </w:r>
      <w:r>
        <w:t xml:space="preserve">38 Reserves include: 1. Legal reserve, in so far as national law requires such a reserve; 2. Reserve for own</w:t>
      </w:r>
      <w:r>
        <w:t xml:space="preserve"> </w:t>
      </w:r>
      <w:r>
        <w:t xml:space="preserve">shares, in so far as national law requires such a reserve, without prejudice to point (b) of Article 24 (1) of</w:t>
      </w:r>
      <w:r>
        <w:t xml:space="preserve"> </w:t>
      </w:r>
      <w:r>
        <w:t xml:space="preserve">Directive 2012/30/EU; 3. Reserves provided for by the articles of association; 4. Other reserves, including</w:t>
      </w:r>
      <w:r>
        <w:t xml:space="preserve"> </w:t>
      </w:r>
      <w:r>
        <w:t xml:space="preserve">the fair value reserve</w:t>
      </w:r>
      <w:r>
        <w:t xml:space="preserve"> </w:t>
      </w:r>
      <w:r>
        <w:t xml:space="preserve">39 A sub-option with a restricted equity definition has also been analysed for this option. Please refer to</w:t>
      </w:r>
      <w:r>
        <w:t xml:space="preserve"> </w:t>
      </w:r>
      <w:r>
        <w:t xml:space="preserve">Annex 5.3 for discussion and results.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5.2.2. Allowance for a notional interest on new corporate equity (Allowance</w:t>
      </w:r>
      <w:r>
        <w:t xml:space="preserve"> </w:t>
      </w:r>
      <w:r>
        <w:t xml:space="preserve">for new corporate equity (ANCE) - Option 2)</w:t>
      </w:r>
      <w:r>
        <w:t xml:space="preserve"> </w:t>
      </w:r>
      <w:r>
        <w:t xml:space="preserve">Option 2 provides for a legislative initiative that would envisage a notional interest</w:t>
      </w:r>
      <w:r>
        <w:t xml:space="preserve"> </w:t>
      </w:r>
      <w:r>
        <w:t xml:space="preserve">allowance on new equity. Equity is defined40 like in option 1 as the sum of paid-up</w:t>
      </w:r>
      <w:r>
        <w:t xml:space="preserve"> </w:t>
      </w:r>
      <w:r>
        <w:t xml:space="preserve">capital, the share premium accounts, revaluation reserve and reserves41 and profit or loss</w:t>
      </w:r>
      <w:r>
        <w:t xml:space="preserve"> </w:t>
      </w:r>
      <w:r>
        <w:t xml:space="preserve">brought forward. The value of the allowance is determined by multiplying the allowance</w:t>
      </w:r>
      <w:r>
        <w:t xml:space="preserve"> </w:t>
      </w:r>
      <w:r>
        <w:t xml:space="preserve">base with the notional interest rate..</w:t>
      </w:r>
      <w:r>
        <w:t xml:space="preserve"> </w:t>
      </w:r>
      <w:r>
        <w:t xml:space="preserve">This option entails an incremental allowance, meaning that it is granted on the</w:t>
      </w:r>
      <w:r>
        <w:t xml:space="preserve"> </w:t>
      </w:r>
      <w:r>
        <w:t xml:space="preserve">difference in the level of net equity at the end of the tax year compared to the level of net</w:t>
      </w:r>
      <w:r>
        <w:t xml:space="preserve"> </w:t>
      </w:r>
      <w:r>
        <w:t xml:space="preserve">equity at the end of the previous tax year multiplied by the notional interest rate. Net</w:t>
      </w:r>
      <w:r>
        <w:t xml:space="preserve"> </w:t>
      </w:r>
      <w:r>
        <w:t xml:space="preserve">equity is defined as the difference between the equity of a taxpayer as defined in the</w:t>
      </w:r>
      <w:r>
        <w:t xml:space="preserve"> </w:t>
      </w:r>
      <w:r>
        <w:t xml:space="preserve">previous paragraph and the tax value of its participation in the capital of associated</w:t>
      </w:r>
      <w:r>
        <w:t xml:space="preserve"> </w:t>
      </w:r>
      <w:r>
        <w:t xml:space="preserve">enterprises and its own shares. Participations and the value of own shares are excluded</w:t>
      </w:r>
      <w:r>
        <w:t xml:space="preserve"> </w:t>
      </w:r>
      <w:r>
        <w:t xml:space="preserve">from the allowance base in order to prevent cascading of the allowance through</w:t>
      </w:r>
      <w:r>
        <w:t xml:space="preserve"> </w:t>
      </w:r>
      <w:r>
        <w:t xml:space="preserve">participations (for details see 5.3.2. on associated businesses below). In case of a net</w:t>
      </w:r>
      <w:r>
        <w:t xml:space="preserve"> </w:t>
      </w:r>
      <w:r>
        <w:t xml:space="preserve">equity decrease, an amount equal to the allowance equity base decrease multiplied by the</w:t>
      </w:r>
      <w:r>
        <w:t xml:space="preserve"> </w:t>
      </w:r>
      <w:r>
        <w:t xml:space="preserve">notional interest rate would become taxable.</w:t>
      </w:r>
      <w:r>
        <w:t xml:space="preserve"> </w:t>
      </w:r>
      <w:r>
        <w:t xml:space="preserve">This allowance is granted for ten years in order to emulate the average maturity of debt</w:t>
      </w:r>
      <w:r>
        <w:t xml:space="preserve"> </w:t>
      </w:r>
      <w:r>
        <w:t xml:space="preserve">and limit the fiscal cost.</w:t>
      </w:r>
      <w:r>
        <w:t xml:space="preserve"> </w:t>
      </w:r>
      <w:r>
        <w:t xml:space="preserve">In case the allowance base is negative in a given tax year, an amount equal to the</w:t>
      </w:r>
      <w:r>
        <w:t xml:space="preserve"> </w:t>
      </w:r>
      <w:r>
        <w:t xml:space="preserve">decrease in the allowance base multiplied by the notional interest rate becomes taxable.</w:t>
      </w:r>
      <w:r>
        <w:t xml:space="preserve"> </w:t>
      </w:r>
      <w:r>
        <w:t xml:space="preserve">This is important to prevent that the same equity is repeatedly re-introduced into a</w:t>
      </w:r>
      <w:r>
        <w:t xml:space="preserve"> </w:t>
      </w:r>
      <w:r>
        <w:t xml:space="preserve">company to obtain repeated allowances. In addition, this option should be coupled with</w:t>
      </w:r>
      <w:r>
        <w:t xml:space="preserve"> </w:t>
      </w:r>
      <w:r>
        <w:t xml:space="preserve">specific anti-tax abuse rules to ensure that new capital can only benefit once from the</w:t>
      </w:r>
      <w:r>
        <w:t xml:space="preserve"> </w:t>
      </w:r>
      <w:r>
        <w:t xml:space="preserve">deductibility no re-categorisation of old equity as new equity.</w:t>
      </w:r>
      <w:r>
        <w:t xml:space="preserve"> </w:t>
      </w:r>
      <w:r>
        <w:t xml:space="preserve">Since only increases in equity will qualify for an allowance, this option will create much</w:t>
      </w:r>
      <w:r>
        <w:t xml:space="preserve"> </w:t>
      </w:r>
      <w:r>
        <w:t xml:space="preserve">stronger incentives for businesses to take up new equity compared to Option 1.42</w:t>
      </w:r>
      <w:r>
        <w:t xml:space="preserve"> </w:t>
      </w:r>
      <w:r>
        <w:t xml:space="preserve">5.2.3. Allowance for a notional interest on corporate capital: equity+debt</w:t>
      </w:r>
      <w:r>
        <w:t xml:space="preserve"> </w:t>
      </w:r>
      <w:r>
        <w:t xml:space="preserve">(Allowance for corporate capital (ACC) - Option 3)</w:t>
      </w:r>
      <w:r>
        <w:t xml:space="preserve"> </w:t>
      </w:r>
      <w:r>
        <w:t xml:space="preserve">Option 3 provides for a legislative initiative that would envisage a new allowance for</w:t>
      </w:r>
      <w:r>
        <w:t xml:space="preserve"> </w:t>
      </w:r>
      <w:r>
        <w:t xml:space="preserve">notional interest on corporate capital (i.e., equity, as per also Options 1 &amp; 2) and debt,</w:t>
      </w:r>
    </w:p>
    <w:p>
      <w:pPr>
        <w:pStyle w:val="BodyText"/>
      </w:pPr>
      <w:r>
        <w:t xml:space="preserve">40 In the sense of Annex III to Directive 2013/34/EU of the European Parliament and of the Council on the</w:t>
      </w:r>
      <w:r>
        <w:t xml:space="preserve"> </w:t>
      </w:r>
      <w:r>
        <w:t xml:space="preserve">annual financial statements, consolidated financial statements and related reports of certain types of</w:t>
      </w:r>
      <w:r>
        <w:t xml:space="preserve"> </w:t>
      </w:r>
      <w:r>
        <w:t xml:space="preserve">undertakings.</w:t>
      </w:r>
      <w:r>
        <w:t xml:space="preserve"> </w:t>
      </w:r>
      <w:r>
        <w:t xml:space="preserve">41 Reserves include: 1. Legal reserve, in so far as national law requires such a reserve; 2. Reserve for own</w:t>
      </w:r>
      <w:r>
        <w:t xml:space="preserve"> </w:t>
      </w:r>
      <w:r>
        <w:t xml:space="preserve">shares, in so far as national law requires such a reserve, without prejudice to point (b) of Article 24 (1) of</w:t>
      </w:r>
      <w:r>
        <w:t xml:space="preserve"> </w:t>
      </w:r>
      <w:r>
        <w:t xml:space="preserve">Directive 2012/30/EU; 3. Reserves provided for by the articles of association; 4. Other reserves, including</w:t>
      </w:r>
      <w:r>
        <w:t xml:space="preserve"> </w:t>
      </w:r>
      <w:r>
        <w:t xml:space="preserve">the fair value reserve</w:t>
      </w:r>
      <w:r>
        <w:t xml:space="preserve"> </w:t>
      </w:r>
      <w:r>
        <w:t xml:space="preserve">42 A sub-option with a restricted equity definition has also been analysed for this option. Please refer to</w:t>
      </w:r>
      <w:r>
        <w:t xml:space="preserve"> </w:t>
      </w:r>
      <w:r>
        <w:t xml:space="preserve">Annex 5.3 for discussion and results.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while deductibility of actual interest payments is disallowed. The value of the</w:t>
      </w:r>
      <w:r>
        <w:t xml:space="preserve"> </w:t>
      </w:r>
      <w:r>
        <w:t xml:space="preserve">allowance is determined by multiplying the allowance base with the notional interest rate.</w:t>
      </w:r>
      <w:r>
        <w:t xml:space="preserve"> </w:t>
      </w:r>
      <w:r>
        <w:t xml:space="preserve">The allowance base in this case is defined as the total amount of debt and equity (debt +</w:t>
      </w:r>
      <w:r>
        <w:t xml:space="preserve"> </w:t>
      </w:r>
      <w:r>
        <w:t xml:space="preserve">paid-up capital + share premium account + reserves + profit or loss brought forward). In</w:t>
      </w:r>
      <w:r>
        <w:t xml:space="preserve"> </w:t>
      </w:r>
      <w:r>
        <w:t xml:space="preserve">this option, the notional interest rate for equity and debt is identical by construction. The</w:t>
      </w:r>
      <w:r>
        <w:t xml:space="preserve"> </w:t>
      </w:r>
      <w:r>
        <w:t xml:space="preserve">cost of equity and the cost of debt are thus perfectly equated.</w:t>
      </w:r>
      <w:r>
        <w:t xml:space="preserve"> </w:t>
      </w:r>
      <w:r>
        <w:t xml:space="preserve">This options is being evaluated for its ability to perfectly eliminate the debt-equity bias.</w:t>
      </w:r>
      <w:r>
        <w:t xml:space="preserve"> </w:t>
      </w:r>
      <w:r>
        <w:t xml:space="preserve">The fiscal implications of the measure will depend on the level of the notional interest</w:t>
      </w:r>
      <w:r>
        <w:t xml:space="preserve"> </w:t>
      </w:r>
      <w:r>
        <w:t xml:space="preserve">rate chosen. Businesses will receive a notional allowance for equity and debt alike. They</w:t>
      </w:r>
      <w:r>
        <w:t xml:space="preserve"> </w:t>
      </w:r>
      <w:r>
        <w:t xml:space="preserve">would thus generally profit from the measure since it would reduce effective tax rates.</w:t>
      </w:r>
      <w:r>
        <w:t xml:space="preserve"> </w:t>
      </w:r>
      <w:r>
        <w:t xml:space="preserve">Only for companies with very high interest payments or if the notional interest rate is</w:t>
      </w:r>
      <w:r>
        <w:t xml:space="preserve"> </w:t>
      </w:r>
      <w:r>
        <w:t xml:space="preserve">very low, could the loss of deducibility of interest payments outweigh the positive effect</w:t>
      </w:r>
      <w:r>
        <w:t xml:space="preserve"> </w:t>
      </w:r>
      <w:r>
        <w:t xml:space="preserve">of obtaining an allowance for equity. Since the allowance is based on the full stock of</w:t>
      </w:r>
      <w:r>
        <w:t xml:space="preserve"> </w:t>
      </w:r>
      <w:r>
        <w:t xml:space="preserve">capital, the duration is implicitly unlimited.</w:t>
      </w:r>
      <w:r>
        <w:br/>
      </w:r>
      <w:r>
        <w:t xml:space="preserve">5.2.4. Non-deductibility of interest payments (NDI - Option 4)</w:t>
      </w:r>
      <w:r>
        <w:t xml:space="preserve"> </w:t>
      </w:r>
      <w:r>
        <w:t xml:space="preserve">Policy Option 4 provides for a legislative initiative that would completely disallow the</w:t>
      </w:r>
      <w:r>
        <w:t xml:space="preserve"> </w:t>
      </w:r>
      <w:r>
        <w:t xml:space="preserve">deductibility of interest expenses. This fully aligns the tax treatment of debt and equity</w:t>
      </w:r>
      <w:r>
        <w:t xml:space="preserve"> </w:t>
      </w:r>
      <w:r>
        <w:t xml:space="preserve">costs by making both non-deductible.</w:t>
      </w:r>
      <w:r>
        <w:br/>
      </w:r>
      <w:r>
        <w:t xml:space="preserve">Debt already existing by the time the measure is announced would be grandfathered for</w:t>
      </w:r>
      <w:r>
        <w:t xml:space="preserve"> </w:t>
      </w:r>
      <w:r>
        <w:t xml:space="preserve">its full maturity in order to mitigate immediate impacts on businesses. Long term debt,</w:t>
      </w:r>
      <w:r>
        <w:t xml:space="preserve"> </w:t>
      </w:r>
      <w:r>
        <w:t xml:space="preserve">which will be signed after approval of the measure but before implementation, would be</w:t>
      </w:r>
      <w:r>
        <w:t xml:space="preserve"> </w:t>
      </w:r>
      <w:r>
        <w:t xml:space="preserve">grandfathered for a duration of ten years. This limited grandfathering would limit the</w:t>
      </w:r>
      <w:r>
        <w:t xml:space="preserve"> </w:t>
      </w:r>
      <w:r>
        <w:t xml:space="preserve">incentive to roll-over existing debt just for the sake of being grandfathered. Under option</w:t>
      </w:r>
      <w:r>
        <w:t xml:space="preserve"> </w:t>
      </w:r>
      <w:r>
        <w:t xml:space="preserve">4 as under all other options, the adoption of the DEBRA directive would be accompanied</w:t>
      </w:r>
      <w:r>
        <w:t xml:space="preserve"> </w:t>
      </w:r>
      <w:r>
        <w:t xml:space="preserve">by the abolition of existing national schemes providing an allowance on equity.</w:t>
      </w:r>
      <w:r>
        <w:t xml:space="preserve"> </w:t>
      </w:r>
      <w:r>
        <w:t xml:space="preserve">5.2.5. Combination of equity and debt related measures (Option 5)</w:t>
      </w:r>
      <w:r>
        <w:t xml:space="preserve"> </w:t>
      </w:r>
      <w:r>
        <w:t xml:space="preserve">Option 5 provides for a legislative initiative that would combine an allowance for</w:t>
      </w:r>
      <w:r>
        <w:t xml:space="preserve"> </w:t>
      </w:r>
      <w:r>
        <w:t xml:space="preserve">notional interest on new corporate equity (same as proposed under Option 2) with a</w:t>
      </w:r>
      <w:r>
        <w:t xml:space="preserve"> </w:t>
      </w:r>
      <w:r>
        <w:t xml:space="preserve">partial limitation of tax deductibility. The combination of an equity allowance with a</w:t>
      </w:r>
      <w:r>
        <w:t xml:space="preserve"> </w:t>
      </w:r>
      <w:r>
        <w:t xml:space="preserve">partial interest limitation rule would tackle the debt-equity bias simultaneously from the</w:t>
      </w:r>
      <w:r>
        <w:t xml:space="preserve"> </w:t>
      </w:r>
      <w:r>
        <w:t xml:space="preserve">debt and equity side. At the same time, the limitation of interest deductibility would help</w:t>
      </w:r>
      <w:r>
        <w:t xml:space="preserve"> </w:t>
      </w:r>
      <w:r>
        <w:t xml:space="preserve">finance the allowance for equity. As per Options 1, 2 and 3, equity is defined as the sum</w:t>
      </w:r>
      <w:r>
        <w:t xml:space="preserve"> </w:t>
      </w:r>
      <w:r>
        <w:t xml:space="preserve">of paid-up capital, the share premium accounts, revaluation reserve and reserves43 and</w:t>
      </w:r>
      <w:r>
        <w:t xml:space="preserve"> </w:t>
      </w:r>
      <w:r>
        <w:t xml:space="preserve">profit or loss brought forward. The allowance would also be incremental – i.e., granted</w:t>
      </w:r>
      <w:r>
        <w:t xml:space="preserve"> </w:t>
      </w:r>
      <w:r>
        <w:t xml:space="preserve">on a base equal to the difference in the level of net equity at the end of the tax year</w:t>
      </w:r>
    </w:p>
    <w:p>
      <w:pPr>
        <w:pStyle w:val="BodyText"/>
      </w:pPr>
      <w:r>
        <w:t xml:space="preserve">43 Reserves include: 1. Legal reserve, in so far as national law requires such a reserve; 2. Reserve for own</w:t>
      </w:r>
      <w:r>
        <w:t xml:space="preserve"> </w:t>
      </w:r>
      <w:r>
        <w:t xml:space="preserve">shares, in so far as national law requires such a reserve, without prejudice to point (b) of Article 24 (1) of</w:t>
      </w:r>
      <w:r>
        <w:t xml:space="preserve"> </w:t>
      </w:r>
      <w:r>
        <w:t xml:space="preserve">Directive 2012/30/EU; 3. Reserves provided for by the articles of association; 4. Other reserves, including</w:t>
      </w:r>
      <w:r>
        <w:t xml:space="preserve"> </w:t>
      </w:r>
      <w:r>
        <w:t xml:space="preserve">the fair value reserve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compared to the level of net equity at the end of the previous tax year (new corporate</w:t>
      </w:r>
      <w:r>
        <w:t xml:space="preserve"> </w:t>
      </w:r>
      <w:r>
        <w:t xml:space="preserve">equity). In the same vein, and as per Option 2, net equity is defined as the difference</w:t>
      </w:r>
      <w:r>
        <w:t xml:space="preserve"> </w:t>
      </w:r>
      <w:r>
        <w:t xml:space="preserve">between the equity of a taxpayer (paid-up capital + share premium account + reserves +</w:t>
      </w:r>
      <w:r>
        <w:t xml:space="preserve"> </w:t>
      </w:r>
      <w:r>
        <w:t xml:space="preserve">profit or loss brought forward) and the tax value of its participation in the capital of</w:t>
      </w:r>
      <w:r>
        <w:t xml:space="preserve"> </w:t>
      </w:r>
      <w:r>
        <w:t xml:space="preserve">associated enterprises and its own shares. The allowance could be granted for 10 years in</w:t>
      </w:r>
      <w:r>
        <w:t xml:space="preserve"> </w:t>
      </w:r>
      <w:r>
        <w:t xml:space="preserve">order to emulate the average maturity of debt.</w:t>
      </w:r>
      <w:r>
        <w:br/>
      </w:r>
      <w:r>
        <w:t xml:space="preserve">The partial limitation of tax deductibility of interest expenses could be implemented by</w:t>
      </w:r>
      <w:r>
        <w:t xml:space="preserve"> </w:t>
      </w:r>
      <w:r>
        <w:t xml:space="preserve">simply reducing interest deductibility by a given proportion of x% for all companies. The</w:t>
      </w:r>
      <w:r>
        <w:t xml:space="preserve"> </w:t>
      </w:r>
      <w:r>
        <w:t xml:space="preserve">parameter x would need to be further defined. Such a proportional interest limitation in</w:t>
      </w:r>
      <w:r>
        <w:t xml:space="preserve"> </w:t>
      </w:r>
      <w:r>
        <w:t xml:space="preserve">the context of DEBRA would also need to define the interaction with existing interest</w:t>
      </w:r>
      <w:r>
        <w:t xml:space="preserve"> </w:t>
      </w:r>
      <w:r>
        <w:t xml:space="preserve">limitation rules (ILRs), specifically the ILR contained in the EU’s Anti Tax Avoidance</w:t>
      </w:r>
      <w:r>
        <w:t xml:space="preserve"> </w:t>
      </w:r>
      <w:r>
        <w:t xml:space="preserve">Directive 1 (ATAD 1). The ATAD 1 ILR states that net interest expenses can only be</w:t>
      </w:r>
      <w:r>
        <w:t xml:space="preserve"> </w:t>
      </w:r>
      <w:r>
        <w:t xml:space="preserve">deducted up to a value of 30% of the company’s EBITDA with a safe haven of EUR 3</w:t>
      </w:r>
      <w:r>
        <w:t xml:space="preserve"> </w:t>
      </w:r>
      <w:r>
        <w:t xml:space="preserve">million (as minimum requirement)44.</w:t>
      </w:r>
      <w:r>
        <w:br/>
      </w:r>
      <w:r>
        <w:t xml:space="preserve">It could be decided to keep ATAD 1 and DEBRA ILRs mutually exclusive, with the</w:t>
      </w:r>
      <w:r>
        <w:t xml:space="preserve"> </w:t>
      </w:r>
      <w:r>
        <w:t xml:space="preserve">more stringent ILR being applied. This would imply that companies affected by ATAD 1</w:t>
      </w:r>
      <w:r>
        <w:t xml:space="preserve"> </w:t>
      </w:r>
      <w:r>
        <w:t xml:space="preserve">ILR, would fall under ATAD 1 ILR while all other companies would fall under the</w:t>
      </w:r>
      <w:r>
        <w:t xml:space="preserve"> </w:t>
      </w:r>
      <w:r>
        <w:t xml:space="preserve">proportional DEBRA ILR. At first sight such an approach seems even-handed, since each</w:t>
      </w:r>
      <w:r>
        <w:t xml:space="preserve"> </w:t>
      </w:r>
      <w:r>
        <w:t xml:space="preserve">company would be captured under the more stringent ILR. The ATAD 1 ILR however</w:t>
      </w:r>
      <w:r>
        <w:t xml:space="preserve"> </w:t>
      </w:r>
      <w:r>
        <w:t xml:space="preserve">allows in several Member States the carry forward of non-deductible excess interest</w:t>
      </w:r>
      <w:r>
        <w:t xml:space="preserve"> </w:t>
      </w:r>
      <w:r>
        <w:t xml:space="preserve">expenses so that eventually all interest expenses can potentially be deducted, albeit at a</w:t>
      </w:r>
      <w:r>
        <w:t xml:space="preserve"> </w:t>
      </w:r>
      <w:r>
        <w:t xml:space="preserve">later point in time. In contrast, the DEBRA ILR would not allow for any carry forward of</w:t>
      </w:r>
      <w:r>
        <w:t xml:space="preserve"> </w:t>
      </w:r>
      <w:r>
        <w:t xml:space="preserve">non-deductible interest expenses. Companies being captured under ATAD 1 would thus</w:t>
      </w:r>
      <w:r>
        <w:t xml:space="preserve"> </w:t>
      </w:r>
      <w:r>
        <w:t xml:space="preserve">be treated preferentially compared to all other companies for which the DEBRA ILR</w:t>
      </w:r>
      <w:r>
        <w:t xml:space="preserve"> </w:t>
      </w:r>
      <w:r>
        <w:t xml:space="preserve">would apply. As a consequence the interaction between DEBRA ILR and ATAD 1 ILR</w:t>
      </w:r>
      <w:r>
        <w:t xml:space="preserve"> </w:t>
      </w:r>
      <w:r>
        <w:t xml:space="preserve">might thus be preferably designed in a sequential way. Under such sequential treatment,</w:t>
      </w:r>
      <w:r>
        <w:t xml:space="preserve"> </w:t>
      </w:r>
      <w:r>
        <w:t xml:space="preserve">all companies would first apply the proportional DEBRA ILR. In a second step the</w:t>
      </w:r>
      <w:r>
        <w:t xml:space="preserve"> </w:t>
      </w:r>
      <w:r>
        <w:t xml:space="preserve">ATAD 1 ILR would be applied. Relevant net interest expenses to be capped at 30% of</w:t>
      </w:r>
      <w:r>
        <w:t xml:space="preserve"> </w:t>
      </w:r>
      <w:r>
        <w:t xml:space="preserve">EBITDA or the safe harbour of EUR 3 million would only bel those net interest expenses</w:t>
      </w:r>
      <w:r>
        <w:t xml:space="preserve"> </w:t>
      </w:r>
      <w:r>
        <w:t xml:space="preserve">which have not been already limited by the DEBRA ILR. (In the case where the DEBRA</w:t>
      </w:r>
      <w:r>
        <w:t xml:space="preserve"> </w:t>
      </w:r>
      <w:r>
        <w:t xml:space="preserve">ILR is 20% so that 80% of net interest expenses are deductible and the company has net</w:t>
      </w:r>
      <w:r>
        <w:t xml:space="preserve"> </w:t>
      </w:r>
      <w:r>
        <w:t xml:space="preserve">interest expense of EUR 500000, EUR 100000 of net interest expenses would not be</w:t>
      </w:r>
      <w:r>
        <w:t xml:space="preserve"> </w:t>
      </w:r>
      <w:r>
        <w:t xml:space="preserve">deductible under DEBRA ILR. The remaining EUR 400000 would now be applied to</w:t>
      </w:r>
      <w:r>
        <w:t xml:space="preserve"> </w:t>
      </w:r>
      <w:r>
        <w:t xml:space="preserve">ATAD 1 ILR. Since there is a safe harbour of EUR 3 million or at least 1 million, the</w:t>
      </w:r>
      <w:r>
        <w:t xml:space="preserve"> </w:t>
      </w:r>
      <w:r>
        <w:t xml:space="preserve">company would not further fall under ATAD 1 ILR).</w:t>
      </w:r>
      <w:r>
        <w:br/>
      </w:r>
      <w:r>
        <w:t xml:space="preserve">Table 2 provides an overview over the five different policy options.</w:t>
      </w:r>
    </w:p>
    <w:p>
      <w:pPr>
        <w:pStyle w:val="BodyText"/>
      </w:pPr>
      <w:r>
        <w:t xml:space="preserve">44 See Annex 7.2 on the specific implementation of ATAD 1 ILR across Member States.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Table 2. Overview of policy options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Approach</w:t>
      </w:r>
      <w:r>
        <w:t xml:space="preserve"> </w:t>
      </w:r>
      <w:r>
        <w:t xml:space="preserve">Allowance base and equity</w:t>
      </w:r>
      <w:r>
        <w:t xml:space="preserve"> </w:t>
      </w:r>
      <w:r>
        <w:t xml:space="preserve">definition</w:t>
      </w:r>
      <w:r>
        <w:t xml:space="preserve"> </w:t>
      </w:r>
      <w:r>
        <w:t xml:space="preserve">Other design</w:t>
      </w:r>
      <w:r>
        <w:t xml:space="preserve"> </w:t>
      </w:r>
      <w:r>
        <w:t xml:space="preserve">elements</w:t>
      </w:r>
    </w:p>
    <w:p>
      <w:pPr>
        <w:pStyle w:val="BodyText"/>
      </w:pPr>
      <w:r>
        <w:t xml:space="preserve">Option 1</w:t>
      </w:r>
      <w:r>
        <w:t xml:space="preserve"> </w:t>
      </w:r>
      <w:r>
        <w:t xml:space="preserve">Notional interest</w:t>
      </w:r>
      <w:r>
        <w:t xml:space="preserve"> </w:t>
      </w:r>
      <w:r>
        <w:t xml:space="preserve">deduction; no</w:t>
      </w:r>
      <w:r>
        <w:t xml:space="preserve"> </w:t>
      </w:r>
      <w:r>
        <w:t xml:space="preserve">specific action</w:t>
      </w:r>
      <w:r>
        <w:t xml:space="preserve"> </w:t>
      </w:r>
      <w:r>
        <w:t xml:space="preserve">on the debt side.</w:t>
      </w:r>
      <w:r>
        <w:br/>
      </w:r>
      <w:r>
        <w:t xml:space="preserve">All equity, net of participations and</w:t>
      </w:r>
      <w:r>
        <w:t xml:space="preserve"> </w:t>
      </w:r>
      <w:r>
        <w:t xml:space="preserve">value of own shares;</w:t>
      </w:r>
      <w:r>
        <w:br/>
      </w:r>
      <w:r>
        <w:t xml:space="preserve">Equity definition comprises paid-up</w:t>
      </w:r>
      <w:r>
        <w:t xml:space="preserve"> </w:t>
      </w:r>
      <w:r>
        <w:t xml:space="preserve">capital, the share premium accounts,</w:t>
      </w:r>
      <w:r>
        <w:t xml:space="preserve"> </w:t>
      </w:r>
      <w:r>
        <w:t xml:space="preserve">revaluation reserve and reserves and</w:t>
      </w:r>
      <w:r>
        <w:t xml:space="preserve"> </w:t>
      </w:r>
      <w:r>
        <w:t xml:space="preserve">profit or loss brought forward.</w:t>
      </w:r>
      <w:r>
        <w:br/>
      </w:r>
      <w:r>
        <w:t xml:space="preserve">Notional interest</w:t>
      </w:r>
      <w:r>
        <w:t xml:space="preserve"> </w:t>
      </w:r>
      <w:r>
        <w:t xml:space="preserve">rate, definition of</w:t>
      </w:r>
      <w:r>
        <w:t xml:space="preserve"> </w:t>
      </w:r>
      <w:r>
        <w:t xml:space="preserve">associated</w:t>
      </w:r>
      <w:r>
        <w:t xml:space="preserve"> </w:t>
      </w:r>
      <w:r>
        <w:t xml:space="preserve">enterprises, anti-</w:t>
      </w:r>
      <w:r>
        <w:t xml:space="preserve"> </w:t>
      </w:r>
      <w:r>
        <w:t xml:space="preserve">abuse framework</w:t>
      </w:r>
      <w:r>
        <w:t xml:space="preserve"> </w:t>
      </w:r>
      <w:r>
        <w:t xml:space="preserve">Option 2</w:t>
      </w:r>
      <w:r>
        <w:t xml:space="preserve"> </w:t>
      </w:r>
      <w:r>
        <w:t xml:space="preserve">Notional interest</w:t>
      </w:r>
      <w:r>
        <w:t xml:space="preserve"> </w:t>
      </w:r>
      <w:r>
        <w:t xml:space="preserve">deduction; ; no</w:t>
      </w:r>
      <w:r>
        <w:t xml:space="preserve"> </w:t>
      </w:r>
      <w:r>
        <w:t xml:space="preserve">specific action</w:t>
      </w:r>
      <w:r>
        <w:t xml:space="preserve"> </w:t>
      </w:r>
      <w:r>
        <w:t xml:space="preserve">on the debt side.</w:t>
      </w:r>
      <w:r>
        <w:br/>
      </w:r>
      <w:r>
        <w:t xml:space="preserve">New equity, i.e. year on year increase</w:t>
      </w:r>
      <w:r>
        <w:t xml:space="preserve"> </w:t>
      </w:r>
      <w:r>
        <w:t xml:space="preserve">in equity, net of year on year increase</w:t>
      </w:r>
      <w:r>
        <w:t xml:space="preserve"> </w:t>
      </w:r>
      <w:r>
        <w:t xml:space="preserve">in participations and own stocks;</w:t>
      </w:r>
      <w:r>
        <w:t xml:space="preserve"> </w:t>
      </w:r>
      <w:r>
        <w:t xml:space="preserve">Equity definition comprises paid-up</w:t>
      </w:r>
      <w:r>
        <w:t xml:space="preserve"> </w:t>
      </w:r>
      <w:r>
        <w:t xml:space="preserve">capital, the share premium accounts,</w:t>
      </w:r>
      <w:r>
        <w:t xml:space="preserve"> </w:t>
      </w:r>
      <w:r>
        <w:t xml:space="preserve">revaluation reserve and reserves and</w:t>
      </w:r>
      <w:r>
        <w:t xml:space="preserve"> </w:t>
      </w:r>
      <w:r>
        <w:t xml:space="preserve">profit or loss brought forward.</w:t>
      </w:r>
      <w:r>
        <w:br/>
      </w:r>
      <w:r>
        <w:t xml:space="preserve">Notional interest</w:t>
      </w:r>
      <w:r>
        <w:t xml:space="preserve"> </w:t>
      </w:r>
      <w:r>
        <w:t xml:space="preserve">rate, definition of</w:t>
      </w:r>
      <w:r>
        <w:t xml:space="preserve"> </w:t>
      </w:r>
      <w:r>
        <w:t xml:space="preserve">associated</w:t>
      </w:r>
      <w:r>
        <w:t xml:space="preserve"> </w:t>
      </w:r>
      <w:r>
        <w:t xml:space="preserve">enterprises, anti-</w:t>
      </w:r>
      <w:r>
        <w:t xml:space="preserve"> </w:t>
      </w:r>
      <w:r>
        <w:t xml:space="preserve">abuse framework</w:t>
      </w:r>
      <w:r>
        <w:t xml:space="preserve"> </w:t>
      </w:r>
      <w:r>
        <w:t xml:space="preserve">Option 3</w:t>
      </w:r>
      <w:r>
        <w:t xml:space="preserve"> </w:t>
      </w:r>
      <w:r>
        <w:t xml:space="preserve">Notional interest</w:t>
      </w:r>
      <w:r>
        <w:t xml:space="preserve"> </w:t>
      </w:r>
      <w:r>
        <w:t xml:space="preserve">deduction;</w:t>
      </w:r>
      <w:r>
        <w:br/>
      </w:r>
      <w:r>
        <w:t xml:space="preserve">Current</w:t>
      </w:r>
      <w:r>
        <w:t xml:space="preserve"> </w:t>
      </w:r>
      <w:r>
        <w:t xml:space="preserve">deduction on</w:t>
      </w:r>
      <w:r>
        <w:t xml:space="preserve"> </w:t>
      </w:r>
      <w:r>
        <w:t xml:space="preserve">debt related</w:t>
      </w:r>
      <w:r>
        <w:t xml:space="preserve"> </w:t>
      </w:r>
      <w:r>
        <w:t xml:space="preserve">interest is</w:t>
      </w:r>
      <w:r>
        <w:t xml:space="preserve"> </w:t>
      </w:r>
      <w:r>
        <w:t xml:space="preserve">disallowed. But</w:t>
      </w:r>
      <w:r>
        <w:t xml:space="preserve"> </w:t>
      </w:r>
      <w:r>
        <w:t xml:space="preserve">debt is included</w:t>
      </w:r>
      <w:r>
        <w:t xml:space="preserve"> </w:t>
      </w:r>
      <w:r>
        <w:t xml:space="preserve">in the base for</w:t>
      </w:r>
      <w:r>
        <w:t xml:space="preserve"> </w:t>
      </w:r>
      <w:r>
        <w:t xml:space="preserve">the notional</w:t>
      </w:r>
      <w:r>
        <w:t xml:space="preserve"> </w:t>
      </w:r>
      <w:r>
        <w:t xml:space="preserve">allowance.</w:t>
      </w:r>
      <w:r>
        <w:t xml:space="preserve"> </w:t>
      </w:r>
      <w:r>
        <w:t xml:space="preserve">All corporate capital, i.e. equity</w:t>
      </w:r>
      <w:r>
        <w:t xml:space="preserve"> </w:t>
      </w:r>
      <w:r>
        <w:t xml:space="preserve">(paid-up capital, the share premium</w:t>
      </w:r>
      <w:r>
        <w:t xml:space="preserve"> </w:t>
      </w:r>
      <w:r>
        <w:t xml:space="preserve">accounts, revaluation reserve and</w:t>
      </w:r>
      <w:r>
        <w:t xml:space="preserve"> </w:t>
      </w:r>
      <w:r>
        <w:t xml:space="preserve">reserves and profit or loss brought</w:t>
      </w:r>
      <w:r>
        <w:t xml:space="preserve"> </w:t>
      </w:r>
      <w:r>
        <w:t xml:space="preserve">forward) and debt, net of</w:t>
      </w:r>
      <w:r>
        <w:t xml:space="preserve"> </w:t>
      </w:r>
      <w:r>
        <w:t xml:space="preserve">participations and value of own shares.</w:t>
      </w:r>
    </w:p>
    <w:p>
      <w:pPr>
        <w:pStyle w:val="BodyText"/>
      </w:pPr>
      <w:r>
        <w:t xml:space="preserve">Notional interest</w:t>
      </w:r>
      <w:r>
        <w:t xml:space="preserve"> </w:t>
      </w:r>
      <w:r>
        <w:t xml:space="preserve">rate, definition of</w:t>
      </w:r>
      <w:r>
        <w:t xml:space="preserve"> </w:t>
      </w:r>
      <w:r>
        <w:t xml:space="preserve">associated</w:t>
      </w:r>
      <w:r>
        <w:t xml:space="preserve"> </w:t>
      </w:r>
      <w:r>
        <w:t xml:space="preserve">enterprises, anti-</w:t>
      </w:r>
      <w:r>
        <w:t xml:space="preserve"> </w:t>
      </w:r>
      <w:r>
        <w:t xml:space="preserve">abuse framework</w:t>
      </w:r>
      <w:r>
        <w:t xml:space="preserve"> </w:t>
      </w:r>
      <w:r>
        <w:t xml:space="preserve">Option 4</w:t>
      </w:r>
      <w:r>
        <w:t xml:space="preserve"> </w:t>
      </w:r>
      <w:r>
        <w:t xml:space="preserve">No deduction of</w:t>
      </w:r>
      <w:r>
        <w:t xml:space="preserve"> </w:t>
      </w:r>
      <w:r>
        <w:t xml:space="preserve">interest</w:t>
      </w:r>
      <w:r>
        <w:t xml:space="preserve"> </w:t>
      </w:r>
      <w:r>
        <w:t xml:space="preserve">payments.</w:t>
      </w:r>
      <w:r>
        <w:t xml:space="preserve"> </w:t>
      </w:r>
      <w:r>
        <w:t xml:space="preserve">Measure focuses</w:t>
      </w:r>
      <w:r>
        <w:t xml:space="preserve"> </w:t>
      </w:r>
      <w:r>
        <w:t xml:space="preserve">on the debt side</w:t>
      </w:r>
      <w:r>
        <w:t xml:space="preserve"> </w:t>
      </w:r>
      <w:r>
        <w:t xml:space="preserve">only.</w:t>
      </w:r>
      <w:r>
        <w:t xml:space="preserve"> </w:t>
      </w:r>
      <w:r>
        <w:t xml:space="preserve">Deduction of interests paid on debt is</w:t>
      </w:r>
      <w:r>
        <w:t xml:space="preserve"> </w:t>
      </w:r>
      <w:r>
        <w:t xml:space="preserve">fully disallowed.</w:t>
      </w:r>
      <w:r>
        <w:br/>
      </w:r>
      <w:r>
        <w:t xml:space="preserve">No allowance of any kind is granted.</w:t>
      </w:r>
      <w:r>
        <w:t xml:space="preserve"> </w:t>
      </w:r>
      <w:r>
        <w:t xml:space="preserve">n.a.</w:t>
      </w:r>
      <w:r>
        <w:t xml:space="preserve"> </w:t>
      </w:r>
      <w:r>
        <w:t xml:space="preserve">Option 5</w:t>
      </w:r>
      <w:r>
        <w:t xml:space="preserve"> </w:t>
      </w:r>
      <w:r>
        <w:t xml:space="preserve">Notional interest</w:t>
      </w:r>
      <w:r>
        <w:t xml:space="preserve"> </w:t>
      </w:r>
      <w:r>
        <w:t xml:space="preserve">deduction for</w:t>
      </w:r>
      <w:r>
        <w:t xml:space="preserve"> </w:t>
      </w:r>
      <w:r>
        <w:t xml:space="preserve">equity plus</w:t>
      </w:r>
      <w:r>
        <w:t xml:space="preserve"> </w:t>
      </w:r>
      <w:r>
        <w:t xml:space="preserve">partial limitation</w:t>
      </w:r>
      <w:r>
        <w:t xml:space="preserve"> </w:t>
      </w:r>
      <w:r>
        <w:t xml:space="preserve">of interest</w:t>
      </w:r>
      <w:r>
        <w:t xml:space="preserve"> </w:t>
      </w:r>
      <w:r>
        <w:t xml:space="preserve">deductibility</w:t>
      </w:r>
      <w:r>
        <w:br/>
      </w:r>
      <w:r>
        <w:t xml:space="preserve">New equity (as under Option 2), i.e. </w:t>
      </w:r>
      <w:r>
        <w:t xml:space="preserve"> </w:t>
      </w:r>
      <w:r>
        <w:t xml:space="preserve">year on year increase in equity, net of</w:t>
      </w:r>
      <w:r>
        <w:t xml:space="preserve"> </w:t>
      </w:r>
      <w:r>
        <w:t xml:space="preserve">year on year increase in participations</w:t>
      </w:r>
      <w:r>
        <w:t xml:space="preserve"> </w:t>
      </w:r>
      <w:r>
        <w:t xml:space="preserve">and own stocks;</w:t>
      </w:r>
      <w:r>
        <w:t xml:space="preserve"> </w:t>
      </w:r>
      <w:r>
        <w:t xml:space="preserve">Equity definition (as under Option 2)</w:t>
      </w:r>
      <w:r>
        <w:t xml:space="preserve"> </w:t>
      </w:r>
      <w:r>
        <w:t xml:space="preserve">comprises paid-up capital, the share</w:t>
      </w:r>
      <w:r>
        <w:t xml:space="preserve"> </w:t>
      </w:r>
      <w:r>
        <w:t xml:space="preserve">premium accounts, revaluation reserve</w:t>
      </w:r>
      <w:r>
        <w:t xml:space="preserve"> </w:t>
      </w:r>
      <w:r>
        <w:t xml:space="preserve">and reserves and profit or loss brought</w:t>
      </w:r>
      <w:r>
        <w:t xml:space="preserve"> </w:t>
      </w:r>
      <w:r>
        <w:t xml:space="preserve">forward.</w:t>
      </w:r>
      <w:r>
        <w:t xml:space="preserve"> </w:t>
      </w:r>
      <w:r>
        <w:t xml:space="preserve">Introduce limitation of interest paid on</w:t>
      </w:r>
      <w:r>
        <w:t xml:space="preserve"> </w:t>
      </w:r>
      <w:r>
        <w:t xml:space="preserve">debt (e.g. proportional limitation rule).</w:t>
      </w:r>
      <w:r>
        <w:t xml:space="preserve"> </w:t>
      </w:r>
      <w:r>
        <w:t xml:space="preserve">Notional interest</w:t>
      </w:r>
      <w:r>
        <w:t xml:space="preserve"> </w:t>
      </w:r>
      <w:r>
        <w:t xml:space="preserve">rate, definition of</w:t>
      </w:r>
      <w:r>
        <w:t xml:space="preserve"> </w:t>
      </w:r>
      <w:r>
        <w:t xml:space="preserve">associated</w:t>
      </w:r>
      <w:r>
        <w:t xml:space="preserve"> </w:t>
      </w:r>
      <w:r>
        <w:t xml:space="preserve">enterprises, anti-</w:t>
      </w:r>
      <w:r>
        <w:t xml:space="preserve"> </w:t>
      </w:r>
      <w:r>
        <w:t xml:space="preserve">abuse framework,</w:t>
      </w:r>
      <w:r>
        <w:t xml:space="preserve"> </w:t>
      </w:r>
      <w:r>
        <w:t xml:space="preserve">interest limitation</w:t>
      </w:r>
      <w:r>
        <w:t xml:space="preserve"> </w:t>
      </w:r>
      <w:r>
        <w:t xml:space="preserve">rule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5.3. Common elements</w:t>
      </w:r>
      <w:r>
        <w:br/>
      </w:r>
      <w:r>
        <w:t xml:space="preserve">This section discusses the notional interest rate, associated enterprises and the anti-abuse</w:t>
      </w:r>
      <w:r>
        <w:t xml:space="preserve"> </w:t>
      </w:r>
      <w:r>
        <w:t xml:space="preserve">framework. These are elements common to all policy options that allow a notional</w:t>
      </w:r>
      <w:r>
        <w:t xml:space="preserve"> </w:t>
      </w:r>
      <w:r>
        <w:t xml:space="preserve">interest deduction (options 1, 2, 3, 5).</w:t>
      </w:r>
      <w:r>
        <w:t xml:space="preserve"> </w:t>
      </w:r>
      <w:r>
        <w:t xml:space="preserve">5.3.1. The notional interest rate</w:t>
      </w:r>
      <w:r>
        <w:t xml:space="preserve"> </w:t>
      </w:r>
      <w:r>
        <w:t xml:space="preserve">The choice of the notional interest rate (NIR) is an important parameter, relevant for all</w:t>
      </w:r>
      <w:r>
        <w:t xml:space="preserve"> </w:t>
      </w:r>
      <w:r>
        <w:t xml:space="preserve">options granting an allowance for equity (i.e. options 1, 2, 3, 5). The notional interest rate</w:t>
      </w:r>
      <w:r>
        <w:t xml:space="preserve"> </w:t>
      </w:r>
      <w:r>
        <w:t xml:space="preserve">is one of the determinants of the value of the allowance and thus affects the cost of equity</w:t>
      </w:r>
      <w:r>
        <w:t xml:space="preserve"> </w:t>
      </w:r>
      <w:r>
        <w:t xml:space="preserve">as well as the reduction of taxable income.</w:t>
      </w:r>
      <w:r>
        <w:br/>
      </w:r>
      <w:r>
        <w:t xml:space="preserve">In the construction of a notional interest rate, there is a trade-off between simplicity and</w:t>
      </w:r>
      <w:r>
        <w:t xml:space="preserve"> </w:t>
      </w:r>
      <w:r>
        <w:t xml:space="preserve">exactness. Three approaches can be envisaged: (1) One single NIR could be applied</w:t>
      </w:r>
      <w:r>
        <w:t xml:space="preserve"> </w:t>
      </w:r>
      <w:r>
        <w:t xml:space="preserve">across the EU. (2) There could be a currency specific NIR for each currency in the EU, or</w:t>
      </w:r>
      <w:r>
        <w:t xml:space="preserve"> </w:t>
      </w:r>
      <w:r>
        <w:t xml:space="preserve">(3) there could be a specific NIR for each Member State. One unique notional interest</w:t>
      </w:r>
      <w:r>
        <w:t xml:space="preserve"> </w:t>
      </w:r>
      <w:r>
        <w:t xml:space="preserve">rate for the EU would be simple to apply and would provide for a high degree of</w:t>
      </w:r>
      <w:r>
        <w:t xml:space="preserve"> </w:t>
      </w:r>
      <w:r>
        <w:t xml:space="preserve">harmonisation across Member States. A single EU-wide rate however would disregard</w:t>
      </w:r>
      <w:r>
        <w:t xml:space="preserve"> </w:t>
      </w:r>
      <w:r>
        <w:t xml:space="preserve">differences in financing conditions, amongst others currency risks, between Member</w:t>
      </w:r>
      <w:r>
        <w:t xml:space="preserve"> </w:t>
      </w:r>
      <w:r>
        <w:t xml:space="preserve">States leading to possible distortions which could result in (dis)advantages for Member</w:t>
      </w:r>
      <w:r>
        <w:t xml:space="preserve"> </w:t>
      </w:r>
      <w:r>
        <w:t xml:space="preserve">States not in the Euro-area. The opposite case of a unique EU-wide NIR would be a</w:t>
      </w:r>
      <w:r>
        <w:t xml:space="preserve"> </w:t>
      </w:r>
      <w:r>
        <w:t xml:space="preserve">country specific NIR which would reflect the specific average financing conditions in</w:t>
      </w:r>
      <w:r>
        <w:t xml:space="preserve"> </w:t>
      </w:r>
      <w:r>
        <w:t xml:space="preserve">each Member State. Such an approach however creates complexity due to a large number</w:t>
      </w:r>
      <w:r>
        <w:t xml:space="preserve"> </w:t>
      </w:r>
      <w:r>
        <w:t xml:space="preserve">of NIRs. The risk-free rate strongly depends on the currency, because of characteristics</w:t>
      </w:r>
      <w:r>
        <w:t xml:space="preserve"> </w:t>
      </w:r>
      <w:r>
        <w:t xml:space="preserve">like inflation and central bank policy. A currency specific notional interest rate is the</w:t>
      </w:r>
      <w:r>
        <w:t xml:space="preserve"> </w:t>
      </w:r>
      <w:r>
        <w:t xml:space="preserve">intermediate approach between the two extremes, accounting for currency risks and some</w:t>
      </w:r>
      <w:r>
        <w:t xml:space="preserve"> </w:t>
      </w:r>
      <w:r>
        <w:t xml:space="preserve">country specificities while limiting the number of different NIRs.</w:t>
      </w:r>
      <w:r>
        <w:br/>
      </w:r>
      <w:r>
        <w:t xml:space="preserve">In general, the notional interest rate (NIR) could be determined with reference to an</w:t>
      </w:r>
      <w:r>
        <w:t xml:space="preserve"> </w:t>
      </w:r>
      <w:r>
        <w:t xml:space="preserve">interest rate for risk-free investments (risk free interest rate, RFR) adding a risk premium</w:t>
      </w:r>
      <w:r>
        <w:t xml:space="preserve"> </w:t>
      </w:r>
      <w:r>
        <w:t xml:space="preserve">(x) to take into account the fact that private borrowers usually face higher interest rates</w:t>
      </w:r>
      <w:r>
        <w:t xml:space="preserve"> </w:t>
      </w:r>
      <w:r>
        <w:t xml:space="preserve">than risk free borrowers.</w:t>
      </w:r>
      <w:r>
        <w:br/>
      </w:r>
      <w:r>
        <w:t xml:space="preserve">NIR = RFR + x</w:t>
      </w:r>
    </w:p>
    <w:p>
      <w:pPr>
        <w:pStyle w:val="BodyText"/>
      </w:pPr>
      <w:r>
        <w:t xml:space="preserve">(RFR is the risk free interest rate, x the risk premium)</w:t>
      </w:r>
      <w:r>
        <w:t xml:space="preserve"> </w:t>
      </w:r>
      <w:r>
        <w:t xml:space="preserve">The reference to the risk free rate will capture changing market conditions.</w:t>
      </w:r>
      <w:r>
        <w:br/>
      </w:r>
      <w:r>
        <w:t xml:space="preserve">The European Insurance and Occupation Pensions Authority (EIOPA) regularly</w:t>
      </w:r>
      <w:r>
        <w:t xml:space="preserve"> </w:t>
      </w:r>
      <w:r>
        <w:t xml:space="preserve">publishes risk free interest rate schedules for a wide range of maturities. A transparent</w:t>
      </w:r>
      <w:r>
        <w:t xml:space="preserve"> </w:t>
      </w:r>
      <w:r>
        <w:t xml:space="preserve">and peer-reviewed methodology45 for determining the risk free rates has been determined</w:t>
      </w:r>
      <w:r>
        <w:t xml:space="preserve"> </w:t>
      </w:r>
      <w:r>
        <w:t xml:space="preserve">and serves as basis for implementation of EU legislation (Solvency II). The applied</w:t>
      </w:r>
      <w:r>
        <w:t xml:space="preserve"> </w:t>
      </w:r>
      <w:r>
        <w:t xml:space="preserve">method results in risk free rates for each currency. Such an approach would thus have the</w:t>
      </w:r>
      <w:r>
        <w:t xml:space="preserve"> </w:t>
      </w:r>
      <w:r>
        <w:t xml:space="preserve">additional benefit of assuring consistency across EU legislation.</w:t>
      </w:r>
    </w:p>
    <w:p>
      <w:pPr>
        <w:pStyle w:val="BodyText"/>
      </w:pPr>
      <w:r>
        <w:t xml:space="preserve">45 See https://www.eiopa.europa.eu/sites/default/files/risk_free_interest_rate/12092019-</w:t>
      </w:r>
      <w:r>
        <w:t xml:space="preserve"> </w:t>
      </w:r>
      <w:r>
        <w:t xml:space="preserve">technical_documentation.pdf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The currency specific EIOPA 10-year risk-free-rate46 published in December could thus</w:t>
      </w:r>
      <w:r>
        <w:t xml:space="preserve"> </w:t>
      </w:r>
      <w:r>
        <w:t xml:space="preserve">be used as the reference risk-free rate for the following tax year.</w:t>
      </w:r>
      <w:r>
        <w:br/>
      </w:r>
      <w:r>
        <w:t xml:space="preserve">The risk premium could be determined in different ways.</w:t>
      </w:r>
      <w:r>
        <w:br/>
      </w:r>
      <w:r>
        <w:t xml:space="preserve">a) A fixed risk premium, following the example of existing measures for an equity</w:t>
      </w:r>
      <w:r>
        <w:t xml:space="preserve"> </w:t>
      </w:r>
      <w:r>
        <w:t xml:space="preserve">allowance.</w:t>
      </w:r>
      <w:r>
        <w:t xml:space="preserve"> </w:t>
      </w:r>
      <w:r>
        <w:t xml:space="preserve">b) A risk premium conditioned on available market rates. The credit risk premium is the</w:t>
      </w:r>
      <w:r>
        <w:t xml:space="preserve"> </w:t>
      </w:r>
      <w:r>
        <w:t xml:space="preserve">compensation that investors ask for investing into risky debt instruments. It can be</w:t>
      </w:r>
      <w:r>
        <w:t xml:space="preserve"> </w:t>
      </w:r>
      <w:r>
        <w:t xml:space="preserve">assessed as a spread between yields on risky debt instruments and risk free bonds.</w:t>
      </w:r>
      <w:r>
        <w:t xml:space="preserve"> </w:t>
      </w:r>
      <w:r>
        <w:t xml:space="preserve">The risk premium would be determined as difference between the market rate and the</w:t>
      </w:r>
      <w:r>
        <w:t xml:space="preserve"> </w:t>
      </w:r>
      <w:r>
        <w:t xml:space="preserve">risk-free rate: x = MR – RFR where MR is the yield on risky debt instruments. The</w:t>
      </w:r>
      <w:r>
        <w:t xml:space="preserve"> </w:t>
      </w:r>
      <w:r>
        <w:t xml:space="preserve">notional interest rate would be determined as follows:</w:t>
      </w:r>
      <w:r>
        <w:t xml:space="preserve"> </w:t>
      </w:r>
      <w:r>
        <w:t xml:space="preserve">NIR = RFR + x</w:t>
      </w:r>
      <w:r>
        <w:br/>
      </w:r>
      <w:r>
        <w:t xml:space="preserve"> NIR = RFR + MR – RFR</w:t>
      </w:r>
      <w:r>
        <w:t xml:space="preserve"> </w:t>
      </w:r>
      <w:r>
        <w:t xml:space="preserve"> NIR = MR</w:t>
      </w:r>
      <w:r>
        <w:t xml:space="preserve"> </w:t>
      </w:r>
      <w:r>
        <w:t xml:space="preserve">Accordingly, a market index reflecting the overall corporate market could be directly</w:t>
      </w:r>
      <w:r>
        <w:t xml:space="preserve"> </w:t>
      </w:r>
      <w:r>
        <w:t xml:space="preserve">used to obtain the yields of risky debt instruments and thus to determine the notional</w:t>
      </w:r>
      <w:r>
        <w:t xml:space="preserve"> </w:t>
      </w:r>
      <w:r>
        <w:t xml:space="preserve">interest rate. Different relevant indexes would have to be considered.</w:t>
      </w:r>
      <w:r>
        <w:t xml:space="preserve"> </w:t>
      </w:r>
      <w:r>
        <w:t xml:space="preserve">A fixed risk premium provides simplicity, clarity and predictability. In contrast,</w:t>
      </w:r>
      <w:r>
        <w:t xml:space="preserve"> </w:t>
      </w:r>
      <w:r>
        <w:t xml:space="preserve">conditioning the risk premium to market rates might result in “dramatic variation over</w:t>
      </w:r>
      <w:r>
        <w:t xml:space="preserve"> </w:t>
      </w:r>
      <w:r>
        <w:t xml:space="preserve">time” and “co-movement with macroeconomic indicators, even after controlling for</w:t>
      </w:r>
      <w:r>
        <w:t xml:space="preserve"> </w:t>
      </w:r>
      <w:r>
        <w:t xml:space="preserve">expecting default losses” (Berndt et al., 2018). The use of market indices as reference</w:t>
      </w:r>
      <w:r>
        <w:t xml:space="preserve"> </w:t>
      </w:r>
      <w:r>
        <w:t xml:space="preserve">rate would further have the issue that most available market indices are proprietary and</w:t>
      </w:r>
      <w:r>
        <w:t xml:space="preserve"> </w:t>
      </w:r>
      <w:r>
        <w:t xml:space="preserve">not freely available47. They are created and could be modified or discontinued by</w:t>
      </w:r>
      <w:r>
        <w:t xml:space="preserve"> </w:t>
      </w:r>
      <w:r>
        <w:t xml:space="preserve">financial service institutions, which themselves could benefit from DEBRA. In order to</w:t>
      </w:r>
      <w:r>
        <w:t xml:space="preserve"> </w:t>
      </w:r>
      <w:r>
        <w:t xml:space="preserve">assure tax certainty for taxpayers and to mitigate the volatility of the reference rate, the</w:t>
      </w:r>
      <w:r>
        <w:t xml:space="preserve"> </w:t>
      </w:r>
      <w:r>
        <w:t xml:space="preserve">notional interest rate should be linked to a value of the reference rate in the past.</w:t>
      </w:r>
      <w:r>
        <w:t xml:space="preserve"> </w:t>
      </w:r>
      <w:r>
        <w:t xml:space="preserve">Given the above-mentioned considerations and issues, it is proposed to determine the</w:t>
      </w:r>
      <w:r>
        <w:t xml:space="preserve"> </w:t>
      </w:r>
      <w:r>
        <w:t xml:space="preserve">Notional Interest rate (NIR) of the allowance under DEBRA by taking the currency</w:t>
      </w:r>
      <w:r>
        <w:t xml:space="preserve"> </w:t>
      </w:r>
      <w:r>
        <w:t xml:space="preserve">specific EIOPA risk free rate as the reference and adding a fixed risk premium. Based on</w:t>
      </w:r>
      <w:r>
        <w:t xml:space="preserve"> </w:t>
      </w:r>
      <w:r>
        <w:t xml:space="preserve">European Commission empirical analysis, taking into account credit and equity costs, the</w:t>
      </w:r>
      <w:r>
        <w:t xml:space="preserve"> </w:t>
      </w:r>
      <w:r>
        <w:t xml:space="preserve">rsik premium could take alternative values between 0% and 6%. Higher values of the risk</w:t>
      </w:r>
      <w:r>
        <w:t xml:space="preserve"> </w:t>
      </w:r>
      <w:r>
        <w:t xml:space="preserve">premium generally imply a stronger reduction of equity costs for companies but also</w:t>
      </w:r>
      <w:r>
        <w:t xml:space="preserve"> </w:t>
      </w:r>
      <w:r>
        <w:t xml:space="preserve">higher fiscal costs for Member States. There is generally no analytical solution to balance</w:t>
      </w:r>
      <w:r>
        <w:t xml:space="preserve"> </w:t>
      </w:r>
      <w:r>
        <w:t xml:space="preserve">this trade-off so that the decision for the appropriate risk premium needs to be based on a</w:t>
      </w:r>
      <w:r>
        <w:t xml:space="preserve"> </w:t>
      </w:r>
      <w:r>
        <w:t xml:space="preserve">value judgment taking into account the broader context.</w:t>
      </w:r>
    </w:p>
    <w:p>
      <w:pPr>
        <w:pStyle w:val="BodyText"/>
      </w:pPr>
      <w:r>
        <w:t xml:space="preserve">46 See https://www.eiopa.europa.eu/tools-and-data/risk-free-interest-rate-term-structures_en.</w:t>
      </w:r>
      <w:r>
        <w:t xml:space="preserve"> </w:t>
      </w:r>
      <w:r>
        <w:t xml:space="preserve">47 See e.g. Gilchrist and Mojon (2018), https://publications.banque-france.fr/en/economic-and-financial-</w:t>
      </w:r>
      <w:r>
        <w:t xml:space="preserve"> </w:t>
      </w:r>
      <w:r>
        <w:t xml:space="preserve">publications-working-papers/credit-risk-euro-area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5.3.2 Associated enterprises</w:t>
      </w:r>
      <w:r>
        <w:t xml:space="preserve"> </w:t>
      </w:r>
      <w:r>
        <w:t xml:space="preserve">Cascading an allowance on equity through participations is a well-known way of abusing</w:t>
      </w:r>
      <w:r>
        <w:t xml:space="preserve"> </w:t>
      </w:r>
      <w:r>
        <w:t xml:space="preserve">equity allowance measures. In this type of scheme, a first amount of genuine equity</w:t>
      </w:r>
      <w:r>
        <w:t xml:space="preserve"> </w:t>
      </w:r>
      <w:r>
        <w:t xml:space="preserve">injection is transferred to other related businesses through participations, in order to</w:t>
      </w:r>
      <w:r>
        <w:t xml:space="preserve"> </w:t>
      </w:r>
      <w:r>
        <w:t xml:space="preserve">easily multiply the allowance deduction. The number of cascades is virtually unlimited.</w:t>
      </w:r>
      <w:r>
        <w:t xml:space="preserve"> </w:t>
      </w:r>
      <w:r>
        <w:t xml:space="preserve">To prevent cascading the allowance through participations, the participation in associated</w:t>
      </w:r>
      <w:r>
        <w:t xml:space="preserve"> </w:t>
      </w:r>
      <w:r>
        <w:t xml:space="preserve">enterprises will be deducted from the allowance base in the options where this is relevant</w:t>
      </w:r>
      <w:r>
        <w:t xml:space="preserve"> </w:t>
      </w:r>
      <w:r>
        <w:t xml:space="preserve">(options 1, 2, 3, 5). Associated enterprises are defined using a 25% control threshold as</w:t>
      </w:r>
      <w:r>
        <w:t xml:space="preserve"> </w:t>
      </w:r>
      <w:r>
        <w:t xml:space="preserve">under the DAC 6 definition48.</w:t>
      </w:r>
      <w:r>
        <w:t xml:space="preserve"> </w:t>
      </w:r>
      <w:r>
        <w:t xml:space="preserve">5.3.3. Anti-Tax Abuse Framework</w:t>
      </w:r>
      <w:r>
        <w:t xml:space="preserve"> </w:t>
      </w:r>
      <w:r>
        <w:t xml:space="preserve">The measure will encompass an anti-tax abuse framework. A set of Specific Anti Abuse</w:t>
      </w:r>
      <w:r>
        <w:t xml:space="preserve"> </w:t>
      </w:r>
      <w:r>
        <w:t xml:space="preserve">Rules (SAARs) – inspired from the Guidance on notional interest deduction regimes</w:t>
      </w:r>
      <w:r>
        <w:t xml:space="preserve"> </w:t>
      </w:r>
      <w:r>
        <w:t xml:space="preserve">adopted in 2019 by the Code of Conduct (Business Taxation) – will address the well-</w:t>
      </w:r>
      <w:r>
        <w:t xml:space="preserve"> </w:t>
      </w:r>
      <w:r>
        <w:t xml:space="preserve">known avoidance schemes using this type of measure (e.g. cascading within a group by</w:t>
      </w:r>
      <w:r>
        <w:t xml:space="preserve"> </w:t>
      </w:r>
      <w:r>
        <w:t xml:space="preserve">means of loans, acquisition of businesses held by associated enterprises, etc.). A set of</w:t>
      </w:r>
      <w:r>
        <w:t xml:space="preserve"> </w:t>
      </w:r>
      <w:r>
        <w:t xml:space="preserve">potential anti avoidance rules are presented in Annex 8.</w:t>
      </w:r>
      <w:r>
        <w:t xml:space="preserve"> </w:t>
      </w:r>
      <w:r>
        <w:t xml:space="preserve">5.3.4. Interest limitation rules included in ATAD 1</w:t>
      </w:r>
      <w:r>
        <w:t xml:space="preserve"> </w:t>
      </w:r>
      <w:r>
        <w:t xml:space="preserve">Under options 1, 2 and 3, the current ATAD rules would stay in place. Under Option 4,</w:t>
      </w:r>
      <w:r>
        <w:t xml:space="preserve"> </w:t>
      </w:r>
      <w:r>
        <w:t xml:space="preserve">the deductibility of interest payments would be completely disallowed; the interest</w:t>
      </w:r>
      <w:r>
        <w:t xml:space="preserve"> </w:t>
      </w:r>
      <w:r>
        <w:t xml:space="preserve">limitation rule of ATAD 1 would thus become obsolete. Option 5 combines an allowance</w:t>
      </w:r>
      <w:r>
        <w:t xml:space="preserve"> </w:t>
      </w:r>
      <w:r>
        <w:t xml:space="preserve">for equity with a partial restriction of interest deductibility. ATAD 1 rules would still</w:t>
      </w:r>
      <w:r>
        <w:t xml:space="preserve"> </w:t>
      </w:r>
      <w:r>
        <w:t xml:space="preserve">remain in place. The measure however has to define the interaction between ATAD 1</w:t>
      </w:r>
      <w:r>
        <w:t xml:space="preserve"> </w:t>
      </w:r>
      <w:r>
        <w:t xml:space="preserve">ILR and DEBRA ILR. The rules could be applied mutually exclusive or sequentially.</w:t>
      </w:r>
      <w:r>
        <w:t xml:space="preserve"> </w:t>
      </w:r>
      <w:r>
        <w:t xml:space="preserve">Under exclusive treatment, the more stringent rule would apply, while under sequential</w:t>
      </w:r>
      <w:r>
        <w:t xml:space="preserve"> </w:t>
      </w:r>
      <w:r>
        <w:t xml:space="preserve">treatment the proportional DEBRA ILR would first be applied to all companies, with</w:t>
      </w:r>
      <w:r>
        <w:t xml:space="preserve"> </w:t>
      </w:r>
      <w:r>
        <w:t xml:space="preserve">ATAD 1 ILR then being applied to the remaining net interest expenses.</w:t>
      </w:r>
      <w:r>
        <w:br/>
      </w:r>
      <w:r>
        <w:t xml:space="preserve">5.3.5. Exclusion of the financial sector</w:t>
      </w:r>
      <w:r>
        <w:t xml:space="preserve"> </w:t>
      </w:r>
      <w:r>
        <w:t xml:space="preserve">The measure will apply to all sectors except Financial Corporations. The reason for this</w:t>
      </w:r>
      <w:r>
        <w:t xml:space="preserve"> </w:t>
      </w:r>
      <w:r>
        <w:t xml:space="preserve">is that an equity allowance and an interest limitation have very different impacts on</w:t>
      </w:r>
      <w:r>
        <w:t xml:space="preserve"> </w:t>
      </w:r>
      <w:r>
        <w:t xml:space="preserve">Financial Companies (FCs) and Non-Financial Companies (NFCs). FCs usually have</w:t>
      </w:r>
      <w:r>
        <w:t xml:space="preserve"> </w:t>
      </w:r>
      <w:r>
        <w:t xml:space="preserve">more interest received than interest paid. Therefore, the interest limitation would not</w:t>
      </w:r>
      <w:r>
        <w:t xml:space="preserve"> </w:t>
      </w:r>
      <w:r>
        <w:t xml:space="preserve">apply for them since the basis (interest paid-interest received) would be negative. This</w:t>
      </w:r>
      <w:r>
        <w:t xml:space="preserve"> </w:t>
      </w:r>
      <w:r>
        <w:t xml:space="preserve">means that NFCs would finance the allowance on equity of the FCs. Moreover, FCs are</w:t>
      </w:r>
      <w:r>
        <w:t xml:space="preserve"> </w:t>
      </w:r>
      <w:r>
        <w:t xml:space="preserve">subject to regulation on their capitalisation, which means that the issue of under</w:t>
      </w:r>
      <w:r>
        <w:t xml:space="preserve"> </w:t>
      </w:r>
      <w:r>
        <w:t xml:space="preserve">capitalisation is addressed in another way.</w:t>
      </w:r>
      <w:r>
        <w:t xml:space="preserve"> </w:t>
      </w:r>
      <w:r>
        <w:t xml:space="preserve">The possibility of limiting the allowance to companies active in certain sectors was</w:t>
      </w:r>
      <w:r>
        <w:t xml:space="preserve"> </w:t>
      </w:r>
      <w:r>
        <w:t xml:space="preserve">explored within the Commission. One option would have been to base the choice on</w:t>
      </w:r>
    </w:p>
    <w:p>
      <w:pPr>
        <w:pStyle w:val="BodyText"/>
      </w:pPr>
      <w:r>
        <w:t xml:space="preserve">48 Council Directive (EU) 2018/822 of 25 May 2018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sectors on the EU’s Taxonomy Regulation, as this has already engendered much debate</w:t>
      </w:r>
      <w:r>
        <w:t xml:space="preserve"> </w:t>
      </w:r>
      <w:r>
        <w:t xml:space="preserve">and is based on a prevailing agreement with Member States. The outcome of this</w:t>
      </w:r>
      <w:r>
        <w:t xml:space="preserve"> </w:t>
      </w:r>
      <w:r>
        <w:t xml:space="preserve">reflexion was that firstly, the DEBRA would have become extremely complex if not</w:t>
      </w:r>
      <w:r>
        <w:t xml:space="preserve"> </w:t>
      </w:r>
      <w:r>
        <w:t xml:space="preserve">impossible to implement in practice. Companies would have to be individually checked</w:t>
      </w:r>
      <w:r>
        <w:t xml:space="preserve"> </w:t>
      </w:r>
      <w:r>
        <w:t xml:space="preserve">(against the taxonomy) in order to be granted the allowance, introducing a potentially</w:t>
      </w:r>
      <w:r>
        <w:t xml:space="preserve"> </w:t>
      </w:r>
      <w:r>
        <w:t xml:space="preserve">enormous burden on tax administrations. The changing nature of what could potentially</w:t>
      </w:r>
      <w:r>
        <w:t xml:space="preserve"> </w:t>
      </w:r>
      <w:r>
        <w:t xml:space="preserve">constitute ‘eligible sectors’ at any given time could have also meant discrepancies in the</w:t>
      </w:r>
      <w:r>
        <w:t xml:space="preserve"> </w:t>
      </w:r>
      <w:r>
        <w:t xml:space="preserve">treatment of companies in the same sector over time. Second, the objective of the</w:t>
      </w:r>
      <w:r>
        <w:t xml:space="preserve"> </w:t>
      </w:r>
      <w:r>
        <w:t xml:space="preserve">DEBRA is to address the debt-equity bias in the EU, and not only in certain sectors. This</w:t>
      </w:r>
      <w:r>
        <w:t xml:space="preserve"> </w:t>
      </w:r>
      <w:r>
        <w:t xml:space="preserve">possibility was therefore discarded and not considered as a viable design element of a</w:t>
      </w:r>
      <w:r>
        <w:t xml:space="preserve"> </w:t>
      </w:r>
      <w:r>
        <w:t xml:space="preserve">possible allowance on equity.</w:t>
      </w:r>
      <w:r>
        <w:t xml:space="preserve"> </w:t>
      </w:r>
      <w:r>
        <w:t xml:space="preserve">5.4. Increased allowance for SMEs</w:t>
      </w:r>
      <w:r>
        <w:t xml:space="preserve"> </w:t>
      </w:r>
      <w:r>
        <w:t xml:space="preserve">SMEs often face a higher burden to obtain financing. Especially young and innovative</w:t>
      </w:r>
      <w:r>
        <w:t xml:space="preserve"> </w:t>
      </w:r>
      <w:r>
        <w:t xml:space="preserve">companies need equity financing due to their specific risk structure. The measure could</w:t>
      </w:r>
      <w:r>
        <w:t xml:space="preserve"> </w:t>
      </w:r>
      <w:r>
        <w:t xml:space="preserve">thus grant a higher notional interest rate for SMEs to meet SMEs higher financing costs</w:t>
      </w:r>
      <w:r>
        <w:t xml:space="preserve"> </w:t>
      </w:r>
      <w:r>
        <w:t xml:space="preserve">and equity demand. Such a rate top-up can be applied in all cases outlined under policy</w:t>
      </w:r>
      <w:r>
        <w:t xml:space="preserve"> </w:t>
      </w:r>
      <w:r>
        <w:t xml:space="preserve">options 1, 2, 3 and the allowance element of Option 5. The measures proposed in these</w:t>
      </w:r>
      <w:r>
        <w:t xml:space="preserve"> </w:t>
      </w:r>
      <w:r>
        <w:t xml:space="preserve">policy options would apply in exactly the same way to all businesses, irrespective of their</w:t>
      </w:r>
      <w:r>
        <w:t xml:space="preserve"> </w:t>
      </w:r>
      <w:r>
        <w:t xml:space="preserve">size or sector; it is only the notional interest rate applied as part of the allowance that</w:t>
      </w:r>
      <w:r>
        <w:t xml:space="preserve"> </w:t>
      </w:r>
      <w:r>
        <w:t xml:space="preserve">would be higher for SMEs. SMEs would be defined as per Article 3 of the Accounting</w:t>
      </w:r>
      <w:r>
        <w:t xml:space="preserve"> </w:t>
      </w:r>
      <w:r>
        <w:t xml:space="preserve">Directive49. In addition it would be required that for a company to be considered a SME,</w:t>
      </w:r>
      <w:r>
        <w:t xml:space="preserve"> </w:t>
      </w:r>
      <w:r>
        <w:t xml:space="preserve">it must not be part of a group of businesses which, at consolidated level, exceeds at least</w:t>
      </w:r>
      <w:r>
        <w:t xml:space="preserve"> </w:t>
      </w:r>
      <w:r>
        <w:t xml:space="preserve">two of the three limits50 under the Accounting Directive.</w:t>
      </w:r>
      <w:r>
        <w:t xml:space="preserve"> </w:t>
      </w:r>
      <w:r>
        <w:t xml:space="preserve">The application of an increased notional interest rate for SMEs would have to be</w:t>
      </w:r>
      <w:r>
        <w:t xml:space="preserve"> </w:t>
      </w:r>
      <w:r>
        <w:t xml:space="preserve">implemented in all Member States. There should be no discretion on the part of Member</w:t>
      </w:r>
      <w:r>
        <w:t xml:space="preserve"> </w:t>
      </w:r>
      <w:r>
        <w:t xml:space="preserve">States as to whether to apply a higher rate for SMEs or what rate to apply as the top-up</w:t>
      </w:r>
      <w:r>
        <w:t xml:space="preserve"> </w:t>
      </w:r>
      <w:r>
        <w:t xml:space="preserve">for SMEs in order to avoid selectivity concerns as regards EU State Aids rules and to</w:t>
      </w:r>
      <w:r>
        <w:t xml:space="preserve"> </w:t>
      </w:r>
      <w:r>
        <w:t xml:space="preserve">ensure a level playing field for SMEs in the EU regardless of their place of residence.</w:t>
      </w:r>
      <w:r>
        <w:t xml:space="preserve"> </w:t>
      </w:r>
      <w:r>
        <w:t xml:space="preserve">5.5. Treatment of loss-making companies and option for benefit carry-forward</w:t>
      </w:r>
      <w:r>
        <w:t xml:space="preserve"> </w:t>
      </w:r>
      <w:r>
        <w:t xml:space="preserve">Loss making companies do not pay corporate income taxes. They can thus not profit</w:t>
      </w:r>
      <w:r>
        <w:t xml:space="preserve"> </w:t>
      </w:r>
      <w:r>
        <w:t xml:space="preserve">from an allowance on equity. Similarly, the reduction of interest deduction as proposed in</w:t>
      </w:r>
      <w:r>
        <w:t xml:space="preserve"> </w:t>
      </w:r>
      <w:r>
        <w:t xml:space="preserve">option 4 and 5 would not hurt a loss-making company, since there is not taxable income</w:t>
      </w:r>
      <w:r>
        <w:t xml:space="preserve"> </w:t>
      </w:r>
      <w:r>
        <w:t xml:space="preserve">from which to deduct. In order to assure that companies can profit from the full ten years</w:t>
      </w:r>
      <w:r>
        <w:t xml:space="preserve"> </w:t>
      </w:r>
      <w:r>
        <w:t xml:space="preserve">of equity allowance, it could be considered to grant a carry-forward for the allowance so</w:t>
      </w:r>
      <w:r>
        <w:t xml:space="preserve"> </w:t>
      </w:r>
      <w:r>
        <w:t xml:space="preserve">that companies can carry forward the unused allowance through loss-making years. Such</w:t>
      </w:r>
      <w:r>
        <w:t xml:space="preserve"> </w:t>
      </w:r>
      <w:r>
        <w:t xml:space="preserve">a benefit carry forward could be applied for a specific number of tax years or ad</w:t>
      </w:r>
      <w:r>
        <w:t xml:space="preserve"> </w:t>
      </w:r>
      <w:r>
        <w:t xml:space="preserve">infinitum.</w:t>
      </w:r>
    </w:p>
    <w:p>
      <w:pPr>
        <w:pStyle w:val="BodyText"/>
      </w:pPr>
      <w:r>
        <w:t xml:space="preserve">49 Directive 2013/34/EU of the European Parliament and of the Council of 26 June 2013.</w:t>
      </w:r>
      <w:r>
        <w:t xml:space="preserve"> </w:t>
      </w:r>
      <w:r>
        <w:t xml:space="preserve">50 Average number of employees in the fiscal year of 250; net turnover of EUR 40 million; balance sheet</w:t>
      </w:r>
      <w:r>
        <w:t xml:space="preserve"> </w:t>
      </w:r>
      <w:r>
        <w:t xml:space="preserve">total of EUR 20 million.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In case of losses, the loss of year t will appear in retained earnings of year t+1 which will</w:t>
      </w:r>
      <w:r>
        <w:t xml:space="preserve"> </w:t>
      </w:r>
      <w:r>
        <w:t xml:space="preserve">negatively affect the base of the allowance leading to a taxable allowance. However, this</w:t>
      </w:r>
      <w:r>
        <w:t xml:space="preserve"> </w:t>
      </w:r>
      <w:r>
        <w:t xml:space="preserve">allowance will only actually be taxed when the company is making profits again and</w:t>
      </w:r>
      <w:r>
        <w:t xml:space="preserve"> </w:t>
      </w:r>
      <w:r>
        <w:t xml:space="preserve">after all the losses brought forward from previous exercises have been offset by profits.</w:t>
      </w:r>
      <w:r>
        <w:t xml:space="preserve"> </w:t>
      </w:r>
      <w:r>
        <w:t xml:space="preserve">A provision could be included in the legal draft stating that the taxable allowance shall</w:t>
      </w:r>
      <w:r>
        <w:t xml:space="preserve"> </w:t>
      </w:r>
      <w:r>
        <w:t xml:space="preserve">not apply if the taxpayer provides sufficient evidence that the negative allowance base is</w:t>
      </w:r>
      <w:r>
        <w:t xml:space="preserve"> </w:t>
      </w:r>
      <w:r>
        <w:t xml:space="preserve">due to losses and does not come from the distribution of profits used to benefit a second</w:t>
      </w:r>
      <w:r>
        <w:t xml:space="preserve"> </w:t>
      </w:r>
      <w:r>
        <w:t xml:space="preserve">time from the deduction of the allowance on equity without a genuine increase of equity.</w:t>
      </w:r>
      <w:r>
        <w:t xml:space="preserve"> </w:t>
      </w:r>
      <w:r>
        <w:t xml:space="preserve">5.6. Grandfathering of existing allowances for equity</w:t>
      </w:r>
      <w:r>
        <w:t xml:space="preserve"> </w:t>
      </w:r>
      <w:r>
        <w:t xml:space="preserve">There are currently six Member States that have an allowance for equity in place. In</w:t>
      </w:r>
      <w:r>
        <w:t xml:space="preserve"> </w:t>
      </w:r>
      <w:r>
        <w:t xml:space="preserve">order to mitigate the negative effects on businesses of a sudden change in the equity</w:t>
      </w:r>
      <w:r>
        <w:t xml:space="preserve"> </w:t>
      </w:r>
      <w:r>
        <w:t xml:space="preserve">allowance regime in place in these countries, the DEBRA would allow for a</w:t>
      </w:r>
      <w:r>
        <w:t xml:space="preserve"> </w:t>
      </w:r>
      <w:r>
        <w:t xml:space="preserve">grandfathering for those companies that have already benefitted from an equity</w:t>
      </w:r>
      <w:r>
        <w:t xml:space="preserve"> </w:t>
      </w:r>
      <w:r>
        <w:t xml:space="preserve">allowance under the regimes in place at the time that the EU Directive’s comes into</w:t>
      </w:r>
      <w:r>
        <w:t xml:space="preserve"> </w:t>
      </w:r>
      <w:r>
        <w:t xml:space="preserve">force.</w:t>
      </w:r>
      <w:r>
        <w:t xml:space="preserve"> </w:t>
      </w:r>
      <w:r>
        <w:t xml:space="preserve">5.7. Options discarded at an early stage</w:t>
      </w:r>
      <w:r>
        <w:t xml:space="preserve"> </w:t>
      </w:r>
      <w:r>
        <w:t xml:space="preserve">This impact assessment considers all possible means of addressing the debt-equity bias,</w:t>
      </w:r>
      <w:r>
        <w:t xml:space="preserve"> </w:t>
      </w:r>
      <w:r>
        <w:t xml:space="preserve">and various designs in some cases, among the policy options for consideration and</w:t>
      </w:r>
      <w:r>
        <w:t xml:space="preserve"> </w:t>
      </w:r>
      <w:r>
        <w:t xml:space="preserve">analysis.</w:t>
      </w:r>
      <w:r>
        <w:br/>
      </w:r>
      <w:r>
        <w:t xml:space="preserve">The only option that was discarded ex-ante is the option of a soft-law approach. Previous</w:t>
      </w:r>
      <w:r>
        <w:t xml:space="preserve"> </w:t>
      </w:r>
      <w:r>
        <w:t xml:space="preserve">experience with recommendations in the direct taxation field have demonstrated that such</w:t>
      </w:r>
      <w:r>
        <w:t xml:space="preserve"> </w:t>
      </w:r>
      <w:r>
        <w:t xml:space="preserve">soft law does not lead to a harmonised approach being taken across Member States</w:t>
      </w:r>
      <w:r>
        <w:br/>
      </w:r>
      <w:r>
        <w:t xml:space="preserve">Given the sensitivities around the field of taxation, a general recommendation to address</w:t>
      </w:r>
      <w:r>
        <w:t xml:space="preserve"> </w:t>
      </w:r>
      <w:r>
        <w:t xml:space="preserve">the debt-equity bias would most likely not ensure a common set of anti-abuse rules, nor a</w:t>
      </w:r>
      <w:r>
        <w:t xml:space="preserve"> </w:t>
      </w:r>
      <w:r>
        <w:t xml:space="preserve">homogeneous treatment of the key building blocks of such an initiative (base of the</w:t>
      </w:r>
      <w:r>
        <w:t xml:space="preserve"> </w:t>
      </w:r>
      <w:r>
        <w:t xml:space="preserve">allowance, notional interest rate, number of years the allowance is granted, possible</w:t>
      </w:r>
      <w:r>
        <w:t xml:space="preserve"> </w:t>
      </w:r>
      <w:r>
        <w:t xml:space="preserve">carves-out). Even if all Member States were incentivised to take action, a differentiated</w:t>
      </w:r>
      <w:r>
        <w:t xml:space="preserve"> </w:t>
      </w:r>
      <w:r>
        <w:t xml:space="preserve">approach on critical design elements would instead contribute to even more</w:t>
      </w:r>
      <w:r>
        <w:t xml:space="preserve"> </w:t>
      </w:r>
      <w:r>
        <w:t xml:space="preserve">fragmentation of the single market.</w:t>
      </w:r>
      <w:r>
        <w:br/>
      </w:r>
      <w:r>
        <w:t xml:space="preserve">The Code of Conduct Group (“the Code”) already considered and assessed notional</w:t>
      </w:r>
      <w:r>
        <w:t xml:space="preserve"> </w:t>
      </w:r>
      <w:r>
        <w:t xml:space="preserve">interest deduction regimes and published Guidance on the issue in 2019. This guidance</w:t>
      </w:r>
      <w:r>
        <w:t xml:space="preserve"> </w:t>
      </w:r>
      <w:r>
        <w:t xml:space="preserve">provides views on a preferred approach in relation to a number of critical questions</w:t>
      </w:r>
      <w:r>
        <w:t xml:space="preserve"> </w:t>
      </w:r>
      <w:r>
        <w:t xml:space="preserve">regarding the anti-abuse framework and presents a non-exhaustive list of elements and</w:t>
      </w:r>
      <w:r>
        <w:t xml:space="preserve"> </w:t>
      </w:r>
      <w:r>
        <w:t xml:space="preserve">characteristics which indicate that a Notional Interest Deduction Regime may be harmful</w:t>
      </w:r>
      <w:r>
        <w:t xml:space="preserve"> </w:t>
      </w:r>
      <w:r>
        <w:t xml:space="preserve">when assessed against the criteria of the Code of Conduct.</w:t>
      </w:r>
      <w:r>
        <w:br/>
      </w:r>
      <w:r>
        <w:t xml:space="preserve">Despite the existence of these assessments and Guidance issued at EU level, the six</w:t>
      </w:r>
      <w:r>
        <w:t xml:space="preserve"> </w:t>
      </w:r>
      <w:r>
        <w:t xml:space="preserve">national measures currently in force across the EU differ significantly and segment the</w:t>
      </w:r>
      <w:r>
        <w:t xml:space="preserve"> </w:t>
      </w:r>
      <w:r>
        <w:t xml:space="preserve">common market. In particular, the Guidance did not lead to a general adoption by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Member States of a harmonised anti-abuse framework for NIDs. The Code guidance</w:t>
      </w:r>
      <w:r>
        <w:t xml:space="preserve"> </w:t>
      </w:r>
      <w:r>
        <w:t xml:space="preserve">focusses on ways to avoid that notional interest deduction (NID) regimes are abused and</w:t>
      </w:r>
      <w:r>
        <w:t xml:space="preserve"> </w:t>
      </w:r>
      <w:r>
        <w:t xml:space="preserve">prescribes that NID regimes should have certain limitations in scope and be properly</w:t>
      </w:r>
      <w:r>
        <w:t xml:space="preserve"> </w:t>
      </w:r>
      <w:r>
        <w:t xml:space="preserve">constrained by appropriate anti-abuse measures to make them less vulnerable to</w:t>
      </w:r>
      <w:r>
        <w:t xml:space="preserve"> </w:t>
      </w:r>
      <w:r>
        <w:t xml:space="preserve">aggressive tax planning. The objective of fighting tax avoidance is generally shared and</w:t>
      </w:r>
      <w:r>
        <w:t xml:space="preserve"> </w:t>
      </w:r>
      <w:r>
        <w:t xml:space="preserve">well supported by Member States; but even on such non-controversial and limited</w:t>
      </w:r>
      <w:r>
        <w:t xml:space="preserve"> </w:t>
      </w:r>
      <w:r>
        <w:t xml:space="preserve">aspects of design, the guidance of the Code did not manage to lead to a holistic or</w:t>
      </w:r>
      <w:r>
        <w:t xml:space="preserve"> </w:t>
      </w:r>
      <w:r>
        <w:t xml:space="preserve">common approach by Member States.</w:t>
      </w:r>
      <w:r>
        <w:t xml:space="preserve"> </w:t>
      </w:r>
      <w:r>
        <w:t xml:space="preserve">This lack of action following on soft-law guidance, or the divergence in approach where</w:t>
      </w:r>
      <w:r>
        <w:t xml:space="preserve"> </w:t>
      </w:r>
      <w:r>
        <w:t xml:space="preserve">action was taken, is precisely why the Commission has not considered another soft law</w:t>
      </w:r>
      <w:r>
        <w:t xml:space="preserve"> </w:t>
      </w:r>
      <w:r>
        <w:t xml:space="preserve">measure among the current policy options. Such approach was considered but discarded</w:t>
      </w:r>
      <w:r>
        <w:t xml:space="preserve"> </w:t>
      </w:r>
      <w:r>
        <w:t xml:space="preserve">in view of the fact that it did not provide sufficient impetus for a harmonised approach to</w:t>
      </w:r>
      <w:r>
        <w:t xml:space="preserve"> </w:t>
      </w:r>
      <w:r>
        <w:t xml:space="preserve">address the challenge at hand.</w:t>
      </w:r>
      <w:r>
        <w:t xml:space="preserve"> </w:t>
      </w:r>
      <w:r>
        <w:t xml:space="preserve">It was, therefore, considered more appropriate to take a more stable and harmonised</w:t>
      </w:r>
      <w:r>
        <w:t xml:space="preserve"> </w:t>
      </w:r>
      <w:r>
        <w:t xml:space="preserve">approach to the tax debt equity bias at EU level.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This section examines the different options to address the debt-equity bias in terms of</w:t>
      </w:r>
      <w:r>
        <w:t xml:space="preserve"> </w:t>
      </w:r>
      <w:r>
        <w:t xml:space="preserve">effectiveness and efficiency. As discussed in Section 5, the available options are:</w:t>
      </w:r>
      <w:r>
        <w:t xml:space="preserve"> </w:t>
      </w:r>
      <w:r>
        <w:t xml:space="preserve">•</w:t>
      </w:r>
      <w:r>
        <w:t xml:space="preserve"> </w:t>
      </w:r>
      <w:r>
        <w:t xml:space="preserve">An allowance for all corporate equity (ACE) (Option 1),</w:t>
      </w:r>
      <w:r>
        <w:t xml:space="preserve"> </w:t>
      </w:r>
      <w:r>
        <w:t xml:space="preserve">•</w:t>
      </w:r>
      <w:r>
        <w:t xml:space="preserve"> </w:t>
      </w:r>
      <w:r>
        <w:t xml:space="preserve">An allowance for new corporate equity (ANCE) (Option 2),</w:t>
      </w:r>
      <w:r>
        <w:br/>
      </w:r>
      <w:r>
        <w:t xml:space="preserve">•</w:t>
      </w:r>
      <w:r>
        <w:t xml:space="preserve"> </w:t>
      </w:r>
      <w:r>
        <w:t xml:space="preserve">An allowance for corporate capital (ACC) (Option 3),</w:t>
      </w:r>
      <w:r>
        <w:t xml:space="preserve"> </w:t>
      </w:r>
      <w:r>
        <w:t xml:space="preserve">•</w:t>
      </w:r>
      <w:r>
        <w:t xml:space="preserve"> </w:t>
      </w:r>
      <w:r>
        <w:t xml:space="preserve">Non-deductibility of interest payments (NDI) (Option 4),</w:t>
      </w:r>
      <w:r>
        <w:t xml:space="preserve"> </w:t>
      </w:r>
      <w:r>
        <w:t xml:space="preserve">•</w:t>
      </w:r>
      <w:r>
        <w:t xml:space="preserve"> </w:t>
      </w:r>
      <w:r>
        <w:t xml:space="preserve">An allowance for new equity coupled with a reduction of interest deductibility</w:t>
      </w:r>
      <w:r>
        <w:t xml:space="preserve"> </w:t>
      </w:r>
      <w:r>
        <w:t xml:space="preserve">(Option 5)</w:t>
      </w:r>
      <w:r>
        <w:br/>
      </w:r>
      <w:r>
        <w:t xml:space="preserve">Several methods are used to analyse the impacts of the different policy options, namely</w:t>
      </w:r>
      <w:r>
        <w:t xml:space="preserve"> </w:t>
      </w:r>
      <w:r>
        <w:t xml:space="preserve">desk research, stakeholder feedback through a public consultation and individual</w:t>
      </w:r>
      <w:r>
        <w:t xml:space="preserve"> </w:t>
      </w:r>
      <w:r>
        <w:t xml:space="preserve">meetings, discussions with Member State, own calculations, and the use of the CORTAX</w:t>
      </w:r>
      <w:r>
        <w:t xml:space="preserve"> </w:t>
      </w:r>
      <w:r>
        <w:t xml:space="preserve">computable general equilibrium (CGE) model, provided by the JRC, to assess</w:t>
      </w:r>
      <w:r>
        <w:t xml:space="preserve"> </w:t>
      </w:r>
      <w:r>
        <w:t xml:space="preserve">macroeconomic impacts. The options are not expected to have environmental impacts.</w:t>
      </w:r>
      <w:r>
        <w:t xml:space="preserve"> </w:t>
      </w:r>
      <w:r>
        <w:t xml:space="preserve">6.1. Data limitations and methodological short-comings</w:t>
      </w:r>
      <w:r>
        <w:t xml:space="preserve"> </w:t>
      </w:r>
      <w:r>
        <w:t xml:space="preserve">The observable quantity, which should be impacted by the debt-equity bias, is the debt-</w:t>
      </w:r>
      <w:r>
        <w:t xml:space="preserve"> </w:t>
      </w:r>
      <w:r>
        <w:t xml:space="preserve">equity ratio. In most EU Member States the debt-equity ratio was exceptionally high</w:t>
      </w:r>
      <w:r>
        <w:t xml:space="preserve"> </w:t>
      </w:r>
      <w:r>
        <w:t xml:space="preserve">around the time of the great recession (ca. 2007-2010) and has gone down since. This</w:t>
      </w:r>
      <w:r>
        <w:t xml:space="preserve"> </w:t>
      </w:r>
      <w:r>
        <w:t xml:space="preserve">might, to some extent, be driven by a reduction of CIT rates, lower interest rates, newly</w:t>
      </w:r>
      <w:r>
        <w:t xml:space="preserve"> </w:t>
      </w:r>
      <w:r>
        <w:t xml:space="preserve">introduced thin capitalisation rules (debt-equity ratio rules and interest limitation rules),</w:t>
      </w:r>
      <w:r>
        <w:t xml:space="preserve"> </w:t>
      </w:r>
      <w:r>
        <w:t xml:space="preserve">and other regulations aimed at increasing equity of companies after the financial crisis.</w:t>
      </w:r>
      <w:r>
        <w:br/>
      </w:r>
      <w:r>
        <w:t xml:space="preserve">It is very difficult to exactly assess or identify how important the debt-equity bias is for</w:t>
      </w:r>
      <w:r>
        <w:t xml:space="preserve"> </w:t>
      </w:r>
      <w:r>
        <w:t xml:space="preserve">debt-equity ratios, compared to other factors (international investment climate, stock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market performance, business cycle, interest rates, inflation etc.). These elements of</w:t>
      </w:r>
      <w:r>
        <w:t xml:space="preserve"> </w:t>
      </w:r>
      <w:r>
        <w:t xml:space="preserve">finance and economy are intertwined. The studies discussed in Chapter 2 have</w:t>
      </w:r>
      <w:r>
        <w:t xml:space="preserve"> </w:t>
      </w:r>
      <w:r>
        <w:t xml:space="preserve">established an empirical link between tax rates and levels of debt-leverage, this is</w:t>
      </w:r>
      <w:r>
        <w:t xml:space="preserve"> </w:t>
      </w:r>
      <w:r>
        <w:t xml:space="preserve">however not enough to determine the importance of the debt-equity bias.</w:t>
      </w:r>
      <w:r>
        <w:t xml:space="preserve"> </w:t>
      </w:r>
      <w:r>
        <w:t xml:space="preserve">The analysis of DEBRA is supported by the CORTAX general equilibrium model run by</w:t>
      </w:r>
      <w:r>
        <w:t xml:space="preserve"> </w:t>
      </w:r>
      <w:r>
        <w:t xml:space="preserve">the Joint Research Centre (JRC). In addition, two sources of data have been used to try to</w:t>
      </w:r>
      <w:r>
        <w:t xml:space="preserve"> </w:t>
      </w:r>
      <w:r>
        <w:t xml:space="preserve">understand further empirical aspects of DEBRA: national financial account data and</w:t>
      </w:r>
      <w:r>
        <w:t xml:space="preserve"> </w:t>
      </w:r>
      <w:r>
        <w:t xml:space="preserve">ORBIS company-level data.</w:t>
      </w:r>
      <w:r>
        <w:br/>
      </w:r>
      <w:r>
        <w:t xml:space="preserve">CORTAX is a highly stylized general equilibrium model which will be further discussed</w:t>
      </w:r>
      <w:r>
        <w:t xml:space="preserve"> </w:t>
      </w:r>
      <w:r>
        <w:t xml:space="preserve">in the next section. Economic modelling approaches like CORTAX mostly rely on</w:t>
      </w:r>
      <w:r>
        <w:t xml:space="preserve"> </w:t>
      </w:r>
      <w:r>
        <w:t xml:space="preserve">standard assumptions of neoclassical economics with perfect markets and complete</w:t>
      </w:r>
      <w:r>
        <w:t xml:space="preserve"> </w:t>
      </w:r>
      <w:r>
        <w:t xml:space="preserve">information. As a consequence there will always be a market clearing price for debt and</w:t>
      </w:r>
      <w:r>
        <w:t xml:space="preserve"> </w:t>
      </w:r>
      <w:r>
        <w:t xml:space="preserve">equity which implies that no agents will be restricted in their choices. In reality we know</w:t>
      </w:r>
      <w:r>
        <w:t xml:space="preserve"> </w:t>
      </w:r>
      <w:r>
        <w:t xml:space="preserve">that there are companies which are restricted in their financing choices because neither</w:t>
      </w:r>
      <w:r>
        <w:t xml:space="preserve"> </w:t>
      </w:r>
      <w:r>
        <w:t xml:space="preserve">equity nor debt can be accessed.</w:t>
      </w:r>
      <w:r>
        <w:t xml:space="preserve"> </w:t>
      </w:r>
      <w:r>
        <w:t xml:space="preserve">While such assumptions are unproblematic when comparing different policy options and</w:t>
      </w:r>
      <w:r>
        <w:t xml:space="preserve"> </w:t>
      </w:r>
      <w:r>
        <w:t xml:space="preserve">understanding their impact on the economy, they become relevant when exact predictions</w:t>
      </w:r>
      <w:r>
        <w:t xml:space="preserve"> </w:t>
      </w:r>
      <w:r>
        <w:t xml:space="preserve">about specific policy choices are required. In other words, CORTAX is very useful to</w:t>
      </w:r>
      <w:r>
        <w:t xml:space="preserve"> </w:t>
      </w:r>
      <w:r>
        <w:t xml:space="preserve">compare different policy options. It is however problematic to rely too heavily on the</w:t>
      </w:r>
      <w:r>
        <w:t xml:space="preserve"> </w:t>
      </w:r>
      <w:r>
        <w:t xml:space="preserve">point estimates of CORTAX. In order to identify and overcome potential short-comings</w:t>
      </w:r>
      <w:r>
        <w:t xml:space="preserve"> </w:t>
      </w:r>
      <w:r>
        <w:t xml:space="preserve">of the modelling approach and to complement the analysis, two alternative data sources</w:t>
      </w:r>
      <w:r>
        <w:t xml:space="preserve"> </w:t>
      </w:r>
      <w:r>
        <w:t xml:space="preserve">are used: macro-data from national financial accounts and company level data from the</w:t>
      </w:r>
      <w:r>
        <w:t xml:space="preserve"> </w:t>
      </w:r>
      <w:r>
        <w:t xml:space="preserve">ORBIS data-set. There are a number of problems also related to these data, which</w:t>
      </w:r>
      <w:r>
        <w:t xml:space="preserve"> </w:t>
      </w:r>
      <w:r>
        <w:t xml:space="preserve">prevent a complete analysis of all policy design aspects of the policy options.</w:t>
      </w:r>
      <w:r>
        <w:br/>
      </w:r>
      <w:r>
        <w:t xml:space="preserve">National financial accounts (NFAs) are an element of national accounting. NFAs contain</w:t>
      </w:r>
      <w:r>
        <w:t xml:space="preserve"> </w:t>
      </w:r>
      <w:r>
        <w:t xml:space="preserve">aggregate information on equity, interest paid and interest received per sector of the</w:t>
      </w:r>
      <w:r>
        <w:t xml:space="preserve"> </w:t>
      </w:r>
      <w:r>
        <w:t xml:space="preserve">economy. For the analysis of DEBRA there are however a few challenges. The category</w:t>
      </w:r>
      <w:r>
        <w:t xml:space="preserve"> </w:t>
      </w:r>
      <w:r>
        <w:t xml:space="preserve">of equity in NFAs contains a few elements that would likely not qualify as equity under</w:t>
      </w:r>
      <w:r>
        <w:t xml:space="preserve"> </w:t>
      </w:r>
      <w:r>
        <w:t xml:space="preserve">DERBA. In addition, equity is reported as the market value of traded and non-traded</w:t>
      </w:r>
      <w:r>
        <w:t xml:space="preserve"> </w:t>
      </w:r>
      <w:r>
        <w:t xml:space="preserve">shares. The market value of shares might differ considerably from the book value of</w:t>
      </w:r>
      <w:r>
        <w:t xml:space="preserve"> </w:t>
      </w:r>
      <w:r>
        <w:t xml:space="preserve">equity, which is the relevant base for the equity allowance. For interest payments, the</w:t>
      </w:r>
      <w:r>
        <w:t xml:space="preserve"> </w:t>
      </w:r>
      <w:r>
        <w:t xml:space="preserve">aggregation means that relevant interest payments might be averaged out, whereas the</w:t>
      </w:r>
      <w:r>
        <w:t xml:space="preserve"> </w:t>
      </w:r>
      <w:r>
        <w:t xml:space="preserve">interest limitation of option 4 or 5 would be applied to net interest payments, i.e. interest</w:t>
      </w:r>
      <w:r>
        <w:t xml:space="preserve"> </w:t>
      </w:r>
      <w:r>
        <w:t xml:space="preserve">paid minus interest received. In the dataset, gross interest payments are about four times</w:t>
      </w:r>
      <w:r>
        <w:t xml:space="preserve"> </w:t>
      </w:r>
      <w:r>
        <w:t xml:space="preserve">larger than net-interest payments.</w:t>
      </w:r>
      <w:r>
        <w:br/>
      </w:r>
      <w:r>
        <w:t xml:space="preserve">ORBIS provides company level data. A major problem of ORBIS is, sample bias and</w:t>
      </w:r>
      <w:r>
        <w:t xml:space="preserve"> </w:t>
      </w:r>
      <w:r>
        <w:t xml:space="preserve">incompleteness. ORBIS can consequently not be used to calculate absolute values (like</w:t>
      </w:r>
      <w:r>
        <w:t xml:space="preserve"> </w:t>
      </w:r>
      <w:r>
        <w:t xml:space="preserve">the equity allowance costs in billion EUR) since only a fraction of companies is covered</w:t>
      </w:r>
      <w:r>
        <w:t xml:space="preserve"> </w:t>
      </w:r>
      <w:r>
        <w:t xml:space="preserve">and the coverage differs across Member States. However, ORBIS can be used to analyse</w:t>
      </w:r>
      <w:r>
        <w:t xml:space="preserve"> </w:t>
      </w:r>
      <w:r>
        <w:t xml:space="preserve">ratios, such as what share of benefits of an equity allowance on the company level are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balanced out by a loss in interest deductibility. Another data-limitation with ORBIS is</w:t>
      </w:r>
      <w:r>
        <w:t xml:space="preserve"> </w:t>
      </w:r>
      <w:r>
        <w:t xml:space="preserve">that it does not have information about interest received but only about interest paid.</w:t>
      </w:r>
      <w:r>
        <w:br/>
      </w:r>
      <w:r>
        <w:t xml:space="preserve">While CORTAX accounts for the behavioural adaptation of agents to changing relative</w:t>
      </w:r>
      <w:r>
        <w:t xml:space="preserve"> </w:t>
      </w:r>
      <w:r>
        <w:t xml:space="preserve">prices, all estimates derived from ORBIS or national financial accounts are static, i.e. no</w:t>
      </w:r>
      <w:r>
        <w:t xml:space="preserve"> </w:t>
      </w:r>
      <w:r>
        <w:t xml:space="preserve">growth effects can be considered.</w:t>
      </w:r>
      <w:r>
        <w:br/>
      </w:r>
      <w:r>
        <w:t xml:space="preserve">6.2. The modelling approach with CORTAX</w:t>
      </w:r>
      <w:r>
        <w:t xml:space="preserve"> </w:t>
      </w:r>
      <w:r>
        <w:t xml:space="preserve">CORTAX is a highly stylized computable general equilibrium model, designed to</w:t>
      </w:r>
      <w:r>
        <w:t xml:space="preserve"> </w:t>
      </w:r>
      <w:r>
        <w:t xml:space="preserve">evaluate the effects of corporate tax reforms in the 27 EU Member States. The model</w:t>
      </w:r>
      <w:r>
        <w:t xml:space="preserve"> </w:t>
      </w:r>
      <w:r>
        <w:t xml:space="preserve">assumes optimal behaviour of all agents and each country is assumed to have the same</w:t>
      </w:r>
      <w:r>
        <w:t xml:space="preserve"> </w:t>
      </w:r>
      <w:r>
        <w:t xml:space="preserve">structure in terms of consumption, savings, production and public finances (though the</w:t>
      </w:r>
      <w:r>
        <w:t xml:space="preserve"> </w:t>
      </w:r>
      <w:r>
        <w:t xml:space="preserve">data are country-specific). Countries are linked via international trade in goods markets,</w:t>
      </w:r>
      <w:r>
        <w:t xml:space="preserve"> </w:t>
      </w:r>
      <w:r>
        <w:t xml:space="preserve">intermediate goods markets and investment by multinationals. The model also includes</w:t>
      </w:r>
      <w:r>
        <w:t xml:space="preserve"> </w:t>
      </w:r>
      <w:r>
        <w:t xml:space="preserve">the EU’s main trading partners. Results are provided at the country level reporting</w:t>
      </w:r>
      <w:r>
        <w:t xml:space="preserve"> </w:t>
      </w:r>
      <w:r>
        <w:t xml:space="preserve">changes in tax rates, tax revenues, investment, employment, wages and GDP. CORTAX</w:t>
      </w:r>
      <w:r>
        <w:t xml:space="preserve"> </w:t>
      </w:r>
      <w:r>
        <w:t xml:space="preserve">is a single sector model excluding the possibility of sectorial analysis. There is no time in</w:t>
      </w:r>
      <w:r>
        <w:t xml:space="preserve"> </w:t>
      </w:r>
      <w:r>
        <w:t xml:space="preserve">the model and changes have to be interpreted as change between the old equilibrium</w:t>
      </w:r>
      <w:r>
        <w:t xml:space="preserve"> </w:t>
      </w:r>
      <w:r>
        <w:t xml:space="preserve">pathway and the new equilibrium pathway.</w:t>
      </w:r>
      <w:r>
        <w:t xml:space="preserve"> </w:t>
      </w:r>
      <w:r>
        <w:t xml:space="preserve">The estimations with CORTAX are performed with two different approaches. The first</w:t>
      </w:r>
      <w:r>
        <w:t xml:space="preserve"> </w:t>
      </w:r>
      <w:r>
        <w:t xml:space="preserve">approach is a compensated approach where changes in the effective tax rates due to the</w:t>
      </w:r>
      <w:r>
        <w:t xml:space="preserve"> </w:t>
      </w:r>
      <w:r>
        <w:t xml:space="preserve">policy are compensated with commensurate changes in statutory corporate income tax</w:t>
      </w:r>
      <w:r>
        <w:t xml:space="preserve"> </w:t>
      </w:r>
      <w:r>
        <w:t xml:space="preserve">rates so as to assure revenue neutrality. The second approach is an uncompensated</w:t>
      </w:r>
      <w:r>
        <w:t xml:space="preserve"> </w:t>
      </w:r>
      <w:r>
        <w:t xml:space="preserve">approach where statutory tax rates remain unchanged. On top of the structural effects of</w:t>
      </w:r>
      <w:r>
        <w:t xml:space="preserve"> </w:t>
      </w:r>
      <w:r>
        <w:t xml:space="preserve">the measure driving the results in the compensated approach, the uncompensated</w:t>
      </w:r>
      <w:r>
        <w:t xml:space="preserve"> </w:t>
      </w:r>
      <w:r>
        <w:t xml:space="preserve">approach thus also accounts for budgetary implications.</w:t>
      </w:r>
      <w:r>
        <w:br/>
      </w:r>
      <w:r>
        <w:t xml:space="preserve">While policy option 4 has no parameters, all other policy options could assume</w:t>
      </w:r>
      <w:r>
        <w:t xml:space="preserve"> </w:t>
      </w:r>
      <w:r>
        <w:t xml:space="preserve">alternative parameter values for the risk premium (and thus the notional interest rate) and</w:t>
      </w:r>
      <w:r>
        <w:t xml:space="preserve"> </w:t>
      </w:r>
      <w:r>
        <w:t xml:space="preserve">in the case of option 5 for the level of interest limitation. In order to compare the</w:t>
      </w:r>
      <w:r>
        <w:t xml:space="preserve"> </w:t>
      </w:r>
      <w:r>
        <w:t xml:space="preserve">structural characteristics of the policy options it is assume that the policy options</w:t>
      </w:r>
      <w:r>
        <w:t xml:space="preserve"> </w:t>
      </w:r>
      <w:r>
        <w:t xml:space="preserve">entailing an allowance for equity would have a notional interest rate (NIR) of 2.2% on</w:t>
      </w:r>
      <w:r>
        <w:t xml:space="preserve"> </w:t>
      </w:r>
      <w:r>
        <w:t xml:space="preserve">average, applied for all types of businesses. When considering policy options with an</w:t>
      </w:r>
      <w:r>
        <w:t xml:space="preserve"> </w:t>
      </w:r>
      <w:r>
        <w:t xml:space="preserve">SME top-up, the NIR is 2.5% on average. These values are derived from the ECB’s</w:t>
      </w:r>
      <w:r>
        <w:t xml:space="preserve"> </w:t>
      </w:r>
      <w:r>
        <w:t xml:space="preserve">Survey on the access to finance of enterprises (SAFE). Separate analysis have been</w:t>
      </w:r>
      <w:r>
        <w:t xml:space="preserve"> </w:t>
      </w:r>
      <w:r>
        <w:t xml:space="preserve">conducted for member state specific NIRs and an EU wide NIR. The intermittent case of</w:t>
      </w:r>
      <w:r>
        <w:t xml:space="preserve"> </w:t>
      </w:r>
      <w:r>
        <w:t xml:space="preserve">currency specific NIRs provides results strictly in between those two extreme cases.</w:t>
      </w:r>
      <w:r>
        <w:t xml:space="preserve"> </w:t>
      </w:r>
      <w:r>
        <w:t xml:space="preserve">Ceteris paribus the Member State specific NIRs indicate on average lower impacts than a</w:t>
      </w:r>
      <w:r>
        <w:t xml:space="preserve"> </w:t>
      </w:r>
      <w:r>
        <w:t xml:space="preserve">currency specific or EU-wide NIRs. In order to simplify the presentation and to provide a</w:t>
      </w:r>
      <w:r>
        <w:t xml:space="preserve"> </w:t>
      </w:r>
      <w:r>
        <w:t xml:space="preserve">conservative lower-bound estimate for effects, the analysis of Chapter 6 is based on</w:t>
      </w:r>
      <w:r>
        <w:t xml:space="preserve"> </w:t>
      </w:r>
      <w:r>
        <w:t xml:space="preserve">Member State specific NIRs. Annex 5.1. provides further details.</w:t>
      </w:r>
      <w:r>
        <w:br/>
      </w:r>
      <w:r>
        <w:t xml:space="preserve">The risk free rate at the time of analysis was about 0.2%, implying an assumed risk</w:t>
      </w:r>
      <w:r>
        <w:t xml:space="preserve"> </w:t>
      </w:r>
      <w:r>
        <w:t xml:space="preserve">premium for the analysis of 2%. The complexity of the analysis (with at least eight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different calibrations required for each option51) makes it impossible to fully explore the</w:t>
      </w:r>
      <w:r>
        <w:t xml:space="preserve"> </w:t>
      </w:r>
      <w:r>
        <w:t xml:space="preserve">parameter space for alternative values of the risk premium or NIR. To understand the</w:t>
      </w:r>
      <w:r>
        <w:t xml:space="preserve"> </w:t>
      </w:r>
      <w:r>
        <w:t xml:space="preserve">structural implications of the different options it is important to compare options with the</w:t>
      </w:r>
      <w:r>
        <w:t xml:space="preserve"> </w:t>
      </w:r>
      <w:r>
        <w:t xml:space="preserve">same NIR. For the comparison of options any viable NIR could be used since the relative</w:t>
      </w:r>
      <w:r>
        <w:t xml:space="preserve"> </w:t>
      </w:r>
      <w:r>
        <w:t xml:space="preserve">performance of the options would not change when the NIR (or risk premium) is</w:t>
      </w:r>
      <w:r>
        <w:t xml:space="preserve"> </w:t>
      </w:r>
      <w:r>
        <w:t xml:space="preserve">changed52.</w:t>
      </w:r>
      <w:r>
        <w:t xml:space="preserve"> </w:t>
      </w:r>
      <w:r>
        <w:t xml:space="preserve">Option 5 proposes an allowance for equity as in Option 2 in combination with a</w:t>
      </w:r>
      <w:r>
        <w:t xml:space="preserve"> </w:t>
      </w:r>
      <w:r>
        <w:t xml:space="preserve">proportional limitation of interest deduction by 25% in order to mitigate budgetary</w:t>
      </w:r>
      <w:r>
        <w:t xml:space="preserve"> </w:t>
      </w:r>
      <w:r>
        <w:t xml:space="preserve">impacts. The level of interest limitation (25%) is chosen so as to assure fiscal neutrality</w:t>
      </w:r>
      <w:r>
        <w:t xml:space="preserve"> </w:t>
      </w:r>
      <w:r>
        <w:t xml:space="preserve">of option 5 on average in the dynamic modelling context of CORTAX. ATAD 1 also</w:t>
      </w:r>
      <w:r>
        <w:t xml:space="preserve"> </w:t>
      </w:r>
      <w:r>
        <w:t xml:space="preserve">includes an interest limitation rule (ILR) which provides a minimal provision to limit the</w:t>
      </w:r>
      <w:r>
        <w:t xml:space="preserve"> </w:t>
      </w:r>
      <w:r>
        <w:t xml:space="preserve">deductibility of net interest expenses to 30% of EBITDA with a safe harbour of EUR 3</w:t>
      </w:r>
      <w:r>
        <w:t xml:space="preserve"> </w:t>
      </w:r>
      <w:r>
        <w:t xml:space="preserve">million53. While there are issues of data availability, which make it very difficult to</w:t>
      </w:r>
      <w:r>
        <w:t xml:space="preserve"> </w:t>
      </w:r>
      <w:r>
        <w:t xml:space="preserve">perform a detailed analysis of ILRs, some preliminary analysis suggest that very few</w:t>
      </w:r>
      <w:r>
        <w:t xml:space="preserve"> </w:t>
      </w:r>
      <w:r>
        <w:t xml:space="preserve">companies are captured under the ATAD 1 ILR. Since the companies currently falling</w:t>
      </w:r>
      <w:r>
        <w:t xml:space="preserve"> </w:t>
      </w:r>
      <w:r>
        <w:t xml:space="preserve">under ATAD 1 are already restricted in their deductibility, these companies would not</w:t>
      </w:r>
      <w:r>
        <w:t xml:space="preserve"> </w:t>
      </w:r>
      <w:r>
        <w:t xml:space="preserve">provide new resources to compensate for the equity allowance, when falling under the</w:t>
      </w:r>
      <w:r>
        <w:t xml:space="preserve"> </w:t>
      </w:r>
      <w:r>
        <w:t xml:space="preserve">proportional ILR of option 5 instead. Further details on the estimates are provided in</w:t>
      </w:r>
      <w:r>
        <w:t xml:space="preserve"> </w:t>
      </w:r>
      <w:r>
        <w:t xml:space="preserve">Annex 6. CORTAX does not explicitly model ATAD 1 ILRs. Given the very limited</w:t>
      </w:r>
      <w:r>
        <w:t xml:space="preserve"> </w:t>
      </w:r>
      <w:r>
        <w:t xml:space="preserve">impact on the revenue generating potential of a proportional ILR under option 5, it is</w:t>
      </w:r>
      <w:r>
        <w:t xml:space="preserve"> </w:t>
      </w:r>
      <w:r>
        <w:t xml:space="preserve">however argued that this omission does not bias overall estimates.</w:t>
      </w:r>
      <w:r>
        <w:br/>
      </w:r>
      <w:r>
        <w:t xml:space="preserve">Loss-making companies are not paying taxes and are thus not affected by any of the</w:t>
      </w:r>
      <w:r>
        <w:t xml:space="preserve"> </w:t>
      </w:r>
      <w:r>
        <w:t xml:space="preserve">options. CORTAX accounts for loss-making companies and includes the country-specific</w:t>
      </w:r>
      <w:r>
        <w:t xml:space="preserve"> </w:t>
      </w:r>
      <w:r>
        <w:t xml:space="preserve">share of loss-making companies in its calibration.</w:t>
      </w:r>
      <w:r>
        <w:t xml:space="preserve"> </w:t>
      </w:r>
      <w:r>
        <w:t xml:space="preserve">For the purpose of this impact assessment, average EU values of the estimates will be</w:t>
      </w:r>
      <w:r>
        <w:t xml:space="preserve"> </w:t>
      </w:r>
      <w:r>
        <w:t xml:space="preserve">reported. CORTAX however is calibrated at the country level and estimates impacts at</w:t>
      </w:r>
      <w:r>
        <w:t xml:space="preserve"> </w:t>
      </w:r>
      <w:r>
        <w:t xml:space="preserve">the country level. There is considerable heterogeneity across Member States in terms of</w:t>
      </w:r>
      <w:r>
        <w:t xml:space="preserve"> </w:t>
      </w:r>
      <w:r>
        <w:t xml:space="preserve">debt-equity ratios and financing conditions. For the compensated approach the model</w:t>
      </w:r>
      <w:r>
        <w:t xml:space="preserve"> </w:t>
      </w:r>
      <w:r>
        <w:t xml:space="preserve">arrived at corner solutions for some policy options when including an SME top-up</w:t>
      </w:r>
      <w:r>
        <w:t xml:space="preserve"> </w:t>
      </w:r>
      <w:r>
        <w:t xml:space="preserve">(Scenario 2) in some countries. In that situation the model could not provide results,</w:t>
      </w:r>
      <w:r>
        <w:t xml:space="preserve"> </w:t>
      </w:r>
      <w:r>
        <w:t xml:space="preserve">because there was no valid change in the CIT rate which could compensate for the</w:t>
      </w:r>
      <w:r>
        <w:t xml:space="preserve"> </w:t>
      </w:r>
      <w:r>
        <w:t xml:space="preserve">budgetary impact, i.e. the CIT rate required to compensate the tax revenue losses would</w:t>
      </w:r>
      <w:r>
        <w:t xml:space="preserve"> </w:t>
      </w:r>
      <w:r>
        <w:t xml:space="preserve">have been larger than 100%. The comparison of policy options for Scenario 2 is thus</w:t>
      </w:r>
      <w:r>
        <w:t xml:space="preserve"> </w:t>
      </w:r>
      <w:r>
        <w:t xml:space="preserve">incomplete. It will however become clear in the following that CORTAX provides a</w:t>
      </w:r>
      <w:r>
        <w:t xml:space="preserve"> </w:t>
      </w:r>
      <w:r>
        <w:t xml:space="preserve">consistent ranking of policy options across approaches and scenarios. The level of the</w:t>
      </w:r>
      <w:r>
        <w:t xml:space="preserve"> </w:t>
      </w:r>
      <w:r>
        <w:t xml:space="preserve">point estimates changes contingent on the approach (compensated/uncompensated) and</w:t>
      </w:r>
      <w:r>
        <w:t xml:space="preserve"> </w:t>
      </w:r>
      <w:r>
        <w:t xml:space="preserve">scenario (Scenario 1/Scenario 2), the resulting ranking of policy options however stays</w:t>
      </w:r>
    </w:p>
    <w:p>
      <w:pPr>
        <w:pStyle w:val="BodyText"/>
      </w:pPr>
      <w:r>
        <w:t xml:space="preserve">51 Calibrations for no-SME top-up / SME top-up, single EU NIR / MS specific NIR and compensated /</w:t>
      </w:r>
      <w:r>
        <w:t xml:space="preserve"> </w:t>
      </w:r>
      <w:r>
        <w:t xml:space="preserve">uncompensated approach would be required resulting 2</w:t>
      </w:r>
      <w:r>
        <w:rPr>
          <w:i/>
          <w:iCs/>
        </w:rPr>
        <w:t xml:space="preserve">2</w:t>
      </w:r>
      <w:r>
        <w:t xml:space="preserve">2=8 calibrations.</w:t>
      </w:r>
      <w:r>
        <w:br/>
      </w:r>
      <w:r>
        <w:t xml:space="preserve">52 Note that option 4, which fully disallows interest deductibility does not depend on the NIR.</w:t>
      </w:r>
      <w:r>
        <w:br/>
      </w:r>
      <w:r>
        <w:t xml:space="preserve">53 The interest limitation rules currently in place in each Member State are summarized in Table A7.2 in</w:t>
      </w:r>
      <w:r>
        <w:t xml:space="preserve"> </w:t>
      </w:r>
      <w:r>
        <w:t xml:space="preserve">Annex 7. Some empirical analysis is presented in Annex 6.1.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the same. As would be expected, the macroeconomic impacts on investment,</w:t>
      </w:r>
      <w:r>
        <w:t xml:space="preserve"> </w:t>
      </w:r>
      <w:r>
        <w:t xml:space="preserve">employment, wages and growth, reported by the model are smallest for the compensated</w:t>
      </w:r>
      <w:r>
        <w:t xml:space="preserve"> </w:t>
      </w:r>
      <w:r>
        <w:t xml:space="preserve">approach without an SME top-up and highest for the uncompensated approach with a rate</w:t>
      </w:r>
      <w:r>
        <w:t xml:space="preserve"> </w:t>
      </w:r>
      <w:r>
        <w:t xml:space="preserve">top-up for SMEs. The CORTAX model is further discussed in Annex 4. Annex 5</w:t>
      </w:r>
      <w:r>
        <w:t xml:space="preserve"> </w:t>
      </w:r>
      <w:r>
        <w:t xml:space="preserve">provides complementary results.</w:t>
      </w:r>
      <w:r>
        <w:t xml:space="preserve"> </w:t>
      </w:r>
      <w:r>
        <w:t xml:space="preserve">6.3. Impacts on debt bias and financing decisions of firms</w:t>
      </w:r>
      <w:r>
        <w:t xml:space="preserve"> </w:t>
      </w:r>
      <w:r>
        <w:t xml:space="preserve">A multiplicity of factors influence a company’s capital structure. Firm level factors</w:t>
      </w:r>
      <w:r>
        <w:t xml:space="preserve"> </w:t>
      </w:r>
      <w:r>
        <w:t xml:space="preserve">named in the literature are, e.g. the degree of specialization, the extent of R&amp;D activity,</w:t>
      </w:r>
      <w:r>
        <w:t xml:space="preserve"> </w:t>
      </w:r>
      <w:r>
        <w:t xml:space="preserve">firm size, firm profitability, firm growth, tax shield and earning volatility (e.g. Titman</w:t>
      </w:r>
      <w:r>
        <w:t xml:space="preserve"> </w:t>
      </w:r>
      <w:r>
        <w:t xml:space="preserve">and Wessels (1988) and Marodi and Paulet (2019)). Time and firm effects seem to</w:t>
      </w:r>
      <w:r>
        <w:t xml:space="preserve"> </w:t>
      </w:r>
      <w:r>
        <w:t xml:space="preserve">explain the largest share of heterogeneity while sector and country effects play a smaller</w:t>
      </w:r>
      <w:r>
        <w:t xml:space="preserve"> </w:t>
      </w:r>
      <w:r>
        <w:t xml:space="preserve">role (Kayo and Kimura 2011). Specific reasons for the choice of debt could be the desire</w:t>
      </w:r>
      <w:r>
        <w:t xml:space="preserve"> </w:t>
      </w:r>
      <w:r>
        <w:t xml:space="preserve">to increase the return on equity, because access to equity financing is limited, because</w:t>
      </w:r>
      <w:r>
        <w:t xml:space="preserve"> </w:t>
      </w:r>
      <w:r>
        <w:t xml:space="preserve">debt financing is cheaper than equity financing (especially when interest rates are low),</w:t>
      </w:r>
      <w:r>
        <w:t xml:space="preserve"> </w:t>
      </w:r>
      <w:r>
        <w:t xml:space="preserve">to diversify risk, to reduce tax liabilities, and to avoid the dilution of control/voting rights</w:t>
      </w:r>
      <w:r>
        <w:t xml:space="preserve"> </w:t>
      </w:r>
      <w:r>
        <w:t xml:space="preserve">of existing equity holders (owners). However, such reasons do not diminish or negate the</w:t>
      </w:r>
      <w:r>
        <w:t xml:space="preserve"> </w:t>
      </w:r>
      <w:r>
        <w:t xml:space="preserve">fact that a differentiated tax treatment of equity and debt exists, and that this has an</w:t>
      </w:r>
      <w:r>
        <w:t xml:space="preserve"> </w:t>
      </w:r>
      <w:r>
        <w:t xml:space="preserve">impact on companies’ financing choices. This tax-induced debt-equity bias is the focus of</w:t>
      </w:r>
      <w:r>
        <w:t xml:space="preserve"> </w:t>
      </w:r>
      <w:r>
        <w:t xml:space="preserve">the present measure. This implies that other reason for companies to choose debt over</w:t>
      </w:r>
      <w:r>
        <w:t xml:space="preserve"> </w:t>
      </w:r>
      <w:r>
        <w:t xml:space="preserve">equity will remain unaffected after the measure is implemented, some degree of debt bias</w:t>
      </w:r>
      <w:r>
        <w:t xml:space="preserve"> </w:t>
      </w:r>
      <w:r>
        <w:t xml:space="preserve">might thus exist also ex-post. The relative importance of the different factors is not</w:t>
      </w:r>
      <w:r>
        <w:t xml:space="preserve"> </w:t>
      </w:r>
      <w:r>
        <w:t xml:space="preserve">understood54.</w:t>
      </w:r>
      <w:r>
        <w:br/>
      </w:r>
      <w:r>
        <w:t xml:space="preserve">It is important to note that the tax debt-equity bias only operates through taxes on</w:t>
      </w:r>
      <w:r>
        <w:t xml:space="preserve"> </w:t>
      </w:r>
      <w:r>
        <w:t xml:space="preserve">income. Loss-making companies have negative income and are thus not taxed. There is</w:t>
      </w:r>
      <w:r>
        <w:t xml:space="preserve"> </w:t>
      </w:r>
      <w:r>
        <w:t xml:space="preserve">accordingly no tax bias present for loss-making companies. Especially start-ups and</w:t>
      </w:r>
      <w:r>
        <w:t xml:space="preserve"> </w:t>
      </w:r>
      <w:r>
        <w:t xml:space="preserve">young and innovative companies tend to be loss-making. Due to their risk structure they</w:t>
      </w:r>
      <w:r>
        <w:t xml:space="preserve"> </w:t>
      </w:r>
      <w:r>
        <w:t xml:space="preserve">need to rely on equity financing. As long as such companies are loss making, they cannot</w:t>
      </w:r>
      <w:r>
        <w:t xml:space="preserve"> </w:t>
      </w:r>
      <w:r>
        <w:t xml:space="preserve">profit form the equity allowance, since no taxes are paid. Without the possibility to carry</w:t>
      </w:r>
      <w:r>
        <w:t xml:space="preserve"> </w:t>
      </w:r>
      <w:r>
        <w:t xml:space="preserve">forward the allowance, the company could lose the equity allowance if it remains loss-</w:t>
      </w:r>
      <w:r>
        <w:t xml:space="preserve"> </w:t>
      </w:r>
      <w:r>
        <w:t xml:space="preserve">making for the full duration the allowance is granted. If instead the allowance can be</w:t>
      </w:r>
      <w:r>
        <w:t xml:space="preserve"> </w:t>
      </w:r>
      <w:r>
        <w:t xml:space="preserve">carried forward, the company will always be entitled for the equity allowance for the full</w:t>
      </w:r>
      <w:r>
        <w:t xml:space="preserve"> </w:t>
      </w:r>
      <w:r>
        <w:t xml:space="preserve">duration of the allowance.</w:t>
      </w:r>
      <w:r>
        <w:br/>
      </w:r>
      <w:r>
        <w:t xml:space="preserve">To analyse the economic impacts of the debt-equity bias, the cost of capital concept is</w:t>
      </w:r>
      <w:r>
        <w:t xml:space="preserve"> </w:t>
      </w:r>
      <w:r>
        <w:t xml:space="preserve">used as an indicator to express the financing costs of a company for different sources of</w:t>
      </w:r>
      <w:r>
        <w:t xml:space="preserve"> </w:t>
      </w:r>
      <w:r>
        <w:t xml:space="preserve">financing (the cost of capital concept is explained in detail in Annex 4). As long as the</w:t>
      </w:r>
      <w:r>
        <w:t xml:space="preserve"> </w:t>
      </w:r>
      <w:r>
        <w:t xml:space="preserve">cost of capital for debt is lower than for equity, also due to differential tax treatment, a</w:t>
      </w:r>
    </w:p>
    <w:p>
      <w:pPr>
        <w:pStyle w:val="BodyText"/>
      </w:pPr>
      <w:r>
        <w:t xml:space="preserve">54 As discussed in Chapter 2, academic research has established a causal link between the CIT rate and</w:t>
      </w:r>
      <w:r>
        <w:t xml:space="preserve"> </w:t>
      </w:r>
      <w:r>
        <w:t xml:space="preserve">changes in observed debt-equity ratios. Since however does not provide an indication how important the</w:t>
      </w:r>
      <w:r>
        <w:t xml:space="preserve"> </w:t>
      </w:r>
      <w:r>
        <w:t xml:space="preserve">tax induced debt-equity bias is compared to other factors which might drive companies towards debt.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debt bias persists. Only in the ideal case where the deductibility of debt is equal to the</w:t>
      </w:r>
      <w:r>
        <w:t xml:space="preserve"> </w:t>
      </w:r>
      <w:r>
        <w:t xml:space="preserve">deductibility of equity would the tax system be neutral with regard to financing decision.</w:t>
      </w:r>
      <w:r>
        <w:t xml:space="preserve"> </w:t>
      </w:r>
      <w:r>
        <w:t xml:space="preserve">A study by ZEW (2016a) analyses the impact of various tax reforms on the cost of</w:t>
      </w:r>
      <w:r>
        <w:t xml:space="preserve"> </w:t>
      </w:r>
      <w:r>
        <w:t xml:space="preserve">capital to address the debt-equity bias55. The reforms simulate revenue neutrality to avoid</w:t>
      </w:r>
      <w:r>
        <w:t xml:space="preserve"> </w:t>
      </w:r>
      <w:r>
        <w:t xml:space="preserve">that results are driven by changes in the overall tax burden. It further shows that both</w:t>
      </w:r>
      <w:r>
        <w:t xml:space="preserve"> </w:t>
      </w:r>
      <w:r>
        <w:t xml:space="preserve">Option 1 (ACE) and Option 3 (ACC) mitigate the debt bias and strongly reduce the tax-</w:t>
      </w:r>
      <w:r>
        <w:t xml:space="preserve"> </w:t>
      </w:r>
      <w:r>
        <w:t xml:space="preserve">induced distortions of financing decisions by largely equalising the cost of capital of</w:t>
      </w:r>
      <w:r>
        <w:t xml:space="preserve"> </w:t>
      </w:r>
      <w:r>
        <w:t xml:space="preserve">debt-financed and equity-financed investments. Option 4 also equalises the tax treatment</w:t>
      </w:r>
      <w:r>
        <w:t xml:space="preserve"> </w:t>
      </w:r>
      <w:r>
        <w:t xml:space="preserve">of debt and equity, with the consequence however that the cost of capital for debt and</w:t>
      </w:r>
      <w:r>
        <w:t xml:space="preserve"> </w:t>
      </w:r>
      <w:r>
        <w:t xml:space="preserve">thus the effective tax rate for businesses increases. The increase in effective tax rates has</w:t>
      </w:r>
      <w:r>
        <w:t xml:space="preserve"> </w:t>
      </w:r>
      <w:r>
        <w:t xml:space="preserve">in most situations a detrimental effect on investment activity. Option 2, an allowance for</w:t>
      </w:r>
      <w:r>
        <w:t xml:space="preserve"> </w:t>
      </w:r>
      <w:r>
        <w:t xml:space="preserve">new equity is not analysed in this study. There are, however, the real world examples of</w:t>
      </w:r>
      <w:r>
        <w:t xml:space="preserve"> </w:t>
      </w:r>
      <w:r>
        <w:t xml:space="preserve">Belgium, Cyprus, Italy, Poland and Portugal, which have implemented an ANCE-style</w:t>
      </w:r>
      <w:r>
        <w:t xml:space="preserve"> </w:t>
      </w:r>
      <w:r>
        <w:t xml:space="preserve">measure as laid out in Option 2 and which have been recently analysed with the cost of</w:t>
      </w:r>
      <w:r>
        <w:t xml:space="preserve"> </w:t>
      </w:r>
      <w:r>
        <w:t xml:space="preserve">capital approach (ZEW 2020)56. The cost of capital calculations for given notional</w:t>
      </w:r>
      <w:r>
        <w:t xml:space="preserve"> </w:t>
      </w:r>
      <w:r>
        <w:t xml:space="preserve">interest rates have been depicted in Table 1 in Section 2. It becomes obvious that in most</w:t>
      </w:r>
      <w:r>
        <w:t xml:space="preserve"> </w:t>
      </w:r>
      <w:r>
        <w:t xml:space="preserve">ANCE systems based on standard definitions of equity, the debt-equity bias gets smaller</w:t>
      </w:r>
      <w:r>
        <w:t xml:space="preserve"> </w:t>
      </w:r>
      <w:r>
        <w:t xml:space="preserve">as the notional interest rate approaches the nominal interest rate prevalent in the</w:t>
      </w:r>
      <w:r>
        <w:t xml:space="preserve"> </w:t>
      </w:r>
      <w:r>
        <w:t xml:space="preserve">economy. The study further shows that if those two rates are equal, the debt-equity bias</w:t>
      </w:r>
      <w:r>
        <w:t xml:space="preserve"> </w:t>
      </w:r>
      <w:r>
        <w:t xml:space="preserve">could be fully eliminated. The approach to the notional interest rate suggested in this</w:t>
      </w:r>
      <w:r>
        <w:t xml:space="preserve"> </w:t>
      </w:r>
      <w:r>
        <w:t xml:space="preserve">impact assessment (Section 5) would mitigate the existing debt-equity bias to ensure that</w:t>
      </w:r>
      <w:r>
        <w:t xml:space="preserve"> </w:t>
      </w:r>
      <w:r>
        <w:t xml:space="preserve">the tax system provides for a neutralisation of businesses’ financing options.</w:t>
      </w:r>
      <w:r>
        <w:br/>
      </w:r>
      <w:r>
        <w:t xml:space="preserve">The introduction of a notional allowance for equity in Belgium in 2006, and in Italy in</w:t>
      </w:r>
      <w:r>
        <w:t xml:space="preserve"> </w:t>
      </w:r>
      <w:r>
        <w:t xml:space="preserve">2011, offer the possibility to assess empirically the effect of such allowances on</w:t>
      </w:r>
      <w:r>
        <w:t xml:space="preserve"> </w:t>
      </w:r>
      <w:r>
        <w:t xml:space="preserve">businesses’ debt leverage, since sufficient time has passed to collect, analyse and publish</w:t>
      </w:r>
      <w:r>
        <w:t xml:space="preserve"> </w:t>
      </w:r>
      <w:r>
        <w:t xml:space="preserve">related data. The first Belgian systems, which resembled the ACE (Option 1) was based</w:t>
      </w:r>
      <w:r>
        <w:t xml:space="preserve"> </w:t>
      </w:r>
      <w:r>
        <w:t xml:space="preserve">on the stock of equity and an anti-avoidance framework, although the way certain tax</w:t>
      </w:r>
      <w:r>
        <w:t xml:space="preserve"> </w:t>
      </w:r>
      <w:r>
        <w:t xml:space="preserve">planning opportunities were addressed was considered incomplete (e.g. Zangari, 2014).</w:t>
      </w:r>
      <w:r>
        <w:t xml:space="preserve"> </w:t>
      </w:r>
      <w:r>
        <w:t xml:space="preserve">Since 2018, only incremental changes in equity are the basis for a notional interest</w:t>
      </w:r>
      <w:r>
        <w:t xml:space="preserve"> </w:t>
      </w:r>
      <w:r>
        <w:t xml:space="preserve">deduction in Belgium and the anti-abuse framework has been reinforced. The Italian</w:t>
      </w:r>
      <w:r>
        <w:t xml:space="preserve"> </w:t>
      </w:r>
      <w:r>
        <w:t xml:space="preserve">system was based on incremental equity from the beginning and has a relatively complete</w:t>
      </w:r>
      <w:r>
        <w:t xml:space="preserve"> </w:t>
      </w:r>
      <w:r>
        <w:t xml:space="preserve">anti-avoidance framework. It thus resembles more closely Option 2 analysed in this</w:t>
      </w:r>
      <w:r>
        <w:t xml:space="preserve"> </w:t>
      </w:r>
      <w:r>
        <w:t xml:space="preserve">impact assessment, i.e. an allowance for new corporate equity (ANCE).</w:t>
      </w:r>
      <w:r>
        <w:br/>
      </w:r>
      <w:r>
        <w:t xml:space="preserve">For Belgium, a number of studies find a reduction in debt leverage (i.e., the use of debt)</w:t>
      </w:r>
      <w:r>
        <w:t xml:space="preserve"> </w:t>
      </w:r>
      <w:r>
        <w:t xml:space="preserve">of non-financial Belgian firms after the introduction of the ACE57. Schepens (2015) finds</w:t>
      </w:r>
    </w:p>
    <w:p>
      <w:pPr>
        <w:pStyle w:val="BodyText"/>
      </w:pPr>
      <w:r>
        <w:t xml:space="preserve">55 The concept of cost of capital is explained in Annex 4.</w:t>
      </w:r>
      <w:r>
        <w:t xml:space="preserve"> </w:t>
      </w:r>
      <w:r>
        <w:t xml:space="preserve">56 The respective cases are discussed in ZEW (2020) Section B.8, B.9, B.11, B.12 and B.14. Malta also has</w:t>
      </w:r>
      <w:r>
        <w:t xml:space="preserve"> </w:t>
      </w:r>
      <w:r>
        <w:t xml:space="preserve">introduce an allowance on equity, which however resembles more an ACE than and ANCE. An overview</w:t>
      </w:r>
      <w:r>
        <w:t xml:space="preserve"> </w:t>
      </w:r>
      <w:r>
        <w:t xml:space="preserve">over existing tax allowances for equity is provided in Annex 6. Note that the equity definition in existing</w:t>
      </w:r>
      <w:r>
        <w:t xml:space="preserve"> </w:t>
      </w:r>
      <w:r>
        <w:t xml:space="preserve">measures also includes profits and losses, contrary to Option 1 and 2.</w:t>
      </w:r>
      <w:r>
        <w:t xml:space="preserve"> </w:t>
      </w:r>
      <w:r>
        <w:t xml:space="preserve">57 See for example Princen (2012), aus dem Moore (2014), Panier et al. (2015), Hebous and Ruf (2017) and</w:t>
      </w:r>
      <w:r>
        <w:t xml:space="preserve"> </w:t>
      </w:r>
      <w:r>
        <w:t xml:space="preserve">De Mooji et al. (2018).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similar effects for the financial sector. For Italy, Panteghini et al. (2012) find evidence of</w:t>
      </w:r>
      <w:r>
        <w:t xml:space="preserve"> </w:t>
      </w:r>
      <w:r>
        <w:t xml:space="preserve">a significant decrease in the leverage of firms following the introduction of the ANCE.</w:t>
      </w:r>
      <w:r>
        <w:t xml:space="preserve"> </w:t>
      </w:r>
      <w:r>
        <w:t xml:space="preserve">This is confirmed by Branzoli and Caiumi (2020) which show that the reduction of debt</w:t>
      </w:r>
      <w:r>
        <w:t xml:space="preserve"> </w:t>
      </w:r>
      <w:r>
        <w:t xml:space="preserve">leverage from an incremental ACE would be more pronounced for older and smaller</w:t>
      </w:r>
      <w:r>
        <w:t xml:space="preserve"> </w:t>
      </w:r>
      <w:r>
        <w:t xml:space="preserve">businesses. In addition, the impact of the ANCE would higher for more vulnerable and</w:t>
      </w:r>
      <w:r>
        <w:t xml:space="preserve"> </w:t>
      </w:r>
      <w:r>
        <w:t xml:space="preserve">risky firms. Together these results confirm that an incremental ACE would be an</w:t>
      </w:r>
      <w:r>
        <w:t xml:space="preserve"> </w:t>
      </w:r>
      <w:r>
        <w:t xml:space="preserve">effective policy tool to reduce the debt leverage ratios of European enterprises. As no</w:t>
      </w:r>
      <w:r>
        <w:t xml:space="preserve"> </w:t>
      </w:r>
      <w:r>
        <w:t xml:space="preserve">country has yet applied any of the other options (options 3, 4, 5), there is no empirical</w:t>
      </w:r>
      <w:r>
        <w:t xml:space="preserve"> </w:t>
      </w:r>
      <w:r>
        <w:t xml:space="preserve">evidence on their effects available.</w:t>
      </w:r>
      <w:r>
        <w:br/>
      </w:r>
      <w:r>
        <w:t xml:space="preserve">The simulations with CORTAX, based on an average notional interest of 2.2% and</w:t>
      </w:r>
      <w:r>
        <w:t xml:space="preserve"> </w:t>
      </w:r>
      <w:r>
        <w:t xml:space="preserve">discussed in more detail below, indicate that all options would indeed reduce the debt</w:t>
      </w:r>
      <w:r>
        <w:t xml:space="preserve"> </w:t>
      </w:r>
      <w:r>
        <w:t xml:space="preserve">leverage of firms. Table 3 reports the estimated changes in the share of debt-financed</w:t>
      </w:r>
      <w:r>
        <w:t xml:space="preserve"> </w:t>
      </w:r>
      <w:r>
        <w:t xml:space="preserve">assets in the EU. The debt share in the model before implementing a policy is 46.4%. All</w:t>
      </w:r>
      <w:r>
        <w:t xml:space="preserve"> </w:t>
      </w:r>
      <w:r>
        <w:t xml:space="preserve">policy options result in a notable reduction in the debt share. The estimated reduction is</w:t>
      </w:r>
      <w:r>
        <w:t xml:space="preserve"> </w:t>
      </w:r>
      <w:r>
        <w:t xml:space="preserve">2.3 to 3.2 percentage points in the case of the ACE (Option 1), 0.8 to 1.6 percentage</w:t>
      </w:r>
      <w:r>
        <w:t xml:space="preserve"> </w:t>
      </w:r>
      <w:r>
        <w:t xml:space="preserve">points in the case of the ANCE (Option 2), 2.8 to 3.5 percentage points in the case of the</w:t>
      </w:r>
      <w:r>
        <w:t xml:space="preserve"> </w:t>
      </w:r>
      <w:r>
        <w:t xml:space="preserve">ACC (Option 3) and up to 5.5 percentage points for Option 4. With Option 5, the debt</w:t>
      </w:r>
      <w:r>
        <w:t xml:space="preserve"> </w:t>
      </w:r>
      <w:r>
        <w:t xml:space="preserve">share would be reduced by 3.03 to 3.27 percentage points.</w:t>
      </w:r>
      <w:r>
        <w:br/>
      </w:r>
      <w:r>
        <w:t xml:space="preserve">Table 3. Change in EU average debt share (in percentage points)</w:t>
      </w:r>
    </w:p>
    <w:p>
      <w:pPr>
        <w:pStyle w:val="BodyText"/>
      </w:pPr>
      <w:r>
        <w:t xml:space="preserve">compensated</w:t>
      </w:r>
      <w:r>
        <w:t xml:space="preserve"> </w:t>
      </w:r>
      <w:r>
        <w:t xml:space="preserve">uncompensated</w:t>
      </w:r>
      <w:r>
        <w:t xml:space="preserve"> </w:t>
      </w:r>
      <w:r>
        <w:t xml:space="preserve">Option 1</w:t>
      </w:r>
      <w:r>
        <w:t xml:space="preserve"> </w:t>
      </w:r>
      <w:r>
        <w:t xml:space="preserve">ACE based on standard equity</w:t>
      </w:r>
      <w:r>
        <w:br/>
      </w:r>
      <w:r>
        <w:t xml:space="preserve">-2.29</w:t>
      </w:r>
      <w:r>
        <w:t xml:space="preserve"> </w:t>
      </w:r>
      <w:r>
        <w:t xml:space="preserve">-3.23</w:t>
      </w:r>
      <w:r>
        <w:t xml:space="preserve"> </w:t>
      </w:r>
      <w:r>
        <w:t xml:space="preserve">Option 2</w:t>
      </w:r>
      <w:r>
        <w:t xml:space="preserve"> </w:t>
      </w:r>
      <w:r>
        <w:t xml:space="preserve">ANCE based on standard equity</w:t>
      </w:r>
      <w:r>
        <w:br/>
      </w:r>
      <w:r>
        <w:t xml:space="preserve">-0.83</w:t>
      </w:r>
      <w:r>
        <w:t xml:space="preserve"> </w:t>
      </w:r>
      <w:r>
        <w:t xml:space="preserve">-1.55</w:t>
      </w:r>
      <w:r>
        <w:t xml:space="preserve"> </w:t>
      </w:r>
      <w:r>
        <w:t xml:space="preserve">Option 3</w:t>
      </w:r>
      <w:r>
        <w:t xml:space="preserve"> </w:t>
      </w:r>
      <w:r>
        <w:t xml:space="preserve">ACC</w:t>
      </w:r>
      <w:r>
        <w:t xml:space="preserve"> </w:t>
      </w:r>
      <w:r>
        <w:t xml:space="preserve">-2.76</w:t>
      </w:r>
      <w:r>
        <w:t xml:space="preserve"> </w:t>
      </w:r>
      <w:r>
        <w:t xml:space="preserve">-3.48</w:t>
      </w:r>
      <w:r>
        <w:t xml:space="preserve"> </w:t>
      </w:r>
      <w:r>
        <w:t xml:space="preserve">Option 4</w:t>
      </w:r>
      <w:r>
        <w:t xml:space="preserve"> </w:t>
      </w:r>
      <w:r>
        <w:t xml:space="preserve">NDI</w:t>
      </w:r>
      <w:r>
        <w:t xml:space="preserve"> </w:t>
      </w:r>
      <w:r>
        <w:t xml:space="preserve">-5.50</w:t>
      </w:r>
      <w:r>
        <w:t xml:space="preserve"> </w:t>
      </w:r>
      <w:r>
        <w:t xml:space="preserve">-5.49</w:t>
      </w:r>
      <w:r>
        <w:t xml:space="preserve"> </w:t>
      </w:r>
      <w:r>
        <w:t xml:space="preserve">Option 5</w:t>
      </w:r>
      <w:r>
        <w:t xml:space="preserve"> </w:t>
      </w:r>
      <w:r>
        <w:t xml:space="preserve">ANCE + partial NDI</w:t>
      </w:r>
      <w:r>
        <w:t xml:space="preserve"> </w:t>
      </w:r>
      <w:r>
        <w:t xml:space="preserve">-3.03</w:t>
      </w:r>
      <w:r>
        <w:t xml:space="preserve"> </w:t>
      </w:r>
      <w:r>
        <w:t xml:space="preserve">-3.27</w:t>
      </w:r>
      <w:r>
        <w:t xml:space="preserve"> </w:t>
      </w:r>
      <w:r>
        <w:t xml:space="preserve">Source: Joint Research Centre of the European Commission (2021).</w:t>
      </w:r>
      <w:r>
        <w:br/>
      </w:r>
      <w:r>
        <w:t xml:space="preserve">Note: Estimates are based on the assumption of equal treatment of all businesses (no SME top-up).</w:t>
      </w:r>
      <w:r>
        <w:t xml:space="preserve"> </w:t>
      </w:r>
      <w:r>
        <w:t xml:space="preserve">The potential of options 1, 2 and 5 to mitigate the debt-equity bias, is driven by the</w:t>
      </w:r>
      <w:r>
        <w:t xml:space="preserve"> </w:t>
      </w:r>
      <w:r>
        <w:t xml:space="preserve">choice of the notional interest rate. To fully mitigate the debt-equity bias, the NIR would</w:t>
      </w:r>
      <w:r>
        <w:t xml:space="preserve"> </w:t>
      </w:r>
      <w:r>
        <w:t xml:space="preserve">need to equate cost of equity with the cost of debt. Since the cost of debt differs across</w:t>
      </w:r>
      <w:r>
        <w:t xml:space="preserve"> </w:t>
      </w:r>
      <w:r>
        <w:t xml:space="preserve">companies, the NIR chosen will always be an approximation. For the choice of the NIR,</w:t>
      </w:r>
      <w:r>
        <w:t xml:space="preserve"> </w:t>
      </w:r>
      <w:r>
        <w:t xml:space="preserve">other constraints, like e.g. fiscal considerations also play a role. This relates to the</w:t>
      </w:r>
      <w:r>
        <w:t xml:space="preserve"> </w:t>
      </w:r>
      <w:r>
        <w:t xml:space="preserve">discussion on the appropriate choice of the risk premium above. Option 3 will equate the</w:t>
      </w:r>
      <w:r>
        <w:t xml:space="preserve"> </w:t>
      </w:r>
      <w:r>
        <w:t xml:space="preserve">tax treatment of debt and equity by definition. The notional interest rate will however</w:t>
      </w:r>
      <w:r>
        <w:t xml:space="preserve"> </w:t>
      </w:r>
      <w:r>
        <w:t xml:space="preserve">determine the extent to which the measure would actually limit the use of debt.</w:t>
      </w:r>
      <w:r>
        <w:br/>
      </w:r>
      <w:r>
        <w:t xml:space="preserve">Another important policy variable for the potential of an equity allowance to mitigate the</w:t>
      </w:r>
      <w:r>
        <w:t xml:space="preserve"> </w:t>
      </w:r>
      <w:r>
        <w:t xml:space="preserve">debt-equity bias is the duration the allowance is granted. For Option 1 and 3, the duration</w:t>
      </w:r>
      <w:r>
        <w:t xml:space="preserve"> </w:t>
      </w:r>
      <w:r>
        <w:t xml:space="preserve">is per definition unlimited, since the allowance is granted for all equity or all capital. For</w:t>
      </w:r>
      <w:r>
        <w:t xml:space="preserve"> </w:t>
      </w:r>
      <w:r>
        <w:t xml:space="preserve">Option 2 and 5 however the duration could be limited. Generally, a longer duration</w:t>
      </w:r>
      <w:r>
        <w:t xml:space="preserve"> </w:t>
      </w:r>
      <w:r>
        <w:t xml:space="preserve">would increase the extent the debt-equity bias is mitigated.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6.4. Impacts on investment and growth</w:t>
      </w:r>
      <w:r>
        <w:t xml:space="preserve"> </w:t>
      </w:r>
      <w:r>
        <w:t xml:space="preserve">In order to separate the structural impact of the policy options from their budgetary</w:t>
      </w:r>
      <w:r>
        <w:t xml:space="preserve"> </w:t>
      </w:r>
      <w:r>
        <w:t xml:space="preserve">impact, policy options need to be analysed under the assumption of budget neutrality.</w:t>
      </w:r>
      <w:r>
        <w:t xml:space="preserve"> </w:t>
      </w:r>
      <w:r>
        <w:t xml:space="preserve">The model achieves CIT revenue neutrality by adapting CIT rates. It is important to keep</w:t>
      </w:r>
      <w:r>
        <w:t xml:space="preserve"> </w:t>
      </w:r>
      <w:r>
        <w:t xml:space="preserve">in mind that DEBRA does not touch upon the question of CIT rates. The compensated</w:t>
      </w:r>
      <w:r>
        <w:t xml:space="preserve"> </w:t>
      </w:r>
      <w:r>
        <w:t xml:space="preserve">approach, where CIT rates are appropriately adapted, just serves for analytical purposes.</w:t>
      </w:r>
      <w:r>
        <w:br/>
      </w:r>
      <w:r>
        <w:t xml:space="preserve">The macroeconomic impacts of the five potential policy options for Scenario 1 (where all</w:t>
      </w:r>
      <w:r>
        <w:t xml:space="preserve"> </w:t>
      </w:r>
      <w:r>
        <w:t xml:space="preserve">businesses are treated equally), are summarised in Table 4 below. Compensated results</w:t>
      </w:r>
      <w:r>
        <w:t xml:space="preserve"> </w:t>
      </w:r>
      <w:r>
        <w:t xml:space="preserve">are presented, which ensure corporate income tax revenue neutrality of the respective</w:t>
      </w:r>
      <w:r>
        <w:t xml:space="preserve"> </w:t>
      </w:r>
      <w:r>
        <w:t xml:space="preserve">policy option by adjusting the CIT rate accordingly.58 The first variable CIT rate reports</w:t>
      </w:r>
      <w:r>
        <w:t xml:space="preserve"> </w:t>
      </w:r>
      <w:r>
        <w:t xml:space="preserve">the average change to the CIT rates that has been implemented to achieve revenue</w:t>
      </w:r>
      <w:r>
        <w:t xml:space="preserve"> </w:t>
      </w:r>
      <w:r>
        <w:t xml:space="preserve">neutrality. The cost of capital captures the change in percentage points of total cost of</w:t>
      </w:r>
      <w:r>
        <w:t xml:space="preserve"> </w:t>
      </w:r>
      <w:r>
        <w:t xml:space="preserve">capital, i.e. cost of capital for debt and cost of capital for equity. Investment reports the</w:t>
      </w:r>
      <w:r>
        <w:t xml:space="preserve"> </w:t>
      </w:r>
      <w:r>
        <w:t xml:space="preserve">change in total capital stock as a percent of GDP. The share of debt-financed assets is</w:t>
      </w:r>
      <w:r>
        <w:t xml:space="preserve"> </w:t>
      </w:r>
      <w:r>
        <w:t xml:space="preserve">reported in levels ex-post, i.e. after the implementation of the measure. Ex-ante the debt-</w:t>
      </w:r>
      <w:r>
        <w:t xml:space="preserve"> </w:t>
      </w:r>
      <w:r>
        <w:t xml:space="preserve">share is reported as 46.4%. Wages report the percentage change of the average wage rate.</w:t>
      </w:r>
      <w:r>
        <w:t xml:space="preserve"> </w:t>
      </w:r>
      <w:r>
        <w:t xml:space="preserve">Employment reports the percentage change of total employment. GDP finally reports the</w:t>
      </w:r>
      <w:r>
        <w:t xml:space="preserve"> </w:t>
      </w:r>
      <w:r>
        <w:t xml:space="preserve">impact on GDP.</w:t>
      </w:r>
      <w:r>
        <w:br/>
      </w:r>
      <w:r>
        <w:t xml:space="preserve">The results for Scenario 1 indicate that an ACC (Option 3) has the most positive</w:t>
      </w:r>
      <w:r>
        <w:t xml:space="preserve"> </w:t>
      </w:r>
      <w:r>
        <w:t xml:space="preserve">macroeconomic effects with investment increasing by 5.1% of GDP and GDP increasing</w:t>
      </w:r>
      <w:r>
        <w:t xml:space="preserve"> </w:t>
      </w:r>
      <w:r>
        <w:t xml:space="preserve">by 1.8%. The ACE (Option 1) would result in investment increases of 4.9% of GDP and</w:t>
      </w:r>
      <w:r>
        <w:t xml:space="preserve"> </w:t>
      </w:r>
      <w:r>
        <w:t xml:space="preserve">GDP growth of 1.7%. For the ANCE (Option 2), an investment increase of 1.4% of GDP</w:t>
      </w:r>
      <w:r>
        <w:t xml:space="preserve"> </w:t>
      </w:r>
      <w:r>
        <w:t xml:space="preserve">and a rise in GDP of 0.47% are estimated. The combined approach of equity allowance</w:t>
      </w:r>
      <w:r>
        <w:t xml:space="preserve"> </w:t>
      </w:r>
      <w:r>
        <w:t xml:space="preserve">and limited interest deduction, proposed as Option 5, would increase investments by</w:t>
      </w:r>
      <w:r>
        <w:t xml:space="preserve"> </w:t>
      </w:r>
      <w:r>
        <w:t xml:space="preserve">0.26% of GDP and GDP by 0.018%. Policy option 4, of fully disallowing deductibility of</w:t>
      </w:r>
      <w:r>
        <w:t xml:space="preserve"> </w:t>
      </w:r>
      <w:r>
        <w:t xml:space="preserve">interest payments, would instead reduce investments by 1.9% of GDP and result in a</w:t>
      </w:r>
      <w:r>
        <w:t xml:space="preserve"> </w:t>
      </w:r>
      <w:r>
        <w:t xml:space="preserve">contraction of the economy by 0.79% of GDP.</w:t>
      </w:r>
      <w:r>
        <w:br/>
      </w:r>
      <w:r>
        <w:t xml:space="preserve">Table 4: Economy-wide impacts of budget-neutral debt bias reforms; Scenario 1 – equal</w:t>
      </w:r>
      <w:r>
        <w:t xml:space="preserve"> </w:t>
      </w:r>
      <w:r>
        <w:t xml:space="preserve">treatment of all businesses; GDP-weighted EU-27 average</w:t>
      </w:r>
    </w:p>
    <w:p>
      <w:pPr>
        <w:numPr>
          <w:ilvl w:val="0"/>
          <w:numId w:val="1002"/>
        </w:numPr>
      </w:pPr>
      <w:r>
        <w:t xml:space="preserve">ACE</w:t>
      </w:r>
    </w:p>
    <w:p>
      <w:pPr>
        <w:numPr>
          <w:ilvl w:val="0"/>
          <w:numId w:val="1002"/>
        </w:numPr>
      </w:pPr>
      <w:r>
        <w:t xml:space="preserve">ANCE</w:t>
      </w:r>
    </w:p>
    <w:p>
      <w:pPr>
        <w:numPr>
          <w:ilvl w:val="0"/>
          <w:numId w:val="1002"/>
        </w:numPr>
      </w:pPr>
      <w:r>
        <w:t xml:space="preserve">ACC</w:t>
      </w:r>
    </w:p>
    <w:p>
      <w:pPr>
        <w:numPr>
          <w:ilvl w:val="0"/>
          <w:numId w:val="1002"/>
        </w:numPr>
      </w:pPr>
      <w:r>
        <w:t xml:space="preserve">NDI</w:t>
      </w:r>
    </w:p>
    <w:p>
      <w:pPr>
        <w:numPr>
          <w:ilvl w:val="0"/>
          <w:numId w:val="1002"/>
        </w:numPr>
      </w:pPr>
      <w:r>
        <w:t xml:space="preserve">ANCE</w:t>
      </w:r>
    </w:p>
    <w:p>
      <w:pPr>
        <w:pStyle w:val="Compact"/>
        <w:numPr>
          <w:ilvl w:val="0"/>
          <w:numId w:val="1003"/>
        </w:numPr>
      </w:pPr>
      <w:r>
        <w:t xml:space="preserve">partial</w:t>
      </w:r>
      <w:r>
        <w:t xml:space="preserve"> </w:t>
      </w:r>
      <w:r>
        <w:t xml:space="preserve">NDI</w:t>
      </w:r>
      <w:r>
        <w:t xml:space="preserve"> </w:t>
      </w:r>
      <w:r>
        <w:t xml:space="preserve">CIT rate (change in percentage points)</w:t>
      </w:r>
      <w:r>
        <w:t xml:space="preserve"> </w:t>
      </w:r>
      <w:r>
        <w:t xml:space="preserve">6.013</w:t>
      </w:r>
      <w:r>
        <w:t xml:space="preserve"> </w:t>
      </w:r>
      <w:r>
        <w:t xml:space="preserve">3.093</w:t>
      </w:r>
      <w:r>
        <w:t xml:space="preserve"> </w:t>
      </w:r>
      <w:r>
        <w:t xml:space="preserve">5.728</w:t>
      </w:r>
      <w:r>
        <w:t xml:space="preserve"> </w:t>
      </w:r>
      <w:r>
        <w:t xml:space="preserve">-7.168</w:t>
      </w:r>
      <w:r>
        <w:t xml:space="preserve"> </w:t>
      </w:r>
      <w:r>
        <w:t xml:space="preserve">0.551</w:t>
      </w:r>
      <w:r>
        <w:t xml:space="preserve"> </w:t>
      </w:r>
      <w:r>
        <w:t xml:space="preserve">Cost of capital (change in 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-0.349</w:t>
      </w:r>
      <w:r>
        <w:t xml:space="preserve"> </w:t>
      </w:r>
      <w:r>
        <w:t xml:space="preserve">-0.114</w:t>
      </w:r>
      <w:r>
        <w:t xml:space="preserve"> </w:t>
      </w:r>
      <w:r>
        <w:t xml:space="preserve">-0.4</w:t>
      </w:r>
      <w:r>
        <w:t xml:space="preserve"> </w:t>
      </w:r>
      <w:r>
        <w:t xml:space="preserve">0.127</w:t>
      </w:r>
      <w:r>
        <w:t xml:space="preserve"> </w:t>
      </w:r>
      <w:r>
        <w:t xml:space="preserve">-0.042</w:t>
      </w:r>
      <w:r>
        <w:t xml:space="preserve"> </w:t>
      </w:r>
      <w:r>
        <w:t xml:space="preserve">Investment (change in % of GDP)</w:t>
      </w:r>
      <w:r>
        <w:t xml:space="preserve"> </w:t>
      </w:r>
      <w:r>
        <w:t xml:space="preserve">4.881</w:t>
      </w:r>
      <w:r>
        <w:t xml:space="preserve"> </w:t>
      </w:r>
      <w:r>
        <w:t xml:space="preserve">1.4</w:t>
      </w:r>
      <w:r>
        <w:t xml:space="preserve"> </w:t>
      </w:r>
      <w:r>
        <w:t xml:space="preserve">5.065</w:t>
      </w:r>
      <w:r>
        <w:t xml:space="preserve"> </w:t>
      </w:r>
      <w:r>
        <w:t xml:space="preserve">-1.92</w:t>
      </w:r>
      <w:r>
        <w:t xml:space="preserve"> </w:t>
      </w:r>
      <w:r>
        <w:t xml:space="preserve">0.261</w:t>
      </w:r>
    </w:p>
    <w:p>
      <w:pPr>
        <w:pStyle w:val="FirstParagraph"/>
      </w:pPr>
      <w:r>
        <w:t xml:space="preserve">58 Note that tax revenue neutrality is an ex-ante characteristic. This means that CIT rates are adapted so that</w:t>
      </w:r>
      <w:r>
        <w:t xml:space="preserve"> </w:t>
      </w:r>
      <w:r>
        <w:t xml:space="preserve">the tax revenue loss would be fully compensated, if no behavioural adaptation of economic agents would</w:t>
      </w:r>
      <w:r>
        <w:t xml:space="preserve"> </w:t>
      </w:r>
      <w:r>
        <w:t xml:space="preserve">take place. Since both the policy option implemented and the CIT rate change induce behavioural changes,</w:t>
      </w:r>
      <w:r>
        <w:t xml:space="preserve"> </w:t>
      </w:r>
      <w:r>
        <w:t xml:space="preserve">it is impossible to assure ex-post revenue neutrality.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Share of debt-financed total assets (level,</w:t>
      </w:r>
      <w:r>
        <w:t xml:space="preserve"> </w:t>
      </w:r>
      <w:r>
        <w:t xml:space="preserve">ex-post)</w:t>
      </w:r>
      <w:r>
        <w:t xml:space="preserve"> </w:t>
      </w:r>
      <w:r>
        <w:t xml:space="preserve">44.12</w:t>
      </w:r>
      <w:r>
        <w:t xml:space="preserve"> </w:t>
      </w:r>
      <w:r>
        <w:t xml:space="preserve">45.58</w:t>
      </w:r>
      <w:r>
        <w:t xml:space="preserve"> </w:t>
      </w:r>
      <w:r>
        <w:t xml:space="preserve">43.65</w:t>
      </w:r>
      <w:r>
        <w:t xml:space="preserve"> </w:t>
      </w:r>
      <w:r>
        <w:t xml:space="preserve">40.91</w:t>
      </w:r>
      <w:r>
        <w:t xml:space="preserve"> </w:t>
      </w:r>
      <w:r>
        <w:t xml:space="preserve">43.39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1.727</w:t>
      </w:r>
      <w:r>
        <w:t xml:space="preserve"> </w:t>
      </w:r>
      <w:r>
        <w:t xml:space="preserve">0.465</w:t>
      </w:r>
      <w:r>
        <w:t xml:space="preserve"> </w:t>
      </w:r>
      <w:r>
        <w:t xml:space="preserve">1.764</w:t>
      </w:r>
      <w:r>
        <w:t xml:space="preserve"> </w:t>
      </w:r>
      <w:r>
        <w:t xml:space="preserve">-0.476</w:t>
      </w:r>
      <w:r>
        <w:t xml:space="preserve"> </w:t>
      </w:r>
      <w:r>
        <w:t xml:space="preserve">0.153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0.379</w:t>
      </w:r>
      <w:r>
        <w:t xml:space="preserve"> </w:t>
      </w:r>
      <w:r>
        <w:t xml:space="preserve">0.07</w:t>
      </w:r>
      <w:r>
        <w:t xml:space="preserve"> </w:t>
      </w:r>
      <w:r>
        <w:t xml:space="preserve">0.43</w:t>
      </w:r>
      <w:r>
        <w:t xml:space="preserve"> </w:t>
      </w:r>
      <w:r>
        <w:t xml:space="preserve">-0.338</w:t>
      </w:r>
      <w:r>
        <w:t xml:space="preserve"> </w:t>
      </w:r>
      <w:r>
        <w:t xml:space="preserve">-0.11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1.727</w:t>
      </w:r>
      <w:r>
        <w:t xml:space="preserve"> </w:t>
      </w:r>
      <w:r>
        <w:t xml:space="preserve">0.474</w:t>
      </w:r>
      <w:r>
        <w:t xml:space="preserve"> </w:t>
      </w:r>
      <w:r>
        <w:t xml:space="preserve">1.795</w:t>
      </w:r>
      <w:r>
        <w:t xml:space="preserve"> </w:t>
      </w:r>
      <w:r>
        <w:t xml:space="preserve">-0.789</w:t>
      </w:r>
      <w:r>
        <w:t xml:space="preserve"> </w:t>
      </w:r>
      <w:r>
        <w:t xml:space="preserve">0.018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Ranking the policy options from the most positive to most negative impacts on</w:t>
      </w:r>
      <w:r>
        <w:t xml:space="preserve"> </w:t>
      </w:r>
      <w:r>
        <w:t xml:space="preserve">investment and GDP, we obtain: (3) &gt; (1) &gt; (2) &gt; (5) &gt; (4). A similar ranking can also be</w:t>
      </w:r>
      <w:r>
        <w:t xml:space="preserve"> </w:t>
      </w:r>
      <w:r>
        <w:t xml:space="preserve">observed for employment, wages or the cost of capital. For Option 3, the increase in</w:t>
      </w:r>
      <w:r>
        <w:t xml:space="preserve"> </w:t>
      </w:r>
      <w:r>
        <w:t xml:space="preserve">employment and wages would be highest, with the largest reduction in costs of capital.</w:t>
      </w:r>
      <w:r>
        <w:t xml:space="preserve"> </w:t>
      </w:r>
      <w:r>
        <w:t xml:space="preserve">On the other extreme, Option 4 would lead to the strongest decline in employment and</w:t>
      </w:r>
      <w:r>
        <w:t xml:space="preserve"> </w:t>
      </w:r>
      <w:r>
        <w:t xml:space="preserve">wages, and increase the cost of capital59.</w:t>
      </w:r>
      <w:r>
        <w:br/>
      </w:r>
      <w:r>
        <w:t xml:space="preserve">If the assumption of budget neutrality is discarded and instead uncompensated results are</w:t>
      </w:r>
      <w:r>
        <w:t xml:space="preserve"> </w:t>
      </w:r>
      <w:r>
        <w:t xml:space="preserve">analysed, the same ranking of policy options can be observed, albeit at a higher level.</w:t>
      </w:r>
      <w:r>
        <w:t xml:space="preserve"> </w:t>
      </w:r>
      <w:r>
        <w:t xml:space="preserve">The allowance for corporate capital (Option 3) would result in GDP growth of 2.4%</w:t>
      </w:r>
      <w:r>
        <w:t xml:space="preserve"> </w:t>
      </w:r>
      <w:r>
        <w:t xml:space="preserve">while non-deductibility of interest (Option 4) would result in economic contraction of -</w:t>
      </w:r>
      <w:r>
        <w:t xml:space="preserve"> </w:t>
      </w:r>
      <w:r>
        <w:t xml:space="preserve">3.3%. The full set of results for this case is presented in Table A5.1 in Annex 5.</w:t>
      </w:r>
      <w:r>
        <w:t xml:space="preserve"> </w:t>
      </w:r>
      <w:r>
        <w:t xml:space="preserve">Under Scenario 2 with a risk-permium top-up for SMEs, the risk premium for SMEs</w:t>
      </w:r>
      <w:r>
        <w:t xml:space="preserve"> </w:t>
      </w:r>
      <w:r>
        <w:t xml:space="preserve">would be 50% higher than for other businesses. As can be inferred from Table 5 below,</w:t>
      </w:r>
      <w:r>
        <w:t xml:space="preserve"> </w:t>
      </w:r>
      <w:r>
        <w:t xml:space="preserve">the rate top-up for SMEs has additional growth effects on investment, employment and</w:t>
      </w:r>
      <w:r>
        <w:t xml:space="preserve"> </w:t>
      </w:r>
      <w:r>
        <w:t xml:space="preserve">GDP. Since under Option 4 there are no allowances, a rate a top-up for SMEs is not</w:t>
      </w:r>
      <w:r>
        <w:t xml:space="preserve"> </w:t>
      </w:r>
      <w:r>
        <w:t xml:space="preserve">relevant for this option. The way the SME rate top-up shifts estimates up, can be</w:t>
      </w:r>
      <w:r>
        <w:t xml:space="preserve"> </w:t>
      </w:r>
      <w:r>
        <w:t xml:space="preserve">observed in the uncompensated results from comparison of Tables A5.1 and A5.3 in</w:t>
      </w:r>
      <w:r>
        <w:t xml:space="preserve"> </w:t>
      </w:r>
      <w:r>
        <w:t xml:space="preserve">Annex 5.</w:t>
      </w:r>
      <w:r>
        <w:br/>
      </w:r>
      <w:r>
        <w:t xml:space="preserve">CORTAX could not provide solutions for a SME top-up under the two “extreme” options</w:t>
      </w:r>
      <w:r>
        <w:t xml:space="preserve"> </w:t>
      </w:r>
      <w:r>
        <w:t xml:space="preserve">for an allowance for equity, Option 1 for all corporate equity and Option 3 for all</w:t>
      </w:r>
      <w:r>
        <w:t xml:space="preserve"> </w:t>
      </w:r>
      <w:r>
        <w:t xml:space="preserve">corporate capital60. The ranking among options however remains valid: (2) &gt; (5) &gt; (4).</w:t>
      </w:r>
      <w:r>
        <w:t xml:space="preserve"> </w:t>
      </w:r>
      <w:r>
        <w:t xml:space="preserve">Table 5: Economy-wide impacts of budget-neutral debt bias reforms; Scenario 2 – higher</w:t>
      </w:r>
      <w:r>
        <w:t xml:space="preserve"> </w:t>
      </w:r>
      <w:r>
        <w:t xml:space="preserve">notional interest rate for SMEs; GDP-weighted EU-27 average</w:t>
      </w:r>
    </w:p>
    <w:p>
      <w:pPr>
        <w:numPr>
          <w:ilvl w:val="0"/>
          <w:numId w:val="1004"/>
        </w:numPr>
      </w:pPr>
      <w:r>
        <w:t xml:space="preserve">ACE</w:t>
      </w:r>
    </w:p>
    <w:p>
      <w:pPr>
        <w:numPr>
          <w:ilvl w:val="0"/>
          <w:numId w:val="1004"/>
        </w:numPr>
      </w:pPr>
      <w:r>
        <w:t xml:space="preserve">ANCE</w:t>
      </w:r>
    </w:p>
    <w:p>
      <w:pPr>
        <w:numPr>
          <w:ilvl w:val="0"/>
          <w:numId w:val="1004"/>
        </w:numPr>
      </w:pPr>
      <w:r>
        <w:t xml:space="preserve">ACC</w:t>
      </w:r>
    </w:p>
    <w:p>
      <w:pPr>
        <w:numPr>
          <w:ilvl w:val="0"/>
          <w:numId w:val="1004"/>
        </w:numPr>
      </w:pPr>
      <w:r>
        <w:t xml:space="preserve">NDI</w:t>
      </w:r>
    </w:p>
    <w:p>
      <w:pPr>
        <w:numPr>
          <w:ilvl w:val="0"/>
          <w:numId w:val="1004"/>
        </w:numPr>
      </w:pPr>
      <w:r>
        <w:t xml:space="preserve">ANCE</w:t>
      </w:r>
    </w:p>
    <w:p>
      <w:pPr>
        <w:pStyle w:val="Compact"/>
        <w:numPr>
          <w:ilvl w:val="0"/>
          <w:numId w:val="1005"/>
        </w:numPr>
      </w:pPr>
      <w:r>
        <w:t xml:space="preserve">partial</w:t>
      </w:r>
      <w:r>
        <w:t xml:space="preserve"> </w:t>
      </w:r>
      <w:r>
        <w:t xml:space="preserve">NDI</w:t>
      </w:r>
      <w:r>
        <w:t xml:space="preserve"> </w:t>
      </w:r>
      <w:r>
        <w:t xml:space="preserve">CIT rate (change in percentage points)</w:t>
      </w:r>
      <w:r>
        <w:t xml:space="preserve"> </w:t>
      </w:r>
      <w:r>
        <w:t xml:space="preserve">n.a.</w:t>
      </w:r>
      <w:r>
        <w:t xml:space="preserve"> </w:t>
      </w:r>
      <w:r>
        <w:t xml:space="preserve">3.426</w:t>
      </w:r>
      <w:r>
        <w:t xml:space="preserve"> </w:t>
      </w:r>
      <w:r>
        <w:t xml:space="preserve">n.a.</w:t>
      </w:r>
      <w:r>
        <w:t xml:space="preserve"> </w:t>
      </w:r>
      <w:r>
        <w:t xml:space="preserve">-7.168</w:t>
      </w:r>
      <w:r>
        <w:t xml:space="preserve"> </w:t>
      </w:r>
      <w:r>
        <w:t xml:space="preserve">0.874</w:t>
      </w:r>
      <w:r>
        <w:t xml:space="preserve"> </w:t>
      </w:r>
      <w:r>
        <w:t xml:space="preserve">Cost of capital (change in 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n.a.</w:t>
      </w:r>
      <w:r>
        <w:t xml:space="preserve"> </w:t>
      </w:r>
      <w:r>
        <w:t xml:space="preserve">-0.107</w:t>
      </w:r>
      <w:r>
        <w:t xml:space="preserve"> </w:t>
      </w:r>
      <w:r>
        <w:t xml:space="preserve">n.a.</w:t>
      </w:r>
      <w:r>
        <w:t xml:space="preserve"> </w:t>
      </w:r>
      <w:r>
        <w:t xml:space="preserve">0.127</w:t>
      </w:r>
      <w:r>
        <w:t xml:space="preserve"> </w:t>
      </w:r>
      <w:r>
        <w:t xml:space="preserve">-0.033</w:t>
      </w:r>
      <w:r>
        <w:t xml:space="preserve"> </w:t>
      </w:r>
      <w:r>
        <w:t xml:space="preserve">Investment (change in % of GDP)</w:t>
      </w:r>
      <w:r>
        <w:t xml:space="preserve"> </w:t>
      </w:r>
      <w:r>
        <w:t xml:space="preserve">n.a.</w:t>
      </w:r>
      <w:r>
        <w:t xml:space="preserve"> </w:t>
      </w:r>
      <w:r>
        <w:t xml:space="preserve">1.546</w:t>
      </w:r>
      <w:r>
        <w:t xml:space="preserve"> </w:t>
      </w:r>
      <w:r>
        <w:t xml:space="preserve">n.a.</w:t>
      </w:r>
      <w:r>
        <w:t xml:space="preserve"> </w:t>
      </w:r>
      <w:r>
        <w:t xml:space="preserve">-1.92</w:t>
      </w:r>
      <w:r>
        <w:t xml:space="preserve"> </w:t>
      </w:r>
      <w:r>
        <w:t xml:space="preserve">0.361</w:t>
      </w:r>
    </w:p>
    <w:p>
      <w:pPr>
        <w:pStyle w:val="FirstParagraph"/>
      </w:pPr>
      <w:r>
        <w:t xml:space="preserve">59 Results for a restricted equity definition are presented in Annex 5.2.</w:t>
      </w:r>
      <w:r>
        <w:t xml:space="preserve"> </w:t>
      </w:r>
      <w:r>
        <w:t xml:space="preserve">60 Compensated results could not be computed since the CIT rate increase required to compensate for CIT</w:t>
      </w:r>
      <w:r>
        <w:t xml:space="preserve"> </w:t>
      </w:r>
      <w:r>
        <w:t xml:space="preserve">revenue losses would result in a CIT rate larger than 100% for several countries, which of course is not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Share of debt-financed total assets (level,</w:t>
      </w:r>
      <w:r>
        <w:t xml:space="preserve"> </w:t>
      </w:r>
      <w:r>
        <w:t xml:space="preserve">ex-post)</w:t>
      </w:r>
      <w:r>
        <w:t xml:space="preserve"> </w:t>
      </w:r>
      <w:r>
        <w:t xml:space="preserve">n.a.</w:t>
      </w:r>
      <w:r>
        <w:t xml:space="preserve"> </w:t>
      </w:r>
      <w:r>
        <w:t xml:space="preserve">45.48</w:t>
      </w:r>
      <w:r>
        <w:t xml:space="preserve"> </w:t>
      </w:r>
      <w:r>
        <w:t xml:space="preserve">n.a.</w:t>
      </w:r>
      <w:r>
        <w:t xml:space="preserve"> </w:t>
      </w:r>
      <w:r>
        <w:t xml:space="preserve">40.91</w:t>
      </w:r>
      <w:r>
        <w:t xml:space="preserve"> </w:t>
      </w:r>
      <w:r>
        <w:t xml:space="preserve">43.26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n.a.</w:t>
      </w:r>
      <w:r>
        <w:t xml:space="preserve"> </w:t>
      </w:r>
      <w:r>
        <w:t xml:space="preserve">0.521</w:t>
      </w:r>
      <w:r>
        <w:t xml:space="preserve"> </w:t>
      </w:r>
      <w:r>
        <w:t xml:space="preserve">n.a.</w:t>
      </w:r>
      <w:r>
        <w:t xml:space="preserve"> </w:t>
      </w:r>
      <w:r>
        <w:t xml:space="preserve">-0.476</w:t>
      </w:r>
      <w:r>
        <w:t xml:space="preserve"> </w:t>
      </w:r>
      <w:r>
        <w:t xml:space="preserve">0.193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n.a.</w:t>
      </w:r>
      <w:r>
        <w:t xml:space="preserve"> </w:t>
      </w:r>
      <w:r>
        <w:t xml:space="preserve">0.069</w:t>
      </w:r>
      <w:r>
        <w:t xml:space="preserve"> </w:t>
      </w:r>
      <w:r>
        <w:t xml:space="preserve">n.a.</w:t>
      </w:r>
      <w:r>
        <w:t xml:space="preserve"> </w:t>
      </w:r>
      <w:r>
        <w:t xml:space="preserve">-0.338</w:t>
      </w:r>
      <w:r>
        <w:t xml:space="preserve"> </w:t>
      </w:r>
      <w:r>
        <w:t xml:space="preserve">-0.113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n.a.</w:t>
      </w:r>
      <w:r>
        <w:t xml:space="preserve"> </w:t>
      </w:r>
      <w:r>
        <w:t xml:space="preserve">0.52</w:t>
      </w:r>
      <w:r>
        <w:t xml:space="preserve"> </w:t>
      </w:r>
      <w:r>
        <w:t xml:space="preserve">n.a.</w:t>
      </w:r>
      <w:r>
        <w:t xml:space="preserve"> </w:t>
      </w:r>
      <w:r>
        <w:t xml:space="preserve">-0.789</w:t>
      </w:r>
      <w:r>
        <w:t xml:space="preserve"> </w:t>
      </w:r>
      <w:r>
        <w:t xml:space="preserve">0.048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If the assumption of CIT revenue neutrality is lifted, the application of a single notional</w:t>
      </w:r>
      <w:r>
        <w:t xml:space="preserve"> </w:t>
      </w:r>
      <w:r>
        <w:t xml:space="preserve">interest rate across the EU together with a rate top-up for SMEs results in a further</w:t>
      </w:r>
      <w:r>
        <w:t xml:space="preserve"> </w:t>
      </w:r>
      <w:r>
        <w:t xml:space="preserve">upward-shift of the results. In such a situation, Option 5 would no longer exhibit negative</w:t>
      </w:r>
      <w:r>
        <w:t xml:space="preserve"> </w:t>
      </w:r>
      <w:r>
        <w:t xml:space="preserve">employment effects but would indeed result in higher employment and higher wages. It</w:t>
      </w:r>
      <w:r>
        <w:t xml:space="preserve"> </w:t>
      </w:r>
      <w:r>
        <w:t xml:space="preserve">is specific to Option 5 that the overall economic impact is determined by the correct</w:t>
      </w:r>
      <w:r>
        <w:t xml:space="preserve"> </w:t>
      </w:r>
      <w:r>
        <w:t xml:space="preserve">calibration between the allowance for equity and the reduction in interest deductibility61.</w:t>
      </w:r>
      <w:r>
        <w:br/>
      </w:r>
      <w:r>
        <w:t xml:space="preserve">While a top-up for SMEs seems justified on the grounds that SMEs face higher burdens</w:t>
      </w:r>
      <w:r>
        <w:t xml:space="preserve"> </w:t>
      </w:r>
      <w:r>
        <w:t xml:space="preserve">to acquire new equity and higher financing costs, it could be argued that such a rate top-</w:t>
      </w:r>
      <w:r>
        <w:t xml:space="preserve"> </w:t>
      </w:r>
      <w:r>
        <w:t xml:space="preserve">up might result in disincentives for companies to grow beyond a certain size. The</w:t>
      </w:r>
      <w:r>
        <w:t xml:space="preserve"> </w:t>
      </w:r>
      <w:r>
        <w:t xml:space="preserve">moment a company has grown sufficiently to not qualify as a SME any more, it would</w:t>
      </w:r>
      <w:r>
        <w:t xml:space="preserve"> </w:t>
      </w:r>
      <w:r>
        <w:t xml:space="preserve">lose the rate-top up and thus part of the notional allowance on equity. This argument is</w:t>
      </w:r>
      <w:r>
        <w:t xml:space="preserve"> </w:t>
      </w:r>
      <w:r>
        <w:t xml:space="preserve">more important for policy options which grant a permanent allowance (options 1 and 3).</w:t>
      </w:r>
      <w:r>
        <w:t xml:space="preserve"> </w:t>
      </w:r>
      <w:r>
        <w:t xml:space="preserve">Since the notional allowance for Option 2 and Option 5 could be limited in its duration, it</w:t>
      </w:r>
      <w:r>
        <w:t xml:space="preserve"> </w:t>
      </w:r>
      <w:r>
        <w:t xml:space="preserve">seems that the advantage of growth like economies of scale and economies of scope</w:t>
      </w:r>
      <w:r>
        <w:t xml:space="preserve"> </w:t>
      </w:r>
      <w:r>
        <w:t xml:space="preserve">together with increasing market shares would outweigh any disincentive created by a</w:t>
      </w:r>
      <w:r>
        <w:t xml:space="preserve"> </w:t>
      </w:r>
      <w:r>
        <w:t xml:space="preserve">reduction in the notional allowance. The disincentive would be small in any case since</w:t>
      </w:r>
      <w:r>
        <w:t xml:space="preserve"> </w:t>
      </w:r>
      <w:r>
        <w:t xml:space="preserve">the proposed top-up is limited (0.5 percentage points).</w:t>
      </w:r>
      <w:r>
        <w:br/>
      </w:r>
      <w:r>
        <w:t xml:space="preserve">The negative impact of full non-deductibility of interest (Option 4) on investment and</w:t>
      </w:r>
      <w:r>
        <w:t xml:space="preserve"> </w:t>
      </w:r>
      <w:r>
        <w:t xml:space="preserve">growth is further confirmed by the IMF (2016) and also by the analysis of effective tax</w:t>
      </w:r>
      <w:r>
        <w:t xml:space="preserve"> </w:t>
      </w:r>
      <w:r>
        <w:t xml:space="preserve">rates conducted by ZEW (2016a).</w:t>
      </w:r>
      <w:r>
        <w:t xml:space="preserve"> </w:t>
      </w:r>
      <w:r>
        <w:t xml:space="preserve">The experience of some Member States with notional interest deductions for equity have</w:t>
      </w:r>
      <w:r>
        <w:t xml:space="preserve"> </w:t>
      </w:r>
      <w:r>
        <w:t xml:space="preserve">provided the opportunity for an empirical analysis of the impacts of these policies.</w:t>
      </w:r>
      <w:r>
        <w:t xml:space="preserve"> </w:t>
      </w:r>
      <w:r>
        <w:t xml:space="preserve">Regarding investment in the context of the Belgian ACE (first version similar to Option</w:t>
      </w:r>
      <w:r>
        <w:t xml:space="preserve"> </w:t>
      </w:r>
      <w:r>
        <w:t xml:space="preserve">1a), Moore (2014b) finds</w:t>
      </w:r>
      <w:r>
        <w:t xml:space="preserve"> </w:t>
      </w:r>
      <w:r>
        <w:t xml:space="preserve">“highly significant and robust estimates that correspond to an</w:t>
      </w:r>
      <w:r>
        <w:t xml:space="preserve"> </w:t>
      </w:r>
      <w:r>
        <w:t xml:space="preserve">increase in investment activity by small and medium-sized firms of about 3 percent in</w:t>
      </w:r>
      <w:r>
        <w:t xml:space="preserve"> </w:t>
      </w:r>
      <w:r>
        <w:t xml:space="preserve">response to the ACE reform”</w:t>
      </w:r>
      <w:r>
        <w:t xml:space="preserve">. Hebous and Ruf (2017) find no effect on production</w:t>
      </w:r>
      <w:r>
        <w:t xml:space="preserve"> </w:t>
      </w:r>
      <w:r>
        <w:t xml:space="preserve">investment from multinational affiliates, which are the focus of their study. Zangari</w:t>
      </w:r>
      <w:r>
        <w:t xml:space="preserve"> </w:t>
      </w:r>
      <w:r>
        <w:t xml:space="preserve">(2014) concludes that while the Belgian ACE has possibly benefitted investment by</w:t>
      </w:r>
      <w:r>
        <w:t xml:space="preserve"> </w:t>
      </w:r>
      <w:r>
        <w:t xml:space="preserve">SMEs, multinationals seem to have used the ACE mostly as a tax-planning device. He</w:t>
      </w:r>
      <w:r>
        <w:t xml:space="preserve"> </w:t>
      </w:r>
      <w:r>
        <w:t xml:space="preserve">stresses the weaknesses of the anti-avoidance framework of the Belgian ACE as opposed</w:t>
      </w:r>
      <w:r>
        <w:t xml:space="preserve"> </w:t>
      </w:r>
      <w:r>
        <w:t xml:space="preserve">to the Italian system, where no similar effect has been reported. The fact that the Belgian</w:t>
      </w:r>
      <w:r>
        <w:t xml:space="preserve"> </w:t>
      </w:r>
      <w:r>
        <w:t xml:space="preserve">ACE was initially granted on the already existing stock of a company’s equity implied a</w:t>
      </w:r>
    </w:p>
    <w:p>
      <w:pPr>
        <w:pStyle w:val="BodyText"/>
      </w:pPr>
      <w:r>
        <w:t xml:space="preserve">61 Uncompensated results, which do not implement revenue neutrality, are presented in Annex 5, Tables</w:t>
      </w:r>
      <w:r>
        <w:t xml:space="preserve"> </w:t>
      </w:r>
      <w:r>
        <w:t xml:space="preserve">A5.1 to A5.4.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windfall gain for businesses, without any impact on investment decisions or their</w:t>
      </w:r>
      <w:r>
        <w:t xml:space="preserve"> </w:t>
      </w:r>
      <w:r>
        <w:t xml:space="preserve">financing source. For Italy, Zeli (2018) finds a positive impact of the Italian measure</w:t>
      </w:r>
      <w:r>
        <w:t xml:space="preserve"> </w:t>
      </w:r>
      <w:r>
        <w:t xml:space="preserve">(similar to Option 2) on investments.</w:t>
      </w:r>
      <w:r>
        <w:t xml:space="preserve"> </w:t>
      </w:r>
      <w:r>
        <w:t xml:space="preserve">The magnitude of economic impacts of options 1, 2, 3 and 5 depend on the notional</w:t>
      </w:r>
      <w:r>
        <w:t xml:space="preserve"> </w:t>
      </w:r>
      <w:r>
        <w:t xml:space="preserve">interest (NIR), (or risk premium) chosen. Higher levels of NIR (risk premium) will result</w:t>
      </w:r>
      <w:r>
        <w:t xml:space="preserve"> </w:t>
      </w:r>
      <w:r>
        <w:t xml:space="preserve">in lower effective tax rates for companies and thus induce more investment and growth.</w:t>
      </w:r>
      <w:r>
        <w:t xml:space="preserve"> </w:t>
      </w:r>
      <w:r>
        <w:t xml:space="preserve">The same applies to the duration of the allowance for option 2 and 5. A longer allowance</w:t>
      </w:r>
      <w:r>
        <w:t xml:space="preserve"> </w:t>
      </w:r>
      <w:r>
        <w:t xml:space="preserve">would increase the positive economic impacts. For options 1, 2, 3, and 5 it can be</w:t>
      </w:r>
      <w:r>
        <w:t xml:space="preserve"> </w:t>
      </w:r>
      <w:r>
        <w:t xml:space="preserve">generalized that a higher allowance would result in more positive economic impacts and</w:t>
      </w:r>
      <w:r>
        <w:t xml:space="preserve"> </w:t>
      </w:r>
      <w:r>
        <w:t xml:space="preserve">in more negative impacts on the fiscal position of governments.</w:t>
      </w:r>
      <w:r>
        <w:t xml:space="preserve"> </w:t>
      </w:r>
      <w:r>
        <w:t xml:space="preserve">For Option 5, the economic impacts also depend on the extent that interest deductions</w:t>
      </w:r>
      <w:r>
        <w:t xml:space="preserve"> </w:t>
      </w:r>
      <w:r>
        <w:t xml:space="preserve">would be restricted. A more pronounced restriction of interest deductibility would</w:t>
      </w:r>
      <w:r>
        <w:t xml:space="preserve"> </w:t>
      </w:r>
      <w:r>
        <w:t xml:space="preserve">increase effective tax rates for corporations and would thus dampen investments and</w:t>
      </w:r>
      <w:r>
        <w:t xml:space="preserve"> </w:t>
      </w:r>
      <w:r>
        <w:t xml:space="preserve">growth. The CORTAX modelling results suggest that a proper calibration between the</w:t>
      </w:r>
      <w:r>
        <w:t xml:space="preserve"> </w:t>
      </w:r>
      <w:r>
        <w:t xml:space="preserve">allowance and the reduction in interest deduction for Option 5 (i.e. a notional interest rate</w:t>
      </w:r>
      <w:r>
        <w:t xml:space="preserve"> </w:t>
      </w:r>
      <w:r>
        <w:t xml:space="preserve">of 2.2% combined with a reduction of interest deductibility by 25%) can achieve a solid</w:t>
      </w:r>
      <w:r>
        <w:t xml:space="preserve"> </w:t>
      </w:r>
      <w:r>
        <w:t xml:space="preserve">economic impact at comparatively low fiscal costs.</w:t>
      </w:r>
      <w:r>
        <w:t xml:space="preserve"> </w:t>
      </w:r>
      <w:r>
        <w:t xml:space="preserve">6.5. Impacts on tax revenue</w:t>
      </w:r>
      <w:r>
        <w:t xml:space="preserve"> </w:t>
      </w:r>
      <w:r>
        <w:t xml:space="preserve">An empirical assessment of revenue impacts for options 3, 4 and 5 are not available since</w:t>
      </w:r>
      <w:r>
        <w:t xml:space="preserve"> </w:t>
      </w:r>
      <w:r>
        <w:t xml:space="preserve">they have not been implemented so far. Regarding the revenue impact of measures like</w:t>
      </w:r>
      <w:r>
        <w:t xml:space="preserve"> </w:t>
      </w:r>
      <w:r>
        <w:t xml:space="preserve">the Belgium one before its revision (similar to the ACE, Option 1), De Mooij (2012)</w:t>
      </w:r>
      <w:r>
        <w:t xml:space="preserve"> </w:t>
      </w:r>
      <w:r>
        <w:t xml:space="preserve">finds a potential decrease in the tax base and tax collection for advanced economies of on</w:t>
      </w:r>
      <w:r>
        <w:t xml:space="preserve"> </w:t>
      </w:r>
      <w:r>
        <w:t xml:space="preserve">average about 15%, i.e. 0.49% of GDP respectively. For Italy (similar to ANCE, Option</w:t>
      </w:r>
      <w:r>
        <w:t xml:space="preserve"> </w:t>
      </w:r>
      <w:r>
        <w:t xml:space="preserve">2), Zangari (2014) finds modest revenue losses of 1.3% of actual CIT revenues for 2011.</w:t>
      </w:r>
      <w:r>
        <w:t xml:space="preserve"> </w:t>
      </w:r>
      <w:r>
        <w:t xml:space="preserve">This is due to contextual factors and the short time since the introduction of the measure.</w:t>
      </w:r>
      <w:r>
        <w:t xml:space="preserve"> </w:t>
      </w:r>
      <w:r>
        <w:t xml:space="preserve">In the long run, Zangari sees much higher revenue losses possible. Since the Italian</w:t>
      </w:r>
      <w:r>
        <w:t xml:space="preserve"> </w:t>
      </w:r>
      <w:r>
        <w:t xml:space="preserve">system calculates new equity based on a fixed reference year, over time the measure will</w:t>
      </w:r>
      <w:r>
        <w:t xml:space="preserve"> </w:t>
      </w:r>
      <w:r>
        <w:t xml:space="preserve">resemble more an allowance on the stock of equity. De Mooij and Devereux (2011)</w:t>
      </w:r>
      <w:r>
        <w:t xml:space="preserve"> </w:t>
      </w:r>
      <w:r>
        <w:t xml:space="preserve">simulated a hypothetical reduction of CIT revenues of up to 50%. Disallowing the</w:t>
      </w:r>
      <w:r>
        <w:t xml:space="preserve"> </w:t>
      </w:r>
      <w:r>
        <w:t xml:space="preserve">deduction of interest payments as considered under Option 4 (NDI) would likely have a</w:t>
      </w:r>
      <w:r>
        <w:t xml:space="preserve"> </w:t>
      </w:r>
      <w:r>
        <w:t xml:space="preserve">positive impact on tax revenues. The option has never been implemented, so no empirical</w:t>
      </w:r>
      <w:r>
        <w:t xml:space="preserve"> </w:t>
      </w:r>
      <w:r>
        <w:t xml:space="preserve">data is available. There are in any case two countervailing effects. On the one hand the</w:t>
      </w:r>
      <w:r>
        <w:t xml:space="preserve"> </w:t>
      </w:r>
      <w:r>
        <w:t xml:space="preserve">reduction in investment and the contraction of the economy would reduce CIT revenues</w:t>
      </w:r>
      <w:r>
        <w:t xml:space="preserve"> </w:t>
      </w:r>
      <w:r>
        <w:t xml:space="preserve">and other tax revenues. On the other hand, expenses for interest payments could no</w:t>
      </w:r>
      <w:r>
        <w:t xml:space="preserve"> </w:t>
      </w:r>
      <w:r>
        <w:t xml:space="preserve">longer be deducted from the corporate income tax base, increasing the tax base and thus</w:t>
      </w:r>
      <w:r>
        <w:t xml:space="preserve"> </w:t>
      </w:r>
      <w:r>
        <w:t xml:space="preserve">tax revenues. Given that the value of non-financial corporate debt in the EU almost</w:t>
      </w:r>
      <w:r>
        <w:t xml:space="preserve"> </w:t>
      </w:r>
      <w:r>
        <w:t xml:space="preserve">equals the value of GDP, it seems likely that overall CIT revenues would increase.</w:t>
      </w:r>
      <w:r>
        <w:br/>
      </w:r>
      <w:r>
        <w:t xml:space="preserve">The CORTAX model also allows for an assessment of revenue impacts of the debt bias</w:t>
      </w:r>
      <w:r>
        <w:t xml:space="preserve"> </w:t>
      </w:r>
      <w:r>
        <w:t xml:space="preserve">mitigating reforms. Since DEBRA does not propose any changes to CIT rates, the tax</w:t>
      </w:r>
      <w:r>
        <w:t xml:space="preserve"> </w:t>
      </w:r>
      <w:r>
        <w:t xml:space="preserve">revenue impact will be analysed using the unconsolidated approach, where CIT rates are</w:t>
      </w:r>
      <w:r>
        <w:t xml:space="preserve"> </w:t>
      </w:r>
      <w:r>
        <w:t xml:space="preserve">kept constant. Table 6 reports estimated revenue impacts on CIT revenues and total tax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revenues. It becomes obvious that Option 3, which had the most positive economic</w:t>
      </w:r>
      <w:r>
        <w:t xml:space="preserve"> </w:t>
      </w:r>
      <w:r>
        <w:t xml:space="preserve">impact, comes with the highest fiscal costs. In a situation with no SME top-up, CIT</w:t>
      </w:r>
      <w:r>
        <w:t xml:space="preserve"> </w:t>
      </w:r>
      <w:r>
        <w:t xml:space="preserve">revenues are reduced by 1.16% of GDP, total tax revenues decrease by 0.13% of GDP.</w:t>
      </w:r>
      <w:r>
        <w:t xml:space="preserve"> </w:t>
      </w:r>
      <w:r>
        <w:t xml:space="preserve">The revenue losses would be even more pronounced with an SME rate top-up. The</w:t>
      </w:r>
      <w:r>
        <w:t xml:space="preserve"> </w:t>
      </w:r>
      <w:r>
        <w:t xml:space="preserve">decrease in CIT revenues is partly offset by an increase in other tax revenues (mainly</w:t>
      </w:r>
      <w:r>
        <w:t xml:space="preserve"> </w:t>
      </w:r>
      <w:r>
        <w:t xml:space="preserve">value added taxes and personal income taxes). For 2021, Eurostat reports GDP for EU-27</w:t>
      </w:r>
      <w:r>
        <w:t xml:space="preserve"> </w:t>
      </w:r>
      <w:r>
        <w:t xml:space="preserve">of EUR 14,448 billion (i.e. EUR 14.4 trillion). Expressed in 2021 values, CIT revenues</w:t>
      </w:r>
      <w:r>
        <w:t xml:space="preserve"> </w:t>
      </w:r>
      <w:r>
        <w:t xml:space="preserve">would thus be reduced by EUR 167.6 billion while overall tax revenues would be</w:t>
      </w:r>
      <w:r>
        <w:t xml:space="preserve"> </w:t>
      </w:r>
      <w:r>
        <w:t xml:space="preserve">reduced by EUR 18.8 billion.</w:t>
      </w:r>
    </w:p>
    <w:p>
      <w:pPr>
        <w:pStyle w:val="BodyText"/>
      </w:pPr>
      <w:r>
        <w:t xml:space="preserve">Table 6: Revenue impacts of debt bias reforms with and without SME top up –</w:t>
      </w:r>
      <w:r>
        <w:t xml:space="preserve"> </w:t>
      </w:r>
      <w:r>
        <w:t xml:space="preserve">uncompensated approach – GDP-weighted EU-27 average</w:t>
      </w:r>
      <w:r>
        <w:t xml:space="preserve"> </w:t>
      </w:r>
      <w:r>
        <w:t xml:space="preserve">Scenario</w:t>
      </w:r>
    </w:p>
    <w:p>
      <w:pPr>
        <w:pStyle w:val="Compact"/>
        <w:numPr>
          <w:ilvl w:val="0"/>
          <w:numId w:val="1006"/>
        </w:numPr>
      </w:pPr>
      <w:r>
        <w:t xml:space="preserve">ACE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ANCE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ACC</w:t>
      </w:r>
    </w:p>
    <w:p>
      <w:pPr>
        <w:pStyle w:val="Compact"/>
        <w:numPr>
          <w:ilvl w:val="0"/>
          <w:numId w:val="1006"/>
        </w:numPr>
      </w:pPr>
      <w:r>
        <w:t xml:space="preserve">NDI</w:t>
      </w:r>
    </w:p>
    <w:p>
      <w:pPr>
        <w:pStyle w:val="Compact"/>
        <w:numPr>
          <w:ilvl w:val="0"/>
          <w:numId w:val="1006"/>
        </w:numPr>
      </w:pPr>
      <w:r>
        <w:t xml:space="preserve">ANCE</w:t>
      </w:r>
    </w:p>
    <w:p>
      <w:pPr>
        <w:pStyle w:val="Compact"/>
        <w:numPr>
          <w:ilvl w:val="0"/>
          <w:numId w:val="1007"/>
        </w:numPr>
      </w:pPr>
      <w:r>
        <w:t xml:space="preserve">partial</w:t>
      </w:r>
      <w:r>
        <w:t xml:space="preserve"> </w:t>
      </w:r>
      <w:r>
        <w:t xml:space="preserve">NDI</w:t>
      </w:r>
    </w:p>
    <w:p>
      <w:pPr>
        <w:pStyle w:val="Compact"/>
        <w:numPr>
          <w:ilvl w:val="0"/>
          <w:numId w:val="1008"/>
        </w:numPr>
      </w:pPr>
      <w:r>
        <w:t xml:space="preserve">Without SME top-up</w:t>
      </w:r>
    </w:p>
    <w:p>
      <w:pPr>
        <w:pStyle w:val="FirstParagraph"/>
      </w:pPr>
      <w:r>
        <w:t xml:space="preserve">CIT revenue</w:t>
      </w:r>
      <w:r>
        <w:t xml:space="preserve"> </w:t>
      </w:r>
      <w:r>
        <w:t xml:space="preserve">-1.128</w:t>
      </w:r>
      <w:r>
        <w:t xml:space="preserve"> </w:t>
      </w:r>
      <w:r>
        <w:t xml:space="preserve">-0.472</w:t>
      </w:r>
      <w:r>
        <w:t xml:space="preserve"> </w:t>
      </w:r>
      <w:r>
        <w:t xml:space="preserve">-1.16</w:t>
      </w:r>
      <w:r>
        <w:t xml:space="preserve"> </w:t>
      </w:r>
      <w:r>
        <w:t xml:space="preserve">1.701</w:t>
      </w:r>
      <w:r>
        <w:t xml:space="preserve"> </w:t>
      </w:r>
      <w:r>
        <w:t xml:space="preserve">-0.001</w:t>
      </w:r>
    </w:p>
    <w:p>
      <w:pPr>
        <w:pStyle w:val="BodyText"/>
      </w:pPr>
      <w:r>
        <w:t xml:space="preserve">Total tax revenue</w:t>
      </w:r>
      <w:r>
        <w:t xml:space="preserve"> </w:t>
      </w:r>
      <w:r>
        <w:t xml:space="preserve">-0.116</w:t>
      </w:r>
      <w:r>
        <w:t xml:space="preserve"> </w:t>
      </w:r>
      <w:r>
        <w:t xml:space="preserve">-0.038</w:t>
      </w:r>
      <w:r>
        <w:t xml:space="preserve"> </w:t>
      </w:r>
      <w:r>
        <w:t xml:space="preserve">-0.129</w:t>
      </w:r>
      <w:r>
        <w:t xml:space="preserve"> </w:t>
      </w:r>
      <w:r>
        <w:t xml:space="preserve">0.348</w:t>
      </w:r>
      <w:r>
        <w:t xml:space="preserve"> </w:t>
      </w:r>
      <w:r>
        <w:t xml:space="preserve">0.076</w:t>
      </w:r>
      <w:r>
        <w:t xml:space="preserve"> </w:t>
      </w:r>
      <w:r>
        <w:t xml:space="preserve">(2) With SME top-up</w:t>
      </w:r>
    </w:p>
    <w:p>
      <w:pPr>
        <w:pStyle w:val="BodyText"/>
      </w:pPr>
      <w:r>
        <w:t xml:space="preserve">CIT revenue</w:t>
      </w:r>
      <w:r>
        <w:t xml:space="preserve"> </w:t>
      </w:r>
      <w:r>
        <w:t xml:space="preserve">-1.237</w:t>
      </w:r>
      <w:r>
        <w:t xml:space="preserve"> </w:t>
      </w:r>
      <w:r>
        <w:t xml:space="preserve">-0.515</w:t>
      </w:r>
      <w:r>
        <w:t xml:space="preserve"> </w:t>
      </w:r>
      <w:r>
        <w:t xml:space="preserve">-1.237</w:t>
      </w:r>
      <w:r>
        <w:t xml:space="preserve"> </w:t>
      </w:r>
      <w:r>
        <w:t xml:space="preserve">1.701</w:t>
      </w:r>
      <w:r>
        <w:t xml:space="preserve"> </w:t>
      </w:r>
      <w:r>
        <w:t xml:space="preserve">-0.044</w:t>
      </w:r>
    </w:p>
    <w:p>
      <w:pPr>
        <w:pStyle w:val="BodyText"/>
      </w:pPr>
      <w:r>
        <w:t xml:space="preserve">Total tax revenue</w:t>
      </w:r>
      <w:r>
        <w:t xml:space="preserve"> </w:t>
      </w:r>
      <w:r>
        <w:t xml:space="preserve">-0.128</w:t>
      </w:r>
      <w:r>
        <w:t xml:space="preserve"> </w:t>
      </w:r>
      <w:r>
        <w:t xml:space="preserve">-0.04</w:t>
      </w:r>
      <w:r>
        <w:t xml:space="preserve"> </w:t>
      </w:r>
      <w:r>
        <w:t xml:space="preserve">-0.128</w:t>
      </w:r>
      <w:r>
        <w:t xml:space="preserve"> </w:t>
      </w:r>
      <w:r>
        <w:t xml:space="preserve">0.348</w:t>
      </w:r>
      <w:r>
        <w:t xml:space="preserve"> </w:t>
      </w:r>
      <w:r>
        <w:t xml:space="preserve">0.075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Note: All simulations are changes expressed in % of GDP compared to the baseline scenario.</w:t>
      </w:r>
    </w:p>
    <w:p>
      <w:pPr>
        <w:pStyle w:val="BodyText"/>
      </w:pPr>
      <w:r>
        <w:t xml:space="preserve">Full disallowance of interest deduction (Option 4) leads to increases of CIT revenues by</w:t>
      </w:r>
      <w:r>
        <w:t xml:space="preserve"> </w:t>
      </w:r>
      <w:r>
        <w:t xml:space="preserve">1.7% of GDP and an increase in total tax revenues by 0.35% of GDP62. Since no equity</w:t>
      </w:r>
      <w:r>
        <w:t xml:space="preserve"> </w:t>
      </w:r>
      <w:r>
        <w:t xml:space="preserve">allowance is granted, the rate top-up for SMEs does not affect Option 4.</w:t>
      </w:r>
      <w:r>
        <w:t xml:space="preserve"> </w:t>
      </w:r>
      <w:r>
        <w:t xml:space="preserve">In the case without (with) an SME rate top-up, the combination of allowance and</w:t>
      </w:r>
      <w:r>
        <w:t xml:space="preserve"> </w:t>
      </w:r>
      <w:r>
        <w:t xml:space="preserve">restricted interest deduction under Option 5 results in CIT revenue losses of -.001% (-</w:t>
      </w:r>
      <w:r>
        <w:t xml:space="preserve"> </w:t>
      </w:r>
      <w:r>
        <w:t xml:space="preserve">0.044%) of GDP and an increase of all tax revenues of up to 0.076% (0.075%) of GDP.</w:t>
      </w:r>
      <w:r>
        <w:t xml:space="preserve"> </w:t>
      </w:r>
      <w:r>
        <w:t xml:space="preserve">Expressed in 2021 terms, this would amount to CIT losses of EUR 0.14 (6.4) billion and</w:t>
      </w:r>
      <w:r>
        <w:t xml:space="preserve"> </w:t>
      </w:r>
      <w:r>
        <w:t xml:space="preserve">overall tax revenue increases of EUR 11 (10.8) billion. Overall tax revenues increase due</w:t>
      </w:r>
      <w:r>
        <w:t xml:space="preserve"> </w:t>
      </w:r>
      <w:r>
        <w:t xml:space="preserve">to GDP growth and resulting additional tax revenues in other taxes63. The comparatively</w:t>
      </w:r>
      <w:r>
        <w:t xml:space="preserve"> </w:t>
      </w:r>
      <w:r>
        <w:t xml:space="preserve">low budgetary impact of this measure results from the combination of two measures</w:t>
      </w:r>
      <w:r>
        <w:t xml:space="preserve"> </w:t>
      </w:r>
      <w:r>
        <w:t xml:space="preserve">which together balance the debt-equity bias simultaneously from the debt and equity side,</w:t>
      </w:r>
      <w:r>
        <w:t xml:space="preserve"> </w:t>
      </w:r>
      <w:r>
        <w:t xml:space="preserve">thus also balancing budgetary impacts.</w:t>
      </w:r>
    </w:p>
    <w:p>
      <w:pPr>
        <w:pStyle w:val="BodyText"/>
      </w:pPr>
      <w:r>
        <w:t xml:space="preserve">62 Assuming 2021 values this would amount to a CIT revenue increase of EUR 245.6 billion and overall</w:t>
      </w:r>
      <w:r>
        <w:t xml:space="preserve"> </w:t>
      </w:r>
      <w:r>
        <w:t xml:space="preserve">tax revenue increase of EUR 50.6 billion.</w:t>
      </w:r>
      <w:r>
        <w:t xml:space="preserve"> </w:t>
      </w:r>
      <w:r>
        <w:t xml:space="preserve">63 In the CORTAX model growth materialises mechanically from the reduction of the cost of capital. In a</w:t>
      </w:r>
      <w:r>
        <w:t xml:space="preserve"> </w:t>
      </w:r>
      <w:r>
        <w:t xml:space="preserve">world with many exogenous risks to growth, a static perspective might help to draw up a more cautious</w:t>
      </w:r>
      <w:r>
        <w:t xml:space="preserve"> </w:t>
      </w:r>
      <w:r>
        <w:t xml:space="preserve">picture. This is further discussed in Chapter 8 and Annex 6.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Regarding alternative parameter values, a higher NIR (higher risk premium) would</w:t>
      </w:r>
      <w:r>
        <w:t xml:space="preserve"> </w:t>
      </w:r>
      <w:r>
        <w:t xml:space="preserve">generally result in more positive economic impacts, while the budgetary costs for</w:t>
      </w:r>
      <w:r>
        <w:t xml:space="preserve"> </w:t>
      </w:r>
      <w:r>
        <w:t xml:space="preserve">Member States would generally be higher. A higher NIR (risk premium) will be more</w:t>
      </w:r>
      <w:r>
        <w:t xml:space="preserve"> </w:t>
      </w:r>
      <w:r>
        <w:t xml:space="preserve">costly for options 1, 2, 3 and 5. An allowance granted for a longer duration in options 2</w:t>
      </w:r>
      <w:r>
        <w:t xml:space="preserve"> </w:t>
      </w:r>
      <w:r>
        <w:t xml:space="preserve">and 5 would also increase the fiscal impact. A more biting restriction of interest</w:t>
      </w:r>
      <w:r>
        <w:t xml:space="preserve"> </w:t>
      </w:r>
      <w:r>
        <w:t xml:space="preserve">deduction in Option 5 would reduce the fiscal burden.</w:t>
      </w:r>
      <w:r>
        <w:br/>
      </w:r>
      <w:r>
        <w:t xml:space="preserve">6.6. Impact on the administrative burden for businesses</w:t>
      </w:r>
      <w:r>
        <w:t xml:space="preserve"> </w:t>
      </w:r>
      <w:r>
        <w:t xml:space="preserve">The total compliance costs for businesses result from one-off implementation costs and</w:t>
      </w:r>
      <w:r>
        <w:t xml:space="preserve"> </w:t>
      </w:r>
      <w:r>
        <w:t xml:space="preserve">recurrent administrative costs. Options 1, 2, 3 and 5 would introduce a tax allowance for</w:t>
      </w:r>
      <w:r>
        <w:t xml:space="preserve"> </w:t>
      </w:r>
      <w:r>
        <w:t xml:space="preserve">equity financing. The measure is not mandatory and businesses will make use of this</w:t>
      </w:r>
      <w:r>
        <w:t xml:space="preserve"> </w:t>
      </w:r>
      <w:r>
        <w:t xml:space="preserve">opportunity if they have an equity increase for a given financial period and if their tax</w:t>
      </w:r>
      <w:r>
        <w:t xml:space="preserve"> </w:t>
      </w:r>
      <w:r>
        <w:t xml:space="preserve">savings are larger than related compliance costs. From an administrative point of view,</w:t>
      </w:r>
      <w:r>
        <w:t xml:space="preserve"> </w:t>
      </w:r>
      <w:r>
        <w:t xml:space="preserve">the tax allowance for equity will be automatically calculated by the software used for</w:t>
      </w:r>
      <w:r>
        <w:t xml:space="preserve"> </w:t>
      </w:r>
      <w:r>
        <w:t xml:space="preserve">filing the Corporate Income Tax (CIT) declaration64. Such software is usually made</w:t>
      </w:r>
      <w:r>
        <w:t xml:space="preserve"> </w:t>
      </w:r>
      <w:r>
        <w:t xml:space="preserve">available free of charge by the national tax authorities that also bear the cost for its</w:t>
      </w:r>
      <w:r>
        <w:t xml:space="preserve"> </w:t>
      </w:r>
      <w:r>
        <w:t xml:space="preserve">update. Hence, there are no one-off costs for businesses.</w:t>
      </w:r>
      <w:r>
        <w:t xml:space="preserve"> </w:t>
      </w:r>
      <w:r>
        <w:t xml:space="preserve">Recurrent compliance costs for the proposed measure are determined by the amount and</w:t>
      </w:r>
      <w:r>
        <w:t xml:space="preserve"> </w:t>
      </w:r>
      <w:r>
        <w:t xml:space="preserve">format of information that needs to be computed and transmitted to tax authorities.</w:t>
      </w:r>
      <w:r>
        <w:t xml:space="preserve"> </w:t>
      </w:r>
      <w:r>
        <w:t xml:space="preserve">Businesses that want to use the tax allowance shall indicate the equity amount in the</w:t>
      </w:r>
      <w:r>
        <w:t xml:space="preserve"> </w:t>
      </w:r>
      <w:r>
        <w:t xml:space="preserve">relevant section in their Corporate Income Tax declaration. Furthermore, they are also</w:t>
      </w:r>
      <w:r>
        <w:t xml:space="preserve"> </w:t>
      </w:r>
      <w:r>
        <w:t xml:space="preserve">expected to provide additional information to the tax authorities to comply with the</w:t>
      </w:r>
      <w:r>
        <w:t xml:space="preserve"> </w:t>
      </w:r>
      <w:r>
        <w:t xml:space="preserve">specific anti-abuse measures. Based on the experience from the six Member States with a</w:t>
      </w:r>
      <w:r>
        <w:t xml:space="preserve"> </w:t>
      </w:r>
      <w:r>
        <w:t xml:space="preserve">tax allowance for equity in place, required information is limited. Information that needs</w:t>
      </w:r>
      <w:r>
        <w:t xml:space="preserve"> </w:t>
      </w:r>
      <w:r>
        <w:t xml:space="preserve">to be provided is the amount of equity and how it is made available (transfer, cash, in</w:t>
      </w:r>
      <w:r>
        <w:t xml:space="preserve"> </w:t>
      </w:r>
      <w:r>
        <w:t xml:space="preserve">kind….), intra-group participations, intra-group loans. Most of this information is</w:t>
      </w:r>
      <w:r>
        <w:t xml:space="preserve"> </w:t>
      </w:r>
      <w:r>
        <w:t xml:space="preserve">generally already included in company balance sheets which are transmitted to tax</w:t>
      </w:r>
      <w:r>
        <w:t xml:space="preserve"> </w:t>
      </w:r>
      <w:r>
        <w:t xml:space="preserve">authorities. Each Member State will request such information in the best way according</w:t>
      </w:r>
      <w:r>
        <w:t xml:space="preserve"> </w:t>
      </w:r>
      <w:r>
        <w:t xml:space="preserve">to their national tax system. This could be, for example, an additional section in the</w:t>
      </w:r>
      <w:r>
        <w:t xml:space="preserve"> </w:t>
      </w:r>
      <w:r>
        <w:t xml:space="preserve">annual tax declaration or a separate form to be annexed to their CIT declaration.</w:t>
      </w:r>
      <w:r>
        <w:t xml:space="preserve"> </w:t>
      </w:r>
      <w:r>
        <w:t xml:space="preserve">Unfortunately, quantitative estimations of these costs are not available. However, they</w:t>
      </w:r>
      <w:r>
        <w:t xml:space="preserve"> </w:t>
      </w:r>
      <w:r>
        <w:t xml:space="preserve">are expected to be negligible or very low because the number of information items to be</w:t>
      </w:r>
      <w:r>
        <w:t xml:space="preserve"> </w:t>
      </w:r>
      <w:r>
        <w:t xml:space="preserve">transmitted is limited and the points needed are all already collected for other purposes.</w:t>
      </w:r>
      <w:r>
        <w:t xml:space="preserve"> </w:t>
      </w:r>
      <w:r>
        <w:t xml:space="preserve">Moreover, although not quantifiable, multinational companies will benefit from cost</w:t>
      </w:r>
      <w:r>
        <w:t xml:space="preserve"> </w:t>
      </w:r>
      <w:r>
        <w:t xml:space="preserve">savings stemming from the harmonisation of the existing fragmented national measures</w:t>
      </w:r>
      <w:r>
        <w:t xml:space="preserve"> </w:t>
      </w:r>
      <w:r>
        <w:t xml:space="preserve">on a tax allowance for equity.</w:t>
      </w:r>
    </w:p>
    <w:p>
      <w:pPr>
        <w:pStyle w:val="BodyText"/>
      </w:pPr>
      <w:r>
        <w:t xml:space="preserve">64 According to the 2021 study “Tax compliance cost for SMEs” commissioned by EASME, less than 5%</w:t>
      </w:r>
      <w:r>
        <w:t xml:space="preserve"> </w:t>
      </w:r>
      <w:r>
        <w:t xml:space="preserve">of SMEs file the Corporate Income Tax declaration not electronically (it can be assumed that the</w:t>
      </w:r>
      <w:r>
        <w:t xml:space="preserve"> </w:t>
      </w:r>
      <w:r>
        <w:t xml:space="preserve">percentage is close to zero for large enterprises). Link to 2021 version added once the study is officially</w:t>
      </w:r>
      <w:r>
        <w:t xml:space="preserve"> </w:t>
      </w:r>
      <w:r>
        <w:t xml:space="preserve">published.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In the case of policy option 4, the deductibility of interest payments would be disallowed.</w:t>
      </w:r>
      <w:r>
        <w:t xml:space="preserve"> </w:t>
      </w:r>
      <w:r>
        <w:t xml:space="preserve">This would considerably reduce the administrative burden for businesses since interest</w:t>
      </w:r>
      <w:r>
        <w:t xml:space="preserve"> </w:t>
      </w:r>
      <w:r>
        <w:t xml:space="preserve">limitation rules would become obsolete and all related compliance work would be</w:t>
      </w:r>
      <w:r>
        <w:t xml:space="preserve"> </w:t>
      </w:r>
      <w:r>
        <w:t xml:space="preserve">eliminated/unnecessary.</w:t>
      </w:r>
      <w:r>
        <w:t xml:space="preserve"> </w:t>
      </w:r>
      <w:r>
        <w:t xml:space="preserve">In absolute terms compliance costs are similar for all companies. In relative terms</w:t>
      </w:r>
      <w:r>
        <w:t xml:space="preserve"> </w:t>
      </w:r>
      <w:r>
        <w:t xml:space="preserve">smaller companies have higher compliance costs since tax administration exhibits</w:t>
      </w:r>
      <w:r>
        <w:t xml:space="preserve"> </w:t>
      </w:r>
      <w:r>
        <w:t xml:space="preserve">economies of scale. A higher NIR (or risk premium) for SMEs would partly compensate</w:t>
      </w:r>
      <w:r>
        <w:t xml:space="preserve"> </w:t>
      </w:r>
      <w:r>
        <w:t xml:space="preserve">them for relatively higher compliance costs.</w:t>
      </w:r>
      <w:r>
        <w:t xml:space="preserve"> </w:t>
      </w:r>
      <w:r>
        <w:t xml:space="preserve">6.7. Impact on the administrative burden for tax authorities</w:t>
      </w:r>
      <w:r>
        <w:t xml:space="preserve"> </w:t>
      </w:r>
      <w:r>
        <w:t xml:space="preserve">Independent of the actual policy option chosen, implementation of the proposed measure</w:t>
      </w:r>
      <w:r>
        <w:t xml:space="preserve"> </w:t>
      </w:r>
      <w:r>
        <w:t xml:space="preserve">would entail an update of the relevant software used for filling CIT declarations. It</w:t>
      </w:r>
      <w:r>
        <w:t xml:space="preserve"> </w:t>
      </w:r>
      <w:r>
        <w:t xml:space="preserve">should be noted that the software for the tax declaration is nevertheless updated every</w:t>
      </w:r>
      <w:r>
        <w:t xml:space="preserve"> </w:t>
      </w:r>
      <w:r>
        <w:t xml:space="preserve">year and the additional burden stemming from the proposal could be considered</w:t>
      </w:r>
      <w:r>
        <w:t xml:space="preserve"> </w:t>
      </w:r>
      <w:r>
        <w:t xml:space="preserve">negligible. The two main sources of increased administration costs might result from the</w:t>
      </w:r>
      <w:r>
        <w:t xml:space="preserve"> </w:t>
      </w:r>
      <w:r>
        <w:t xml:space="preserve">training for tax inspectors and necessary enforcement efforts, i.e. the tax audit of</w:t>
      </w:r>
      <w:r>
        <w:t xml:space="preserve"> </w:t>
      </w:r>
      <w:r>
        <w:t xml:space="preserve">companies that will apply for the specific allowance for equity.</w:t>
      </w:r>
      <w:r>
        <w:br/>
      </w:r>
      <w:r>
        <w:t xml:space="preserve">The potential introduction of an interest limitation rule as outlined under Option 5 is not</w:t>
      </w:r>
      <w:r>
        <w:t xml:space="preserve"> </w:t>
      </w:r>
      <w:r>
        <w:t xml:space="preserve">expected to have an impact on enforcement costs since such rule is already in place under</w:t>
      </w:r>
      <w:r>
        <w:t xml:space="preserve"> </w:t>
      </w:r>
      <w:r>
        <w:t xml:space="preserve">the ATAD 165. Even if the interest limitation rule were implemented through another</w:t>
      </w:r>
      <w:r>
        <w:t xml:space="preserve"> </w:t>
      </w:r>
      <w:r>
        <w:t xml:space="preserve">legal instrument, the principle is already well known to tax administrations.</w:t>
      </w:r>
      <w:r>
        <w:br/>
      </w:r>
      <w:r>
        <w:t xml:space="preserve">The application of the anti-abuse framework66 may generate additional enforcement costs</w:t>
      </w:r>
      <w:r>
        <w:t xml:space="preserve"> </w:t>
      </w:r>
      <w:r>
        <w:t xml:space="preserve">in Options 1, 2, 3 and 5 compared to a no-action scenario and the non-deductibility of</w:t>
      </w:r>
      <w:r>
        <w:t xml:space="preserve"> </w:t>
      </w:r>
      <w:r>
        <w:t xml:space="preserve">interest (Option 4), the application of ACE (Options 1), ANCE (Option 2) ACC (Option</w:t>
      </w:r>
      <w:r>
        <w:t xml:space="preserve"> </w:t>
      </w:r>
      <w:r>
        <w:t xml:space="preserve">3) and Option 5 could increase the burden of tax administrations for enforcement. But</w:t>
      </w:r>
      <w:r>
        <w:t xml:space="preserve"> </w:t>
      </w:r>
      <w:r>
        <w:t xml:space="preserve">these extra costs are difficult to quantify. This is because the administrative burden will</w:t>
      </w:r>
      <w:r>
        <w:t xml:space="preserve"> </w:t>
      </w:r>
      <w:r>
        <w:t xml:space="preserve">depend on the anti-abuse framework that will be retained in the proposal and on the</w:t>
      </w:r>
      <w:r>
        <w:t xml:space="preserve"> </w:t>
      </w:r>
      <w:r>
        <w:t xml:space="preserve">frequency of controls decided by each Member State. Generally speaking, the specific</w:t>
      </w:r>
      <w:r>
        <w:t xml:space="preserve"> </w:t>
      </w:r>
      <w:r>
        <w:t xml:space="preserve">anti-abuse measures will entail a learning process before application while the general</w:t>
      </w:r>
      <w:r>
        <w:t xml:space="preserve"> </w:t>
      </w:r>
      <w:r>
        <w:t xml:space="preserve">rule will follow the same principles as the General anti-abuse rules already in place for</w:t>
      </w:r>
      <w:r>
        <w:t xml:space="preserve"> </w:t>
      </w:r>
      <w:r>
        <w:t xml:space="preserve">other tax measures. The additional efforts that will be required for auditing companies</w:t>
      </w:r>
      <w:r>
        <w:t xml:space="preserve"> </w:t>
      </w:r>
      <w:r>
        <w:t xml:space="preserve">will depend on the nature of the specific anti-abuse measures implemented. However,</w:t>
      </w:r>
      <w:r>
        <w:t xml:space="preserve"> </w:t>
      </w:r>
      <w:r>
        <w:t xml:space="preserve">these extra audit costs must be put in perspective vis-a-vis the fairness objectives, as the</w:t>
      </w:r>
      <w:r>
        <w:t xml:space="preserve"> </w:t>
      </w:r>
      <w:r>
        <w:t xml:space="preserve">consequences of not implementing this measures could lead to tax revenue losses that</w:t>
      </w:r>
      <w:r>
        <w:t xml:space="preserve"> </w:t>
      </w:r>
      <w:r>
        <w:t xml:space="preserve">largely exceed these extra audit costs.</w:t>
      </w:r>
    </w:p>
    <w:p>
      <w:pPr>
        <w:pStyle w:val="BodyText"/>
      </w:pPr>
      <w:r>
        <w:t xml:space="preserve">65 As provided for by the Anti Tax Avoidance Directive 1</w:t>
      </w:r>
      <w:r>
        <w:t xml:space="preserve"> </w:t>
      </w:r>
      <w:r>
        <w:t xml:space="preserve">66 The anti-tax abuse framework for DEBRA will propose a set of Specific Anti Abuse Rules –to address</w:t>
      </w:r>
      <w:r>
        <w:t xml:space="preserve"> </w:t>
      </w:r>
      <w:r>
        <w:t xml:space="preserve">specific abuse and a General Anti Abuse Rule that ensure a second line of defence against new schemes</w:t>
      </w:r>
      <w:r>
        <w:t xml:space="preserve"> </w:t>
      </w:r>
      <w:r>
        <w:t xml:space="preserve">that might appear in the future (see also section 5.3.3)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According to the experience from the countries that currently have an allowance for</w:t>
      </w:r>
      <w:r>
        <w:t xml:space="preserve"> </w:t>
      </w:r>
      <w:r>
        <w:t xml:space="preserve">equity, a very broad estimation for the additional enforcement cost depends on the</w:t>
      </w:r>
      <w:r>
        <w:t xml:space="preserve"> </w:t>
      </w:r>
      <w:r>
        <w:t xml:space="preserve">complexity of the corporate structure and can go from EUR 27.5 (i.e., one hour) for a</w:t>
      </w:r>
      <w:r>
        <w:t xml:space="preserve"> </w:t>
      </w:r>
      <w:r>
        <w:t xml:space="preserve">SME (or company with simple corporate structure) to EUR 110 (i.e., four hours) for a</w:t>
      </w:r>
      <w:r>
        <w:t xml:space="preserve"> </w:t>
      </w:r>
      <w:r>
        <w:t xml:space="preserve">multinational enterprise with subsidiaries across the EU. However, tax audits would not</w:t>
      </w:r>
      <w:r>
        <w:t xml:space="preserve"> </w:t>
      </w:r>
      <w:r>
        <w:t xml:space="preserve">likely be performed every year and the exact costs will depend on the organisation of the</w:t>
      </w:r>
      <w:r>
        <w:t xml:space="preserve"> </w:t>
      </w:r>
      <w:r>
        <w:t xml:space="preserve">national administrations (DEBRA audit performed at central level vs. by local tax</w:t>
      </w:r>
      <w:r>
        <w:t xml:space="preserve"> </w:t>
      </w:r>
      <w:r>
        <w:t xml:space="preserve">auditors) and resources of each Member States’ tax authority.</w:t>
      </w:r>
      <w:r>
        <w:br/>
      </w:r>
      <w:r>
        <w:t xml:space="preserve">6.8. Fairness impacts</w:t>
      </w:r>
      <w:r>
        <w:t xml:space="preserve"> </w:t>
      </w:r>
      <w:r>
        <w:t xml:space="preserve">The design of the measure to address the debt-equity bias is crucial for the impacts on</w:t>
      </w:r>
      <w:r>
        <w:t xml:space="preserve"> </w:t>
      </w:r>
      <w:r>
        <w:t xml:space="preserve">fairness. Past experience with notional interest deduction regimes has shown that failure</w:t>
      </w:r>
      <w:r>
        <w:t xml:space="preserve"> </w:t>
      </w:r>
      <w:r>
        <w:t xml:space="preserve">to address the tax planning opportunities when designing such measure could create the</w:t>
      </w:r>
      <w:r>
        <w:t xml:space="preserve"> </w:t>
      </w:r>
      <w:r>
        <w:t xml:space="preserve">risk of international groups exploiting the measure for aggressive tax planning purposes.</w:t>
      </w:r>
      <w:r>
        <w:t xml:space="preserve"> </w:t>
      </w:r>
      <w:r>
        <w:t xml:space="preserve">Policy measures that provide allowances for equity have been criticised because of the</w:t>
      </w:r>
      <w:r>
        <w:t xml:space="preserve"> </w:t>
      </w:r>
      <w:r>
        <w:t xml:space="preserve">tax planning opportunities67 they can theoretically open up in the form of cascading of</w:t>
      </w:r>
      <w:r>
        <w:t xml:space="preserve"> </w:t>
      </w:r>
      <w:r>
        <w:t xml:space="preserve">the deductions on the same initial capital if no proper anti-avoidance rules are in place.</w:t>
      </w:r>
      <w:r>
        <w:t xml:space="preserve"> </w:t>
      </w:r>
      <w:r>
        <w:t xml:space="preserve">To avoid such cascading, there is a need to make sure that the same euro of capital</w:t>
      </w:r>
      <w:r>
        <w:t xml:space="preserve"> </w:t>
      </w:r>
      <w:r>
        <w:t xml:space="preserve">invested in the group receives tax deductibility only once68. This is achieved by</w:t>
      </w:r>
      <w:r>
        <w:t xml:space="preserve"> </w:t>
      </w:r>
      <w:r>
        <w:t xml:space="preserve">embedding an anti-avoidance framework into the proposal. Such provisions will ensure</w:t>
      </w:r>
      <w:r>
        <w:t xml:space="preserve"> </w:t>
      </w:r>
      <w:r>
        <w:t xml:space="preserve">that the funds injected in a group benefit from deductibility only once. As such, the</w:t>
      </w:r>
      <w:r>
        <w:t xml:space="preserve"> </w:t>
      </w:r>
      <w:r>
        <w:t xml:space="preserve">system would remove those loopholes used for aggressive tax planning.</w:t>
      </w:r>
      <w:r>
        <w:t xml:space="preserve"> </w:t>
      </w:r>
      <w:r>
        <w:t xml:space="preserve">Specific rules to make the system robust to tax planning will include a general anti-abuse</w:t>
      </w:r>
      <w:r>
        <w:t xml:space="preserve"> </w:t>
      </w:r>
      <w:r>
        <w:t xml:space="preserve">rule (GAAR) and specific anti-abuse rules that will exclude, amongst others, items that</w:t>
      </w:r>
      <w:r>
        <w:t xml:space="preserve"> </w:t>
      </w:r>
      <w:r>
        <w:t xml:space="preserve">do not represent business needs or genuine investment, as well as participations and own</w:t>
      </w:r>
      <w:r>
        <w:t xml:space="preserve"> </w:t>
      </w:r>
      <w:r>
        <w:t xml:space="preserve">shares.</w:t>
      </w:r>
      <w:r>
        <w:br/>
      </w:r>
      <w:r>
        <w:t xml:space="preserve">6.9. Sustainable Development Goals</w:t>
      </w:r>
      <w:r>
        <w:t xml:space="preserve"> </w:t>
      </w:r>
      <w:r>
        <w:t xml:space="preserve">By mitigating the debt-equity bias, DEBRA is expected to promote equity investment</w:t>
      </w:r>
      <w:r>
        <w:t xml:space="preserve"> </w:t>
      </w:r>
      <w:r>
        <w:t xml:space="preserve">and thus innovation – particularly in the green and digital fields. It is also expected to</w:t>
      </w:r>
      <w:r>
        <w:t xml:space="preserve"> </w:t>
      </w:r>
      <w:r>
        <w:t xml:space="preserve">reduce reliance on debt, which leads to greater leverage and can have negative economic</w:t>
      </w:r>
      <w:r>
        <w:t xml:space="preserve"> </w:t>
      </w:r>
      <w:r>
        <w:t xml:space="preserve">or financial consequences, consequently reducing the risk of systemic crises and</w:t>
      </w:r>
      <w:r>
        <w:t xml:space="preserve"> </w:t>
      </w:r>
      <w:r>
        <w:t xml:space="preserve">fostering economic growth. These positive effects are in line with the targets set out by</w:t>
      </w:r>
      <w:r>
        <w:t xml:space="preserve"> </w:t>
      </w:r>
      <w:r>
        <w:t xml:space="preserve">the United Nations’ Sustainable Development Goals (SDG). More specifically, DEBRA</w:t>
      </w:r>
      <w:r>
        <w:t xml:space="preserve"> </w:t>
      </w:r>
      <w:r>
        <w:t xml:space="preserve">may contribute directly to SDG 8 – “Promote sustained, inclusive and sustainable</w:t>
      </w:r>
      <w:r>
        <w:t xml:space="preserve"> </w:t>
      </w:r>
      <w:r>
        <w:t xml:space="preserve">economic growth, full and productive employment and decent work for all”; and SDG 9</w:t>
      </w:r>
      <w:r>
        <w:t xml:space="preserve"> </w:t>
      </w:r>
      <w:r>
        <w:t xml:space="preserve">– “Build resilient infrastructure, promote inclusive and sustainable industrialization and</w:t>
      </w:r>
    </w:p>
    <w:p>
      <w:pPr>
        <w:pStyle w:val="BodyText"/>
      </w:pPr>
      <w:r>
        <w:t xml:space="preserve">67 For the Belgian ACE, Hebous and Ruf (2015) find indications for the use of such tax planning strategies.</w:t>
      </w:r>
      <w:r>
        <w:t xml:space="preserve"> </w:t>
      </w:r>
      <w:r>
        <w:t xml:space="preserve">68 Zangari (2014) discusses the Belgian and Italian ACE systems and the role of anti-avoidance provisions</w:t>
      </w:r>
      <w:r>
        <w:t xml:space="preserve"> </w:t>
      </w:r>
      <w:r>
        <w:t xml:space="preserve">targeting intra-group transactions.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foster innovation”. Further detail on how DEBRA may contribute to these goals is laid</w:t>
      </w:r>
      <w:r>
        <w:t xml:space="preserve"> </w:t>
      </w:r>
      <w:r>
        <w:t xml:space="preserve">down in Annex 3.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All policy options would increase the neutrality of the tax system with respect to</w:t>
      </w:r>
      <w:r>
        <w:t xml:space="preserve"> </w:t>
      </w:r>
      <w:r>
        <w:t xml:space="preserve">financing decisions when compared to the status quo, and in that respect meet the</w:t>
      </w:r>
      <w:r>
        <w:t xml:space="preserve"> </w:t>
      </w:r>
      <w:r>
        <w:t xml:space="preserve">primary objective of the policy initiative. That said, the objective is met to varying</w:t>
      </w:r>
      <w:r>
        <w:t xml:space="preserve"> </w:t>
      </w:r>
      <w:r>
        <w:t xml:space="preserve">degrees by each of the five policy options considered. Options 3 (ACC), 4 (NDI) and 5</w:t>
      </w:r>
      <w:r>
        <w:t xml:space="preserve"> </w:t>
      </w:r>
      <w:r>
        <w:t xml:space="preserve">(ANCE+ partial NDI) are most successful in reducing the debt share in the economy,</w:t>
      </w:r>
      <w:r>
        <w:t xml:space="preserve"> </w:t>
      </w:r>
      <w:r>
        <w:t xml:space="preserve">while options 1 (ACE) and 2 (ANCE) reduce the use of debt to a lesser extent since the</w:t>
      </w:r>
      <w:r>
        <w:t xml:space="preserve"> </w:t>
      </w:r>
      <w:r>
        <w:t xml:space="preserve">notional interest rate does not fully equalise the cost of equity with the cost of debt.</w:t>
      </w:r>
      <w:r>
        <w:t xml:space="preserve"> </w:t>
      </w:r>
      <w:r>
        <w:t xml:space="preserve">Option 3 equalises the tax treatment of equity and debt since both are deducted using the</w:t>
      </w:r>
      <w:r>
        <w:t xml:space="preserve"> </w:t>
      </w:r>
      <w:r>
        <w:t xml:space="preserve">same notional interest rate. Option 4 goes farthest in neutralising the impact of tax</w:t>
      </w:r>
      <w:r>
        <w:t xml:space="preserve"> </w:t>
      </w:r>
      <w:r>
        <w:t xml:space="preserve">systems on financing decisions by eliminating the very tax treatment that currently</w:t>
      </w:r>
      <w:r>
        <w:t xml:space="preserve"> </w:t>
      </w:r>
      <w:r>
        <w:t xml:space="preserve">introduces the debt-equity bias. However, there are strong reasons why this policy option</w:t>
      </w:r>
      <w:r>
        <w:t xml:space="preserve"> </w:t>
      </w:r>
      <w:r>
        <w:t xml:space="preserve">still fares worst among those under consideration, as evidenced in the remainder of this</w:t>
      </w:r>
      <w:r>
        <w:t xml:space="preserve"> </w:t>
      </w:r>
      <w:r>
        <w:t xml:space="preserve">chapter below. Policy option 5 tackles the debt-equity bias simultaneously from the debt</w:t>
      </w:r>
      <w:r>
        <w:t xml:space="preserve"> </w:t>
      </w:r>
      <w:r>
        <w:t xml:space="preserve">and equity side and, in so doing, achieves to almost completely eliminate the debt-equity</w:t>
      </w:r>
      <w:r>
        <w:t xml:space="preserve"> </w:t>
      </w:r>
      <w:r>
        <w:t xml:space="preserve">bias, as evidenced by a steep decline in the debt share in the economy.</w:t>
      </w:r>
      <w:r>
        <w:t xml:space="preserve"> </w:t>
      </w:r>
      <w:r>
        <w:t xml:space="preserve">The fairness of the tax system is to some extent improved by all policy options. The</w:t>
      </w:r>
      <w:r>
        <w:t xml:space="preserve"> </w:t>
      </w:r>
      <w:r>
        <w:t xml:space="preserve">policy options involving the introduction of a notional allowance for equity (options 1, 2,</w:t>
      </w:r>
      <w:r>
        <w:t xml:space="preserve"> </w:t>
      </w:r>
      <w:r>
        <w:t xml:space="preserve">3, 5) improve the fairness of the tax system in several ways: firstly, a harmonisation of</w:t>
      </w:r>
      <w:r>
        <w:t xml:space="preserve"> </w:t>
      </w:r>
      <w:r>
        <w:t xml:space="preserve">the allowance for equity rules across Member States would level the playing field among</w:t>
      </w:r>
      <w:r>
        <w:t xml:space="preserve"> </w:t>
      </w:r>
      <w:r>
        <w:t xml:space="preserve">competitors in the single market. Secondly, a top-up for SMEs (included in all options,</w:t>
      </w:r>
      <w:r>
        <w:t xml:space="preserve"> </w:t>
      </w:r>
      <w:r>
        <w:t xml:space="preserve">except option 4 which totally suppresses the deductibility of interests) would ensure that</w:t>
      </w:r>
      <w:r>
        <w:t xml:space="preserve"> </w:t>
      </w:r>
      <w:r>
        <w:t xml:space="preserve">SMEs can also access more easily the equity market. Thirdly, a unified measure would</w:t>
      </w:r>
      <w:r>
        <w:t xml:space="preserve"> </w:t>
      </w:r>
      <w:r>
        <w:t xml:space="preserve">reduce the opportunities for using equity allowances for aggressive tax planning purposes</w:t>
      </w:r>
      <w:r>
        <w:t xml:space="preserve"> </w:t>
      </w:r>
      <w:r>
        <w:t xml:space="preserve">and avoiding taxation. Tax avoidance is further mitigated by the introduction of a solid</w:t>
      </w:r>
      <w:r>
        <w:t xml:space="preserve"> </w:t>
      </w:r>
      <w:r>
        <w:t xml:space="preserve">anti-abuse framework. The anti-abuse framework is part of these four policy options, so</w:t>
      </w:r>
      <w:r>
        <w:t xml:space="preserve"> </w:t>
      </w:r>
      <w:r>
        <w:t xml:space="preserve">that on the equity side no single option is more conducive than the others to achieving tax</w:t>
      </w:r>
      <w:r>
        <w:t xml:space="preserve"> </w:t>
      </w:r>
      <w:r>
        <w:t xml:space="preserve">fairness. The disallowance of the deductibility of interest on debt as outlined in Option 4</w:t>
      </w:r>
      <w:r>
        <w:t xml:space="preserve"> </w:t>
      </w:r>
      <w:r>
        <w:t xml:space="preserve">would eliminate unequal tax treatment of debt and equity across the internal market.</w:t>
      </w:r>
      <w:r>
        <w:t xml:space="preserve"> </w:t>
      </w:r>
      <w:r>
        <w:t xml:space="preserve">However, investors have based their investment decisions in the past on the tax effect of</w:t>
      </w:r>
      <w:r>
        <w:t xml:space="preserve"> </w:t>
      </w:r>
      <w:r>
        <w:t xml:space="preserve">the debt bias. From a tax certainty perspective, the question would therefore arise as to</w:t>
      </w:r>
      <w:r>
        <w:t xml:space="preserve"> </w:t>
      </w:r>
      <w:r>
        <w:t xml:space="preserve">how to treat existing debt. It could be envisaged to grandfather existing debt, excluding</w:t>
      </w:r>
      <w:r>
        <w:t xml:space="preserve"> </w:t>
      </w:r>
      <w:r>
        <w:t xml:space="preserve">its possible refinancing. The full disallowance of interest deduction, however, would</w:t>
      </w:r>
      <w:r>
        <w:t xml:space="preserve"> </w:t>
      </w:r>
      <w:r>
        <w:t xml:space="preserve">introduce a problem of double economic taxation since interest earnings are taxed. This</w:t>
      </w:r>
      <w:r>
        <w:t xml:space="preserve"> </w:t>
      </w:r>
      <w:r>
        <w:t xml:space="preserve">would in practice imply that the financial sector is excluded from the measure. In terms</w:t>
      </w:r>
      <w:r>
        <w:t xml:space="preserve"> </w:t>
      </w:r>
      <w:r>
        <w:t xml:space="preserve">of tax fairness, Option 5 stands out compared to all the other options. In addition to the</w:t>
      </w:r>
      <w:r>
        <w:t xml:space="preserve"> </w:t>
      </w:r>
      <w:r>
        <w:t xml:space="preserve">arguments related to the notional interest allowance already discussed, Option 5 would</w:t>
      </w:r>
      <w:r>
        <w:t xml:space="preserve"> </w:t>
      </w:r>
      <w:r>
        <w:t xml:space="preserve">further limit the deductibility of interest payments and, in so doing, also reduce</w:t>
      </w:r>
      <w:r>
        <w:t xml:space="preserve"> </w:t>
      </w:r>
      <w:r>
        <w:t xml:space="preserve">opportunities for profit shifting using intra-group loans, which would add to the fairness</w:t>
      </w:r>
      <w:r>
        <w:t xml:space="preserve"> </w:t>
      </w:r>
      <w:r>
        <w:t xml:space="preserve">of the tax system. As for the other options, a top-up for SMEs in option 5 would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compensate for the higher risk born by investors in SMEs and facilitate access to equity</w:t>
      </w:r>
      <w:r>
        <w:t xml:space="preserve"> </w:t>
      </w:r>
      <w:r>
        <w:t xml:space="preserve">financing.</w:t>
      </w:r>
      <w:r>
        <w:t xml:space="preserve"> </w:t>
      </w:r>
      <w:r>
        <w:t xml:space="preserve">In view of tax fairness considerations, it should be noted that the Code of Conduct</w:t>
      </w:r>
      <w:r>
        <w:t xml:space="preserve"> </w:t>
      </w:r>
      <w:r>
        <w:t xml:space="preserve">guidance on Notional Interest Deduction regimes69 clearly recommends to use an</w:t>
      </w:r>
      <w:r>
        <w:t xml:space="preserve"> </w:t>
      </w:r>
      <w:r>
        <w:t xml:space="preserve">incremental NID (as in options 2 and 5) instead of a stock-based one (as in option 1) to</w:t>
      </w:r>
      <w:r>
        <w:t xml:space="preserve"> </w:t>
      </w:r>
      <w:r>
        <w:t xml:space="preserve">reduce potential abuse of the regime. An allowance on new equity has also been</w:t>
      </w:r>
      <w:r>
        <w:t xml:space="preserve"> </w:t>
      </w:r>
      <w:r>
        <w:t xml:space="preserve">identified as the most suitable option to tackle the debt-equity bias by a majority of the</w:t>
      </w:r>
      <w:r>
        <w:t xml:space="preserve"> </w:t>
      </w:r>
      <w:r>
        <w:t xml:space="preserve">respondents to the public consultation. The application of a top-up for SMEs would have</w:t>
      </w:r>
      <w:r>
        <w:t xml:space="preserve"> </w:t>
      </w:r>
      <w:r>
        <w:t xml:space="preserve">to be implemented in all Member States and at the same rate in all Member States to</w:t>
      </w:r>
      <w:r>
        <w:t xml:space="preserve"> </w:t>
      </w:r>
      <w:r>
        <w:t xml:space="preserve">avoid selectivity concerns as regards EU State Aids rules and to ensure a level playing</w:t>
      </w:r>
      <w:r>
        <w:t xml:space="preserve"> </w:t>
      </w:r>
      <w:r>
        <w:t xml:space="preserve">field for SMEs in the EU regardless of their place of residence.</w:t>
      </w:r>
      <w:r>
        <w:t xml:space="preserve"> </w:t>
      </w:r>
      <w:r>
        <w:t xml:space="preserve">The distortions in the single market would be substantially reduced by any EU wide-</w:t>
      </w:r>
      <w:r>
        <w:t xml:space="preserve"> </w:t>
      </w:r>
      <w:r>
        <w:t xml:space="preserve">rule compared to a situation in which only a subset of Member States operate unilateral</w:t>
      </w:r>
      <w:r>
        <w:t xml:space="preserve"> </w:t>
      </w:r>
      <w:r>
        <w:t xml:space="preserve">measures for reducing the debt-equity bias. Cross-border investment decisions are</w:t>
      </w:r>
      <w:r>
        <w:t xml:space="preserve"> </w:t>
      </w:r>
      <w:r>
        <w:t xml:space="preserve">influenced by the co-existence of different national systems of tax allowances for equity</w:t>
      </w:r>
      <w:r>
        <w:t xml:space="preserve"> </w:t>
      </w:r>
      <w:r>
        <w:t xml:space="preserve">financing as well as by the fact that the majority of Member States do not accommodate</w:t>
      </w:r>
      <w:r>
        <w:t xml:space="preserve"> </w:t>
      </w:r>
      <w:r>
        <w:t xml:space="preserve">debt-bias alleviating measures. Policy options 1, 2, 3 and 5 would thus be equally suited</w:t>
      </w:r>
      <w:r>
        <w:t xml:space="preserve"> </w:t>
      </w:r>
      <w:r>
        <w:t xml:space="preserve">to achieve this objective. As for the disallowance of the deductibility of interest on debt</w:t>
      </w:r>
      <w:r>
        <w:t xml:space="preserve"> </w:t>
      </w:r>
      <w:r>
        <w:t xml:space="preserve">under option 4, the option would harmonise an EU wide approach to mitigate the</w:t>
      </w:r>
      <w:r>
        <w:t xml:space="preserve"> </w:t>
      </w:r>
      <w:r>
        <w:t xml:space="preserve">influence of tax systems on financing decisions. Any potential benefit of EU-wide</w:t>
      </w:r>
      <w:r>
        <w:t xml:space="preserve"> </w:t>
      </w:r>
      <w:r>
        <w:t xml:space="preserve">harmonisation would, however, need to be weighed against the potential risk of</w:t>
      </w:r>
      <w:r>
        <w:t xml:space="preserve"> </w:t>
      </w:r>
      <w:r>
        <w:t xml:space="preserve">introducing major distortions for the EU when compared to its international partners.</w:t>
      </w:r>
      <w:r>
        <w:t xml:space="preserve"> </w:t>
      </w:r>
      <w:r>
        <w:t xml:space="preserve">Fully disregarding the tax deductibility of interests paid on debt is associated with the</w:t>
      </w:r>
      <w:r>
        <w:t xml:space="preserve"> </w:t>
      </w:r>
      <w:r>
        <w:t xml:space="preserve">non-taxation of interest received and could result in major distortions between the EU</w:t>
      </w:r>
      <w:r>
        <w:t xml:space="preserve"> </w:t>
      </w:r>
      <w:r>
        <w:t xml:space="preserve">and the rest of the world. Unilateral implementation of such a measure by the EU could</w:t>
      </w:r>
      <w:r>
        <w:t xml:space="preserve"> </w:t>
      </w:r>
      <w:r>
        <w:t xml:space="preserve">require new international agreements on the taxation of interest payments in order to</w:t>
      </w:r>
      <w:r>
        <w:t xml:space="preserve"> </w:t>
      </w:r>
      <w:r>
        <w:t xml:space="preserve">prevent double taxation or non-taxation of interest incomes. In particular, it would force</w:t>
      </w:r>
      <w:r>
        <w:t xml:space="preserve"> </w:t>
      </w:r>
      <w:r>
        <w:t xml:space="preserve">Member States to renegotiate their Double Tax Treaties in order to make them</w:t>
      </w:r>
      <w:r>
        <w:t xml:space="preserve"> </w:t>
      </w:r>
      <w:r>
        <w:t xml:space="preserve">compatible with the new tax treatment of interests paid and received in the EU. It would</w:t>
      </w:r>
      <w:r>
        <w:t xml:space="preserve"> </w:t>
      </w:r>
      <w:r>
        <w:t xml:space="preserve">create mismatches between the tax treatment of interest paid and received between the</w:t>
      </w:r>
      <w:r>
        <w:t xml:space="preserve"> </w:t>
      </w:r>
      <w:r>
        <w:t xml:space="preserve">EU and the rest of the world and, in so-doing, would de facto open up new loopholes for</w:t>
      </w:r>
      <w:r>
        <w:t xml:space="preserve"> </w:t>
      </w:r>
      <w:r>
        <w:t xml:space="preserve">tax planning opportunities. It could also have negative effects in terms of the EU single</w:t>
      </w:r>
      <w:r>
        <w:t xml:space="preserve"> </w:t>
      </w:r>
      <w:r>
        <w:t xml:space="preserve">market’s business competitiveness vis-a-vis other jurisdictions where this deductibility</w:t>
      </w:r>
      <w:r>
        <w:t xml:space="preserve"> </w:t>
      </w:r>
      <w:r>
        <w:t xml:space="preserve">remains in place.</w:t>
      </w:r>
      <w:r>
        <w:t xml:space="preserve"> </w:t>
      </w:r>
      <w:r>
        <w:t xml:space="preserve">As demonstrated in the impact analysis in Chapter 6, the policy options will have</w:t>
      </w:r>
      <w:r>
        <w:t xml:space="preserve"> </w:t>
      </w:r>
      <w:r>
        <w:t xml:space="preserve">differentiated impact on investment and growth. If there were fewer distortions in the</w:t>
      </w:r>
      <w:r>
        <w:t xml:space="preserve"> </w:t>
      </w:r>
      <w:r>
        <w:t xml:space="preserve">single market, resources would be allocated in a more appropriate and efficient manner,</w:t>
      </w:r>
      <w:r>
        <w:t xml:space="preserve"> </w:t>
      </w:r>
      <w:r>
        <w:t xml:space="preserve">which would improve economic efficiency. At the same time, an allowance on equity</w:t>
      </w:r>
      <w:r>
        <w:t xml:space="preserve"> </w:t>
      </w:r>
      <w:r>
        <w:t xml:space="preserve">generally reduces effective tax rates and would have positive incentive effects. Against</w:t>
      </w:r>
      <w:r>
        <w:t xml:space="preserve"> </w:t>
      </w:r>
      <w:r>
        <w:t xml:space="preserve">such considerations, the first three policy options would be expected to have a direct</w:t>
      </w:r>
    </w:p>
    <w:p>
      <w:pPr>
        <w:pStyle w:val="BodyText"/>
      </w:pPr>
      <w:r>
        <w:t xml:space="preserve">69 WK 11093/2019 REV 1 of 17 October 2019, Draft Guidance on notional interest deduction regimes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positive effect, with the ACC (Option 3) assessed to have the largest economic impact,</w:t>
      </w:r>
      <w:r>
        <w:t xml:space="preserve"> </w:t>
      </w:r>
      <w:r>
        <w:t xml:space="preserve">followed by the ACE (Option 1) and ANCE (Option 2). However, as options 1 and 3</w:t>
      </w:r>
      <w:r>
        <w:t xml:space="preserve"> </w:t>
      </w:r>
      <w:r>
        <w:t xml:space="preserve">would provide for an allowance for all equity, they would also create a deadweight loss</w:t>
      </w:r>
      <w:r>
        <w:t xml:space="preserve"> </w:t>
      </w:r>
      <w:r>
        <w:t xml:space="preserve">effect, allowing for tax deduction without necessary new investments. An allowance for</w:t>
      </w:r>
      <w:r>
        <w:t xml:space="preserve"> </w:t>
      </w:r>
      <w:r>
        <w:t xml:space="preserve">new equity (as outlined in options 2 and 5), on the other hand, would provide economic</w:t>
      </w:r>
      <w:r>
        <w:t xml:space="preserve"> </w:t>
      </w:r>
      <w:r>
        <w:t xml:space="preserve">benefits while avoiding deadweight loss effects. Policy option 4 would increase effective</w:t>
      </w:r>
      <w:r>
        <w:t xml:space="preserve"> </w:t>
      </w:r>
      <w:r>
        <w:t xml:space="preserve">marginal tax rates for businesses, and thus be expected to lead to a reduction in</w:t>
      </w:r>
      <w:r>
        <w:t xml:space="preserve"> </w:t>
      </w:r>
      <w:r>
        <w:t xml:space="preserve">investment and a contraction of the economy. The benefit of an EU-wide approach under</w:t>
      </w:r>
      <w:r>
        <w:t xml:space="preserve"> </w:t>
      </w:r>
      <w:r>
        <w:t xml:space="preserve">Option 4 would be further diminished by introducing international distortions: whereas</w:t>
      </w:r>
      <w:r>
        <w:t xml:space="preserve"> </w:t>
      </w:r>
      <w:r>
        <w:t xml:space="preserve">the EU would no longer allow for a debt interest deduction, such measures would</w:t>
      </w:r>
      <w:r>
        <w:t xml:space="preserve"> </w:t>
      </w:r>
      <w:r>
        <w:t xml:space="preserve">continue to exist in other major international jurisdictions, creating a potential</w:t>
      </w:r>
      <w:r>
        <w:t xml:space="preserve"> </w:t>
      </w:r>
      <w:r>
        <w:t xml:space="preserve">disincentive to invest in the EU. Policy option 5 would be expected to have a slightly</w:t>
      </w:r>
      <w:r>
        <w:t xml:space="preserve"> </w:t>
      </w:r>
      <w:r>
        <w:t xml:space="preserve">positive impact on investment, while also being effective in reducing the debt share.</w:t>
      </w:r>
      <w:r>
        <w:t xml:space="preserve"> </w:t>
      </w:r>
      <w:r>
        <w:t xml:space="preserve">However, as it would limit interest deductions to some extent compared to the status quo,</w:t>
      </w:r>
      <w:r>
        <w:t xml:space="preserve"> </w:t>
      </w:r>
      <w:r>
        <w:t xml:space="preserve">option 5 would also counteract investment incentives, such that it has a lesser positive</w:t>
      </w:r>
      <w:r>
        <w:t xml:space="preserve"> </w:t>
      </w:r>
      <w:r>
        <w:t xml:space="preserve">effect compared to option 2. Option 5 will be coherent with other EU rules such as the</w:t>
      </w:r>
      <w:r>
        <w:t xml:space="preserve"> </w:t>
      </w:r>
      <w:r>
        <w:t xml:space="preserve">Anti-Tax Avoidance Directive with its interest limitation rule and Growth and</w:t>
      </w:r>
      <w:r>
        <w:t xml:space="preserve"> </w:t>
      </w:r>
      <w:r>
        <w:t xml:space="preserve">Employments goals, achieving growth while preserving the fiscal balance of the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Investment and growth are closely linked with the competitiveness of the EU, with</w:t>
      </w:r>
      <w:r>
        <w:t xml:space="preserve"> </w:t>
      </w:r>
      <w:r>
        <w:t xml:space="preserve">competitiveness being both a prerequisite for investment and growth as well as a result of</w:t>
      </w:r>
      <w:r>
        <w:t xml:space="preserve"> </w:t>
      </w:r>
      <w:r>
        <w:t xml:space="preserve">it. The structural effect of closing the debt-equity bias will generally have a positive</w:t>
      </w:r>
      <w:r>
        <w:t xml:space="preserve"> </w:t>
      </w:r>
      <w:r>
        <w:t xml:space="preserve">effect on EU competitiveness. The specific effect of each option is driven by each</w:t>
      </w:r>
      <w:r>
        <w:t xml:space="preserve"> </w:t>
      </w:r>
      <w:r>
        <w:t xml:space="preserve">option’s impact on effective taxation. The stock based allowances under options 1 and 3</w:t>
      </w:r>
      <w:r>
        <w:t xml:space="preserve"> </w:t>
      </w:r>
      <w:r>
        <w:t xml:space="preserve">provide large reductions in the tax base and thus considerably reduce effective taxation.</w:t>
      </w:r>
      <w:r>
        <w:t xml:space="preserve"> </w:t>
      </w:r>
      <w:r>
        <w:t xml:space="preserve">This has positive effects on the EU’s competitiveness globally. The ANCE under option</w:t>
      </w:r>
      <w:r>
        <w:t xml:space="preserve"> </w:t>
      </w:r>
      <w:r>
        <w:t xml:space="preserve">2 has a more limited effect. Given that option 5 combines the allowance for equity with</w:t>
      </w:r>
      <w:r>
        <w:t xml:space="preserve"> </w:t>
      </w:r>
      <w:r>
        <w:t xml:space="preserve">partial limitation of interest deduction, the two measures balance out such that effective</w:t>
      </w:r>
      <w:r>
        <w:t xml:space="preserve"> </w:t>
      </w:r>
      <w:r>
        <w:t xml:space="preserve">taxation largely remains unchanged and the effect on competitiveness is overall neutral.</w:t>
      </w:r>
      <w:r>
        <w:t xml:space="preserve"> </w:t>
      </w:r>
      <w:r>
        <w:t xml:space="preserve">A full disallowance of interest deduction, as proposed under option 4, would</w:t>
      </w:r>
      <w:r>
        <w:t xml:space="preserve"> </w:t>
      </w:r>
      <w:r>
        <w:t xml:space="preserve">considerably increase effective taxation of businesses to the detriment of EU</w:t>
      </w:r>
      <w:r>
        <w:t xml:space="preserve"> </w:t>
      </w:r>
      <w:r>
        <w:t xml:space="preserve">competitiveness in the global economy.</w:t>
      </w:r>
      <w:r>
        <w:br/>
      </w:r>
      <w:r>
        <w:t xml:space="preserve">On the back of the COVID-19 crisis, all policy options under consideration have also to</w:t>
      </w:r>
      <w:r>
        <w:t xml:space="preserve"> </w:t>
      </w:r>
      <w:r>
        <w:t xml:space="preserve">be weighed against their possible budgetary impact and thus effects on fiscal</w:t>
      </w:r>
      <w:r>
        <w:t xml:space="preserve"> </w:t>
      </w:r>
      <w:r>
        <w:t xml:space="preserve">sustainability, which represents a direct link to their macroeconomic impact. On</w:t>
      </w:r>
      <w:r>
        <w:t xml:space="preserve"> </w:t>
      </w:r>
      <w:r>
        <w:t xml:space="preserve">average, it is true for all options that more positive economic impacts come with higher</w:t>
      </w:r>
      <w:r>
        <w:t xml:space="preserve"> </w:t>
      </w:r>
      <w:r>
        <w:t xml:space="preserve">budgetary costs, and/or overall lower tax revenues. In a post-crisis period with already</w:t>
      </w:r>
      <w:r>
        <w:t xml:space="preserve"> </w:t>
      </w:r>
      <w:r>
        <w:t xml:space="preserve">high existing debt levels, and needs for fiscal consolidation to come in the future, tax</w:t>
      </w:r>
      <w:r>
        <w:t xml:space="preserve"> </w:t>
      </w:r>
      <w:r>
        <w:t xml:space="preserve">policy measures that risk to substantially or even partially reduce revenues or increase</w:t>
      </w:r>
      <w:r>
        <w:t xml:space="preserve"> </w:t>
      </w:r>
      <w:r>
        <w:t xml:space="preserve">budgetary costs for Member States must be carefully considered.</w:t>
      </w:r>
      <w:r>
        <w:t xml:space="preserve"> </w:t>
      </w:r>
      <w:r>
        <w:t xml:space="preserve">A stock-based notional interest deduction like the ACE under Option 1 or the ACC under</w:t>
      </w:r>
      <w:r>
        <w:t xml:space="preserve"> </w:t>
      </w:r>
      <w:r>
        <w:t xml:space="preserve">Option 3 would result in substantial fiscal costs. The allowance base is much larger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compared to incremental allowances proposed under Options 2 and 5. In addition, stock</w:t>
      </w:r>
      <w:r>
        <w:t xml:space="preserve"> </w:t>
      </w:r>
      <w:r>
        <w:t xml:space="preserve">based allowances are by design of unlimited duration70, while the duration of incremental</w:t>
      </w:r>
      <w:r>
        <w:t xml:space="preserve"> </w:t>
      </w:r>
      <w:r>
        <w:t xml:space="preserve">allowances can be limited, which by default limits the costs related to introducing and</w:t>
      </w:r>
      <w:r>
        <w:t xml:space="preserve"> </w:t>
      </w:r>
      <w:r>
        <w:t xml:space="preserve">maintaining the measure. An incremental notional interest deduction like the one</w:t>
      </w:r>
      <w:r>
        <w:t xml:space="preserve"> </w:t>
      </w:r>
      <w:r>
        <w:t xml:space="preserve">provided for under options 2 and 5 is not associated with the windfall effect of a regime</w:t>
      </w:r>
      <w:r>
        <w:t xml:space="preserve"> </w:t>
      </w:r>
      <w:r>
        <w:t xml:space="preserve">based on the stock of equity, since it only allows deductibility of an increase in equity. In</w:t>
      </w:r>
      <w:r>
        <w:t xml:space="preserve"> </w:t>
      </w:r>
      <w:r>
        <w:t xml:space="preserve">this respect, Option 3 appears to be less efficient than option 2 and 5.</w:t>
      </w:r>
      <w:r>
        <w:t xml:space="preserve"> </w:t>
      </w:r>
      <w:r>
        <w:t xml:space="preserve">Policy option 4 – which would fully disallow the deductibility of interest on debt – would</w:t>
      </w:r>
      <w:r>
        <w:t xml:space="preserve"> </w:t>
      </w:r>
      <w:r>
        <w:t xml:space="preserve">perhaps fare best in this respect, as removing the deductibility of interest on debt would</w:t>
      </w:r>
      <w:r>
        <w:t xml:space="preserve"> </w:t>
      </w:r>
      <w:r>
        <w:t xml:space="preserve">increase tax revenues (which are otherwise currently foregone) and have overall positive</w:t>
      </w:r>
      <w:r>
        <w:t xml:space="preserve"> </w:t>
      </w:r>
      <w:r>
        <w:t xml:space="preserve">budgetary implications for Member States. On the whole, however, this option raises a</w:t>
      </w:r>
      <w:r>
        <w:t xml:space="preserve"> </w:t>
      </w:r>
      <w:r>
        <w:t xml:space="preserve">number of vital issues that outweigh this potential benefit. Fully disallowing the tax</w:t>
      </w:r>
      <w:r>
        <w:t xml:space="preserve"> </w:t>
      </w:r>
      <w:r>
        <w:t xml:space="preserve">deduction on debt interest is efficient in eliminating the debt bias, but increases effective</w:t>
      </w:r>
      <w:r>
        <w:t xml:space="preserve"> </w:t>
      </w:r>
      <w:r>
        <w:t xml:space="preserve">tax rates for businesses and has negative effects on growth and employment, driven by</w:t>
      </w:r>
      <w:r>
        <w:t xml:space="preserve"> </w:t>
      </w:r>
      <w:r>
        <w:t xml:space="preserve">depressed investment. As a consequence, this option would substantially hinder the post-</w:t>
      </w:r>
      <w:r>
        <w:t xml:space="preserve"> </w:t>
      </w:r>
      <w:r>
        <w:t xml:space="preserve">crisis recovery. The IMF has confirmed the negative investment impacts of full non-</w:t>
      </w:r>
      <w:r>
        <w:t xml:space="preserve"> </w:t>
      </w:r>
      <w:r>
        <w:t xml:space="preserve">deductibility of interest expenses (IMF 2016). Moreover, a unilateral implementation of</w:t>
      </w:r>
      <w:r>
        <w:t xml:space="preserve"> </w:t>
      </w:r>
      <w:r>
        <w:t xml:space="preserve">such a measure at the EU level could create substantial distortions with the rest of the</w:t>
      </w:r>
      <w:r>
        <w:t xml:space="preserve"> </w:t>
      </w:r>
      <w:r>
        <w:t xml:space="preserve">world since new international agreements on the taxation of interest payments would be</w:t>
      </w:r>
      <w:r>
        <w:t xml:space="preserve"> </w:t>
      </w:r>
      <w:r>
        <w:t xml:space="preserve">required in order to prevent double taxation of interest incomes.71 This option is</w:t>
      </w:r>
      <w:r>
        <w:t xml:space="preserve"> </w:t>
      </w:r>
      <w:r>
        <w:t xml:space="preserve">considered by a large majority of respondents to the public consultation as being the least</w:t>
      </w:r>
      <w:r>
        <w:t xml:space="preserve"> </w:t>
      </w:r>
      <w:r>
        <w:t xml:space="preserve">suitable option, 3 respondents out of 67 considered this option as the most suitable.</w:t>
      </w:r>
      <w:r>
        <w:t xml:space="preserve"> </w:t>
      </w:r>
      <w:r>
        <w:t xml:space="preserve">Considered against the objective to preserve growth and employment, the option 4</w:t>
      </w:r>
      <w:r>
        <w:t xml:space="preserve"> </w:t>
      </w:r>
      <w:r>
        <w:t xml:space="preserve">appears to be the less effective.</w:t>
      </w:r>
      <w:r>
        <w:t xml:space="preserve"> </w:t>
      </w:r>
      <w:r>
        <w:t xml:space="preserve">By combining an allowance for new equity with a limitation of the existing interest</w:t>
      </w:r>
      <w:r>
        <w:t xml:space="preserve"> </w:t>
      </w:r>
      <w:r>
        <w:t xml:space="preserve">deduction, Option 5 would prevent the negative impact on Member States’ budgets and</w:t>
      </w:r>
      <w:r>
        <w:t xml:space="preserve"> </w:t>
      </w:r>
      <w:r>
        <w:t xml:space="preserve">might even result in moderate tax revenue increases. This option would address the debt-</w:t>
      </w:r>
      <w:r>
        <w:t xml:space="preserve"> </w:t>
      </w:r>
      <w:r>
        <w:t xml:space="preserve">equity bias while at the same time potentially provide for new tax revenues and thus help</w:t>
      </w:r>
      <w:r>
        <w:t xml:space="preserve"> </w:t>
      </w:r>
      <w:r>
        <w:t xml:space="preserve">balance the overall budgetary impact. It would have a positive impact on investments and</w:t>
      </w:r>
      <w:r>
        <w:t xml:space="preserve"> </w:t>
      </w:r>
      <w:r>
        <w:t xml:space="preserve">GDP. If the allowance for equity is sufficiently generous, positive employment effects</w:t>
      </w:r>
      <w:r>
        <w:t xml:space="preserve"> </w:t>
      </w:r>
      <w:r>
        <w:t xml:space="preserve">could also be observed72. Option 5 appears to be effective in mitigating the debt equity</w:t>
      </w:r>
      <w:r>
        <w:t xml:space="preserve"> </w:t>
      </w:r>
      <w:r>
        <w:t xml:space="preserve">bias, maintaining the fiscal capacity of the Member States and preserving growth and</w:t>
      </w:r>
      <w:r>
        <w:t xml:space="preserve"> </w:t>
      </w:r>
      <w:r>
        <w:t xml:space="preserve">employment. This triple effectiveness is only achieved by this option, while options 3</w:t>
      </w:r>
      <w:r>
        <w:t xml:space="preserve"> </w:t>
      </w:r>
      <w:r>
        <w:t xml:space="preserve">and 4 score high on mitigating the debt-equity bias but low on maintaining the fiscal</w:t>
      </w:r>
      <w:r>
        <w:t xml:space="preserve"> </w:t>
      </w:r>
      <w:r>
        <w:t xml:space="preserve">capacity of Member States and preserving growth and employment. Similarly, options 1</w:t>
      </w:r>
      <w:r>
        <w:t xml:space="preserve"> </w:t>
      </w:r>
      <w:r>
        <w:t xml:space="preserve">and 2 do poorly on maintaining the fiscal capacity of member States.</w:t>
      </w:r>
      <w:r>
        <w:t xml:space="preserve"> </w:t>
      </w:r>
      <w:r>
        <w:t xml:space="preserve">Coherence of EU action would be best ensured by option 5 which contributes to</w:t>
      </w:r>
      <w:r>
        <w:t xml:space="preserve"> </w:t>
      </w:r>
      <w:r>
        <w:t xml:space="preserve">reinforcing equity-financing, particularly needed with the green and digital transition,</w:t>
      </w:r>
    </w:p>
    <w:p>
      <w:pPr>
        <w:pStyle w:val="BodyText"/>
      </w:pPr>
      <w:r>
        <w:t xml:space="preserve">70 The allowance ends when equity is equal to zero, that is when the company is liquidated or the</w:t>
      </w:r>
      <w:r>
        <w:t xml:space="preserve"> </w:t>
      </w:r>
      <w:r>
        <w:t xml:space="preserve">accumulated losses equal capital + reserves.</w:t>
      </w:r>
      <w:r>
        <w:t xml:space="preserve"> </w:t>
      </w:r>
      <w:r>
        <w:t xml:space="preserve">71 IMF (2016), Tax policy, leverage and macroeconomic stability.</w:t>
      </w:r>
      <w:r>
        <w:br/>
      </w:r>
      <w:r>
        <w:t xml:space="preserve">72 See Table A5.4 in Annex 5.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while enhancing EU growth and reinforcing EU tool kit against tax avoidance. Option 5</w:t>
      </w:r>
      <w:r>
        <w:t xml:space="preserve"> </w:t>
      </w:r>
      <w:r>
        <w:t xml:space="preserve">appears clearly the most efficient, decreasing the debt level while, increasing growth and</w:t>
      </w:r>
      <w:r>
        <w:t xml:space="preserve"> </w:t>
      </w:r>
      <w:r>
        <w:t xml:space="preserve">employment and preserving the fiscal capacity of Member States. In terms of</w:t>
      </w:r>
      <w:r>
        <w:t xml:space="preserve"> </w:t>
      </w:r>
      <w:r>
        <w:t xml:space="preserve">effectiveness, the decrease of the debt-equity bias has to be balanced by preserving the</w:t>
      </w:r>
      <w:r>
        <w:t xml:space="preserve"> </w:t>
      </w:r>
      <w:r>
        <w:t xml:space="preserve">competitiveness of the EU market, which option 4 does not achieve, and the fiscal</w:t>
      </w:r>
      <w:r>
        <w:t xml:space="preserve"> </w:t>
      </w:r>
      <w:r>
        <w:t xml:space="preserve">capacity of Member States, which options 1, 2 and 3 are threatening. So taking into</w:t>
      </w:r>
      <w:r>
        <w:t xml:space="preserve"> </w:t>
      </w:r>
      <w:r>
        <w:t xml:space="preserve">account the three constrains of decreasing the debt-equity bias, improving growth and</w:t>
      </w:r>
      <w:r>
        <w:t xml:space="preserve"> </w:t>
      </w:r>
      <w:r>
        <w:t xml:space="preserve">employment in the EU and preserving the fiscal capacity of the Member States, option 5</w:t>
      </w:r>
      <w:r>
        <w:t xml:space="preserve"> </w:t>
      </w:r>
      <w:r>
        <w:t xml:space="preserve">is the most effective.</w:t>
      </w:r>
      <w:r>
        <w:t xml:space="preserve"> </w:t>
      </w:r>
      <w:r>
        <w:t xml:space="preserve">All policy options would ease the administrative burden of businesses engaging in</w:t>
      </w:r>
      <w:r>
        <w:t xml:space="preserve"> </w:t>
      </w:r>
      <w:r>
        <w:t xml:space="preserve">cross-border activities due to the harmonisation of equity allowances across Member</w:t>
      </w:r>
      <w:r>
        <w:t xml:space="preserve"> </w:t>
      </w:r>
      <w:r>
        <w:t xml:space="preserve">States. The additional data to provide to benefit from the allowance in option 1, 2 and 5 is</w:t>
      </w:r>
      <w:r>
        <w:t xml:space="preserve"> </w:t>
      </w:r>
      <w:r>
        <w:t xml:space="preserve">limited to new equity, which is easily available at company level. Option 4 would</w:t>
      </w:r>
      <w:r>
        <w:t xml:space="preserve"> </w:t>
      </w:r>
      <w:r>
        <w:t xml:space="preserve">propose a full disallowance on interest deductions, making all interest limitation rules</w:t>
      </w:r>
      <w:r>
        <w:t xml:space="preserve"> </w:t>
      </w:r>
      <w:r>
        <w:t xml:space="preserve">redundant. Option 4 would thus reduce the compliance burden for businesses more than</w:t>
      </w:r>
      <w:r>
        <w:t xml:space="preserve"> </w:t>
      </w:r>
      <w:r>
        <w:t xml:space="preserve">the other options. The disallowance of interest payments under said option would also</w:t>
      </w:r>
      <w:r>
        <w:t xml:space="preserve"> </w:t>
      </w:r>
      <w:r>
        <w:t xml:space="preserve">reduce the administrative burden for tax administrations since interest limitation rules</w:t>
      </w:r>
      <w:r>
        <w:t xml:space="preserve"> </w:t>
      </w:r>
      <w:r>
        <w:t xml:space="preserve">become redundant and aggressive tax planning strategies based on profit shifting through</w:t>
      </w:r>
      <w:r>
        <w:t xml:space="preserve"> </w:t>
      </w:r>
      <w:r>
        <w:t xml:space="preserve">intra group loans are made impossible in the EU. All other policy options would slightly</w:t>
      </w:r>
      <w:r>
        <w:t xml:space="preserve"> </w:t>
      </w:r>
      <w:r>
        <w:t xml:space="preserve">add to the administrative burden of tax administrations. The additional burden however</w:t>
      </w:r>
      <w:r>
        <w:t xml:space="preserve"> </w:t>
      </w:r>
      <w:r>
        <w:t xml:space="preserve">would be limited to one off set up costs and additional efforts when auditing tax payers.</w:t>
      </w:r>
      <w:r>
        <w:t xml:space="preserve"> </w:t>
      </w:r>
      <w:r>
        <w:t xml:space="preserve">Table 7 above summarises the discussion of this chapter.</w:t>
      </w:r>
      <w:r>
        <w:t xml:space="preserve"> </w:t>
      </w:r>
      <w:r>
        <w:t xml:space="preserve">Table 7: Assessment of impacts of debt-bias options</w:t>
      </w:r>
    </w:p>
    <w:p>
      <w:pPr>
        <w:numPr>
          <w:ilvl w:val="0"/>
          <w:numId w:val="1009"/>
        </w:numPr>
      </w:pPr>
      <w:r>
        <w:t xml:space="preserve">ACE</w:t>
      </w:r>
    </w:p>
    <w:p>
      <w:pPr>
        <w:numPr>
          <w:ilvl w:val="0"/>
          <w:numId w:val="1009"/>
        </w:numPr>
      </w:pPr>
      <w:r>
        <w:t xml:space="preserve">ANCE</w:t>
      </w:r>
    </w:p>
    <w:p>
      <w:pPr>
        <w:numPr>
          <w:ilvl w:val="0"/>
          <w:numId w:val="1009"/>
        </w:numPr>
      </w:pPr>
      <w:r>
        <w:t xml:space="preserve">ACC</w:t>
      </w:r>
    </w:p>
    <w:p>
      <w:pPr>
        <w:numPr>
          <w:ilvl w:val="0"/>
          <w:numId w:val="1009"/>
        </w:numPr>
      </w:pPr>
      <w:r>
        <w:t xml:space="preserve">NDI</w:t>
      </w:r>
    </w:p>
    <w:p>
      <w:pPr>
        <w:numPr>
          <w:ilvl w:val="0"/>
          <w:numId w:val="1009"/>
        </w:numPr>
      </w:pPr>
      <w:r>
        <w:t xml:space="preserve">ANCE</w:t>
      </w:r>
      <w:r>
        <w:t xml:space="preserve"> </w:t>
      </w:r>
      <w:r>
        <w:t xml:space="preserve">+partial</w:t>
      </w:r>
      <w:r>
        <w:t xml:space="preserve"> </w:t>
      </w:r>
      <w:r>
        <w:t xml:space="preserve">NDI</w:t>
      </w:r>
      <w:r>
        <w:t xml:space="preserve"> </w:t>
      </w:r>
      <w:r>
        <w:t xml:space="preserve">Making the tax system neutral</w:t>
      </w:r>
      <w:r>
        <w:t xml:space="preserve"> </w:t>
      </w:r>
      <w:r>
        <w:t xml:space="preserve">for financing decision</w:t>
      </w:r>
    </w:p>
    <w:p>
      <w:pPr>
        <w:numPr>
          <w:ilvl w:val="0"/>
          <w:numId w:val="1010"/>
        </w:numPr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Enhancing the fairness of the tax</w:t>
      </w:r>
      <w:r>
        <w:t xml:space="preserve"> </w:t>
      </w:r>
      <w:r>
        <w:t xml:space="preserve">system</w:t>
      </w:r>
    </w:p>
    <w:p>
      <w:pPr>
        <w:numPr>
          <w:ilvl w:val="0"/>
          <w:numId w:val="1010"/>
        </w:numPr>
      </w:pPr>
      <w:r>
        <w:t xml:space="preserve">Reduce cross-border tax</w:t>
      </w:r>
      <w:r>
        <w:t xml:space="preserve"> </w:t>
      </w:r>
      <w:r>
        <w:t xml:space="preserve">planning opportunities</w:t>
      </w:r>
    </w:p>
    <w:p>
      <w:pPr>
        <w:numPr>
          <w:ilvl w:val="0"/>
          <w:numId w:val="1010"/>
        </w:numPr>
      </w:pPr>
      <w:r>
        <w:t xml:space="preserve">++</w:t>
      </w:r>
      <w:r>
        <w:t xml:space="preserve"> </w:t>
      </w:r>
      <w:r>
        <w:t xml:space="preserve">++</w:t>
      </w:r>
    </w:p>
    <w:p>
      <w:pPr>
        <w:numPr>
          <w:ilvl w:val="0"/>
          <w:numId w:val="1010"/>
        </w:numPr>
      </w:pPr>
      <w:r>
        <w:t xml:space="preserve">More level playing field for</w:t>
      </w:r>
      <w:r>
        <w:t xml:space="preserve"> </w:t>
      </w:r>
      <w:r>
        <w:t xml:space="preserve">domestic and multinational</w:t>
      </w:r>
      <w:r>
        <w:t xml:space="preserve"> </w:t>
      </w:r>
      <w:r>
        <w:t xml:space="preserve">businesses in the single</w:t>
      </w:r>
      <w:r>
        <w:t xml:space="preserve"> </w:t>
      </w:r>
      <w:r>
        <w:t xml:space="preserve">market</w:t>
      </w:r>
    </w:p>
    <w:p>
      <w:pPr>
        <w:numPr>
          <w:ilvl w:val="0"/>
          <w:numId w:val="1010"/>
        </w:numPr>
      </w:pPr>
      <w:r>
        <w:t xml:space="preserve">0</w:t>
      </w:r>
    </w:p>
    <w:p>
      <w:pPr>
        <w:numPr>
          <w:ilvl w:val="0"/>
          <w:numId w:val="1010"/>
        </w:numPr>
      </w:pPr>
      <w:r>
        <w:t xml:space="preserve">Reducing distortions in the single</w:t>
      </w:r>
      <w:r>
        <w:t xml:space="preserve"> </w:t>
      </w:r>
      <w:r>
        <w:t xml:space="preserve">market</w:t>
      </w:r>
    </w:p>
    <w:p>
      <w:pPr>
        <w:numPr>
          <w:ilvl w:val="0"/>
          <w:numId w:val="1010"/>
        </w:numPr>
      </w:pPr>
      <w:r>
        <w:t xml:space="preserve">Stimulating growth and</w:t>
      </w:r>
      <w:r>
        <w:t xml:space="preserve"> </w:t>
      </w:r>
      <w:r>
        <w:t xml:space="preserve">investment in the EU</w:t>
      </w:r>
    </w:p>
    <w:p>
      <w:pPr>
        <w:numPr>
          <w:ilvl w:val="0"/>
          <w:numId w:val="1010"/>
        </w:numPr>
      </w:pPr>
      <w:r>
        <w:t xml:space="preserve">Impact on investment and</w:t>
      </w:r>
      <w:r>
        <w:t xml:space="preserve"> </w:t>
      </w:r>
      <w:r>
        <w:t xml:space="preserve">growth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—</w:t>
      </w:r>
      <w:r>
        <w:t xml:space="preserve"> </w:t>
      </w:r>
      <w:r>
        <w:t xml:space="preserve">++</w:t>
      </w:r>
    </w:p>
    <w:p>
      <w:pPr>
        <w:pStyle w:val="Heading2"/>
        <w:numPr>
          <w:ilvl w:val="0"/>
          <w:numId w:val="1010"/>
        </w:numPr>
      </w:pPr>
      <w:bookmarkStart w:id="9" w:name="fiscal-sustainability"/>
      <w:r>
        <w:t xml:space="preserve">Fiscal sustainability</w:t>
      </w:r>
      <w:bookmarkEnd w:id="9"/>
    </w:p>
    <w:p>
      <w:pPr>
        <w:numPr>
          <w:ilvl w:val="0"/>
          <w:numId w:val="1010"/>
        </w:numPr>
      </w:pPr>
      <w:r>
        <w:t xml:space="preserve">+++</w:t>
      </w:r>
      <w:r>
        <w:t xml:space="preserve"> </w:t>
      </w:r>
      <w:r>
        <w:t xml:space="preserve">++</w:t>
      </w:r>
    </w:p>
    <w:p>
      <w:pPr>
        <w:numPr>
          <w:ilvl w:val="0"/>
          <w:numId w:val="1010"/>
        </w:numPr>
      </w:pPr>
      <w:r>
        <w:t xml:space="preserve">Competitiveness of the EU</w:t>
      </w:r>
      <w:r>
        <w:t xml:space="preserve"> </w:t>
      </w:r>
      <w:r>
        <w:t xml:space="preserve">economy</w:t>
      </w:r>
      <w:r>
        <w:br/>
      </w:r>
      <w:r>
        <w:t xml:space="preserve">++</w:t>
      </w:r>
    </w:p>
    <w:p>
      <w:pPr>
        <w:pStyle w:val="Heading2"/>
        <w:numPr>
          <w:ilvl w:val="0"/>
          <w:numId w:val="1010"/>
        </w:numPr>
      </w:pPr>
      <w:bookmarkStart w:id="10" w:name="section"/>
      <w:r>
        <w:t xml:space="preserve">++</w:t>
      </w:r>
      <w:bookmarkEnd w:id="10"/>
    </w:p>
    <w:p>
      <w:pPr>
        <w:numPr>
          <w:ilvl w:val="0"/>
          <w:numId w:val="1000"/>
        </w:numPr>
      </w:pPr>
      <w:r>
        <w:t xml:space="preserve">0</w:t>
      </w:r>
    </w:p>
    <w:p>
      <w:pPr>
        <w:numPr>
          <w:ilvl w:val="0"/>
          <w:numId w:val="1010"/>
        </w:numPr>
      </w:pPr>
      <w:r>
        <w:t xml:space="preserve">Reduce the administrative</w:t>
      </w:r>
      <w:r>
        <w:t xml:space="preserve"> </w:t>
      </w:r>
      <w:r>
        <w:t xml:space="preserve">burden for businesses</w:t>
      </w:r>
    </w:p>
    <w:p>
      <w:pPr>
        <w:numPr>
          <w:ilvl w:val="0"/>
          <w:numId w:val="1010"/>
        </w:numPr>
      </w:pPr>
      <w:r>
        <w:t xml:space="preserve">++</w:t>
      </w:r>
    </w:p>
    <w:p>
      <w:pPr>
        <w:numPr>
          <w:ilvl w:val="0"/>
          <w:numId w:val="1010"/>
        </w:numPr>
      </w:pPr>
      <w:r>
        <w:t xml:space="preserve">Reduce the administrative</w:t>
      </w:r>
      <w:r>
        <w:t xml:space="preserve"> </w:t>
      </w:r>
      <w:r>
        <w:t xml:space="preserve">burden for tax</w:t>
      </w:r>
    </w:p>
    <w:p>
      <w:pPr>
        <w:pStyle w:val="FirstParagraph"/>
      </w:pPr>
      <w:r>
        <w:t xml:space="preserve">57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Source: European Commission</w:t>
      </w:r>
      <w:r>
        <w:t xml:space="preserve"> </w:t>
      </w:r>
      <w:r>
        <w:t xml:space="preserve">Note: The evaluation is based on a scale of five steps from very negative (- - -) to very positive (+++).</w:t>
      </w:r>
      <w:r>
        <w:t xml:space="preserve"> </w:t>
      </w:r>
      <w:r>
        <w:t xml:space="preserve">“0”</w:t>
      </w:r>
      <w:r>
        <w:t xml:space="preserve"> </w:t>
      </w:r>
      <w:r>
        <w:t xml:space="preserve">indicates no</w:t>
      </w:r>
      <w:r>
        <w:t xml:space="preserve"> </w:t>
      </w:r>
      <w:r>
        <w:t xml:space="preserve">change (i.e. neutrality). A reduction in administrative burden generally results in lower related costs, ‘+’ thus</w:t>
      </w:r>
      <w:r>
        <w:t xml:space="preserve"> </w:t>
      </w:r>
      <w:r>
        <w:t xml:space="preserve">indicates cost savings while ‘-‘ indicates cost increases.</w:t>
      </w:r>
    </w:p>
    <w:p>
      <w:pPr>
        <w:pStyle w:val="Compact"/>
        <w:numPr>
          <w:ilvl w:val="0"/>
          <w:numId w:val="1011"/>
        </w:numPr>
      </w:pPr>
      <w:r>
        <w:t xml:space="preserve">PREFERRED OPTION – THE ALLOWANCE ON NEW EQUITY WITH AN INTEREST</w:t>
      </w:r>
      <w:r>
        <w:t xml:space="preserve"> </w:t>
      </w:r>
      <w:r>
        <w:t xml:space="preserve">LIMITATION</w:t>
      </w:r>
      <w:r>
        <w:t xml:space="preserve"> </w:t>
      </w:r>
      <w:r>
        <w:t xml:space="preserve">This impact assessment has analysed five policy options. The option that appears to meet</w:t>
      </w:r>
      <w:r>
        <w:t xml:space="preserve"> </w:t>
      </w:r>
      <w:r>
        <w:t xml:space="preserve">all objectives and offer the best balance between fiscal costs and economic outcomes is</w:t>
      </w:r>
      <w:r>
        <w:t xml:space="preserve"> </w:t>
      </w:r>
      <w:r>
        <w:t xml:space="preserve">option 5 (as outlined in section 5.2.5). This entails introducing a deductibility of equity</w:t>
      </w:r>
      <w:r>
        <w:t xml:space="preserve"> </w:t>
      </w:r>
      <w:r>
        <w:t xml:space="preserve">costs in the form of an allowance for a notional interest on new equity (as in option 2)</w:t>
      </w:r>
      <w:r>
        <w:t xml:space="preserve"> </w:t>
      </w:r>
      <w:r>
        <w:t xml:space="preserve">combined with a limitation of the deductibility of interest.</w:t>
      </w:r>
      <w:r>
        <w:br/>
      </w:r>
      <w:r>
        <w:t xml:space="preserve">Option 5 is successful in addressing the debt-equity bias (the main objective of the</w:t>
      </w:r>
      <w:r>
        <w:t xml:space="preserve"> </w:t>
      </w:r>
      <w:r>
        <w:t xml:space="preserve">measure), while balancing the budgetary impacts (a second objective) and addressing the</w:t>
      </w:r>
      <w:r>
        <w:t xml:space="preserve"> </w:t>
      </w:r>
      <w:r>
        <w:t xml:space="preserve">fairness aspects of the tax system. It is expected to have a positive impact on investment</w:t>
      </w:r>
      <w:r>
        <w:t xml:space="preserve"> </w:t>
      </w:r>
      <w:r>
        <w:t xml:space="preserve">and GDP, and moderate impacts on employment, depending on the final calibration of</w:t>
      </w:r>
      <w:r>
        <w:t xml:space="preserve"> </w:t>
      </w:r>
      <w:r>
        <w:t xml:space="preserve">the equity allowance and reduction of interest deductibility.</w:t>
      </w:r>
      <w:r>
        <w:t xml:space="preserve"> </w:t>
      </w:r>
      <w:r>
        <w:t xml:space="preserve">Under Option 5, the allowance is granted on new equity over a duration of 10 years. A</w:t>
      </w:r>
      <w:r>
        <w:t xml:space="preserve"> </w:t>
      </w:r>
      <w:r>
        <w:t xml:space="preserve">limit to the duration of the allowance prevents that the measure transforms, over time,</w:t>
      </w:r>
      <w:r>
        <w:t xml:space="preserve"> </w:t>
      </w:r>
      <w:r>
        <w:t xml:space="preserve">into a stock-based allowance and will thus be less costly for Member States’ public</w:t>
      </w:r>
      <w:r>
        <w:t xml:space="preserve"> </w:t>
      </w:r>
      <w:r>
        <w:t xml:space="preserve">finances. Moreover, the 10 year period has been chosen to approximate the average</w:t>
      </w:r>
      <w:r>
        <w:t xml:space="preserve"> </w:t>
      </w:r>
      <w:r>
        <w:t xml:space="preserve">maturity of debt. The allowance is computed based on the difference between net equity</w:t>
      </w:r>
      <w:r>
        <w:t xml:space="preserve"> </w:t>
      </w:r>
      <w:r>
        <w:t xml:space="preserve">(defined as the difference between the equity of a taxpayer [paid-up capital + share</w:t>
      </w:r>
      <w:r>
        <w:t xml:space="preserve"> </w:t>
      </w:r>
      <w:r>
        <w:t xml:space="preserve">premium account + reserves + profit or loss brought forward] and the tax value of its</w:t>
      </w:r>
      <w:r>
        <w:t xml:space="preserve"> </w:t>
      </w:r>
      <w:r>
        <w:t xml:space="preserve">participation in the capital of associated enterprises and own shares) at the end of the tax</w:t>
      </w:r>
      <w:r>
        <w:t xml:space="preserve"> </w:t>
      </w:r>
      <w:r>
        <w:t xml:space="preserve">year and net equity at the end of the previous tax year, multiplied by the relevant notional</w:t>
      </w:r>
      <w:r>
        <w:t xml:space="preserve"> </w:t>
      </w:r>
      <w:r>
        <w:t xml:space="preserve">interest rate. In case of a net equity decrease, an amount equal to the allowance equity</w:t>
      </w:r>
      <w:r>
        <w:t xml:space="preserve"> </w:t>
      </w:r>
      <w:r>
        <w:t xml:space="preserve">base decrease multiplied by the notional interest rate would become taxable. This ensures</w:t>
      </w:r>
      <w:r>
        <w:t xml:space="preserve"> </w:t>
      </w:r>
      <w:r>
        <w:t xml:space="preserve">that the equity is not reduced after the 10 year allowance period but then re-increased the</w:t>
      </w:r>
      <w:r>
        <w:t xml:space="preserve"> </w:t>
      </w:r>
      <w:r>
        <w:t xml:space="preserve">year after strictly to benefit from a new 10-year period of deduction without any genuine</w:t>
      </w:r>
      <w:r>
        <w:t xml:space="preserve"> </w:t>
      </w:r>
      <w:r>
        <w:t xml:space="preserve">equity increase.</w:t>
      </w:r>
      <w:r>
        <w:t xml:space="preserve"> </w:t>
      </w:r>
      <w:r>
        <w:t xml:space="preserve">The notional interest rate (NIR) is defined as the risk free rate (RFR) plus a fixed top up:</w:t>
      </w:r>
      <w:r>
        <w:t xml:space="preserve"> </w:t>
      </w:r>
      <w:r>
        <w:t xml:space="preserve">NIR = RFR + x</w:t>
      </w:r>
      <w:r>
        <w:br/>
      </w:r>
      <w:r>
        <w:t xml:space="preserve">(RFR is the risk free interest rate and x the risk premium)</w:t>
      </w:r>
      <w:r>
        <w:t xml:space="preserve"> </w:t>
      </w:r>
      <w:r>
        <w:t xml:space="preserve">A currency specific notional interest rate is chosen since the risk-free interest rate</w:t>
      </w:r>
      <w:r>
        <w:t xml:space="preserve"> </w:t>
      </w:r>
      <w:r>
        <w:t xml:space="preserve">strongly depends on the currency, because of characteristics like inflation and central</w:t>
      </w:r>
      <w:r>
        <w:t xml:space="preserve"> </w:t>
      </w:r>
      <w:r>
        <w:t xml:space="preserve">bank policy. Accordingly, the RFR relevant for a given tax year will be the 10-year risk-</w:t>
      </w:r>
      <w:r>
        <w:t xml:space="preserve"> </w:t>
      </w:r>
      <w:r>
        <w:t xml:space="preserve">free-rate published in December of the previous tax year by the European Insurance and</w:t>
      </w:r>
      <w:r>
        <w:t xml:space="preserve"> </w:t>
      </w:r>
      <w:r>
        <w:t xml:space="preserve">Occupation Pensions Authority (EIOPA) for the relevant currency. The preferred option</w:t>
      </w:r>
      <w:r>
        <w:t xml:space="preserve"> </w:t>
      </w:r>
      <w:r>
        <w:t xml:space="preserve">applies a risk premium of 1% for larger companies and 1.5% for SMEs.</w:t>
      </w:r>
    </w:p>
    <w:p>
      <w:pPr>
        <w:pStyle w:val="FirstParagraph"/>
      </w:pPr>
      <w:r>
        <w:t xml:space="preserve">58</w:t>
      </w:r>
      <w:r>
        <w:t xml:space="preserve"> </w:t>
      </w:r>
      <w:r>
        <w:t xml:space="preserve">Loss-making companies are not paying taxes. They can thus not profit from the equity</w:t>
      </w:r>
      <w:r>
        <w:t xml:space="preserve"> </w:t>
      </w:r>
      <w:r>
        <w:t xml:space="preserve">allowance. The legal proposal will encompass the possibility to carry forward the</w:t>
      </w:r>
      <w:r>
        <w:t xml:space="preserve"> </w:t>
      </w:r>
      <w:r>
        <w:t xml:space="preserve">allowance that cannot be used in loss making years so that ultimately every company</w:t>
      </w:r>
      <w:r>
        <w:t xml:space="preserve"> </w:t>
      </w:r>
      <w:r>
        <w:t xml:space="preserve">which has increased its equity can profit from the related equity allowance for the full</w:t>
      </w:r>
      <w:r>
        <w:t xml:space="preserve"> </w:t>
      </w:r>
      <w:r>
        <w:t xml:space="preserve">duration of 10 years.</w:t>
      </w:r>
      <w:r>
        <w:t xml:space="preserve"> </w:t>
      </w:r>
      <w:r>
        <w:t xml:space="preserve">The allowance for equity is combined with a reduction of the tax deductibility of debt-</w:t>
      </w:r>
      <w:r>
        <w:t xml:space="preserve"> </w:t>
      </w:r>
      <w:r>
        <w:t xml:space="preserve">related interest payments. This will be achieved by limiting the interest deduction</w:t>
      </w:r>
      <w:r>
        <w:t xml:space="preserve"> </w:t>
      </w:r>
      <w:r>
        <w:t xml:space="preserve">proportionally for all companies by a fixed percentage of net interest expenses (interest</w:t>
      </w:r>
      <w:r>
        <w:t xml:space="preserve"> </w:t>
      </w:r>
      <w:r>
        <w:t xml:space="preserve">paid minus interest received) through a dedicated article in the DEBRA Directive.</w:t>
      </w:r>
      <w:r>
        <w:t xml:space="preserve"> </w:t>
      </w:r>
      <w:r>
        <w:t xml:space="preserve">In order to properly balance the equity allowance, a reduction of interest deductibility by</w:t>
      </w:r>
      <w:r>
        <w:t xml:space="preserve"> </w:t>
      </w:r>
      <w:r>
        <w:t xml:space="preserve">15% is chosen73. The preferred option thus applies a risk premium of 1% for large firms,</w:t>
      </w:r>
      <w:r>
        <w:t xml:space="preserve"> </w:t>
      </w:r>
      <w:r>
        <w:t xml:space="preserve">a risk premium of 1.5% for SMEs and an interest limitation of 15% for all firms. These</w:t>
      </w:r>
      <w:r>
        <w:t xml:space="preserve"> </w:t>
      </w:r>
      <w:r>
        <w:t xml:space="preserve">parameters have been determined following a comprehensive analysis of the impacts on</w:t>
      </w:r>
      <w:r>
        <w:t xml:space="preserve"> </w:t>
      </w:r>
      <w:r>
        <w:t xml:space="preserve">the initiative’s complementary and conflicting objectives. The selected parameter values</w:t>
      </w:r>
      <w:r>
        <w:t xml:space="preserve"> </w:t>
      </w:r>
      <w:r>
        <w:t xml:space="preserve">simultaneously mitigate the debt-equity bias on both the equity and debt side and account</w:t>
      </w:r>
      <w:r>
        <w:t xml:space="preserve"> </w:t>
      </w:r>
      <w:r>
        <w:t xml:space="preserve">for the uncertainty underlying the quantitative predictions.</w:t>
      </w:r>
      <w:r>
        <w:br/>
      </w:r>
      <w:r>
        <w:t xml:space="preserve">The economic analysis in Chapter 6 compared the policy options with alternative</w:t>
      </w:r>
      <w:r>
        <w:t xml:space="preserve"> </w:t>
      </w:r>
      <w:r>
        <w:t xml:space="preserve">parameter values. It was assumed that the notional interest rate would be 2.2% for all</w:t>
      </w:r>
      <w:r>
        <w:t xml:space="preserve"> </w:t>
      </w:r>
      <w:r>
        <w:t xml:space="preserve">different types of allowances (options 1, 2, 3, 5). This resulted from a RFR at the time of</w:t>
      </w:r>
      <w:r>
        <w:t xml:space="preserve"> </w:t>
      </w:r>
      <w:r>
        <w:t xml:space="preserve">about 0.2% and a risk premium of 2%74. The interest limitation for option 5 was set to</w:t>
      </w:r>
      <w:r>
        <w:t xml:space="preserve"> </w:t>
      </w:r>
      <w:r>
        <w:t xml:space="preserve">25% of net interest expenses, in order to balance the fiscal costs of the equity allowance.</w:t>
      </w:r>
      <w:r>
        <w:t xml:space="preserve"> </w:t>
      </w:r>
      <w:r>
        <w:t xml:space="preserve">In CORTAX, additional investments and growth mechanically lead to overall tax</w:t>
      </w:r>
      <w:r>
        <w:t xml:space="preserve"> </w:t>
      </w:r>
      <w:r>
        <w:t xml:space="preserve">revenue increases. Further analysis, based on national financial account data and</w:t>
      </w:r>
      <w:r>
        <w:t xml:space="preserve"> </w:t>
      </w:r>
      <w:r>
        <w:t xml:space="preserve">supplemented by ORBIS data, has revealed that in a static context, these policy</w:t>
      </w:r>
      <w:r>
        <w:t xml:space="preserve"> </w:t>
      </w:r>
      <w:r>
        <w:t xml:space="preserve">parameters might result in a substantial financing gap.</w:t>
      </w:r>
      <w:r>
        <w:t xml:space="preserve"> </w:t>
      </w:r>
      <w:r>
        <w:t xml:space="preserve">In order to further consider this potential fiscal gap, let’s call the original calibration with</w:t>
      </w:r>
      <w:r>
        <w:t xml:space="preserve"> </w:t>
      </w:r>
      <w:r>
        <w:t xml:space="preserve">2.2% NIR (2% risk premium), SME-top-up and 25% ILR alternative 5a. The preferred</w:t>
      </w:r>
      <w:r>
        <w:t xml:space="preserve"> </w:t>
      </w:r>
      <w:r>
        <w:t xml:space="preserve">option with a risk premium of 1%, an SME top-up and only 15% ILR should instead be</w:t>
      </w:r>
      <w:r>
        <w:t xml:space="preserve"> </w:t>
      </w:r>
      <w:r>
        <w:t xml:space="preserve">nominated as alternative 5b. A detailed comparison of alternative 5b with alternative 5a</w:t>
      </w:r>
      <w:r>
        <w:t xml:space="preserve"> </w:t>
      </w:r>
      <w:r>
        <w:t xml:space="preserve">(2.2%/2.7% NIR and 25% ILR) is provided in Annex 6.2.75</w:t>
      </w:r>
      <w:r>
        <w:br/>
      </w:r>
      <w:r>
        <w:t xml:space="preserve">Table 8 reports the financing gap in billion EUR that could result for given policy</w:t>
      </w:r>
      <w:r>
        <w:t xml:space="preserve"> </w:t>
      </w:r>
      <w:r>
        <w:t xml:space="preserve">alternatives and scenarios in a static approach. The brackets report the share of fiscal</w:t>
      </w:r>
      <w:r>
        <w:t xml:space="preserve"> </w:t>
      </w:r>
      <w:r>
        <w:t xml:space="preserve">costs of the equity allowance which would be compensated by higher tax revenues due to</w:t>
      </w:r>
      <w:r>
        <w:t xml:space="preserve"> </w:t>
      </w:r>
      <w:r>
        <w:t xml:space="preserve">the interest limitation rule in the specific context. These values rest on a number of</w:t>
      </w:r>
      <w:r>
        <w:t xml:space="preserve"> </w:t>
      </w:r>
      <w:r>
        <w:t xml:space="preserve">assumptions and bear considerable uncertainty (see Annex 6.2 for details). They</w:t>
      </w:r>
    </w:p>
    <w:p>
      <w:pPr>
        <w:pStyle w:val="BodyText"/>
      </w:pPr>
      <w:r>
        <w:t xml:space="preserve">73 As was the case in the economic analysis of Chapter 6, the level of interest limitation is again chosen so</w:t>
      </w:r>
      <w:r>
        <w:t xml:space="preserve"> </w:t>
      </w:r>
      <w:r>
        <w:t xml:space="preserve">as to equilibrate the fiscal impact in an dynamic context as modelled by CORTAX.</w:t>
      </w:r>
      <w:r>
        <w:t xml:space="preserve"> </w:t>
      </w:r>
      <w:r>
        <w:t xml:space="preserve">74 As mentioned earlier, the application of the same notional interest rate is more important to compare</w:t>
      </w:r>
      <w:r>
        <w:t xml:space="preserve"> </w:t>
      </w:r>
      <w:r>
        <w:t xml:space="preserve">options than the actual level of the notional interest rate.</w:t>
      </w:r>
      <w:r>
        <w:t xml:space="preserve"> </w:t>
      </w:r>
      <w:r>
        <w:t xml:space="preserve">75 Alternative 5b is not included in the analysis of Section 6 since it is paramount to compare the different</w:t>
      </w:r>
      <w:r>
        <w:t xml:space="preserve"> </w:t>
      </w:r>
      <w:r>
        <w:t xml:space="preserve">policy options with identical parameter values.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demonstrate that the relative share of revenue losses covered is similar for both options.</w:t>
      </w:r>
      <w:r>
        <w:t xml:space="preserve"> </w:t>
      </w:r>
      <w:r>
        <w:t xml:space="preserve">However, in absolute terms the potential financing gap of alternative 5a is more than</w:t>
      </w:r>
      <w:r>
        <w:t xml:space="preserve"> </w:t>
      </w:r>
      <w:r>
        <w:t xml:space="preserve">twice as large as for alternative 5b.</w:t>
      </w:r>
      <w:r>
        <w:t xml:space="preserve"> </w:t>
      </w:r>
      <w:r>
        <w:t xml:space="preserve">Table 8: Financing gap in billion EUR (share of equity costs covered in %)</w:t>
      </w:r>
    </w:p>
    <w:p>
      <w:pPr>
        <w:pStyle w:val="BodyText"/>
      </w:pPr>
      <w:r>
        <w:t xml:space="preserve">Pessimistic</w:t>
      </w:r>
      <w:r>
        <w:t xml:space="preserve"> </w:t>
      </w:r>
      <w:r>
        <w:t xml:space="preserve">Optimistic</w:t>
      </w:r>
      <w:r>
        <w:t xml:space="preserve"> </w:t>
      </w:r>
      <w:r>
        <w:t xml:space="preserve">Alternative 5a</w:t>
      </w:r>
      <w:r>
        <w:t xml:space="preserve"> </w:t>
      </w:r>
      <w:r>
        <w:t xml:space="preserve">43.6 (4.3%)</w:t>
      </w:r>
      <w:r>
        <w:t xml:space="preserve"> </w:t>
      </w:r>
      <w:r>
        <w:t xml:space="preserve">23.1 (19.0%)</w:t>
      </w:r>
      <w:r>
        <w:t xml:space="preserve"> </w:t>
      </w:r>
      <w:r>
        <w:t xml:space="preserve">Alternative 5b</w:t>
      </w:r>
      <w:r>
        <w:t xml:space="preserve"> </w:t>
      </w:r>
      <w:r>
        <w:t xml:space="preserve">21.6 (5.1%)</w:t>
      </w:r>
      <w:r>
        <w:t xml:space="preserve"> </w:t>
      </w:r>
      <w:r>
        <w:t xml:space="preserve">11 (22.8%)</w:t>
      </w:r>
    </w:p>
    <w:p>
      <w:pPr>
        <w:pStyle w:val="BodyText"/>
      </w:pPr>
      <w:r>
        <w:t xml:space="preserve">This potential financing gap in the static approach highlights the importance of economic</w:t>
      </w:r>
      <w:r>
        <w:t xml:space="preserve"> </w:t>
      </w:r>
      <w:r>
        <w:t xml:space="preserve">growth for the CORTAX results. If in an uncertain environment effective tax rate</w:t>
      </w:r>
      <w:r>
        <w:t xml:space="preserve"> </w:t>
      </w:r>
      <w:r>
        <w:t xml:space="preserve">reductions and lower costs of equity do not mechanically translate into more investments</w:t>
      </w:r>
      <w:r>
        <w:t xml:space="preserve"> </w:t>
      </w:r>
      <w:r>
        <w:t xml:space="preserve">due to exogenous reasons like a war, drought or other major disruptions, CORTAX</w:t>
      </w:r>
      <w:r>
        <w:t xml:space="preserve"> </w:t>
      </w:r>
      <w:r>
        <w:t xml:space="preserve">results might be too optimistic about the revenue impacts of alternatives 5a and 5b.</w:t>
      </w:r>
      <w:r>
        <w:br/>
      </w:r>
      <w:r>
        <w:t xml:space="preserve">While it is inherently difficult to disentangle the effect of the equity allowance from the</w:t>
      </w:r>
      <w:r>
        <w:t xml:space="preserve"> </w:t>
      </w:r>
      <w:r>
        <w:t xml:space="preserve">effect of the interest limitation rule, different model runs of CORTAX can be used to</w:t>
      </w:r>
      <w:r>
        <w:t xml:space="preserve"> </w:t>
      </w:r>
      <w:r>
        <w:t xml:space="preserve">develop some preliminary understanding of the issue. It seems that the notional interest</w:t>
      </w:r>
      <w:r>
        <w:t xml:space="preserve"> </w:t>
      </w:r>
      <w:r>
        <w:t xml:space="preserve">rate has a stronger effect on the reduction of the debt shares compared to the interest</w:t>
      </w:r>
      <w:r>
        <w:t xml:space="preserve"> </w:t>
      </w:r>
      <w:r>
        <w:t xml:space="preserve">limitation rule. This is another argument for the rate top-up for SMEs. Secondly, there is</w:t>
      </w:r>
      <w:r>
        <w:t xml:space="preserve"> </w:t>
      </w:r>
      <w:r>
        <w:t xml:space="preserve">a complementarity between the NIR and the ILR, i.e. a change in one variable is more</w:t>
      </w:r>
      <w:r>
        <w:t xml:space="preserve"> </w:t>
      </w:r>
      <w:r>
        <w:t xml:space="preserve">impactful with a higher level of the other variable. This is further discussed in Annex 6.3.</w:t>
      </w:r>
      <w:r>
        <w:t xml:space="preserve"> </w:t>
      </w:r>
      <w:r>
        <w:t xml:space="preserve">A grandfathering of existing equity allowance regimes would also be allowed for those</w:t>
      </w:r>
      <w:r>
        <w:t xml:space="preserve"> </w:t>
      </w:r>
      <w:r>
        <w:t xml:space="preserve">Member States where such regimes exist in order to mitigate the possible negative impact</w:t>
      </w:r>
      <w:r>
        <w:t xml:space="preserve"> </w:t>
      </w:r>
      <w:r>
        <w:t xml:space="preserve">on businesses that have availed themselves of these regimes to date.</w:t>
      </w:r>
      <w:r>
        <w:br/>
      </w:r>
      <w:r>
        <w:t xml:space="preserve">The measure will apply to all sectors76 except financial corporations for the reasons</w:t>
      </w:r>
      <w:r>
        <w:t xml:space="preserve"> </w:t>
      </w:r>
      <w:r>
        <w:t xml:space="preserve">explained in chapter 5. The reason for this is that an equity allowance combined with an</w:t>
      </w:r>
      <w:r>
        <w:t xml:space="preserve"> </w:t>
      </w:r>
      <w:r>
        <w:t xml:space="preserve">interest limitation have very different impacts on financial companies (FCs) and non-</w:t>
      </w:r>
      <w:r>
        <w:t xml:space="preserve"> </w:t>
      </w:r>
      <w:r>
        <w:t xml:space="preserve">financial companies (NFCs). FCs usually have more interest received than interest paid.</w:t>
      </w:r>
      <w:r>
        <w:t xml:space="preserve"> </w:t>
      </w:r>
      <w:r>
        <w:t xml:space="preserve">Therefore, the interest limitation would not apply for them since the basis (interest paid-</w:t>
      </w:r>
      <w:r>
        <w:t xml:space="preserve"> </w:t>
      </w:r>
      <w:r>
        <w:t xml:space="preserve">interest received) would be negative. This means that NFCs would finance the allowance</w:t>
      </w:r>
      <w:r>
        <w:t xml:space="preserve"> </w:t>
      </w:r>
      <w:r>
        <w:t xml:space="preserve">on equity of the FCs. Moreover, FCs are subject to regulation on their capitalisation,</w:t>
      </w:r>
      <w:r>
        <w:t xml:space="preserve"> </w:t>
      </w:r>
      <w:r>
        <w:t xml:space="preserve">which means that the issue of under capitalisation is addressed in another way.</w:t>
      </w:r>
      <w:r>
        <w:t xml:space="preserve"> </w:t>
      </w:r>
      <w:r>
        <w:t xml:space="preserve">It will encompass a strong anti-tax abuse framework to address possible abuses and</w:t>
      </w:r>
      <w:r>
        <w:t xml:space="preserve"> </w:t>
      </w:r>
      <w:r>
        <w:t xml:space="preserve">harmful tax practices. A set of Specific Anti Abuse Rules (SAARs) – inspired from the</w:t>
      </w:r>
      <w:r>
        <w:t xml:space="preserve"> </w:t>
      </w:r>
      <w:r>
        <w:t xml:space="preserve">Guidance on notional interest deduction regimes adopted in 2019 by the Code of</w:t>
      </w:r>
      <w:r>
        <w:t xml:space="preserve"> </w:t>
      </w:r>
      <w:r>
        <w:t xml:space="preserve">Conduct will address the well-known existing schemes (e.g., cascading within a group,</w:t>
      </w:r>
      <w:r>
        <w:t xml:space="preserve"> </w:t>
      </w:r>
      <w:r>
        <w:t xml:space="preserve">acquisition of businesses held by associated enterprises…) while the General Anti Abuse</w:t>
      </w:r>
      <w:r>
        <w:t xml:space="preserve"> </w:t>
      </w:r>
      <w:r>
        <w:t xml:space="preserve">Rule (GAAR) included in the ATAD 1 will ensure a second line of defence against new</w:t>
      </w:r>
      <w:r>
        <w:t xml:space="preserve"> </w:t>
      </w:r>
      <w:r>
        <w:t xml:space="preserve">schemes that might appear in the future.</w:t>
      </w:r>
    </w:p>
    <w:p>
      <w:pPr>
        <w:pStyle w:val="BodyText"/>
      </w:pPr>
      <w:r>
        <w:t xml:space="preserve">76 Financial corporations are excluded from the scope of DEBRA.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Progress towards achieving the objectives of the initiative will be monitored and</w:t>
      </w:r>
      <w:r>
        <w:t xml:space="preserve"> </w:t>
      </w:r>
      <w:r>
        <w:t xml:space="preserve">evaluated. This is particularly important, first, in order to verify that key design features,</w:t>
      </w:r>
      <w:r>
        <w:t xml:space="preserve"> </w:t>
      </w:r>
      <w:r>
        <w:t xml:space="preserve">such as the choice of the allowance base, the notional interest rate and the interest</w:t>
      </w:r>
      <w:r>
        <w:t xml:space="preserve"> </w:t>
      </w:r>
      <w:r>
        <w:t xml:space="preserve">limitation rule remain appropriate to pursue the objective of mitigating the debt-equity</w:t>
      </w:r>
      <w:r>
        <w:t xml:space="preserve"> </w:t>
      </w:r>
      <w:r>
        <w:t xml:space="preserve">bias in the EU. Second, in the case of DEBRA, the effective application of the anti-tax</w:t>
      </w:r>
      <w:r>
        <w:t xml:space="preserve"> </w:t>
      </w:r>
      <w:r>
        <w:t xml:space="preserve">abuse framework across all Member States is a key element of the measure in order to</w:t>
      </w:r>
      <w:r>
        <w:t xml:space="preserve"> </w:t>
      </w:r>
      <w:r>
        <w:t xml:space="preserve">prevent loopholes that leave room for harmful tax practices. Monitoring will be an</w:t>
      </w:r>
      <w:r>
        <w:t xml:space="preserve"> </w:t>
      </w:r>
      <w:r>
        <w:t xml:space="preserve">incentive for Member States to actively implement and properly enforce the anti-tax</w:t>
      </w:r>
      <w:r>
        <w:t xml:space="preserve"> </w:t>
      </w:r>
      <w:r>
        <w:t xml:space="preserve">abuse framework that will come with the measure. In this context, monitoring should</w:t>
      </w:r>
      <w:r>
        <w:t xml:space="preserve"> </w:t>
      </w:r>
      <w:r>
        <w:t xml:space="preserve">cover:</w:t>
      </w:r>
      <w:r>
        <w:t xml:space="preserve"> </w:t>
      </w:r>
      <w:r>
        <w:t xml:space="preserve">1. Reporting by Member States on the evolution of the debt/equity ratio at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2. Reporting by Member States on the annual budget cost connected to equity</w:t>
      </w:r>
      <w:r>
        <w:t xml:space="preserve"> </w:t>
      </w:r>
      <w:r>
        <w:t xml:space="preserve">allowance under DEBRA as well as on tax revenues from such beneficiaries.</w:t>
      </w:r>
      <w:r>
        <w:t xml:space="preserve"> </w:t>
      </w:r>
      <w:r>
        <w:t xml:space="preserve">3. Reporting by Member States on the total sum of net interest expenses that are</w:t>
      </w:r>
      <w:r>
        <w:t xml:space="preserve"> </w:t>
      </w:r>
      <w:r>
        <w:t xml:space="preserve">relevant for the interest limitation. In addition annual revenues connected to</w:t>
      </w:r>
      <w:r>
        <w:t xml:space="preserve"> </w:t>
      </w:r>
      <w:r>
        <w:t xml:space="preserve">interest limitation under DEBRA should be reported.</w:t>
      </w:r>
      <w:r>
        <w:t xml:space="preserve"> </w:t>
      </w:r>
      <w:r>
        <w:t xml:space="preserve">4. Reporting of data by Member States on the implementation of the anti-tax abuse</w:t>
      </w:r>
      <w:r>
        <w:t xml:space="preserve"> </w:t>
      </w:r>
      <w:r>
        <w:t xml:space="preserve">framework, both at administrative and Court levels.</w:t>
      </w:r>
      <w:r>
        <w:t xml:space="preserve"> </w:t>
      </w:r>
      <w:r>
        <w:t xml:space="preserve">5. Public reporting by the Commission on its assessment of the effect of the</w:t>
      </w:r>
      <w:r>
        <w:t xml:space="preserve"> </w:t>
      </w:r>
      <w:r>
        <w:t xml:space="preserve">implementation of the measure on the debt-equity bias across the EU and on the</w:t>
      </w:r>
      <w:r>
        <w:t xml:space="preserve"> </w:t>
      </w:r>
      <w:r>
        <w:t xml:space="preserve">efficiency of application of the anti-tax abuse framework Member States by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data to be collected from Member States will depend on the content of the adopted</w:t>
      </w:r>
      <w:r>
        <w:t xml:space="preserve"> </w:t>
      </w:r>
      <w:r>
        <w:t xml:space="preserve">measure, but should include the following:</w:t>
      </w:r>
      <w:r>
        <w:t xml:space="preserve"> </w:t>
      </w:r>
      <w:r>
        <w:t xml:space="preserve">1. Number of taxpayers that have benefited from the allowance on equity in the tax</w:t>
      </w:r>
      <w:r>
        <w:t xml:space="preserve"> </w:t>
      </w:r>
      <w:r>
        <w:t xml:space="preserve">year as compared to the total number of taxpayers in scope of this directive in</w:t>
      </w:r>
      <w:r>
        <w:t xml:space="preserve"> </w:t>
      </w:r>
      <w:r>
        <w:t xml:space="preserve">accordance with Article 2.</w:t>
      </w:r>
      <w:r>
        <w:br/>
      </w:r>
      <w:r>
        <w:t xml:space="preserve">2. Number of small and medium enterprises (SMEs) that have benefitted from the</w:t>
      </w:r>
      <w:r>
        <w:t xml:space="preserve"> </w:t>
      </w:r>
      <w:r>
        <w:t xml:space="preserve">allowance in the tax year as compared to total number of SMEs registered in the</w:t>
      </w:r>
      <w:r>
        <w:t xml:space="preserve"> </w:t>
      </w:r>
      <w:r>
        <w:t xml:space="preserve">Member State</w:t>
      </w:r>
      <w:r>
        <w:t xml:space="preserve"> </w:t>
      </w:r>
      <w:r>
        <w:t xml:space="preserve">3. Total amount allocated to the allowance as compared to the national gross</w:t>
      </w:r>
      <w:r>
        <w:t xml:space="preserve"> </w:t>
      </w:r>
      <w:r>
        <w:t xml:space="preserve">domestic product.</w:t>
      </w:r>
      <w:r>
        <w:t xml:space="preserve"> </w:t>
      </w:r>
      <w:r>
        <w:t xml:space="preserve">4. Total amount of exceeding borrowing costs (i.e. interest paid minus interest</w:t>
      </w:r>
      <w:r>
        <w:t xml:space="preserve"> </w:t>
      </w:r>
      <w:r>
        <w:t xml:space="preserve">received) summed over all companies.</w:t>
      </w:r>
      <w:r>
        <w:br/>
      </w:r>
      <w:r>
        <w:t xml:space="preserve">5. Total amount of non-deductible exceeding borrowing costs.</w:t>
      </w:r>
      <w:r>
        <w:br/>
      </w:r>
      <w:r>
        <w:t xml:space="preserve">6. Number of taxpayers to which measures from the anti-tax abuse framework of</w:t>
      </w:r>
      <w:r>
        <w:t xml:space="preserve"> </w:t>
      </w:r>
      <w:r>
        <w:t xml:space="preserve">DEBRA were applied and a description of tax consequences and sanctions linked</w:t>
      </w:r>
      <w:r>
        <w:t xml:space="preserve"> </w:t>
      </w:r>
      <w:r>
        <w:t xml:space="preserve">to this.</w:t>
      </w:r>
      <w:r>
        <w:t xml:space="preserve"> </w:t>
      </w:r>
      <w:r>
        <w:t xml:space="preserve">7. Data on the evolution of the debt/equity ratio in the meaning of Annex III, letters</w:t>
      </w:r>
      <w:r>
        <w:t xml:space="preserve"> </w:t>
      </w:r>
      <w:r>
        <w:t xml:space="preserve">a) and c) of Directive 2013/34/EU.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Commission will review the situation in the Member States regularly and publish a</w:t>
      </w:r>
      <w:r>
        <w:t xml:space="preserve"> </w:t>
      </w:r>
      <w:r>
        <w:t xml:space="preserve">report. The monitoring framework will be subject to further adjustments in accordance</w:t>
      </w:r>
      <w:r>
        <w:t xml:space="preserve"> </w:t>
      </w:r>
      <w:r>
        <w:t xml:space="preserve">with the final legal and implementation requirements and timeline.</w:t>
      </w:r>
      <w:r>
        <w:br/>
      </w:r>
      <w:r>
        <w:t xml:space="preserve">Five years after the implementation of the allowance, the Commission plans to evaluate</w:t>
      </w:r>
      <w:r>
        <w:t xml:space="preserve"> </w:t>
      </w:r>
      <w:r>
        <w:t xml:space="preserve">the results of this policy initiative on tackling debt/equity bias and effectively applying</w:t>
      </w:r>
      <w:r>
        <w:t xml:space="preserve"> </w:t>
      </w:r>
      <w:r>
        <w:t xml:space="preserve">the anti-tax abuse framework as well as the overall impact on tax revenues, businesses</w:t>
      </w:r>
      <w:r>
        <w:t xml:space="preserve"> </w:t>
      </w:r>
      <w:r>
        <w:t xml:space="preserve">and the internal market. In this context, data will be collected from both the business and</w:t>
      </w:r>
      <w:r>
        <w:t xml:space="preserve"> </w:t>
      </w:r>
      <w:r>
        <w:t xml:space="preserve">Member States. In this context the Commission should consider whether the design of</w:t>
      </w:r>
      <w:r>
        <w:t xml:space="preserve"> </w:t>
      </w:r>
      <w:r>
        <w:t xml:space="preserve">key elements of the initiative, including in particular the notional interest rate and the</w:t>
      </w:r>
      <w:r>
        <w:t xml:space="preserve"> </w:t>
      </w:r>
      <w:r>
        <w:t xml:space="preserve">calculation of the allowance base, remain pertinent to achieve the objectives pursued.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REFERENCES</w:t>
      </w:r>
    </w:p>
    <w:p>
      <w:pPr>
        <w:pStyle w:val="BodyText"/>
      </w:pPr>
      <w:r>
        <w:t xml:space="preserve">Acemoglu, D., A. Ozdaglar, and A. Tahbaz-Salehi (2010), “Cascades in Networks and</w:t>
      </w:r>
      <w:r>
        <w:t xml:space="preserve"> </w:t>
      </w:r>
      <w:r>
        <w:t xml:space="preserve">Aggregate Volatility,” Working Paper 16516, National Bureau of Economic</w:t>
      </w:r>
      <w:r>
        <w:t xml:space="preserve"> </w:t>
      </w:r>
      <w:r>
        <w:t xml:space="preserve">Research https://doi.org/10.3982/ECTA9623</w:t>
      </w:r>
      <w:r>
        <w:t xml:space="preserve"> </w:t>
      </w:r>
      <w:r>
        <w:t xml:space="preserve">Aernoudt, R. (2017) Executive Forum: the scale-up gap: and how to address it, Venture</w:t>
      </w:r>
      <w:r>
        <w:t xml:space="preserve"> </w:t>
      </w:r>
      <w:r>
        <w:t xml:space="preserve">Capital, 19:4, 361-372, DOI: 10.1080/13691066.2017.1348724</w:t>
      </w:r>
      <w:r>
        <w:t xml:space="preserve"> </w:t>
      </w:r>
      <w:r>
        <w:t xml:space="preserve">Auerbach, A., Devereux, M. and H. Simpson (2010), “Taxing corporate income”, in:</w:t>
      </w:r>
      <w:r>
        <w:t xml:space="preserve"> </w:t>
      </w:r>
      <w:r>
        <w:t xml:space="preserve">Dimensions of Tax Design: the Mirrlees Review, J. Mirrlees, S. Adam, T. Besley,</w:t>
      </w:r>
      <w:r>
        <w:t xml:space="preserve"> </w:t>
      </w:r>
      <w:r>
        <w:t xml:space="preserve">R. Blundell, S. Bond, R. Chote, M. Gammie, P. Johnson, G. Myles and J. Poterba</w:t>
      </w:r>
      <w:r>
        <w:t xml:space="preserve"> </w:t>
      </w:r>
      <w:r>
        <w:t xml:space="preserve">(eds), ISBN: 978-0-19-955375-4, Oxford University Press: April 2010</w:t>
      </w:r>
      <w:r>
        <w:t xml:space="preserve"> </w:t>
      </w:r>
      <w:r>
        <w:t xml:space="preserve">Aus dem Moore, N. (2014). Taxes and Corporate Financing Decisions: Evidence from</w:t>
      </w:r>
      <w:r>
        <w:t xml:space="preserve"> </w:t>
      </w:r>
      <w:r>
        <w:t xml:space="preserve">the Belgian ACE Reform. In Ruhr Economic Papers: Rheinisch-Westfälisches</w:t>
      </w:r>
      <w:r>
        <w:t xml:space="preserve"> </w:t>
      </w:r>
      <w:r>
        <w:t xml:space="preserve">Institut für Wirtschaftsforschung (RWI)</w:t>
      </w:r>
      <w:r>
        <w:t xml:space="preserve"> </w:t>
      </w:r>
      <w:r>
        <w:t xml:space="preserve">Berg, Tobias, and Christoph Kaserer. (2013). “Extracting the Equity Premium from CDS</w:t>
      </w:r>
      <w:r>
        <w:t xml:space="preserve"> </w:t>
      </w:r>
      <w:r>
        <w:t xml:space="preserve">Spreads.” Journal of Derivatives, vol. 21, no. 1 (Fall): 8–26.</w:t>
      </w:r>
      <w:r>
        <w:t xml:space="preserve"> </w:t>
      </w:r>
      <w:r>
        <w:t xml:space="preserve">Bernanke, B. S., Campbell, J. Y., Friedman, B. M., &amp; Summers, L. H. (1988). Is there a</w:t>
      </w:r>
      <w:r>
        <w:t xml:space="preserve"> </w:t>
      </w:r>
      <w:r>
        <w:t xml:space="preserve">corporate debt crisis?. Brookings Papers on Economic Activity, 1988(1), 83-139.</w:t>
      </w:r>
      <w:r>
        <w:t xml:space="preserve"> </w:t>
      </w:r>
      <w:r>
        <w:t xml:space="preserve">Berndt, A., Douglas, R., Duffie, D., &amp; Ferguson, M. (2018). Corporate credit risk premia.</w:t>
      </w:r>
      <w:r>
        <w:t xml:space="preserve"> </w:t>
      </w:r>
      <w:r>
        <w:t xml:space="preserve">Review of Finance, 22(2), 419-454.</w:t>
      </w:r>
      <w:r>
        <w:t xml:space="preserve"> </w:t>
      </w:r>
      <w:r>
        <w:t xml:space="preserve">Bianchi, J. (2011): “Overborrowing and Systemic Externalities in the Business Cycle,”</w:t>
      </w:r>
      <w:r>
        <w:t xml:space="preserve"> </w:t>
      </w:r>
      <w:r>
        <w:t xml:space="preserve">American Economic Review, 101(7), 3400–3426.</w:t>
      </w:r>
      <w:r>
        <w:t xml:space="preserve"> </w:t>
      </w:r>
      <w:r>
        <w:t xml:space="preserve">Branzoli, N., &amp; Caiumi, A. (2020). How effective is an incremental ACE in addressing</w:t>
      </w:r>
      <w:r>
        <w:t xml:space="preserve"> </w:t>
      </w:r>
      <w:r>
        <w:t xml:space="preserve">the debt bias? Evidence from corporate tax returns. International Tax and Public</w:t>
      </w:r>
      <w:r>
        <w:t xml:space="preserve"> </w:t>
      </w:r>
      <w:r>
        <w:t xml:space="preserve">Finance, 27, 1485-1519.</w:t>
      </w:r>
      <w:r>
        <w:t xml:space="preserve"> </w:t>
      </w:r>
      <w:r>
        <w:t xml:space="preserve">Bräutigam, R., Heckemeyer,J., Nicolay, K., Spengel, C. and Stutzenberger, K (2018),</w:t>
      </w:r>
      <w:r>
        <w:t xml:space="preserve"> </w:t>
      </w:r>
      <w:r>
        <w:t xml:space="preserve">Addressing the Debt-Equity Bias within a Common Consolidated Corporate Tax</w:t>
      </w:r>
      <w:r>
        <w:t xml:space="preserve"> </w:t>
      </w:r>
      <w:r>
        <w:t xml:space="preserve">Base (CCCTB) – Possibilities, Impact on Effective Tax Rates and Revenue</w:t>
      </w:r>
      <w:r>
        <w:t xml:space="preserve"> </w:t>
      </w:r>
      <w:r>
        <w:t xml:space="preserve">Neutrality, World Tax Journal [</w:t>
      </w:r>
      <w:r>
        <w:t xml:space="preserve"> </w:t>
      </w:r>
      <w:r>
        <w:t xml:space="preserve">De Mooij, R. A. (2011), “Tax Biases to Debt Finance: Assessing the Problem, Finding</w:t>
      </w:r>
      <w:r>
        <w:t xml:space="preserve"> </w:t>
      </w:r>
      <w:r>
        <w:t xml:space="preserve">Solutions”, IMF Staff Discussion Note SDN/11/11</w:t>
      </w:r>
      <w:r>
        <w:t xml:space="preserve"> </w:t>
      </w:r>
      <w:r>
        <w:t xml:space="preserve">De Mooij R. A., (2012),</w:t>
      </w:r>
      <w:r>
        <w:t xml:space="preserve"> </w:t>
      </w:r>
      <w:r>
        <w:t xml:space="preserve">‘Tax Biases to Debt Finance: Assessing the Problem, Finding</w:t>
      </w:r>
      <w:r>
        <w:t xml:space="preserve"> </w:t>
      </w:r>
      <w:r>
        <w:t xml:space="preserve">Solutions’</w:t>
      </w:r>
      <w:r>
        <w:t xml:space="preserve">, Fiscal Studies Vol. 33 No 4, pp. 489–512.</w:t>
      </w:r>
      <w:r>
        <w:t xml:space="preserve"> </w:t>
      </w:r>
      <w:r>
        <w:t xml:space="preserve">De Mooij, R.A., Devereux, M.P. (2011), An applied analysis of ACE and CBIT reforms</w:t>
      </w:r>
      <w:r>
        <w:t xml:space="preserve"> </w:t>
      </w:r>
      <w:r>
        <w:t xml:space="preserve">in the EU. Int Tax Public Finance 18, 93–120 (2011).</w:t>
      </w:r>
      <w:r>
        <w:t xml:space="preserve"> </w:t>
      </w:r>
      <w:r>
        <w:t xml:space="preserve">https://doi.org/10.1007/s10797-010-9138-8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De Mooij, Ruud, Shafik Hebous, S. and Milena Hrdinkova, M. (2018).</w:t>
      </w:r>
      <w:r>
        <w:t xml:space="preserve"> </w:t>
      </w:r>
      <w:r>
        <w:t xml:space="preserve">“Growth-</w:t>
      </w:r>
      <w:r>
        <w:t xml:space="preserve"> </w:t>
      </w:r>
      <w:r>
        <w:t xml:space="preserve">enhancing corporate tax reform in Belgium.”</w:t>
      </w:r>
      <w:r>
        <w:t xml:space="preserve"> </w:t>
      </w:r>
      <w:r>
        <w:t xml:space="preserve">Nordic Tax Journal 2018.1, (2018):</w:t>
      </w:r>
      <w:r>
        <w:t xml:space="preserve"> </w:t>
      </w:r>
      <w:r>
        <w:t xml:space="preserve">1-17.</w:t>
      </w:r>
      <w:r>
        <w:br/>
      </w:r>
      <w:r>
        <w:t xml:space="preserve">Devereux, M.E. and Freeman, H. (1991).</w:t>
      </w:r>
      <w:r>
        <w:t xml:space="preserve"> </w:t>
      </w:r>
      <w:r>
        <w:t xml:space="preserve">“A General Neutral Profits Tax.”</w:t>
      </w:r>
      <w:r>
        <w:t xml:space="preserve"> </w:t>
      </w:r>
      <w:r>
        <w:t xml:space="preserve">Fiscal Studies</w:t>
      </w:r>
      <w:r>
        <w:t xml:space="preserve"> </w:t>
      </w:r>
      <w:r>
        <w:t xml:space="preserve">12 (3), 1-15. https://doi.org/10.1111/j.1475-5890.1991.tb00158.x</w:t>
      </w:r>
      <w:r>
        <w:t xml:space="preserve"> </w:t>
      </w:r>
      <w:r>
        <w:t xml:space="preserve">Diez, F., Duval, F., Fan, Y., Garrido, J., Kalemli-Ozcan, S., Maggi, C., Martinez-Peria,</w:t>
      </w:r>
      <w:r>
        <w:t xml:space="preserve"> </w:t>
      </w:r>
      <w:r>
        <w:t xml:space="preserve">S., and N. Pierri, (2021). “Insolvency Prospects Among Small-and-Medium-</w:t>
      </w:r>
      <w:r>
        <w:t xml:space="preserve"> </w:t>
      </w:r>
      <w:r>
        <w:t xml:space="preserve">Sized Enterprises in Advanced Economies: Assessment and Policy Options”, IMF</w:t>
      </w:r>
      <w:r>
        <w:t xml:space="preserve"> </w:t>
      </w:r>
      <w:r>
        <w:t xml:space="preserve">Staff Discussion Note.</w:t>
      </w:r>
      <w:r>
        <w:t xml:space="preserve"> </w:t>
      </w:r>
      <w:r>
        <w:t xml:space="preserve">Duarte, Fernando, and Carlo Rosa. (2015). “The Equity Risk Premium: A Review of</w:t>
      </w:r>
      <w:r>
        <w:t xml:space="preserve"> </w:t>
      </w:r>
      <w:r>
        <w:t xml:space="preserve">Models.” Economic Policy Review, vol. 21, no. 2 (December): 39–57</w:t>
      </w:r>
      <w:r>
        <w:t xml:space="preserve"> </w:t>
      </w:r>
      <w:r>
        <w:t xml:space="preserve">(https://ssrn.com/abstract=2886334).</w:t>
      </w:r>
      <w:r>
        <w:t xml:space="preserve"> </w:t>
      </w:r>
      <w:r>
        <w:t xml:space="preserve">Ebeke, C. H, Nemanja Jovanovic, N, Valderrama, L., Zhou, J. (2021). Corporate</w:t>
      </w:r>
      <w:r>
        <w:t xml:space="preserve"> </w:t>
      </w:r>
      <w:r>
        <w:t xml:space="preserve">Liquidity and Solvency in Europe during COVID-19: The Role of Policies IMF</w:t>
      </w:r>
      <w:r>
        <w:t xml:space="preserve"> </w:t>
      </w:r>
      <w:r>
        <w:t xml:space="preserve">Working Paper No. 2021/056</w:t>
      </w:r>
      <w:r>
        <w:t xml:space="preserve"> </w:t>
      </w:r>
      <w:r>
        <w:t xml:space="preserve">ECB (2020), Financial stability review November 2020,</w:t>
      </w:r>
      <w:r>
        <w:t xml:space="preserve"> </w:t>
      </w:r>
      <w:r>
        <w:t xml:space="preserve">https://www.ecb.europa.eu/pub/financial-</w:t>
      </w:r>
      <w:r>
        <w:t xml:space="preserve"> </w:t>
      </w:r>
      <w:r>
        <w:t xml:space="preserve">stability/fsr/focus/2020/html/ecb.fsrbox202011_01~afc02db8d6.en.html</w:t>
      </w:r>
      <w:r>
        <w:t xml:space="preserve"> </w:t>
      </w:r>
      <w:r>
        <w:t xml:space="preserve">ECB (2021), Financial stability review May 2021,</w:t>
      </w:r>
      <w:r>
        <w:t xml:space="preserve"> </w:t>
      </w:r>
      <w:r>
        <w:t xml:space="preserve">https://www.ecb.europa.eu/pub/financial-</w:t>
      </w:r>
      <w:r>
        <w:t xml:space="preserve"> </w:t>
      </w:r>
      <w:r>
        <w:t xml:space="preserve">stability/fsr/html/ecb.fsr202105~757f727fe4.en.html</w:t>
      </w:r>
      <w:r>
        <w:t xml:space="preserve"> </w:t>
      </w:r>
      <w:r>
        <w:t xml:space="preserve">EIB (2021), EIB Investment Report 2020/2021: Building a smart and green Europe in the</w:t>
      </w:r>
      <w:r>
        <w:t xml:space="preserve"> </w:t>
      </w:r>
      <w:r>
        <w:t xml:space="preserve">COVID-19 era, https://www.eib.org/en/publications/investment-report-2020</w:t>
      </w:r>
      <w:r>
        <w:t xml:space="preserve"> </w:t>
      </w:r>
      <w:r>
        <w:t xml:space="preserve">ESTAT (2013), European system of accounts ESA 2010, Luxembourg: Publications</w:t>
      </w:r>
      <w:r>
        <w:t xml:space="preserve"> </w:t>
      </w:r>
      <w:r>
        <w:t xml:space="preserve">Office of the European Union, ISBN 978-92-79-31242-7, URL:</w:t>
      </w:r>
      <w:r>
        <w:t xml:space="preserve"> </w:t>
      </w:r>
      <w:r>
        <w:t xml:space="preserve">https://ec.europa.eu/eurostat/documents/3859598/5925693/KS-02-13-269-</w:t>
      </w:r>
      <w:r>
        <w:t xml:space="preserve"> </w:t>
      </w:r>
      <w:r>
        <w:t xml:space="preserve">EN.PDF/44cd9d01-bc64-40e5-bd40-d17df0c69334</w:t>
      </w:r>
      <w:r>
        <w:t xml:space="preserve"> </w:t>
      </w:r>
      <w:r>
        <w:t xml:space="preserve">European Commission (2016), Directorate-General for Taxation and Customs Union,</w:t>
      </w:r>
      <w:r>
        <w:t xml:space="preserve"> </w:t>
      </w:r>
      <w:r>
        <w:t xml:space="preserve">Stutzenberger, K., Nicolay, K., Spengel, C., et al., The effects of tax reforms to</w:t>
      </w:r>
      <w:r>
        <w:t xml:space="preserve"> </w:t>
      </w:r>
      <w:r>
        <w:t xml:space="preserve">address the debt-equity bias on the cost of capital and on effective tax rates: final</w:t>
      </w:r>
      <w:r>
        <w:t xml:space="preserve"> </w:t>
      </w:r>
      <w:r>
        <w:t xml:space="preserve">report, Publications Office, https://data.europa.eu/doi/10.2778/919188</w:t>
      </w:r>
      <w:r>
        <w:t xml:space="preserve"> </w:t>
      </w:r>
      <w:r>
        <w:t xml:space="preserve">European Commission (2018), Tax Policies in the European Union 2018 Survey,</w:t>
      </w:r>
      <w:r>
        <w:t xml:space="preserve"> </w:t>
      </w:r>
      <w:r>
        <w:t xml:space="preserve">https://ec.europa.eu/taxation_customs/sites/default/files/2018-tax-survey-</w:t>
      </w:r>
      <w:r>
        <w:t xml:space="preserve"> </w:t>
      </w:r>
      <w:r>
        <w:t xml:space="preserve">report.pdf</w:t>
      </w:r>
      <w:r>
        <w:t xml:space="preserve"> </w:t>
      </w:r>
      <w:r>
        <w:t xml:space="preserve">European Commission (2021), Annual Report on Taxation,</w:t>
      </w:r>
      <w:r>
        <w:t xml:space="preserve"> </w:t>
      </w:r>
      <w:r>
        <w:t xml:space="preserve">https://op.europa.eu/en/publication-detail/-/publication/db46de2a-b785-11eb-</w:t>
      </w:r>
      <w:r>
        <w:t xml:space="preserve"> </w:t>
      </w:r>
      <w:r>
        <w:t xml:space="preserve">8aca-01aa75ed71a1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European Commission (2021), Study on equity investments in Europe - Mind the gap,</w:t>
      </w:r>
      <w:r>
        <w:t xml:space="preserve"> </w:t>
      </w:r>
      <w:r>
        <w:t xml:space="preserve">https://op.europa.eu/en/publication-detail/-/publication/4a355d87-669a-11eb-</w:t>
      </w:r>
      <w:r>
        <w:t xml:space="preserve"> </w:t>
      </w:r>
      <w:r>
        <w:t xml:space="preserve">aeb5-01aa75ed71a1/</w:t>
      </w:r>
      <w:r>
        <w:t xml:space="preserve"> </w:t>
      </w:r>
      <w:r>
        <w:t xml:space="preserve">Fama, Eugene F., and Kenneth R. French. (2002). “The Equity Premium.” Journal of</w:t>
      </w:r>
      <w:r>
        <w:t xml:space="preserve"> </w:t>
      </w:r>
      <w:r>
        <w:t xml:space="preserve">Finance, vol. 57, no. 2 (April): 637–659</w:t>
      </w:r>
      <w:r>
        <w:t xml:space="preserve"> </w:t>
      </w:r>
      <w:r>
        <w:t xml:space="preserve">Fatica, S., Hemmelgarn, T., Nicodème, G. (2012). Taxation Paper No 33 (2012): The</w:t>
      </w:r>
      <w:r>
        <w:t xml:space="preserve"> </w:t>
      </w:r>
      <w:r>
        <w:t xml:space="preserve">Debt-Equity Tax Bias: consequences and solutions.</w:t>
      </w:r>
      <w:r>
        <w:br/>
      </w:r>
      <w:r>
        <w:t xml:space="preserve">Feld, L., Heckemeyer, J. and Overesch, M. (2013). Capital structure choice and company</w:t>
      </w:r>
      <w:r>
        <w:t xml:space="preserve"> </w:t>
      </w:r>
      <w:r>
        <w:t xml:space="preserve">taxation: A meta-study. Journal of Banking &amp; Finance, 37(8), pp.2850–2866.</w:t>
      </w:r>
      <w:r>
        <w:t xml:space="preserve"> </w:t>
      </w:r>
      <w:r>
        <w:t xml:space="preserve">Gilchrist, S., &amp; Mojon, B. (2018). Credit risk in the euro area. The Economic Journal,</w:t>
      </w:r>
      <w:r>
        <w:t xml:space="preserve"> </w:t>
      </w:r>
      <w:r>
        <w:t xml:space="preserve">128(608), 118-158.</w:t>
      </w:r>
      <w:r>
        <w:t xml:space="preserve"> </w:t>
      </w:r>
      <w:r>
        <w:t xml:space="preserve">Giroud, X. and Mueller, H.M. (2017). Firm Leverage, Consumer Demand, and</w:t>
      </w:r>
      <w:r>
        <w:t xml:space="preserve"> </w:t>
      </w:r>
      <w:r>
        <w:t xml:space="preserve">Employment Losses during the Great Recession. The Quarterly Journal of</w:t>
      </w:r>
      <w:r>
        <w:t xml:space="preserve"> </w:t>
      </w:r>
      <w:r>
        <w:t xml:space="preserve">Economics, vol. 132, issue 1, 271-316</w:t>
      </w:r>
      <w:r>
        <w:t xml:space="preserve"> </w:t>
      </w:r>
      <w:r>
        <w:t xml:space="preserve">Gordon, R.H. (2010). Taxation and Corporate Use of Debt: Implications for Tax Policy,‖</w:t>
      </w:r>
      <w:r>
        <w:t xml:space="preserve"> </w:t>
      </w:r>
      <w:r>
        <w:t xml:space="preserve">National Tax Journal, Vol. 63, pp. 151–74</w:t>
      </w:r>
      <w:r>
        <w:t xml:space="preserve"> </w:t>
      </w:r>
      <w:r>
        <w:t xml:space="preserve">Griffith, R., Hines, J. and P.B. Sørensen (2010), International capital taxation,</w:t>
      </w:r>
      <w:r>
        <w:t xml:space="preserve"> </w:t>
      </w:r>
      <w:r>
        <w:t xml:space="preserve">Dimensions of Tax Design: the Mirrlees Review, J. Mirrlees, S. Adam, T. Besley,</w:t>
      </w:r>
      <w:r>
        <w:t xml:space="preserve"> </w:t>
      </w:r>
      <w:r>
        <w:t xml:space="preserve">R. Blundell, S. Bond, R. Chote, M. Gammie, P. Johnson, G. Myles and J. Poterba</w:t>
      </w:r>
      <w:r>
        <w:t xml:space="preserve"> </w:t>
      </w:r>
      <w:r>
        <w:t xml:space="preserve">(eds), ISBN: 978-0-19-955375-4, Oxford University Press: April 2010.</w:t>
      </w:r>
      <w:r>
        <w:t xml:space="preserve"> </w:t>
      </w:r>
      <w:r>
        <w:t xml:space="preserve">Gropp R., and F. Heider (2009): The determinants of bank capital structure, ECB WP</w:t>
      </w:r>
      <w:r>
        <w:t xml:space="preserve"> </w:t>
      </w:r>
      <w:r>
        <w:t xml:space="preserve">series no 1096, European Central Bank</w:t>
      </w:r>
      <w:r>
        <w:t xml:space="preserve"> </w:t>
      </w:r>
      <w:r>
        <w:t xml:space="preserve">Gu, G., De Mooij, R. and T. Poghosyan (2014): Taxation and leverage in international</w:t>
      </w:r>
      <w:r>
        <w:t xml:space="preserve"> </w:t>
      </w:r>
      <w:r>
        <w:t xml:space="preserve">banking, International Tax and Public Finance, March 2014</w:t>
      </w:r>
      <w:r>
        <w:t xml:space="preserve"> </w:t>
      </w:r>
      <w:r>
        <w:t xml:space="preserve">Hebous, S., &amp; Ruf, M. (2017). Evaluating the effects of ACE systems on multinational</w:t>
      </w:r>
      <w:r>
        <w:t xml:space="preserve"> </w:t>
      </w:r>
      <w:r>
        <w:t xml:space="preserve">debt financing and investment. Journal of Public Economics, 156, 131-149</w:t>
      </w:r>
      <w:r>
        <w:t xml:space="preserve"> </w:t>
      </w:r>
      <w:r>
        <w:t xml:space="preserve">Hemmelgarn, T. and D. Teichman (2014): Tax reforms and the capital structure of banks,</w:t>
      </w:r>
      <w:r>
        <w:t xml:space="preserve"> </w:t>
      </w:r>
      <w:r>
        <w:t xml:space="preserve">International Tax and Public Finance, May 2014</w:t>
      </w:r>
      <w:r>
        <w:t xml:space="preserve"> </w:t>
      </w:r>
      <w:r>
        <w:t xml:space="preserve">Huizinga, H., &amp; Laeven, L. (2008). International profit shifting within multinationals: A</w:t>
      </w:r>
      <w:r>
        <w:t xml:space="preserve"> </w:t>
      </w:r>
      <w:r>
        <w:t xml:space="preserve">multi-country perspective. Journal of Public Economics, 92(5-6), 1164-1182.</w:t>
      </w:r>
      <w:r>
        <w:t xml:space="preserve"> </w:t>
      </w:r>
      <w:r>
        <w:t xml:space="preserve">Horvath, B. (2013): The Impact of Taxation on Bank Leverage and Asset Risk, CentER</w:t>
      </w:r>
      <w:r>
        <w:t xml:space="preserve"> </w:t>
      </w:r>
      <w:r>
        <w:t xml:space="preserve">Discussion Paper Series No. 2013-076. http://ssrn.com/abstract=2366359</w:t>
      </w:r>
      <w:r>
        <w:t xml:space="preserve"> </w:t>
      </w:r>
      <w:r>
        <w:t xml:space="preserve">Ibbotson, Roger G., and Rex A. Sinquefield. (1976). “Stocks, Bonds, Bills, and Inflation:</w:t>
      </w:r>
      <w:r>
        <w:t xml:space="preserve"> </w:t>
      </w:r>
      <w:r>
        <w:t xml:space="preserve">Year-by-Year Historical Returns (1926–1974).” Journal of Business, vol. 49, no.</w:t>
      </w:r>
      <w:r>
        <w:t xml:space="preserve"> </w:t>
      </w:r>
      <w:r>
        <w:t xml:space="preserve">1 (January): 11–47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International Monetary Fund - IMF (2016). Tax Policy, Leverage and Macroeconomic</w:t>
      </w:r>
      <w:r>
        <w:t xml:space="preserve"> </w:t>
      </w:r>
      <w:r>
        <w:t xml:space="preserve">Stability. IMF Policy Paper, 151. https://www.imf.org/en/Publications/Policy-</w:t>
      </w:r>
      <w:r>
        <w:t xml:space="preserve"> </w:t>
      </w:r>
      <w:r>
        <w:t xml:space="preserve">Papers/Issues/2016/12/31/Tax-Policy-Leverage-and-Macroeconomic-Stability-</w:t>
      </w:r>
      <w:r>
        <w:t xml:space="preserve"> </w:t>
      </w:r>
      <w:r>
        <w:t xml:space="preserve">PP5073.</w:t>
      </w:r>
      <w:r>
        <w:t xml:space="preserve"> </w:t>
      </w:r>
      <w:r>
        <w:t xml:space="preserve">Joint Research Centre of the European Commission – JRC (2016) ‘Modelling corporate</w:t>
      </w:r>
      <w:r>
        <w:t xml:space="preserve"> </w:t>
      </w:r>
      <w:r>
        <w:t xml:space="preserve">tax reform in the EU: New calibration and simulations with the CORTAX</w:t>
      </w:r>
      <w:r>
        <w:t xml:space="preserve"> </w:t>
      </w:r>
      <w:r>
        <w:t xml:space="preserve">model’, Taxation Papers n. 66, Directorate General Taxation and Customs Union,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Jordà, Ò., Schularick, M., &amp; Taylor, A. M. (2013). When credit bites back. Journal of</w:t>
      </w:r>
      <w:r>
        <w:t xml:space="preserve"> </w:t>
      </w:r>
      <w:r>
        <w:t xml:space="preserve">Money, Credit and Banking, 45(s2), 3-28.</w:t>
      </w:r>
      <w:r>
        <w:t xml:space="preserve"> </w:t>
      </w:r>
      <w:r>
        <w:t xml:space="preserve">Kalemli-Ozcan, Sebnem &amp; Emiliano E. Luttini &amp; Bent Sorensen (2014),</w:t>
      </w:r>
      <w:r>
        <w:t xml:space="preserve"> </w:t>
      </w:r>
      <w:r>
        <w:t xml:space="preserve">“Debt Crises</w:t>
      </w:r>
      <w:r>
        <w:t xml:space="preserve"> </w:t>
      </w:r>
      <w:r>
        <w:t xml:space="preserve">and Risk Sharing: The Role of Markets versus Sovereigns,”</w:t>
      </w:r>
      <w:r>
        <w:t xml:space="preserve"> </w:t>
      </w:r>
      <w:r>
        <w:t xml:space="preserve">NBER Working</w:t>
      </w:r>
      <w:r>
        <w:t xml:space="preserve"> </w:t>
      </w:r>
      <w:r>
        <w:t xml:space="preserve">Papers 19914, National Bureau of Economic Research, Inc.</w:t>
      </w:r>
      <w:r>
        <w:br/>
      </w:r>
      <w:r>
        <w:t xml:space="preserve">Kayo, Eduardo K., and Herbert Kimura (2011), Hierarchical determinants of capital</w:t>
      </w:r>
      <w:r>
        <w:t xml:space="preserve"> </w:t>
      </w:r>
      <w:r>
        <w:t xml:space="preserve">structure.” Journal of banking &amp; finance 35.2, 358-371.</w:t>
      </w:r>
      <w:r>
        <w:t xml:space="preserve"> </w:t>
      </w:r>
      <w:r>
        <w:t xml:space="preserve">Keen M. and R. de Mooij (2012): Debt, Taxes, and Banks, IMF WP/12/48, International</w:t>
      </w:r>
      <w:r>
        <w:t xml:space="preserve"> </w:t>
      </w:r>
      <w:r>
        <w:t xml:space="preserve">Monetary Fund</w:t>
      </w:r>
      <w:r>
        <w:t xml:space="preserve"> </w:t>
      </w:r>
      <w:r>
        <w:t xml:space="preserve">Langedijk, S., Gaëtan Nicodème, G., Andrea Pagano, A. and Alessandro Rossi, A.</w:t>
      </w:r>
      <w:r>
        <w:t xml:space="preserve"> </w:t>
      </w:r>
      <w:r>
        <w:t xml:space="preserve">(2014), Debt Bias in Corporate Taxation and the Costs of Banking Crises in the</w:t>
      </w:r>
      <w:r>
        <w:t xml:space="preserve"> </w:t>
      </w:r>
      <w:r>
        <w:t xml:space="preserve">EU,</w:t>
      </w:r>
      <w:r>
        <w:t xml:space="preserve"> </w:t>
      </w:r>
      <w:r>
        <w:t xml:space="preserve">ttps://ec.europa.eu/taxation_customs/sites/default/files/resources/documents/taxati</w:t>
      </w:r>
      <w:r>
        <w:t xml:space="preserve"> </w:t>
      </w:r>
      <w:r>
        <w:t xml:space="preserve">on/gen_info/economic_analysis/tax_papers/taxation_paper_50.pdf</w:t>
      </w:r>
      <w:r>
        <w:t xml:space="preserve"> </w:t>
      </w:r>
      <w:r>
        <w:t xml:space="preserve">Luca, Oana, and Alexander F. Tieman. (2019).</w:t>
      </w:r>
      <w:r>
        <w:t xml:space="preserve"> </w:t>
      </w:r>
      <w:r>
        <w:t xml:space="preserve">“Financial sector debt bias.”</w:t>
      </w:r>
      <w:r>
        <w:t xml:space="preserve"> </w:t>
      </w:r>
      <w:r>
        <w:t xml:space="preserve">Journal of</w:t>
      </w:r>
      <w:r>
        <w:t xml:space="preserve"> </w:t>
      </w:r>
      <w:r>
        <w:t xml:space="preserve">Banking &amp; Finance 107.</w:t>
      </w:r>
      <w:r>
        <w:t xml:space="preserve"> </w:t>
      </w:r>
      <w:r>
        <w:t xml:space="preserve">Moradi, Amir, and Elisabeth Paulet (2019), The firm-specific determinants of capital</w:t>
      </w:r>
      <w:r>
        <w:t xml:space="preserve"> </w:t>
      </w:r>
      <w:r>
        <w:t xml:space="preserve">structure–An empirical analysis of firms before and during the Euro Crisis.</w:t>
      </w:r>
      <w:r>
        <w:t xml:space="preserve"> </w:t>
      </w:r>
      <w:r>
        <w:t xml:space="preserve">Research in International Business and Finance 47, 150-161.</w:t>
      </w:r>
      <w:r>
        <w:t xml:space="preserve"> </w:t>
      </w:r>
      <w:r>
        <w:t xml:space="preserve">Panier, F. Francisco Pérez-González, F. and Villanueva, P. (2015), Capital Structure and</w:t>
      </w:r>
      <w:r>
        <w:t xml:space="preserve"> </w:t>
      </w:r>
      <w:r>
        <w:t xml:space="preserve">Taxes: What Happens When You (Also) Subsidize Equity?</w:t>
      </w:r>
      <w:r>
        <w:br/>
      </w:r>
      <w:r>
        <w:t xml:space="preserve">Panteghini, P. M., Parisi, M. L., &amp; Pighetti, F. (2012). Italy’s ACE Tax and its Effect on a</w:t>
      </w:r>
      <w:r>
        <w:t xml:space="preserve"> </w:t>
      </w:r>
      <w:r>
        <w:t xml:space="preserve">Firm’s Leverage. Economics, Open Access Open Assessment e-Journal,</w:t>
      </w:r>
      <w:r>
        <w:t xml:space="preserve"> </w:t>
      </w:r>
      <w:r>
        <w:t xml:space="preserve">Discussion Paper, (2012-31).</w:t>
      </w:r>
      <w:r>
        <w:t xml:space="preserve"> </w:t>
      </w:r>
      <w:r>
        <w:t xml:space="preserve">Princen, Savina (2012). Taxes Do Affect Corporate Financing Decisions: The Case of</w:t>
      </w:r>
      <w:r>
        <w:t xml:space="preserve"> </w:t>
      </w:r>
      <w:r>
        <w:t xml:space="preserve">Belgian ACE . CESifo Working Paper Series No. 3713, Available at SSRN:</w:t>
      </w:r>
      <w:r>
        <w:t xml:space="preserve"> </w:t>
      </w:r>
      <w:r>
        <w:t xml:space="preserve">https://ssrn.com/abstract=1992330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PWC, I. C. (2017). Effectiveness of tax incentives for venture capital and business angels</w:t>
      </w:r>
      <w:r>
        <w:t xml:space="preserve"> </w:t>
      </w:r>
      <w:r>
        <w:t xml:space="preserve">to foster the investment of SMEs and start-ups. Taxation Papers, Working Paper</w:t>
      </w:r>
      <w:r>
        <w:t xml:space="preserve"> </w:t>
      </w:r>
      <w:r>
        <w:t xml:space="preserve">n. 68.</w:t>
      </w:r>
      <w:r>
        <w:t xml:space="preserve"> </w:t>
      </w:r>
      <w:r>
        <w:t xml:space="preserve">Schepens, G. (2015) Taxes and Bank Capital Structure (July 3, 2015). Available at</w:t>
      </w:r>
      <w:r>
        <w:t xml:space="preserve"> </w:t>
      </w:r>
      <w:r>
        <w:t xml:space="preserve">SSRN: https://ssrn.com/abstract=2519533</w:t>
      </w:r>
      <w:r>
        <w:br/>
      </w:r>
      <w:r>
        <w:t xml:space="preserve">Shiller, Robert J. (2000). Irrational Exuberance. Princeton, NJ: Princeton University</w:t>
      </w:r>
      <w:r>
        <w:t xml:space="preserve"> </w:t>
      </w:r>
      <w:r>
        <w:t xml:space="preserve">Press.</w:t>
      </w:r>
      <w:r>
        <w:t xml:space="preserve"> </w:t>
      </w:r>
      <w:r>
        <w:t xml:space="preserve">Siegel, Lawrence B. (2017), The Equity Risk Premium: A Contextual Literature Review</w:t>
      </w:r>
      <w:r>
        <w:t xml:space="preserve"> </w:t>
      </w:r>
      <w:r>
        <w:t xml:space="preserve">by. https://www.cfainstitute.org/-/media/documents/book/rf-lit-</w:t>
      </w:r>
      <w:r>
        <w:t xml:space="preserve"> </w:t>
      </w:r>
      <w:r>
        <w:t xml:space="preserve">review/2017/rflrv12n11.pdf</w:t>
      </w:r>
      <w:r>
        <w:t xml:space="preserve"> </w:t>
      </w:r>
      <w:r>
        <w:t xml:space="preserve">Sørensen, Peter B. (2017).</w:t>
      </w:r>
      <w:r>
        <w:t xml:space="preserve"> </w:t>
      </w:r>
      <w:r>
        <w:t xml:space="preserve">“Taxation and the optimal constraint on corporate debt</w:t>
      </w:r>
      <w:r>
        <w:t xml:space="preserve"> </w:t>
      </w:r>
      <w:r>
        <w:t xml:space="preserve">finance: why a comprehensive business income tax is suboptimal,”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Tax and Public Finance, Springer;International Institute of Public Finance, vol. </w:t>
      </w:r>
      <w:r>
        <w:t xml:space="preserve"> </w:t>
      </w:r>
      <w:r>
        <w:t xml:space="preserve">24(5), pages 731-753, September.</w:t>
      </w:r>
      <w:r>
        <w:t xml:space="preserve"> </w:t>
      </w:r>
      <w:r>
        <w:t xml:space="preserve">Sutherland, D. and P. Hoeller (2012), “Debt and Macroeconomic Stability: An Overview</w:t>
      </w:r>
      <w:r>
        <w:t xml:space="preserve"> </w:t>
      </w:r>
      <w:r>
        <w:t xml:space="preserve">of the Literature and Some Empirics”, OECD Economics Department Working</w:t>
      </w:r>
      <w:r>
        <w:t xml:space="preserve"> </w:t>
      </w:r>
      <w:r>
        <w:t xml:space="preserve">Papers, No. 1006, OECD Publishing https://doi.org/10.1787/5k8xb75txzf5-en.</w:t>
      </w:r>
      <w:r>
        <w:t xml:space="preserve"> </w:t>
      </w:r>
      <w:r>
        <w:t xml:space="preserve">Titman, Sheridan, and Roberto Wessels (1988), The determinants of capital structure</w:t>
      </w:r>
      <w:r>
        <w:t xml:space="preserve"> </w:t>
      </w:r>
      <w:r>
        <w:t xml:space="preserve">choice, The Journal of Finance 43.1, 1-19.</w:t>
      </w:r>
      <w:r>
        <w:t xml:space="preserve"> </w:t>
      </w:r>
      <w:r>
        <w:t xml:space="preserve">Zangari, E. (2014).</w:t>
      </w:r>
      <w:r>
        <w:t xml:space="preserve"> </w:t>
      </w:r>
      <w:r>
        <w:t xml:space="preserve">“Addressing the Debt Bias: A Comparison between the Belgian and</w:t>
      </w:r>
      <w:r>
        <w:t xml:space="preserve"> </w:t>
      </w:r>
      <w:r>
        <w:t xml:space="preserve">the Italian ACE Systems,”</w:t>
      </w:r>
      <w:r>
        <w:t xml:space="preserve"> </w:t>
      </w:r>
      <w:r>
        <w:t xml:space="preserve">Taxation Papers 44, Directorate General Taxation and</w:t>
      </w:r>
      <w:r>
        <w:t xml:space="preserve"> </w:t>
      </w:r>
      <w:r>
        <w:t xml:space="preserve">Customs Union, European Commission.</w:t>
      </w:r>
      <w:r>
        <w:t xml:space="preserve"> </w:t>
      </w:r>
      <w:r>
        <w:t xml:space="preserve">Zangari, E. (2020). “An Economic Assessment of the Evolution of the Corporate Tax</w:t>
      </w:r>
      <w:r>
        <w:t xml:space="preserve"> </w:t>
      </w:r>
      <w:r>
        <w:t xml:space="preserve">System in Italy.” FEN: Differences in Taxation &amp; Corporate Finance (Topic)</w:t>
      </w:r>
      <w:r>
        <w:t xml:space="preserve"> </w:t>
      </w:r>
      <w:r>
        <w:t xml:space="preserve">(2020): n. pag.</w:t>
      </w:r>
      <w:r>
        <w:t xml:space="preserve"> </w:t>
      </w:r>
      <w:r>
        <w:t xml:space="preserve">Zeli, A. (2018).</w:t>
      </w:r>
      <w:r>
        <w:t xml:space="preserve"> </w:t>
      </w:r>
      <w:r>
        <w:t xml:space="preserve">“The impact of ACE on investment: the Italian case,”</w:t>
      </w:r>
      <w:r>
        <w:t xml:space="preserve"> </w:t>
      </w:r>
      <w:r>
        <w:t xml:space="preserve">Economia Politica:</w:t>
      </w:r>
      <w:r>
        <w:t xml:space="preserve"> </w:t>
      </w:r>
      <w:r>
        <w:t xml:space="preserve">Journal of Analytical and Institutional Economics, Springer; Fondazione Edison,</w:t>
      </w:r>
      <w:r>
        <w:t xml:space="preserve"> </w:t>
      </w:r>
      <w:r>
        <w:t xml:space="preserve">vol. 35(3), pages 741-762, December.</w:t>
      </w:r>
      <w:r>
        <w:t xml:space="preserve"> </w:t>
      </w:r>
      <w:r>
        <w:t xml:space="preserve">ZEW (2016a),</w:t>
      </w:r>
      <w:r>
        <w:t xml:space="preserve"> </w:t>
      </w:r>
      <w:r>
        <w:t xml:space="preserve">‘The Effects of Tax Reforms to Address the Debt-equity Bias on the Cost</w:t>
      </w:r>
      <w:r>
        <w:t xml:space="preserve"> </w:t>
      </w:r>
      <w:r>
        <w:t xml:space="preserve">of Capital and on Effective Tax Rates’</w:t>
      </w:r>
      <w:r>
        <w:t xml:space="preserve">, forthcoming in Taxation Papers, DG</w:t>
      </w:r>
      <w:r>
        <w:t xml:space="preserve"> </w:t>
      </w:r>
      <w:r>
        <w:t xml:space="preserve">Taxation and Customs Union, European Commission.</w:t>
      </w:r>
      <w:r>
        <w:t xml:space="preserve"> </w:t>
      </w:r>
      <w:r>
        <w:t xml:space="preserve">ZEW (2016b), ’The Effect of Inflation and Interest Rates on Forward-looking Effective</w:t>
      </w:r>
      <w:r>
        <w:t xml:space="preserve"> </w:t>
      </w:r>
      <w:r>
        <w:t xml:space="preserve">Tax Rates, forthcoming in Taxation Papers, DG Taxation and Customs Union,</w:t>
      </w:r>
      <w:r>
        <w:t xml:space="preserve"> </w:t>
      </w:r>
      <w:r>
        <w:t xml:space="preserve">European Commission.</w:t>
      </w:r>
      <w:r>
        <w:t xml:space="preserve"> </w:t>
      </w:r>
      <w:r>
        <w:t xml:space="preserve">ZEW (2020), Effective tax rates using the Devereux/Griffith methodology, Project for</w:t>
      </w:r>
      <w:r>
        <w:t xml:space="preserve"> </w:t>
      </w:r>
      <w:r>
        <w:t xml:space="preserve">the EU Commission TAXUD/2013/CC/120 Final Report 2019`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ANNEX 1: PROCEDURAL INFORMATION</w:t>
      </w:r>
    </w:p>
    <w:p>
      <w:pPr>
        <w:pStyle w:val="Compact"/>
        <w:numPr>
          <w:ilvl w:val="0"/>
          <w:numId w:val="1012"/>
        </w:numPr>
      </w:pPr>
      <w:r>
        <w:t xml:space="preserve">Lead DG, Decide Planning/CWP references</w:t>
      </w:r>
      <w:r>
        <w:t xml:space="preserve"> </w:t>
      </w:r>
      <w:r>
        <w:t xml:space="preserve">The lead Directorate General is the Directorate General for Taxation and the Customs</w:t>
      </w:r>
      <w:r>
        <w:t xml:space="preserve"> </w:t>
      </w:r>
      <w:r>
        <w:t xml:space="preserve">Union (DG TAXUD).</w:t>
      </w:r>
      <w:r>
        <w:br/>
      </w:r>
      <w:r>
        <w:t xml:space="preserve">This initiative is supported by the following political agreements: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Agenda</w:t>
      </w:r>
      <w:r>
        <w:t xml:space="preserve"> </w:t>
      </w:r>
      <w:r>
        <w:t xml:space="preserve">Planning:</w:t>
      </w:r>
      <w:r>
        <w:t xml:space="preserve"> </w:t>
      </w:r>
      <w:r>
        <w:t xml:space="preserve">Debt</w:t>
      </w:r>
      <w:r>
        <w:t xml:space="preserve"> </w:t>
      </w:r>
      <w:r>
        <w:t xml:space="preserve">Equity</w:t>
      </w:r>
      <w:r>
        <w:t xml:space="preserve"> </w:t>
      </w:r>
      <w:r>
        <w:t xml:space="preserve">Bias</w:t>
      </w:r>
      <w:r>
        <w:t xml:space="preserve"> </w:t>
      </w:r>
      <w:r>
        <w:t xml:space="preserve">Reduction</w:t>
      </w:r>
      <w:r>
        <w:t xml:space="preserve"> </w:t>
      </w:r>
      <w:r>
        <w:t xml:space="preserve">Allowance</w:t>
      </w:r>
      <w:r>
        <w:t xml:space="preserve"> </w:t>
      </w:r>
      <w:r>
        <w:t xml:space="preserve">(DEBRA)</w:t>
      </w:r>
      <w:r>
        <w:t xml:space="preserve"> </w:t>
      </w:r>
      <w:r>
        <w:t xml:space="preserve">(PLAN/2021/10435)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Inception Impact Assessment: Debt Equity Bias Reduction Allowance (DEBRA) (Ref.</w:t>
      </w:r>
      <w:r>
        <w:br/>
      </w:r>
      <w:r>
        <w:t xml:space="preserve">Ares(2021)3879996)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The initiative was announced in the Communication on Business Taxation for the 21st</w:t>
      </w:r>
      <w:r>
        <w:t xml:space="preserve"> </w:t>
      </w:r>
      <w:r>
        <w:t xml:space="preserve">Century, COM(2021) 251 final.</w:t>
      </w:r>
    </w:p>
    <w:p>
      <w:pPr>
        <w:pStyle w:val="Compact"/>
        <w:numPr>
          <w:ilvl w:val="0"/>
          <w:numId w:val="1014"/>
        </w:numPr>
      </w:pPr>
      <w:r>
        <w:t xml:space="preserve">Organisation and timing</w:t>
      </w:r>
      <w:r>
        <w:t xml:space="preserve"> </w:t>
      </w:r>
      <w:r>
        <w:t xml:space="preserve">The work for this initiative was launched in April 2021. An Inter-Service Steering Group</w:t>
      </w:r>
      <w:r>
        <w:t xml:space="preserve"> </w:t>
      </w:r>
      <w:r>
        <w:t xml:space="preserve">was established and chaired by the Secretariat General. The following Directorates</w:t>
      </w:r>
      <w:r>
        <w:t xml:space="preserve"> </w:t>
      </w:r>
      <w:r>
        <w:t xml:space="preserve">General were invited to the Inter-Service Steering Group (ISSG): BUDG, CNECT,</w:t>
      </w:r>
      <w:r>
        <w:t xml:space="preserve"> </w:t>
      </w:r>
      <w:r>
        <w:t xml:space="preserve">COMM, COMP, ECFIN, EEAS, ESTAT, FISMA, GROW, INPTA, JRC, JUST, SJ,</w:t>
      </w:r>
      <w:r>
        <w:t xml:space="preserve"> </w:t>
      </w:r>
      <w:r>
        <w:t xml:space="preserve">OLAF, TRADE.</w:t>
      </w:r>
      <w:r>
        <w:br/>
      </w:r>
      <w:r>
        <w:t xml:space="preserve">The Inter-Service Steering Group met four times to discuss the file. Meetings of the</w:t>
      </w:r>
      <w:r>
        <w:t xml:space="preserve"> </w:t>
      </w:r>
      <w:r>
        <w:t xml:space="preserve">steering group took place on, 2 June 2021, 12 July 2021, 30 September 2021, 11</w:t>
      </w:r>
      <w:r>
        <w:t xml:space="preserve"> </w:t>
      </w:r>
      <w:r>
        <w:t xml:space="preserve">November 2021 and 3 February 2022. In addition to the meetings of the Inter-Service</w:t>
      </w:r>
      <w:r>
        <w:t xml:space="preserve"> </w:t>
      </w:r>
      <w:r>
        <w:t xml:space="preserve">Steering Group, DG TAXUD met regularly and repeatedly in bilateral meetings with</w:t>
      </w:r>
      <w:r>
        <w:t xml:space="preserve"> </w:t>
      </w:r>
      <w:r>
        <w:t xml:space="preserve">representatives of the following Directorates General to discuss the analysis in the impact</w:t>
      </w:r>
      <w:r>
        <w:t xml:space="preserve"> </w:t>
      </w:r>
      <w:r>
        <w:t xml:space="preserve">assessment, the design of options, and legal issues: COMP, FISMA, GROW, JRC.</w:t>
      </w:r>
    </w:p>
    <w:p>
      <w:pPr>
        <w:pStyle w:val="Compact"/>
        <w:numPr>
          <w:ilvl w:val="0"/>
          <w:numId w:val="1014"/>
        </w:numPr>
      </w:pPr>
      <w:r>
        <w:t xml:space="preserve">Consultation of the RSB</w:t>
      </w:r>
      <w:r>
        <w:t xml:space="preserve"> </w:t>
      </w:r>
      <w:r>
        <w:t xml:space="preserve">The Impact Assessment report was scrutinized by the Regulatory Scrutiny Board and</w:t>
      </w:r>
      <w:r>
        <w:t xml:space="preserve"> </w:t>
      </w:r>
      <w:r>
        <w:t xml:space="preserve">discussed in the relevant meeting on 16 March 2022. In the opinion dated 18/03/2022,</w:t>
      </w:r>
      <w:r>
        <w:t xml:space="preserve"> </w:t>
      </w:r>
      <w:r>
        <w:t xml:space="preserve">the Regulatory Scrutiny Board outlined recommendations which were integrated in the</w:t>
      </w:r>
      <w:r>
        <w:t xml:space="preserve"> </w:t>
      </w:r>
      <w:r>
        <w:t xml:space="preserve">impact assessment. The main changes to the document are summarized in Table A1.</w:t>
      </w:r>
      <w:r>
        <w:br/>
      </w:r>
      <w:r>
        <w:t xml:space="preserve">Table A1: Scrutiny by the Regulatory Scrutiny Board</w:t>
      </w:r>
      <w:r>
        <w:br/>
      </w:r>
      <w:r>
        <w:t xml:space="preserve">RSB comments</w:t>
      </w:r>
      <w:r>
        <w:t xml:space="preserve"> </w:t>
      </w:r>
      <w:r>
        <w:t xml:space="preserve">Actions taken</w:t>
      </w:r>
    </w:p>
    <w:p>
      <w:pPr>
        <w:pStyle w:val="Compact"/>
        <w:numPr>
          <w:ilvl w:val="0"/>
          <w:numId w:val="1015"/>
        </w:numPr>
      </w:pPr>
      <w:r>
        <w:t xml:space="preserve">The report does not sufficiently take</w:t>
      </w:r>
      <w:r>
        <w:t xml:space="preserve"> </w:t>
      </w:r>
      <w:r>
        <w:t xml:space="preserve">into account other determinants of debt-</w:t>
      </w:r>
      <w:r>
        <w:t xml:space="preserve"> </w:t>
      </w:r>
      <w:r>
        <w:t xml:space="preserve">equity choices beyond the debt-equity tax</w:t>
      </w:r>
      <w:r>
        <w:t xml:space="preserve"> </w:t>
      </w:r>
      <w:r>
        <w:t xml:space="preserve">bias. It does not set out the different</w:t>
      </w:r>
      <w:r>
        <w:t xml:space="preserve"> </w:t>
      </w:r>
      <w:r>
        <w:t xml:space="preserve"> The report has been amended to</w:t>
      </w:r>
      <w:r>
        <w:t xml:space="preserve"> </w:t>
      </w:r>
      <w:r>
        <w:t xml:space="preserve">provide a more comprehensive picture</w:t>
      </w:r>
      <w:r>
        <w:t xml:space="preserve"> </w:t>
      </w:r>
      <w:r>
        <w:t xml:space="preserve">of the determinants for choosing debt</w:t>
      </w:r>
      <w:r>
        <w:t xml:space="preserve"> </w:t>
      </w:r>
      <w:r>
        <w:t xml:space="preserve">or equity financing.</w:t>
      </w:r>
    </w:p>
    <w:p>
      <w:pPr>
        <w:pStyle w:val="FirstParagraph"/>
      </w:pPr>
      <w:r>
        <w:t xml:space="preserve">68</w:t>
      </w:r>
      <w:r>
        <w:t xml:space="preserve"> </w:t>
      </w:r>
      <w:r>
        <w:t xml:space="preserve">situations in Member States and their views</w:t>
      </w:r>
      <w:r>
        <w:t xml:space="preserve"> </w:t>
      </w:r>
      <w:r>
        <w:t xml:space="preserve">of the problem.</w:t>
      </w:r>
      <w:r>
        <w:t xml:space="preserve"> </w:t>
      </w:r>
      <w:r>
        <w:t xml:space="preserve"> The context of the different Member</w:t>
      </w:r>
      <w:r>
        <w:t xml:space="preserve"> </w:t>
      </w:r>
      <w:r>
        <w:t xml:space="preserve">States and potential motivations for</w:t>
      </w:r>
      <w:r>
        <w:t xml:space="preserve"> </w:t>
      </w:r>
      <w:r>
        <w:t xml:space="preserve">adopting an allowance for equity are</w:t>
      </w:r>
      <w:r>
        <w:t xml:space="preserve"> </w:t>
      </w:r>
      <w:r>
        <w:t xml:space="preserve">now discussed in greater detail</w:t>
      </w:r>
      <w:r>
        <w:t xml:space="preserve"> </w:t>
      </w:r>
      <w:r>
        <w:t xml:space="preserve">(2) The report does not sufficiently</w:t>
      </w:r>
      <w:r>
        <w:t xml:space="preserve"> </w:t>
      </w:r>
      <w:r>
        <w:t xml:space="preserve">describe the composition of the proposed</w:t>
      </w:r>
      <w:r>
        <w:t xml:space="preserve"> </w:t>
      </w:r>
      <w:r>
        <w:t xml:space="preserve">options.</w:t>
      </w:r>
      <w:r>
        <w:t xml:space="preserve"> </w:t>
      </w:r>
      <w:r>
        <w:t xml:space="preserve">It does not explain and analyse the choices</w:t>
      </w:r>
      <w:r>
        <w:t xml:space="preserve"> </w:t>
      </w:r>
      <w:r>
        <w:t xml:space="preserve">on different option elements, in particular,</w:t>
      </w:r>
      <w:r>
        <w:t xml:space="preserve"> </w:t>
      </w:r>
      <w:r>
        <w:t xml:space="preserve">equity definitions, determining the notional</w:t>
      </w:r>
      <w:r>
        <w:t xml:space="preserve"> </w:t>
      </w:r>
      <w:r>
        <w:t xml:space="preserve">interest rate and interest limitation rules.</w:t>
      </w:r>
      <w:r>
        <w:t xml:space="preserve"> </w:t>
      </w:r>
      <w:r>
        <w:t xml:space="preserve"> The description of the options has been</w:t>
      </w:r>
      <w:r>
        <w:t xml:space="preserve"> </w:t>
      </w:r>
      <w:r>
        <w:t xml:space="preserve">clarified and the arguments for specific</w:t>
      </w:r>
      <w:r>
        <w:t xml:space="preserve"> </w:t>
      </w:r>
      <w:r>
        <w:t xml:space="preserve">choices of option elements have been</w:t>
      </w:r>
      <w:r>
        <w:t xml:space="preserve"> </w:t>
      </w:r>
      <w:r>
        <w:t xml:space="preserve">clarified.</w:t>
      </w:r>
      <w:r>
        <w:t xml:space="preserve"> </w:t>
      </w:r>
      <w:r>
        <w:t xml:space="preserve"> The available analytical toolset is now</w:t>
      </w:r>
      <w:r>
        <w:t xml:space="preserve"> </w:t>
      </w:r>
      <w:r>
        <w:t xml:space="preserve">employed to provide a comprehensive</w:t>
      </w:r>
      <w:r>
        <w:t xml:space="preserve"> </w:t>
      </w:r>
      <w:r>
        <w:t xml:space="preserve">analysis of the design elements and</w:t>
      </w:r>
      <w:r>
        <w:t xml:space="preserve"> </w:t>
      </w:r>
      <w:r>
        <w:t xml:space="preserve">clarify implied trade-offs. Those trade-</w:t>
      </w:r>
      <w:r>
        <w:t xml:space="preserve"> </w:t>
      </w:r>
      <w:r>
        <w:t xml:space="preserve">offs ultimately have no analytical</w:t>
      </w:r>
      <w:r>
        <w:t xml:space="preserve"> </w:t>
      </w:r>
      <w:r>
        <w:t xml:space="preserve">solution and require value judgments</w:t>
      </w:r>
      <w:r>
        <w:t xml:space="preserve"> </w:t>
      </w:r>
      <w:r>
        <w:t xml:space="preserve">(political decisions).</w:t>
      </w:r>
      <w:r>
        <w:t xml:space="preserve"> </w:t>
      </w:r>
      <w:r>
        <w:t xml:space="preserve">(3) It does not present in a clear, analytical</w:t>
      </w:r>
      <w:r>
        <w:t xml:space="preserve"> </w:t>
      </w:r>
      <w:r>
        <w:t xml:space="preserve">manner how the options compare in terms</w:t>
      </w:r>
      <w:r>
        <w:t xml:space="preserve"> </w:t>
      </w:r>
      <w:r>
        <w:t xml:space="preserve">of effectiveness, efficiency and coherence.</w:t>
      </w:r>
      <w:r>
        <w:t xml:space="preserve"> </w:t>
      </w:r>
      <w:r>
        <w:t xml:space="preserve">It does not sufficiently justify the preferred</w:t>
      </w:r>
      <w:r>
        <w:t xml:space="preserve"> </w:t>
      </w:r>
      <w:r>
        <w:t xml:space="preserve">option and explain to what extent it</w:t>
      </w:r>
      <w:r>
        <w:t xml:space="preserve"> </w:t>
      </w:r>
      <w:r>
        <w:t xml:space="preserve">achieves the objectives. It does not contain</w:t>
      </w:r>
      <w:r>
        <w:t xml:space="preserve"> </w:t>
      </w:r>
      <w:r>
        <w:t xml:space="preserve">the specific calibrations of the preferred</w:t>
      </w:r>
      <w:r>
        <w:t xml:space="preserve"> </w:t>
      </w:r>
      <w:r>
        <w:t xml:space="preserve">options.</w:t>
      </w:r>
      <w:r>
        <w:t xml:space="preserve"> </w:t>
      </w:r>
      <w:r>
        <w:t xml:space="preserve"> The comparative discussion of the</w:t>
      </w:r>
      <w:r>
        <w:t xml:space="preserve"> </w:t>
      </w:r>
      <w:r>
        <w:t xml:space="preserve">options has been amended and their</w:t>
      </w:r>
      <w:r>
        <w:t xml:space="preserve"> </w:t>
      </w:r>
      <w:r>
        <w:t xml:space="preserve">relative</w:t>
      </w:r>
      <w:r>
        <w:t xml:space="preserve"> </w:t>
      </w:r>
      <w:r>
        <w:t xml:space="preserve">impact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 efficiency and coherence</w:t>
      </w:r>
      <w:r>
        <w:t xml:space="preserve"> </w:t>
      </w:r>
      <w:r>
        <w:t xml:space="preserve">has been clarified.</w:t>
      </w:r>
      <w:r>
        <w:br/>
      </w:r>
      <w:r>
        <w:t xml:space="preserve"> The preferred option has been justified</w:t>
      </w:r>
      <w:r>
        <w:t xml:space="preserve"> </w:t>
      </w:r>
      <w:r>
        <w:t xml:space="preserve">in greater detail. It is further explained</w:t>
      </w:r>
      <w:r>
        <w:t xml:space="preserve"> </w:t>
      </w:r>
      <w:r>
        <w:t xml:space="preserve">how the preferred option strikes a</w:t>
      </w:r>
      <w:r>
        <w:t xml:space="preserve"> </w:t>
      </w:r>
      <w:r>
        <w:t xml:space="preserve">desirable balance between conflicting</w:t>
      </w:r>
      <w:r>
        <w:t xml:space="preserve"> </w:t>
      </w:r>
      <w:r>
        <w:t xml:space="preserve">objectives.</w:t>
      </w:r>
      <w:r>
        <w:t xml:space="preserve"> </w:t>
      </w:r>
      <w:r>
        <w:t xml:space="preserve"> Calibrations</w:t>
      </w:r>
      <w:r>
        <w:t xml:space="preserve"> </w:t>
      </w:r>
      <w:r>
        <w:t xml:space="preserve">approximating</w:t>
      </w:r>
      <w:r>
        <w:t xml:space="preserve"> </w:t>
      </w:r>
      <w:r>
        <w:t xml:space="preserve">the</w:t>
      </w:r>
      <w:r>
        <w:t xml:space="preserve"> </w:t>
      </w:r>
      <w:r>
        <w:t xml:space="preserve">preferred options have been included in</w:t>
      </w:r>
      <w:r>
        <w:t xml:space="preserve"> </w:t>
      </w:r>
      <w:r>
        <w:t xml:space="preserve">the report.</w:t>
      </w:r>
      <w:r>
        <w:t xml:space="preserve"> </w:t>
      </w:r>
      <w:r>
        <w:t xml:space="preserve">RSB requests for improvement</w:t>
      </w:r>
      <w:r>
        <w:t xml:space="preserve"> </w:t>
      </w:r>
      <w:r>
        <w:t xml:space="preserve">Actions taken</w:t>
      </w:r>
      <w:r>
        <w:t xml:space="preserve"> </w:t>
      </w:r>
      <w:r>
        <w:t xml:space="preserve">(1) The report should discuss how this</w:t>
      </w:r>
      <w:r>
        <w:t xml:space="preserve"> </w:t>
      </w:r>
      <w:r>
        <w:t xml:space="preserve">proposal</w:t>
      </w:r>
      <w:r>
        <w:t xml:space="preserve"> </w:t>
      </w:r>
      <w:r>
        <w:t xml:space="preserve">interacts</w:t>
      </w:r>
      <w:r>
        <w:t xml:space="preserve"> </w:t>
      </w:r>
      <w:r>
        <w:t xml:space="preserve">and</w:t>
      </w:r>
      <w:r>
        <w:t xml:space="preserve"> </w:t>
      </w:r>
      <w:r>
        <w:t xml:space="preserve">complements</w:t>
      </w:r>
      <w:r>
        <w:t xml:space="preserve"> </w:t>
      </w:r>
      <w:r>
        <w:t xml:space="preserve">existing and ongoing EU and international</w:t>
      </w:r>
      <w:r>
        <w:t xml:space="preserve"> </w:t>
      </w:r>
      <w:r>
        <w:t xml:space="preserve">initiatives. It should describe in more detail</w:t>
      </w:r>
      <w:r>
        <w:t xml:space="preserve"> </w:t>
      </w:r>
      <w:r>
        <w:t xml:space="preserve">the</w:t>
      </w:r>
      <w:r>
        <w:t xml:space="preserve"> </w:t>
      </w:r>
      <w:r>
        <w:t xml:space="preserve">initiative’s</w:t>
      </w:r>
      <w:r>
        <w:t xml:space="preserve"> </w:t>
      </w:r>
      <w:r>
        <w:t xml:space="preserve">coherence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upcoming Business in Europe: Framework</w:t>
      </w:r>
      <w:r>
        <w:t xml:space="preserve"> </w:t>
      </w:r>
      <w:r>
        <w:t xml:space="preserve">for Income Taxation. It should outline how</w:t>
      </w:r>
      <w:r>
        <w:t xml:space="preserve"> </w:t>
      </w:r>
      <w:r>
        <w:t xml:space="preserve">this initiative relates to previous experience</w:t>
      </w:r>
      <w:r>
        <w:t xml:space="preserve"> </w:t>
      </w:r>
      <w:r>
        <w:t xml:space="preserve">of addressing the debt-equity bias, in</w:t>
      </w:r>
      <w:r>
        <w:t xml:space="preserve"> </w:t>
      </w:r>
      <w:r>
        <w:t xml:space="preserve">particular the 2016 Proposal for a Common</w:t>
      </w:r>
      <w:r>
        <w:t xml:space="preserve"> </w:t>
      </w:r>
      <w:r>
        <w:t xml:space="preserve">Consolidated Corporate Tax Base. It</w:t>
      </w:r>
      <w:r>
        <w:t xml:space="preserve"> </w:t>
      </w:r>
      <w:r>
        <w:t xml:space="preserve">should provide a better overview of how</w:t>
      </w:r>
      <w:r>
        <w:t xml:space="preserve"> </w:t>
      </w:r>
      <w:r>
        <w:t xml:space="preserve">this initiative relates to existing and</w:t>
      </w:r>
      <w:r>
        <w:t xml:space="preserve"> </w:t>
      </w:r>
      <w:r>
        <w:t xml:space="preserve">ongoing initiatives from third countries.</w:t>
      </w:r>
      <w:r>
        <w:t xml:space="preserve"> </w:t>
      </w:r>
      <w:r>
        <w:t xml:space="preserve"> The initiative has been more clearly</w:t>
      </w:r>
      <w:r>
        <w:t xml:space="preserve"> </w:t>
      </w:r>
      <w:r>
        <w:t xml:space="preserve">embedded in the existing EU and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context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relevant</w:t>
      </w:r>
      <w:r>
        <w:t xml:space="preserve"> </w:t>
      </w:r>
      <w:r>
        <w:t xml:space="preserve">initiative in the EU and in third</w:t>
      </w:r>
      <w:r>
        <w:t xml:space="preserve"> </w:t>
      </w:r>
      <w:r>
        <w:t xml:space="preserve">countries is discussed in greater detail.</w:t>
      </w:r>
      <w:r>
        <w:t xml:space="preserve"> </w:t>
      </w:r>
      <w:r>
        <w:t xml:space="preserve"> Also,</w:t>
      </w:r>
      <w:r>
        <w:t xml:space="preserve"> </w:t>
      </w:r>
      <w:r>
        <w:t xml:space="preserve">previous</w:t>
      </w:r>
      <w:r>
        <w:t xml:space="preserve"> </w:t>
      </w:r>
      <w:r>
        <w:t xml:space="preserve">experiences</w:t>
      </w:r>
      <w:r>
        <w:t xml:space="preserve"> </w:t>
      </w:r>
      <w:r>
        <w:t xml:space="preserve">of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debt-equity</w:t>
      </w:r>
      <w:r>
        <w:t xml:space="preserve"> </w:t>
      </w:r>
      <w:r>
        <w:t xml:space="preserve">bias,</w:t>
      </w:r>
      <w:r>
        <w:t xml:space="preserve"> </w:t>
      </w:r>
      <w:r>
        <w:t xml:space="preserve">especially in relation to the Common</w:t>
      </w:r>
      <w:r>
        <w:t xml:space="preserve"> </w:t>
      </w:r>
      <w:r>
        <w:t xml:space="preserve">Consolidated Corporate Tax Base are</w:t>
      </w:r>
      <w:r>
        <w:t xml:space="preserve"> </w:t>
      </w:r>
      <w:r>
        <w:t xml:space="preserve">now better reflected in the report.</w:t>
      </w:r>
      <w:r>
        <w:br/>
      </w:r>
      <w:r>
        <w:t xml:space="preserve">(2) When analysing the problem, the report</w:t>
      </w:r>
      <w:r>
        <w:t xml:space="preserve"> </w:t>
      </w:r>
      <w:r>
        <w:t xml:space="preserve">should give a broader picture of the</w:t>
      </w:r>
      <w:r>
        <w:t xml:space="preserve"> </w:t>
      </w:r>
      <w:r>
        <w:t xml:space="preserve">relevant factors contributing to the debt-</w:t>
      </w:r>
      <w:r>
        <w:t xml:space="preserve"> </w:t>
      </w:r>
      <w:r>
        <w:t xml:space="preserve">equity bias and outline all relevant</w:t>
      </w:r>
      <w:r>
        <w:t xml:space="preserve"> </w:t>
      </w:r>
      <w:r>
        <w:t xml:space="preserve">parameters</w:t>
      </w:r>
      <w:r>
        <w:t xml:space="preserve"> </w:t>
      </w:r>
      <w:r>
        <w:t xml:space="preserve">influencing</w:t>
      </w:r>
      <w:r>
        <w:t xml:space="preserve"> </w:t>
      </w:r>
      <w:r>
        <w:t xml:space="preserve">the</w:t>
      </w:r>
      <w:r>
        <w:t xml:space="preserve"> </w:t>
      </w:r>
      <w:r>
        <w:t xml:space="preserve">financing</w:t>
      </w:r>
      <w:r>
        <w:t xml:space="preserve"> </w:t>
      </w:r>
      <w:r>
        <w:t xml:space="preserve">decisions of a company. This should also</w:t>
      </w:r>
      <w:r>
        <w:t xml:space="preserve"> </w:t>
      </w:r>
      <w:r>
        <w:t xml:space="preserve">be reflected in the baseline and the impact</w:t>
      </w:r>
      <w:r>
        <w:t xml:space="preserve"> </w:t>
      </w:r>
      <w:r>
        <w:t xml:space="preserve"> The report has been amended to</w:t>
      </w:r>
      <w:r>
        <w:t xml:space="preserve"> </w:t>
      </w:r>
      <w:r>
        <w:t xml:space="preserve">provide a more comprehensive picture</w:t>
      </w:r>
      <w:r>
        <w:t xml:space="preserve"> </w:t>
      </w:r>
      <w:r>
        <w:t xml:space="preserve">of determinants underlying financing</w:t>
      </w:r>
      <w:r>
        <w:t xml:space="preserve"> </w:t>
      </w:r>
      <w:r>
        <w:t xml:space="preserve">decisions and the choice of specific</w:t>
      </w:r>
      <w:r>
        <w:t xml:space="preserve"> </w:t>
      </w:r>
      <w:r>
        <w:t xml:space="preserve">sources of capital.</w:t>
      </w:r>
      <w:r>
        <w:br/>
      </w:r>
      <w:r>
        <w:t xml:space="preserve"> The discussion of the drivers of the</w:t>
      </w:r>
      <w:r>
        <w:t xml:space="preserve"> </w:t>
      </w:r>
      <w:r>
        <w:t xml:space="preserve">debt-equity bias has been deepened and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analysis. At the same time, both in the</w:t>
      </w:r>
      <w:r>
        <w:t xml:space="preserve"> </w:t>
      </w:r>
      <w:r>
        <w:t xml:space="preserve">dynamic baseline and in the impact</w:t>
      </w:r>
      <w:r>
        <w:t xml:space="preserve"> </w:t>
      </w:r>
      <w:r>
        <w:t xml:space="preserve">analysis, the report should outline how</w:t>
      </w:r>
      <w:r>
        <w:t xml:space="preserve"> </w:t>
      </w:r>
      <w:r>
        <w:t xml:space="preserve">other macro-economic policies may affect</w:t>
      </w:r>
      <w:r>
        <w:t xml:space="preserve"> </w:t>
      </w:r>
      <w:r>
        <w:t xml:space="preserve">debt-equity financing decisions, even when</w:t>
      </w:r>
      <w:r>
        <w:t xml:space="preserve"> </w:t>
      </w:r>
      <w:r>
        <w:t xml:space="preserve">the proposed measures against tax debt-</w:t>
      </w:r>
      <w:r>
        <w:t xml:space="preserve"> </w:t>
      </w:r>
      <w:r>
        <w:t xml:space="preserve">equity</w:t>
      </w:r>
      <w:r>
        <w:t xml:space="preserve"> </w:t>
      </w:r>
      <w:r>
        <w:t xml:space="preserve">bias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introduced.</w:t>
      </w:r>
      <w:r>
        <w:t xml:space="preserve"> </w:t>
      </w:r>
      <w:r>
        <w:t xml:space="preserve">In</w:t>
      </w:r>
      <w:r>
        <w:t xml:space="preserve"> </w:t>
      </w:r>
      <w:r>
        <w:t xml:space="preserve">particular, the report should explain how</w:t>
      </w:r>
      <w:r>
        <w:t xml:space="preserve"> </w:t>
      </w:r>
      <w:r>
        <w:t xml:space="preserve">higher interest rates may affect debt-equity</w:t>
      </w:r>
      <w:r>
        <w:t xml:space="preserve"> </w:t>
      </w:r>
      <w:r>
        <w:t xml:space="preserve">ratios. It should also better present the</w:t>
      </w:r>
      <w:r>
        <w:t xml:space="preserve"> </w:t>
      </w:r>
      <w:r>
        <w:t xml:space="preserve">rationale behind the heterogeneity of</w:t>
      </w:r>
      <w:r>
        <w:t xml:space="preserve"> </w:t>
      </w:r>
      <w:r>
        <w:t xml:space="preserve">Member States’ approaches for addressing</w:t>
      </w:r>
      <w:r>
        <w:t xml:space="preserve"> </w:t>
      </w:r>
      <w:r>
        <w:t xml:space="preserve">(or not addressing) the debt-equity bias.</w:t>
      </w:r>
      <w:r>
        <w:t xml:space="preserve"> </w:t>
      </w:r>
      <w:r>
        <w:t xml:space="preserve">also outlines now potential influences</w:t>
      </w:r>
      <w:r>
        <w:t xml:space="preserve"> </w:t>
      </w:r>
      <w:r>
        <w:t xml:space="preserve">of</w:t>
      </w:r>
      <w:r>
        <w:t xml:space="preserve"> </w:t>
      </w:r>
      <w:r>
        <w:t xml:space="preserve">macro-economic</w:t>
      </w:r>
      <w:r>
        <w:t xml:space="preserve"> </w:t>
      </w:r>
      <w:r>
        <w:t xml:space="preserve">developments.</w:t>
      </w:r>
      <w:r>
        <w:t xml:space="preserve"> </w:t>
      </w:r>
      <w:r>
        <w:t xml:space="preserve">Especially the ambivalent impact of</w:t>
      </w:r>
      <w:r>
        <w:t xml:space="preserve"> </w:t>
      </w:r>
      <w:r>
        <w:t xml:space="preserve">rising interest rates is better analysed.</w:t>
      </w:r>
      <w:r>
        <w:t xml:space="preserve"> </w:t>
      </w:r>
      <w:r>
        <w:t xml:space="preserve"> The report now discusses more clearly</w:t>
      </w:r>
      <w:r>
        <w:t xml:space="preserve"> </w:t>
      </w:r>
      <w:r>
        <w:t xml:space="preserve">the context of the different Member</w:t>
      </w:r>
      <w:r>
        <w:t xml:space="preserve"> </w:t>
      </w:r>
      <w:r>
        <w:t xml:space="preserve">States and potential motivations for</w:t>
      </w:r>
      <w:r>
        <w:t xml:space="preserve"> </w:t>
      </w:r>
      <w:r>
        <w:t xml:space="preserve">adopting or not an allowance for</w:t>
      </w:r>
      <w:r>
        <w:t xml:space="preserve"> </w:t>
      </w:r>
      <w:r>
        <w:t xml:space="preserve">equity.</w:t>
      </w:r>
      <w:r>
        <w:br/>
      </w:r>
      <w:r>
        <w:t xml:space="preserve">(3) The report should further develop the</w:t>
      </w:r>
      <w:r>
        <w:t xml:space="preserve"> </w:t>
      </w:r>
      <w:r>
        <w:t xml:space="preserve">description of the options and better</w:t>
      </w:r>
      <w:r>
        <w:t xml:space="preserve"> </w:t>
      </w:r>
      <w:r>
        <w:t xml:space="preserve">illustrate what the available choices are.</w:t>
      </w:r>
      <w:r>
        <w:t xml:space="preserve"> </w:t>
      </w:r>
      <w:r>
        <w:t xml:space="preserve">The report should be clearer at what stage</w:t>
      </w:r>
      <w:r>
        <w:t xml:space="preserve"> </w:t>
      </w:r>
      <w:r>
        <w:t xml:space="preserve">and how key elements such as notional</w:t>
      </w:r>
      <w:r>
        <w:t xml:space="preserve"> </w:t>
      </w:r>
      <w:r>
        <w:t xml:space="preserve">interest rate and the interest limitation rules</w:t>
      </w:r>
      <w:r>
        <w:t xml:space="preserve"> </w:t>
      </w:r>
      <w:r>
        <w:t xml:space="preserve">are to be decided and implemented. It</w:t>
      </w:r>
      <w:r>
        <w:t xml:space="preserve"> </w:t>
      </w:r>
      <w:r>
        <w:t xml:space="preserve">should better discuss the feasibility of the</w:t>
      </w:r>
      <w:r>
        <w:t xml:space="preserve"> </w:t>
      </w:r>
      <w:r>
        <w:t xml:space="preserve">options (in particular the option on non-</w:t>
      </w:r>
      <w:r>
        <w:t xml:space="preserve"> </w:t>
      </w:r>
      <w:r>
        <w:t xml:space="preserve">deductibility of interest payment).</w:t>
      </w:r>
      <w:r>
        <w:t xml:space="preserve"> </w:t>
      </w:r>
      <w:r>
        <w:t xml:space="preserve"> The options have been more clearly</w:t>
      </w:r>
      <w:r>
        <w:t xml:space="preserve"> </w:t>
      </w:r>
      <w:r>
        <w:t xml:space="preserve">described and relevant policy choices</w:t>
      </w:r>
      <w:r>
        <w:t xml:space="preserve"> </w:t>
      </w:r>
      <w:r>
        <w:t xml:space="preserve">have been highlighted.</w:t>
      </w:r>
      <w:r>
        <w:t xml:space="preserve"> </w:t>
      </w:r>
      <w:r>
        <w:t xml:space="preserve"> It has been clarified in the report that</w:t>
      </w:r>
      <w:r>
        <w:t xml:space="preserve"> </w:t>
      </w:r>
      <w:r>
        <w:t xml:space="preserve">notional interest rate and the interest</w:t>
      </w:r>
      <w:r>
        <w:t xml:space="preserve"> </w:t>
      </w:r>
      <w:r>
        <w:t xml:space="preserve">limitation rules are central design</w:t>
      </w:r>
      <w:r>
        <w:t xml:space="preserve"> </w:t>
      </w:r>
      <w:r>
        <w:t xml:space="preserve">elements of the preferred option.</w:t>
      </w:r>
      <w:r>
        <w:t xml:space="preserve"> </w:t>
      </w:r>
      <w:r>
        <w:t xml:space="preserve"> The discussion of mayor problems</w:t>
      </w:r>
      <w:r>
        <w:t xml:space="preserve"> </w:t>
      </w:r>
      <w:r>
        <w:t xml:space="preserve">related to specific options and thus their</w:t>
      </w:r>
      <w:r>
        <w:t xml:space="preserve"> </w:t>
      </w:r>
      <w:r>
        <w:t xml:space="preserve">feasibility has been extended.</w:t>
      </w:r>
      <w:r>
        <w:t xml:space="preserve"> </w:t>
      </w:r>
      <w:r>
        <w:t xml:space="preserve">(4) The report should strengthen the impact</w:t>
      </w:r>
      <w:r>
        <w:t xml:space="preserve"> </w:t>
      </w:r>
      <w:r>
        <w:t xml:space="preserve">analysis. It should clarify to what extent the</w:t>
      </w:r>
      <w:r>
        <w:t xml:space="preserve"> </w:t>
      </w:r>
      <w:r>
        <w:t xml:space="preserve">effects on equity investment can be</w:t>
      </w:r>
      <w:r>
        <w:t xml:space="preserve"> </w:t>
      </w:r>
      <w:r>
        <w:t xml:space="preserve">determined</w:t>
      </w:r>
      <w:r>
        <w:t xml:space="preserve"> </w:t>
      </w:r>
      <w:r>
        <w:t xml:space="preserve">distinguishing</w:t>
      </w:r>
      <w:r>
        <w:t xml:space="preserve"> </w:t>
      </w:r>
      <w:r>
        <w:t xml:space="preserve">between</w:t>
      </w:r>
      <w:r>
        <w:t xml:space="preserve"> </w:t>
      </w:r>
      <w:r>
        <w:t xml:space="preserve">reduction of debt versus increases in</w:t>
      </w:r>
      <w:r>
        <w:t xml:space="preserve"> </w:t>
      </w:r>
      <w:r>
        <w:t xml:space="preserve">equity. It should clearly present the</w:t>
      </w:r>
      <w:r>
        <w:t xml:space="preserve"> </w:t>
      </w:r>
      <w:r>
        <w:t xml:space="preserve">macroeconomic impacts, in particular on</w:t>
      </w:r>
      <w:r>
        <w:t xml:space="preserve"> </w:t>
      </w:r>
      <w:r>
        <w:t xml:space="preserve">tax revenues. It should also provide more</w:t>
      </w:r>
      <w:r>
        <w:t xml:space="preserve"> </w:t>
      </w:r>
      <w:r>
        <w:t xml:space="preserve">context on how a reduced debt-equity bias</w:t>
      </w:r>
      <w:r>
        <w:t xml:space="preserve"> </w:t>
      </w:r>
      <w:r>
        <w:t xml:space="preserve">would affect young companies such as</w:t>
      </w:r>
      <w:r>
        <w:t xml:space="preserve"> </w:t>
      </w:r>
      <w:r>
        <w:t xml:space="preserve">start-ups and distinguish between effects</w:t>
      </w:r>
      <w:r>
        <w:t xml:space="preserve"> </w:t>
      </w:r>
      <w:r>
        <w:t xml:space="preserve">on</w:t>
      </w:r>
      <w:r>
        <w:t xml:space="preserve"> </w:t>
      </w:r>
      <w:r>
        <w:t xml:space="preserve">profitable</w:t>
      </w:r>
      <w:r>
        <w:t xml:space="preserve"> </w:t>
      </w:r>
      <w:r>
        <w:t xml:space="preserve">versus</w:t>
      </w:r>
      <w:r>
        <w:t xml:space="preserve"> </w:t>
      </w:r>
      <w:r>
        <w:t xml:space="preserve">unprofitable</w:t>
      </w:r>
      <w:r>
        <w:t xml:space="preserve"> </w:t>
      </w:r>
      <w:r>
        <w:t xml:space="preserve">companies.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section should clearly illustrate the ex post</w:t>
      </w:r>
      <w:r>
        <w:t xml:space="preserve"> </w:t>
      </w:r>
      <w:r>
        <w:t xml:space="preserve">and ex ante dimensions of the debt-equity</w:t>
      </w:r>
      <w:r>
        <w:t xml:space="preserve"> </w:t>
      </w:r>
      <w:r>
        <w:t xml:space="preserve">bias.</w:t>
      </w:r>
      <w:r>
        <w:t xml:space="preserve"> </w:t>
      </w:r>
      <w:r>
        <w:t xml:space="preserve"> The impact analysis has been amended</w:t>
      </w:r>
      <w:r>
        <w:t xml:space="preserve"> </w:t>
      </w:r>
      <w:r>
        <w:t xml:space="preserve">and methodological limitations of the</w:t>
      </w:r>
      <w:r>
        <w:t xml:space="preserve"> </w:t>
      </w:r>
      <w:r>
        <w:t xml:space="preserve">analytical tools have been clarified.</w:t>
      </w:r>
      <w:r>
        <w:t xml:space="preserve"> </w:t>
      </w:r>
      <w:r>
        <w:t xml:space="preserve">While no comprehensive analysis of</w:t>
      </w:r>
      <w:r>
        <w:t xml:space="preserve"> </w:t>
      </w:r>
      <w:r>
        <w:t xml:space="preserve">the</w:t>
      </w:r>
      <w:r>
        <w:t xml:space="preserve"> </w:t>
      </w:r>
      <w:r>
        <w:t xml:space="preserve">differential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equity</w:t>
      </w:r>
      <w:r>
        <w:t xml:space="preserve"> </w:t>
      </w:r>
      <w:r>
        <w:t xml:space="preserve">allowance and interest limitation is</w:t>
      </w:r>
      <w:r>
        <w:t xml:space="preserve"> </w:t>
      </w:r>
      <w:r>
        <w:t xml:space="preserve">possible, there are some indications that</w:t>
      </w:r>
      <w:r>
        <w:t xml:space="preserve"> </w:t>
      </w:r>
      <w:r>
        <w:t xml:space="preserve">changes in the notional interest rate are</w:t>
      </w:r>
      <w:r>
        <w:t xml:space="preserve"> </w:t>
      </w:r>
      <w:r>
        <w:t xml:space="preserve">more impactful than changes in the</w:t>
      </w:r>
      <w:r>
        <w:t xml:space="preserve"> </w:t>
      </w:r>
      <w:r>
        <w:t xml:space="preserve">interest limitation rule.</w:t>
      </w:r>
      <w:r>
        <w:t xml:space="preserve"> </w:t>
      </w:r>
      <w:r>
        <w:t xml:space="preserve"> The economic impact on young and</w:t>
      </w:r>
      <w:r>
        <w:t xml:space="preserve"> </w:t>
      </w:r>
      <w:r>
        <w:t xml:space="preserve">innovative companies as well as</w:t>
      </w:r>
      <w:r>
        <w:t xml:space="preserve"> </w:t>
      </w:r>
      <w:r>
        <w:t xml:space="preserve">unprofitable companies has been more</w:t>
      </w:r>
      <w:r>
        <w:t xml:space="preserve"> </w:t>
      </w:r>
      <w:r>
        <w:t xml:space="preserve">explicitly analysed.</w:t>
      </w:r>
      <w:r>
        <w:t xml:space="preserve"> </w:t>
      </w:r>
      <w:r>
        <w:t xml:space="preserve"> Following the introduction of a more</w:t>
      </w:r>
      <w:r>
        <w:t xml:space="preserve"> </w:t>
      </w:r>
      <w:r>
        <w:t xml:space="preserve">comprehensive description of financing</w:t>
      </w:r>
      <w:r>
        <w:t xml:space="preserve"> </w:t>
      </w:r>
      <w:r>
        <w:t xml:space="preserve">choices beyond the tax induced debt-</w:t>
      </w:r>
      <w:r>
        <w:t xml:space="preserve"> </w:t>
      </w:r>
      <w:r>
        <w:t xml:space="preserve">equity bias, it has now been made clear</w:t>
      </w:r>
      <w:r>
        <w:t xml:space="preserve"> </w:t>
      </w:r>
      <w:r>
        <w:t xml:space="preserve">that the initiative can only mitigate the</w:t>
      </w:r>
      <w:r>
        <w:t xml:space="preserve"> </w:t>
      </w:r>
      <w:r>
        <w:t xml:space="preserve">debt bias induced by taxation and that</w:t>
      </w:r>
      <w:r>
        <w:t xml:space="preserve"> </w:t>
      </w:r>
      <w:r>
        <w:t xml:space="preserve">also with the measure there might be</w:t>
      </w:r>
      <w:r>
        <w:t xml:space="preserve"> </w:t>
      </w:r>
      <w:r>
        <w:t xml:space="preserve">other reasons why (some) companies</w:t>
      </w:r>
      <w:r>
        <w:t xml:space="preserve"> </w:t>
      </w:r>
      <w:r>
        <w:t xml:space="preserve">prefer debt over equity.</w:t>
      </w:r>
      <w:r>
        <w:br/>
      </w:r>
      <w:r>
        <w:t xml:space="preserve">(5) The report should compare the options</w:t>
      </w:r>
      <w:r>
        <w:t xml:space="preserve"> </w:t>
      </w:r>
      <w:r>
        <w:t xml:space="preserve">in a clear, analytical and well-structured</w:t>
      </w:r>
      <w:r>
        <w:t xml:space="preserve"> </w:t>
      </w:r>
      <w:r>
        <w:t xml:space="preserve">manner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 and coherence. The report</w:t>
      </w:r>
      <w:r>
        <w:t xml:space="preserve"> </w:t>
      </w:r>
      <w:r>
        <w:t xml:space="preserve"> The discussion of the options has been</w:t>
      </w:r>
      <w:r>
        <w:t xml:space="preserve"> </w:t>
      </w:r>
      <w:r>
        <w:t xml:space="preserve">clarified and the comparison of the</w:t>
      </w:r>
      <w:r>
        <w:t xml:space="preserve"> </w:t>
      </w:r>
      <w:r>
        <w:t xml:space="preserve">options in terms of effectiveness,</w:t>
      </w:r>
      <w:r>
        <w:t xml:space="preserve"> </w:t>
      </w:r>
      <w:r>
        <w:t xml:space="preserve">efficiency and coherence has been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should better justify the choice of the</w:t>
      </w:r>
      <w:r>
        <w:t xml:space="preserve"> </w:t>
      </w:r>
      <w:r>
        <w:t xml:space="preserve">preferred option, and strengthen the link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objectives,</w:t>
      </w:r>
      <w:r>
        <w:t xml:space="preserve"> </w:t>
      </w:r>
      <w:r>
        <w:t xml:space="preserve">options</w:t>
      </w:r>
      <w:r>
        <w:t xml:space="preserve"> </w:t>
      </w:r>
      <w:r>
        <w:t xml:space="preserve">and</w:t>
      </w:r>
      <w:r>
        <w:t xml:space="preserve"> </w:t>
      </w:r>
      <w:r>
        <w:t xml:space="preserve">impacts. It should also better justify and</w:t>
      </w:r>
      <w:r>
        <w:t xml:space="preserve"> </w:t>
      </w:r>
      <w:r>
        <w:t xml:space="preserve">explain how the preferred option overall</w:t>
      </w:r>
      <w:r>
        <w:t xml:space="preserve"> </w:t>
      </w:r>
      <w:r>
        <w:t xml:space="preserve">best meets the all of the general and</w:t>
      </w:r>
      <w:r>
        <w:t xml:space="preserve"> </w:t>
      </w:r>
      <w:r>
        <w:t xml:space="preserve">specific objectives. The report should</w:t>
      </w:r>
      <w:r>
        <w:t xml:space="preserve"> </w:t>
      </w:r>
      <w:r>
        <w:t xml:space="preserve">include the full evidence base and analysis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calibrations of the preferred options. It</w:t>
      </w:r>
      <w:r>
        <w:t xml:space="preserve"> </w:t>
      </w:r>
      <w:r>
        <w:t xml:space="preserve">should present the different costs and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available</w:t>
      </w:r>
      <w:r>
        <w:t xml:space="preserve"> </w:t>
      </w:r>
      <w:r>
        <w:t xml:space="preserve">calibration</w:t>
      </w:r>
      <w:r>
        <w:t xml:space="preserve"> </w:t>
      </w:r>
      <w:r>
        <w:t xml:space="preserve">choices.</w:t>
      </w:r>
      <w:r>
        <w:t xml:space="preserve"> </w:t>
      </w:r>
      <w:r>
        <w:t xml:space="preserve">amended.</w:t>
      </w:r>
      <w:r>
        <w:br/>
      </w:r>
      <w:r>
        <w:t xml:space="preserve"> The advantages of the preferred option</w:t>
      </w:r>
      <w:r>
        <w:t xml:space="preserve"> </w:t>
      </w:r>
      <w:r>
        <w:t xml:space="preserve">are presented more clearly and in</w:t>
      </w:r>
      <w:r>
        <w:t xml:space="preserve"> </w:t>
      </w:r>
      <w:r>
        <w:t xml:space="preserve">greater detail. It is further explained</w:t>
      </w:r>
      <w:r>
        <w:t xml:space="preserve"> </w:t>
      </w:r>
      <w:r>
        <w:t xml:space="preserve">how the preferred option strikes a</w:t>
      </w:r>
      <w:r>
        <w:t xml:space="preserve"> </w:t>
      </w:r>
      <w:r>
        <w:t xml:space="preserve">desirable balance between conflicting</w:t>
      </w:r>
      <w:r>
        <w:t xml:space="preserve"> </w:t>
      </w:r>
      <w:r>
        <w:t xml:space="preserve">objectives.</w:t>
      </w:r>
      <w:r>
        <w:t xml:space="preserve"> </w:t>
      </w:r>
      <w:r>
        <w:t xml:space="preserve"> Calibrations</w:t>
      </w:r>
      <w:r>
        <w:t xml:space="preserve"> </w:t>
      </w:r>
      <w:r>
        <w:t xml:space="preserve">approximating</w:t>
      </w:r>
      <w:r>
        <w:t xml:space="preserve"> </w:t>
      </w:r>
      <w:r>
        <w:t xml:space="preserve">the</w:t>
      </w:r>
      <w:r>
        <w:t xml:space="preserve"> </w:t>
      </w:r>
      <w:r>
        <w:t xml:space="preserve">preferred option have been included in</w:t>
      </w:r>
      <w:r>
        <w:t xml:space="preserve"> </w:t>
      </w:r>
      <w:r>
        <w:t xml:space="preserve">the report in addition to calibrations</w:t>
      </w:r>
      <w:r>
        <w:t xml:space="preserve"> </w:t>
      </w:r>
      <w:r>
        <w:t xml:space="preserve">comparing all policy options.</w:t>
      </w:r>
      <w:r>
        <w:br/>
      </w:r>
      <w:r>
        <w:t xml:space="preserve">(6) The report should better include and</w:t>
      </w:r>
      <w:r>
        <w:t xml:space="preserve"> </w:t>
      </w:r>
      <w:r>
        <w:t xml:space="preserve">describe</w:t>
      </w:r>
      <w:r>
        <w:t xml:space="preserve"> </w:t>
      </w:r>
      <w:r>
        <w:t xml:space="preserve">diverging</w:t>
      </w:r>
      <w:r>
        <w:t xml:space="preserve"> </w:t>
      </w:r>
      <w:r>
        <w:t xml:space="preserve">stakeholder</w:t>
      </w:r>
      <w:r>
        <w:t xml:space="preserve"> </w:t>
      </w:r>
      <w:r>
        <w:t xml:space="preserve">views</w:t>
      </w:r>
      <w:r>
        <w:t xml:space="preserve"> </w:t>
      </w:r>
      <w:r>
        <w:t xml:space="preserve">throughout the main report and annexes.</w:t>
      </w:r>
      <w:r>
        <w:t xml:space="preserve"> </w:t>
      </w:r>
      <w:r>
        <w:t xml:space="preserve"> Stakeholder views and points of</w:t>
      </w:r>
      <w:r>
        <w:t xml:space="preserve"> </w:t>
      </w:r>
      <w:r>
        <w:t xml:space="preserve">agreement and divergence between</w:t>
      </w:r>
      <w:r>
        <w:t xml:space="preserve"> </w:t>
      </w:r>
      <w:r>
        <w:t xml:space="preserve">stakeholder groups have been described</w:t>
      </w:r>
      <w:r>
        <w:t xml:space="preserve"> </w:t>
      </w:r>
      <w:r>
        <w:t xml:space="preserve">in more detail in the report and the</w:t>
      </w:r>
      <w:r>
        <w:t xml:space="preserve"> </w:t>
      </w:r>
      <w:r>
        <w:t xml:space="preserve">relevant annex.</w:t>
      </w:r>
    </w:p>
    <w:p>
      <w:pPr>
        <w:pStyle w:val="Compact"/>
        <w:numPr>
          <w:ilvl w:val="0"/>
          <w:numId w:val="1016"/>
        </w:numPr>
      </w:pPr>
      <w:r>
        <w:t xml:space="preserve">Evidence, sources and quality</w:t>
      </w:r>
      <w:r>
        <w:t xml:space="preserve"> </w:t>
      </w:r>
      <w:r>
        <w:t xml:space="preserve">The evidence base for this impact assessment report is based on various different sources:</w:t>
      </w:r>
      <w:r>
        <w:t xml:space="preserve"> </w:t>
      </w:r>
      <w:r>
        <w:t xml:space="preserve">• Studies on the debt-equity bias, including work by the IMF, the OECD and leading</w:t>
      </w:r>
      <w:r>
        <w:t xml:space="preserve"> </w:t>
      </w:r>
      <w:r>
        <w:t xml:space="preserve">academics as referenced in the Reference List.</w:t>
      </w:r>
      <w:r>
        <w:t xml:space="preserve"> </w:t>
      </w:r>
      <w:r>
        <w:t xml:space="preserve">• Modelling by the European Commission’s Joint Research Centre based the CORTAX</w:t>
      </w:r>
      <w:r>
        <w:t xml:space="preserve"> </w:t>
      </w:r>
      <w:r>
        <w:t xml:space="preserve">model.</w:t>
      </w:r>
      <w:r>
        <w:br/>
      </w:r>
      <w:r>
        <w:t xml:space="preserve">• Feedback on the open public consultation, as summarized in the synopsis report in</w:t>
      </w:r>
      <w:r>
        <w:t xml:space="preserve"> </w:t>
      </w:r>
      <w:r>
        <w:t xml:space="preserve">Annex 2.</w:t>
      </w:r>
      <w:r>
        <w:t xml:space="preserve"> </w:t>
      </w:r>
      <w:r>
        <w:t xml:space="preserve">• Exchanges with additional stakeholders through the Platform for Tax Good Governance</w:t>
      </w:r>
      <w:r>
        <w:t xml:space="preserve"> </w:t>
      </w:r>
      <w:r>
        <w:t xml:space="preserve">and with the European Economic and Social Committee (EESC).</w:t>
      </w:r>
      <w:r>
        <w:t xml:space="preserve"> </w:t>
      </w:r>
      <w:r>
        <w:t xml:space="preserve">• Further exchanges with additional stakeholders on an ad-hoc basis.</w:t>
      </w:r>
      <w:r>
        <w:t xml:space="preserve"> </w:t>
      </w:r>
      <w:r>
        <w:t xml:space="preserve">• Desk research and quantitative analysis using Bureau van Dijk Orbis database, ESTAT</w:t>
      </w:r>
      <w:r>
        <w:t xml:space="preserve"> </w:t>
      </w:r>
      <w:r>
        <w:t xml:space="preserve">Statistics, ECB statistics, OECD statistics and the International Survey on Revenue</w:t>
      </w:r>
      <w:r>
        <w:t xml:space="preserve"> </w:t>
      </w:r>
      <w:r>
        <w:t xml:space="preserve">Administration (ISORA), powered by the IMF’s Revenue Administration Fiscal</w:t>
      </w:r>
      <w:r>
        <w:t xml:space="preserve"> </w:t>
      </w:r>
      <w:r>
        <w:t xml:space="preserve">information tool (RA-FIT).</w:t>
      </w:r>
    </w:p>
    <w:p>
      <w:pPr>
        <w:pStyle w:val="FirstParagraph"/>
      </w:pPr>
      <w:r>
        <w:t xml:space="preserve">71</w:t>
      </w:r>
      <w:r>
        <w:t xml:space="preserve"> </w:t>
      </w:r>
      <w:r>
        <w:t xml:space="preserve">ANNEX 2: STAKEHOLDER CONSULTATION</w:t>
      </w:r>
      <w:r>
        <w:br/>
      </w:r>
      <w:r>
        <w:t xml:space="preserve">A broad set of activities have taken place to obtain detailed stakeholder feedback.</w:t>
      </w:r>
      <w:r>
        <w:br/>
      </w:r>
      <w:r>
        <w:t xml:space="preserve">-</w:t>
      </w:r>
      <w:r>
        <w:t xml:space="preserve"> </w:t>
      </w:r>
      <w:r>
        <w:t xml:space="preserve">Inception Impact Assessment: Feedback from seven stakeholders was uploaded in</w:t>
      </w:r>
      <w:r>
        <w:t xml:space="preserve"> </w:t>
      </w:r>
      <w:r>
        <w:t xml:space="preserve">Have-your-say from 14/06/2021 to 12/07/2021: one investment group, five business</w:t>
      </w:r>
      <w:r>
        <w:t xml:space="preserve"> </w:t>
      </w:r>
      <w:r>
        <w:t xml:space="preserve">association (one of which from UK), one polish citizen.</w:t>
      </w:r>
      <w:r>
        <w:t xml:space="preserve"> </w:t>
      </w:r>
      <w:r>
        <w:t xml:space="preserve">-</w:t>
      </w:r>
      <w:r>
        <w:t xml:space="preserve"> </w:t>
      </w:r>
      <w:r>
        <w:t xml:space="preserve">Public consultation from 1/07/2021 until 7/10/2021. Overall, 67 responses were</w:t>
      </w:r>
      <w:r>
        <w:t xml:space="preserve"> </w:t>
      </w:r>
      <w:r>
        <w:t xml:space="preserve">received: 37 business associations mainly representing financial organisations of all</w:t>
      </w:r>
      <w:r>
        <w:t xml:space="preserve"> </w:t>
      </w:r>
      <w:r>
        <w:t xml:space="preserve">sizes (including SME), 12 companies/business organisations (mostly tax accountant</w:t>
      </w:r>
      <w:r>
        <w:t xml:space="preserve"> </w:t>
      </w:r>
      <w:r>
        <w:t xml:space="preserve">and financial organisations), 3 academic and research institutions , 8 NGOs or others</w:t>
      </w:r>
      <w:r>
        <w:t xml:space="preserve"> </w:t>
      </w:r>
      <w:r>
        <w:t xml:space="preserve">(mostly chamber of commerce, stock exchanges) ) and 7 individual citizen. Most</w:t>
      </w:r>
      <w:r>
        <w:t xml:space="preserve"> </w:t>
      </w:r>
      <w:r>
        <w:t xml:space="preserve">respondents came from either Belgium (14/67), Germany (14/67) or France (12/67).</w:t>
      </w:r>
      <w:r>
        <w:br/>
      </w:r>
      <w:r>
        <w:t xml:space="preserve">A total of 30 position papers have been uploaded.</w:t>
      </w:r>
      <w:r>
        <w:t xml:space="preserve"> </w:t>
      </w:r>
      <w:r>
        <w:t xml:space="preserve">-</w:t>
      </w:r>
      <w:r>
        <w:t xml:space="preserve"> </w:t>
      </w:r>
      <w:r>
        <w:t xml:space="preserve">Bilateral meetings with business associations.</w:t>
      </w:r>
      <w:r>
        <w:br/>
      </w:r>
      <w:r>
        <w:t xml:space="preserve">-</w:t>
      </w:r>
      <w:r>
        <w:t xml:space="preserve"> </w:t>
      </w:r>
      <w:r>
        <w:t xml:space="preserve">Meeting with national public authorities/agencies, business associations and civil</w:t>
      </w:r>
      <w:r>
        <w:t xml:space="preserve"> </w:t>
      </w:r>
      <w:r>
        <w:t xml:space="preserve">society groups participating to the Commission Expert Group “Platform for Tax</w:t>
      </w:r>
      <w:r>
        <w:t xml:space="preserve"> </w:t>
      </w:r>
      <w:r>
        <w:t xml:space="preserve">Good Governance, Aggressive Tax Planning and Double Taxation”.</w:t>
      </w:r>
      <w:r>
        <w:br/>
      </w:r>
      <w:r>
        <w:t xml:space="preserve">-</w:t>
      </w:r>
      <w:r>
        <w:t xml:space="preserve"> </w:t>
      </w:r>
      <w:r>
        <w:t xml:space="preserve">Meeting with the European Economic and Social Committee (EESC).</w:t>
      </w:r>
      <w:r>
        <w:t xml:space="preserve"> </w:t>
      </w:r>
      <w:r>
        <w:t xml:space="preserve">1. Summary of feedback to the Inception Impact Assessment</w:t>
      </w:r>
      <w:r>
        <w:t xml:space="preserve"> </w:t>
      </w:r>
      <w:r>
        <w:t xml:space="preserve">Feedback was provided by one investment group, five business association (one of which</w:t>
      </w:r>
      <w:r>
        <w:t xml:space="preserve"> </w:t>
      </w:r>
      <w:r>
        <w:t xml:space="preserve">from UK), one polish citizen</w:t>
      </w:r>
      <w:r>
        <w:br/>
      </w:r>
      <w:r>
        <w:t xml:space="preserve">The investment group, and four business associations, are generally in favor of the</w:t>
      </w:r>
      <w:r>
        <w:t xml:space="preserve"> </w:t>
      </w:r>
      <w:r>
        <w:t xml:space="preserve">introduction of an effective system intended to reduce the tax bias of indebtedness. On</w:t>
      </w:r>
      <w:r>
        <w:t xml:space="preserve"> </w:t>
      </w:r>
      <w:r>
        <w:t xml:space="preserve">the other hands, an UK business organization considers that the different tax treatment of</w:t>
      </w:r>
      <w:r>
        <w:t xml:space="preserve"> </w:t>
      </w:r>
      <w:r>
        <w:t xml:space="preserve">payments made to equity investors and to lenders is justified by the fundamental</w:t>
      </w:r>
      <w:r>
        <w:t xml:space="preserve"> </w:t>
      </w:r>
      <w:r>
        <w:t xml:space="preserve">difference between equity and debt investments. They doubt that the cost for an</w:t>
      </w:r>
      <w:r>
        <w:t xml:space="preserve"> </w:t>
      </w:r>
      <w:r>
        <w:t xml:space="preserve">allowance for equity investment can be justified by its likely economic benefits. There</w:t>
      </w:r>
      <w:r>
        <w:t xml:space="preserve"> </w:t>
      </w:r>
      <w:r>
        <w:t xml:space="preserve">are already extensive rules to combat excessive and tax-driven use of debt, and no</w:t>
      </w:r>
      <w:r>
        <w:t xml:space="preserve"> </w:t>
      </w:r>
      <w:r>
        <w:t xml:space="preserve">evidence has been provided to suggest that these are inadequate. The Danish Chamber of</w:t>
      </w:r>
      <w:r>
        <w:t xml:space="preserve"> </w:t>
      </w:r>
      <w:r>
        <w:t xml:space="preserve">Commerce welcomed the uniform treatment of debt and equity for tax purposes but</w:t>
      </w:r>
      <w:r>
        <w:t xml:space="preserve"> </w:t>
      </w:r>
      <w:r>
        <w:t xml:space="preserve">suggests to lower the corporation tax or abolish it altogether, as the corporation tax is the</w:t>
      </w:r>
      <w:r>
        <w:t xml:space="preserve"> </w:t>
      </w:r>
      <w:r>
        <w:t xml:space="preserve">most productivity-limiting tax. According to the citizen the current low rates of credits</w:t>
      </w:r>
      <w:r>
        <w:t xml:space="preserve"> </w:t>
      </w:r>
      <w:r>
        <w:t xml:space="preserve">and loans do not indicate the need to intervene in this market by reducing the</w:t>
      </w:r>
      <w:r>
        <w:t xml:space="preserve"> </w:t>
      </w:r>
      <w:r>
        <w:t xml:space="preserve">indebtedness of entrepreneurs.</w:t>
      </w:r>
      <w:r>
        <w:t xml:space="preserve"> </w:t>
      </w:r>
      <w:r>
        <w:t xml:space="preserve">The financial organisation and the five business associations (including UK based</w:t>
      </w:r>
      <w:r>
        <w:t xml:space="preserve"> </w:t>
      </w:r>
      <w:r>
        <w:t xml:space="preserve">association) do not support measures that would result in either disallowing or penalising</w:t>
      </w:r>
      <w:r>
        <w:t xml:space="preserve"> </w:t>
      </w:r>
      <w:r>
        <w:t xml:space="preserve">the deductibility of interest payments. They consider that an intervention in this sense</w:t>
      </w:r>
      <w:r>
        <w:t xml:space="preserve"> </w:t>
      </w:r>
      <w:r>
        <w:t xml:space="preserve">“would increase the cost of capital, reduce investment and inflict lasting damage on the</w:t>
      </w:r>
      <w:r>
        <w:t xml:space="preserve"> </w:t>
      </w:r>
      <w:r>
        <w:t xml:space="preserve">European economy, especially in the post-pandemic context”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four business associations and the financial organisation support the approach to</w:t>
      </w:r>
      <w:r>
        <w:t xml:space="preserve"> </w:t>
      </w:r>
      <w:r>
        <w:t xml:space="preserve">create an allowance for equity by enabling the tax deductibility of notional interest for</w:t>
      </w:r>
      <w:r>
        <w:t xml:space="preserve"> </w:t>
      </w:r>
      <w:r>
        <w:t xml:space="preserve">equity. They also (cumulatively) put forward the following opinions: the preference for a</w:t>
      </w:r>
      <w:r>
        <w:t xml:space="preserve"> </w:t>
      </w:r>
      <w:r>
        <w:t xml:space="preserve">mechanism inspired by effective systems already adopted, such as the one in force in</w:t>
      </w:r>
      <w:r>
        <w:t xml:space="preserve"> </w:t>
      </w:r>
      <w:r>
        <w:t xml:space="preserve">Italy (based on the</w:t>
      </w:r>
      <w:r>
        <w:t xml:space="preserve"> </w:t>
      </w:r>
      <w:r>
        <w:t xml:space="preserve">“ACE”</w:t>
      </w:r>
      <w:r>
        <w:t xml:space="preserve"> </w:t>
      </w:r>
      <w:r>
        <w:t xml:space="preserve">mechanism - Allowance for Corporate Equity); the suggestion</w:t>
      </w:r>
      <w:r>
        <w:t xml:space="preserve"> </w:t>
      </w:r>
      <w:r>
        <w:t xml:space="preserve">to include in the proposal measures for alleviating existing constraints on equity issuance</w:t>
      </w:r>
      <w:r>
        <w:t xml:space="preserve"> </w:t>
      </w:r>
      <w:r>
        <w:t xml:space="preserve">(indeed, the choice between equity and debt is not made by companies solely because of</w:t>
      </w:r>
      <w:r>
        <w:t xml:space="preserve"> </w:t>
      </w:r>
      <w:r>
        <w:t xml:space="preserve">tax reasons for instance, for example, equity has significant governance implications); the</w:t>
      </w:r>
      <w:r>
        <w:t xml:space="preserve"> </w:t>
      </w:r>
      <w:r>
        <w:t xml:space="preserve">support for a special measure for SME that typically find it more difficult than more</w:t>
      </w:r>
      <w:r>
        <w:t xml:space="preserve"> </w:t>
      </w:r>
      <w:r>
        <w:t xml:space="preserve">mature companies to find financing; the importance to design effective anti-abuse</w:t>
      </w:r>
      <w:r>
        <w:t xml:space="preserve"> </w:t>
      </w:r>
      <w:r>
        <w:t xml:space="preserve">measures</w:t>
      </w:r>
      <w:r>
        <w:t xml:space="preserve"> </w:t>
      </w:r>
      <w:r>
        <w:t xml:space="preserve">Finally, the financial organisation suggests a deduction of notional interest on new equity</w:t>
      </w:r>
      <w:r>
        <w:t xml:space="preserve"> </w:t>
      </w:r>
      <w:r>
        <w:t xml:space="preserve">capital of companies since it is the only measure who would effectively encourage new</w:t>
      </w:r>
      <w:r>
        <w:t xml:space="preserve"> </w:t>
      </w:r>
      <w:r>
        <w:t xml:space="preserve">investments in equity.</w:t>
      </w:r>
      <w:r>
        <w:t xml:space="preserve"> </w:t>
      </w:r>
      <w:r>
        <w:t xml:space="preserve">2. Summary of meeting with EESC</w:t>
      </w:r>
      <w:r>
        <w:t xml:space="preserve"> </w:t>
      </w:r>
      <w:r>
        <w:t xml:space="preserve">In preparation of the opinion an expert group was held where several experts provided</w:t>
      </w:r>
      <w:r>
        <w:t xml:space="preserve"> </w:t>
      </w:r>
      <w:r>
        <w:t xml:space="preserve">feedback and comments on the DEBRA initiative. During the plenary meeting EESC</w:t>
      </w:r>
      <w:r>
        <w:t xml:space="preserve"> </w:t>
      </w:r>
      <w:r>
        <w:t xml:space="preserve">confirmed the view already expressed in the opinion on the Communication on Business</w:t>
      </w:r>
      <w:r>
        <w:t xml:space="preserve"> </w:t>
      </w:r>
      <w:r>
        <w:t xml:space="preserve">Taxation for the 21st Century77. “The EESC welcomes the initiative of the Commission to</w:t>
      </w:r>
      <w:r>
        <w:t xml:space="preserve"> </w:t>
      </w:r>
      <w:r>
        <w:t xml:space="preserve">create a Debt Equity Bias Reduction Allowance (DEBRA). Investments in new greener</w:t>
      </w:r>
      <w:r>
        <w:t xml:space="preserve"> </w:t>
      </w:r>
      <w:r>
        <w:t xml:space="preserve">technology are connected with a high risk for the investor. In such situations, equity</w:t>
      </w:r>
      <w:r>
        <w:t xml:space="preserve"> </w:t>
      </w:r>
      <w:r>
        <w:t xml:space="preserve">financing is particularly important and the inherent bias against equity financing built</w:t>
      </w:r>
      <w:r>
        <w:t xml:space="preserve"> </w:t>
      </w:r>
      <w:r>
        <w:t xml:space="preserve">into the tax systems needs to be addressed.”78</w:t>
      </w:r>
      <w:r>
        <w:t xml:space="preserve"> </w:t>
      </w:r>
      <w:r>
        <w:t xml:space="preserve">3. Summary of the open public consultation</w:t>
      </w:r>
      <w:r>
        <w:t xml:space="preserve"> </w:t>
      </w:r>
      <w:r>
        <w:t xml:space="preserve">While overall responses provide a mixed picture, the majority of business associations</w:t>
      </w:r>
      <w:r>
        <w:t xml:space="preserve"> </w:t>
      </w:r>
      <w:r>
        <w:t xml:space="preserve">and corporations (which represent a majority of respondents) see an EU wide measure</w:t>
      </w:r>
      <w:r>
        <w:t xml:space="preserve"> </w:t>
      </w:r>
      <w:r>
        <w:t xml:space="preserve">as preferable to country-specific approaches. Similarly for the view that an allowance for</w:t>
      </w:r>
      <w:r>
        <w:t xml:space="preserve"> </w:t>
      </w:r>
      <w:r>
        <w:t xml:space="preserve">equity would support the economic recovery from the COVID-19 health crisis and help</w:t>
      </w:r>
      <w:r>
        <w:t xml:space="preserve"> </w:t>
      </w:r>
      <w:r>
        <w:t xml:space="preserve">businesses with cross-border activities in the single market. An allowance on equity is</w:t>
      </w:r>
      <w:r>
        <w:t xml:space="preserve"> </w:t>
      </w:r>
      <w:r>
        <w:t xml:space="preserve">markedly preferred to a disallowance of interest deductions or an identical notional</w:t>
      </w:r>
      <w:r>
        <w:t xml:space="preserve"> </w:t>
      </w:r>
      <w:r>
        <w:t xml:space="preserve">interest deduction for debt and equity alike.</w:t>
      </w:r>
      <w:r>
        <w:t xml:space="preserve"> </w:t>
      </w:r>
      <w:r>
        <w:t xml:space="preserve">Responses from five NGOs (mostly chamber of commerce and tax accountants) are more</w:t>
      </w:r>
      <w:r>
        <w:t xml:space="preserve"> </w:t>
      </w:r>
      <w:r>
        <w:t xml:space="preserve">heterogeneous than those from the business community. An NGO has provided a</w:t>
      </w:r>
      <w:r>
        <w:t xml:space="preserve"> </w:t>
      </w:r>
      <w:r>
        <w:t xml:space="preserve">position paper and in principle agrees with the problem of the debt-equity bias but</w:t>
      </w:r>
      <w:r>
        <w:t xml:space="preserve"> </w:t>
      </w:r>
      <w:r>
        <w:t xml:space="preserve">cautions on fiscal impacts. Also, it requests from the Commission to precisely calculate</w:t>
      </w:r>
      <w:r>
        <w:t xml:space="preserve"> </w:t>
      </w:r>
      <w:r>
        <w:t xml:space="preserve">the impact of an allowance on equity on effective tax rates across EU Member States.</w:t>
      </w:r>
    </w:p>
    <w:p>
      <w:pPr>
        <w:pStyle w:val="BodyText"/>
      </w:pPr>
      <w:r>
        <w:t xml:space="preserve">77 COM/2021/251, https://eur-lex.europa.eu/legal-content/EN/TXT/?uri=CELEX:52021DC0251</w:t>
      </w:r>
      <w:r>
        <w:t xml:space="preserve"> </w:t>
      </w:r>
      <w:r>
        <w:t xml:space="preserve">78 ECO/558-EESC-2021, https://www.eesc.europa.eu/en/our-work/opinions-information-reports/opinions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They quote an audit company with the claim that Malta’s statutory CIT rate of 35% is</w:t>
      </w:r>
      <w:r>
        <w:t xml:space="preserve"> </w:t>
      </w:r>
      <w:r>
        <w:t xml:space="preserve">reduced to 3.5% due to the NID implemented.</w:t>
      </w:r>
      <w:r>
        <w:br/>
      </w:r>
      <w:r>
        <w:t xml:space="preserve">Three responses have been received from academic and research institutions. Research</w:t>
      </w:r>
      <w:r>
        <w:t xml:space="preserve"> </w:t>
      </w:r>
      <w:r>
        <w:t xml:space="preserve">institutions have also provided position papers with a detailed analyses of the measure.</w:t>
      </w:r>
      <w:r>
        <w:t xml:space="preserve"> </w:t>
      </w:r>
      <w:r>
        <w:t xml:space="preserve">While one provides a legal analysis and mostly agrees with the approach, another looks</w:t>
      </w:r>
      <w:r>
        <w:t xml:space="preserve"> </w:t>
      </w:r>
      <w:r>
        <w:t xml:space="preserve">at the economic aspects. An academic has also voiced in a study meeting of the European</w:t>
      </w:r>
      <w:r>
        <w:t xml:space="preserve"> </w:t>
      </w:r>
      <w:r>
        <w:t xml:space="preserve">Economic and Social Committee that he considers an EU action for an allowance on</w:t>
      </w:r>
      <w:r>
        <w:t xml:space="preserve"> </w:t>
      </w:r>
      <w:r>
        <w:t xml:space="preserve">equity as problematic, since it does not account for the interaction between the income</w:t>
      </w:r>
      <w:r>
        <w:t xml:space="preserve"> </w:t>
      </w:r>
      <w:r>
        <w:t xml:space="preserve">taxation of corporations and individuals.</w:t>
      </w:r>
      <w:r>
        <w:br/>
      </w:r>
      <w:r>
        <w:t xml:space="preserve">The rational for an equity allowance</w:t>
      </w:r>
      <w:r>
        <w:t xml:space="preserve"> </w:t>
      </w:r>
      <w:r>
        <w:t xml:space="preserve">The answers provided demonstrate that most respondents (26/67) agree that high levels</w:t>
      </w:r>
      <w:r>
        <w:t xml:space="preserve"> </w:t>
      </w:r>
      <w:r>
        <w:t xml:space="preserve">of debt make businesses more prone to insolvency, business associations agree to that</w:t>
      </w:r>
      <w:r>
        <w:t xml:space="preserve"> </w:t>
      </w:r>
      <w:r>
        <w:t xml:space="preserve">assertion, while corporations strongly agree. For 17 of them there are no link and only 7</w:t>
      </w:r>
      <w:r>
        <w:t xml:space="preserve"> </w:t>
      </w:r>
      <w:r>
        <w:t xml:space="preserve">disagree. The same proportion of respondents (26/67) agree that debt levels are too high</w:t>
      </w:r>
      <w:r>
        <w:t xml:space="preserve"> </w:t>
      </w:r>
      <w:r>
        <w:t xml:space="preserve">in SMEs and large non-financial enterprises. From the answers provided it is not clear</w:t>
      </w:r>
      <w:r>
        <w:t xml:space="preserve"> </w:t>
      </w:r>
      <w:r>
        <w:t xml:space="preserve">whether respondents believe that such higher levels of debt are due to the lack of other</w:t>
      </w:r>
      <w:r>
        <w:t xml:space="preserve"> </w:t>
      </w:r>
      <w:r>
        <w:t xml:space="preserve">financing options.</w:t>
      </w:r>
      <w:r>
        <w:br/>
      </w:r>
      <w:r>
        <w:t xml:space="preserve">More than half of the respondents 34/67 tend to agree that access to equity is limited,</w:t>
      </w:r>
      <w:r>
        <w:t xml:space="preserve"> </w:t>
      </w:r>
      <w:r>
        <w:t xml:space="preserve">especially corporations which strongly agree.</w:t>
      </w:r>
      <w:r>
        <w:br/>
      </w:r>
      <w:r>
        <w:t xml:space="preserve">The vast majority of participants believe (42/67) that debt is used to finance investments</w:t>
      </w:r>
      <w:r>
        <w:t xml:space="preserve"> </w:t>
      </w:r>
      <w:r>
        <w:t xml:space="preserve">because interest levels are low and therefore debt financing is cheap. Only 4/67 answers</w:t>
      </w:r>
      <w:r>
        <w:t xml:space="preserve"> </w:t>
      </w:r>
      <w:r>
        <w:t xml:space="preserve">expressed disagreement or strong disagreement regarding this statement.</w:t>
      </w:r>
      <w:r>
        <w:t xml:space="preserve"> </w:t>
      </w:r>
      <w:r>
        <w:t xml:space="preserve">In general, respondents seem to agree that measures should be taken to encourage</w:t>
      </w:r>
      <w:r>
        <w:t xml:space="preserve"> </w:t>
      </w:r>
      <w:r>
        <w:t xml:space="preserve">businesses to reduce debt financing and resort more to equity financing.</w:t>
      </w:r>
      <w:r>
        <w:t xml:space="preserve"> </w:t>
      </w:r>
      <w:r>
        <w:t xml:space="preserve">Indebtedness and financing decisions</w:t>
      </w:r>
      <w:r>
        <w:t xml:space="preserve"> </w:t>
      </w:r>
      <w:r>
        <w:t xml:space="preserve">Most respondents either agree (business association) or strongly agree (corporations,</w:t>
      </w:r>
      <w:r>
        <w:t xml:space="preserve"> </w:t>
      </w:r>
      <w:r>
        <w:t xml:space="preserve">academics, NGOs and citizens) that non-financial businesses are more vulnerable to</w:t>
      </w:r>
      <w:r>
        <w:t xml:space="preserve"> </w:t>
      </w:r>
      <w:r>
        <w:t xml:space="preserve">insolvency (49/67).</w:t>
      </w:r>
      <w:r>
        <w:t xml:space="preserve"> </w:t>
      </w:r>
      <w:r>
        <w:t xml:space="preserve">More respondents disagrees or strongly disagrees 26/67 that high levels of indebtedness</w:t>
      </w:r>
      <w:r>
        <w:t xml:space="preserve"> </w:t>
      </w:r>
      <w:r>
        <w:t xml:space="preserve">make enterprises more profitable, than the ones who agree or strongly agree with such a</w:t>
      </w:r>
      <w:r>
        <w:t xml:space="preserve"> </w:t>
      </w:r>
      <w:r>
        <w:t xml:space="preserve">statement (7/67). However a clear pattern is hard to assess in this context, due to the fact</w:t>
      </w:r>
      <w:r>
        <w:t xml:space="preserve"> </w:t>
      </w:r>
      <w:r>
        <w:t xml:space="preserve">that 17/67 responded that they are neutral, while 17/67 did not answer or did not know</w:t>
      </w:r>
      <w:r>
        <w:t xml:space="preserve"> </w:t>
      </w:r>
      <w:r>
        <w:t xml:space="preserve">the answer. A similar pattern of answers is to be noted for the following questions with</w:t>
      </w:r>
      <w:r>
        <w:t xml:space="preserve"> </w:t>
      </w:r>
      <w:r>
        <w:t xml:space="preserve">around a fourth of neutral and a fourth of no answers.</w:t>
      </w:r>
      <w:r>
        <w:t xml:space="preserve"> </w:t>
      </w:r>
      <w:r>
        <w:t xml:space="preserve">The answers provided did not allow to assess the respondent’s position on whether high</w:t>
      </w:r>
      <w:r>
        <w:t xml:space="preserve"> </w:t>
      </w:r>
      <w:r>
        <w:t xml:space="preserve">levels of debt are due to lack of other financing options. On the one hand 21/67 of</w:t>
      </w:r>
      <w:r>
        <w:t xml:space="preserve"> </w:t>
      </w:r>
      <w:r>
        <w:t xml:space="preserve">respondents agree or strongly agree with such a statement. On the other hand 17/67</w:t>
      </w:r>
      <w:r>
        <w:t xml:space="preserve"> </w:t>
      </w:r>
      <w:r>
        <w:t xml:space="preserve">disagree or strongly disagree that this is the case. It is also relevant to point out that 14/67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of respondents are neutral in this regard, and 15/67 did not answer or did not knew the</w:t>
      </w:r>
      <w:r>
        <w:t xml:space="preserve"> </w:t>
      </w:r>
      <w:r>
        <w:t xml:space="preserve">answer to the question.</w:t>
      </w:r>
      <w:r>
        <w:t xml:space="preserve"> </w:t>
      </w:r>
      <w:r>
        <w:t xml:space="preserve">23/67 of respondents agree or strongly agree that debt levels of large non-financial</w:t>
      </w:r>
      <w:r>
        <w:t xml:space="preserve"> </w:t>
      </w:r>
      <w:r>
        <w:t xml:space="preserve">enterprises are too high, while almost none of the respondents disagree (3 disagree, 0</w:t>
      </w:r>
      <w:r>
        <w:t xml:space="preserve"> </w:t>
      </w:r>
      <w:r>
        <w:t xml:space="preserve">strongly disagrees). Most of the respondents are either neutral (13/67), don’t know</w:t>
      </w:r>
      <w:r>
        <w:t xml:space="preserve"> </w:t>
      </w:r>
      <w:r>
        <w:t xml:space="preserve">(12/67) or did not answered the question (16/67).</w:t>
      </w:r>
      <w:r>
        <w:t xml:space="preserve"> </w:t>
      </w:r>
      <w:r>
        <w:t xml:space="preserve">Almost 40% (26/67) of respondents agree or strongly agree that SMEs have too much</w:t>
      </w:r>
      <w:r>
        <w:t xml:space="preserve"> </w:t>
      </w:r>
      <w:r>
        <w:t xml:space="preserve">debt, while a very low number of respondents disagrees that debt levels of SMEs are too</w:t>
      </w:r>
      <w:r>
        <w:t xml:space="preserve"> </w:t>
      </w:r>
      <w:r>
        <w:t xml:space="preserve">high (4 disagree, none strongly disagree. 20,9% (14/67) are neutral in this regard. Again</w:t>
      </w:r>
      <w:r>
        <w:t xml:space="preserve"> </w:t>
      </w:r>
      <w:r>
        <w:t xml:space="preserve">around a quarter of the respondents did not respond to the question.</w:t>
      </w:r>
      <w:r>
        <w:t xml:space="preserve"> </w:t>
      </w:r>
      <w:r>
        <w:t xml:space="preserve">A number of respondents (9/67) believe that the ideal proportion would be 25%-50%.</w:t>
      </w:r>
      <w:r>
        <w:t xml:space="preserve"> </w:t>
      </w:r>
      <w:r>
        <w:t xml:space="preserve">28 out of 67 respondents agree or strongly agree that enterprises use finance investments</w:t>
      </w:r>
      <w:r>
        <w:t xml:space="preserve"> </w:t>
      </w:r>
      <w:r>
        <w:t xml:space="preserve">to increase their return on equity. 11 respondents were neutral and 22 didn’t answer</w:t>
      </w:r>
      <w:r>
        <w:br/>
      </w:r>
      <w:r>
        <w:t xml:space="preserve">More than half of the respondents, especially among business organisations and</w:t>
      </w:r>
      <w:r>
        <w:t xml:space="preserve"> </w:t>
      </w:r>
      <w:r>
        <w:t xml:space="preserve">corporations, 34/67 agree that their access to equity financing is limited or inexistent.</w:t>
      </w:r>
      <w:r>
        <w:t xml:space="preserve"> </w:t>
      </w:r>
      <w:r>
        <w:t xml:space="preserve">Few respondents (4/67) disagree with such a statement. A total of 25/67 respondents</w:t>
      </w:r>
      <w:r>
        <w:t xml:space="preserve"> </w:t>
      </w:r>
      <w:r>
        <w:t xml:space="preserve">were neutral, did not know the answer or did not answer.</w:t>
      </w:r>
      <w:r>
        <w:t xml:space="preserve"> </w:t>
      </w:r>
      <w:r>
        <w:t xml:space="preserve">The vast majority of participants believe (42/67) that debt is used to finance investments</w:t>
      </w:r>
      <w:r>
        <w:t xml:space="preserve"> </w:t>
      </w:r>
      <w:r>
        <w:t xml:space="preserve">because interest levels are low and therefore debt financing is cheap. Only 4/67 answers</w:t>
      </w:r>
      <w:r>
        <w:t xml:space="preserve"> </w:t>
      </w:r>
      <w:r>
        <w:t xml:space="preserve">expressed disagreement or strong disagreement regarding this statement.</w:t>
      </w:r>
      <w:r>
        <w:t xml:space="preserve"> </w:t>
      </w:r>
      <w:r>
        <w:t xml:space="preserve">The answers provided with regards to whether enterprises use debt to finance</w:t>
      </w:r>
      <w:r>
        <w:t xml:space="preserve"> </w:t>
      </w:r>
      <w:r>
        <w:t xml:space="preserve">investments to diversify risk are not conclusive. More than 50% of the answers (39/67)</w:t>
      </w:r>
      <w:r>
        <w:t xml:space="preserve"> </w:t>
      </w:r>
      <w:r>
        <w:t xml:space="preserve">are either “don’t know” (6/67); “No answer” (18/67) or “neutral” (15/67). Regarding the</w:t>
      </w:r>
      <w:r>
        <w:t xml:space="preserve"> </w:t>
      </w:r>
      <w:r>
        <w:t xml:space="preserve">remaining answers 16/67 respondents agree or strongly agree that debt financing is used</w:t>
      </w:r>
      <w:r>
        <w:t xml:space="preserve"> </w:t>
      </w:r>
      <w:r>
        <w:t xml:space="preserve">to diversify risk against 12/67 respondents which disagree or strongly disagree with such</w:t>
      </w:r>
      <w:r>
        <w:t xml:space="preserve"> </w:t>
      </w:r>
      <w:r>
        <w:t xml:space="preserve">statement.</w:t>
      </w:r>
      <w:r>
        <w:br/>
      </w:r>
      <w:r>
        <w:t xml:space="preserve">There are more respondents, especially among business associations and corporations,</w:t>
      </w:r>
      <w:r>
        <w:t xml:space="preserve"> </w:t>
      </w:r>
      <w:r>
        <w:t xml:space="preserve">who agree or strongly agree (21/67) that businesses used debt to reduce tax liabilities</w:t>
      </w:r>
      <w:r>
        <w:t xml:space="preserve"> </w:t>
      </w:r>
      <w:r>
        <w:t xml:space="preserve">than the one that disagree or strongly disagree (14/67). However, there is a large part of</w:t>
      </w:r>
      <w:r>
        <w:t xml:space="preserve"> </w:t>
      </w:r>
      <w:r>
        <w:t xml:space="preserve">respondents which either did not answer (15/67), did not know the answer (3/67), or were</w:t>
      </w:r>
      <w:r>
        <w:t xml:space="preserve"> </w:t>
      </w:r>
      <w:r>
        <w:t xml:space="preserve">neutral (14/67) with regards to this statement.</w:t>
      </w:r>
      <w:r>
        <w:t xml:space="preserve"> </w:t>
      </w:r>
      <w:r>
        <w:t xml:space="preserve">More respondents that agree or strongly agree (24/67) that debt is used to avoid dilutions</w:t>
      </w:r>
      <w:r>
        <w:t xml:space="preserve"> </w:t>
      </w:r>
      <w:r>
        <w:t xml:space="preserve">of voting rights of the main shareholders especially among business associations and</w:t>
      </w:r>
      <w:r>
        <w:t xml:space="preserve"> </w:t>
      </w:r>
      <w:r>
        <w:t xml:space="preserve">corporations, than those who disagree (7/67). Neutral responses are about half of the</w:t>
      </w:r>
      <w:r>
        <w:t xml:space="preserve"> </w:t>
      </w:r>
      <w:r>
        <w:t xml:space="preserve">positive answers (12/67). However there is a large part of respondents (24/67) did not</w:t>
      </w:r>
      <w:r>
        <w:t xml:space="preserve"> </w:t>
      </w:r>
      <w:r>
        <w:t xml:space="preserve">provide an answer. If this results are disregarded, we reach the conclusion that more than</w:t>
      </w:r>
      <w:r>
        <w:t xml:space="preserve"> </w:t>
      </w:r>
      <w:r>
        <w:t xml:space="preserve">50% of the respondents that provided a concrete answer, agree or strongly agree that debt</w:t>
      </w:r>
      <w:r>
        <w:t xml:space="preserve"> </w:t>
      </w:r>
      <w:r>
        <w:t xml:space="preserve">is preferred to avoid dilution of voting rights of their main shareholders (24/43).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Nine respondents have presented other reasons apart from those of the questionnaire.</w:t>
      </w:r>
      <w:r>
        <w:t xml:space="preserve"> </w:t>
      </w:r>
      <w:r>
        <w:t xml:space="preserve">Most respondents either agree or strongly agree that enterprises should be using less debt</w:t>
      </w:r>
      <w:r>
        <w:t xml:space="preserve"> </w:t>
      </w:r>
      <w:r>
        <w:t xml:space="preserve">financing and more equity financing (41/67), among Business associations 25% strongly</w:t>
      </w:r>
      <w:r>
        <w:t xml:space="preserve"> </w:t>
      </w:r>
      <w:r>
        <w:t xml:space="preserve">agree and 33% agree. There were further comments provided by respondents to sustain</w:t>
      </w:r>
      <w:r>
        <w:t xml:space="preserve"> </w:t>
      </w:r>
      <w:r>
        <w:t xml:space="preserve">their answers.</w:t>
      </w:r>
      <w:r>
        <w:t xml:space="preserve"> </w:t>
      </w:r>
      <w:r>
        <w:t xml:space="preserve">EU wide measures versus national measures</w:t>
      </w:r>
      <w:r>
        <w:t xml:space="preserve"> </w:t>
      </w:r>
      <w:r>
        <w:t xml:space="preserve">More respondents ((26/67) disagreed or strongly disagreed that a national initiatives are</w:t>
      </w:r>
      <w:r>
        <w:t xml:space="preserve"> </w:t>
      </w:r>
      <w:r>
        <w:t xml:space="preserve">preferable to EU initiatives because these can better targeted to the needs, among them</w:t>
      </w:r>
      <w:r>
        <w:t xml:space="preserve"> </w:t>
      </w:r>
      <w:r>
        <w:t xml:space="preserve">66% of academics and 33% of Business associations. 15/67 agreed with such statement,</w:t>
      </w:r>
      <w:r>
        <w:t xml:space="preserve"> </w:t>
      </w:r>
      <w:r>
        <w:t xml:space="preserve">among them 20% of Business associations and 16/67 respondents either did not know or</w:t>
      </w:r>
      <w:r>
        <w:t xml:space="preserve"> </w:t>
      </w:r>
      <w:r>
        <w:t xml:space="preserve">did not answer. 10/67 respondents were neutral in this regard.</w:t>
      </w:r>
      <w:r>
        <w:t xml:space="preserve"> </w:t>
      </w:r>
      <w:r>
        <w:t xml:space="preserve">An EU wide initiative is viewed as a useful tool to support economic recovery from the</w:t>
      </w:r>
      <w:r>
        <w:t xml:space="preserve"> </w:t>
      </w:r>
      <w:r>
        <w:t xml:space="preserve">COVID-19 crisis, and to foster equity investment to a greener digitalized economy</w:t>
      </w:r>
      <w:r>
        <w:t xml:space="preserve"> </w:t>
      </w:r>
      <w:r>
        <w:t xml:space="preserve">without creating distortions in the single market. EU wide measures were as also</w:t>
      </w:r>
      <w:r>
        <w:t xml:space="preserve"> </w:t>
      </w:r>
      <w:r>
        <w:t xml:space="preserve">considered as being beneficial for business operating in the single market across</w:t>
      </w:r>
      <w:r>
        <w:t xml:space="preserve"> </w:t>
      </w:r>
      <w:r>
        <w:t xml:space="preserve">countries. Respondents also agree that national tax debt-equity bias measures are a form</w:t>
      </w:r>
      <w:r>
        <w:t xml:space="preserve"> </w:t>
      </w:r>
      <w:r>
        <w:t xml:space="preserve">of tax competition between countries, and that EU wide measures would reduce such tax</w:t>
      </w:r>
      <w:r>
        <w:t xml:space="preserve"> </w:t>
      </w:r>
      <w:r>
        <w:t xml:space="preserve">competition between Member States.</w:t>
      </w:r>
      <w:r>
        <w:t xml:space="preserve"> </w:t>
      </w:r>
      <w:r>
        <w:t xml:space="preserve">Respondents are divided between those who are neutral 20/67 and those who agree that</w:t>
      </w:r>
      <w:r>
        <w:t xml:space="preserve"> </w:t>
      </w:r>
      <w:r>
        <w:t xml:space="preserve">national legislation to tackle the tax debt-equity bias is creating barriers for enterprises to</w:t>
      </w:r>
      <w:r>
        <w:t xml:space="preserve"> </w:t>
      </w:r>
      <w:r>
        <w:t xml:space="preserve">operate in the single market (21/67). A large part of respondents did not provide an</w:t>
      </w:r>
      <w:r>
        <w:t xml:space="preserve"> </w:t>
      </w:r>
      <w:r>
        <w:t xml:space="preserve">answer or did not know (21/67).</w:t>
      </w:r>
      <w:r>
        <w:t xml:space="preserve"> </w:t>
      </w:r>
      <w:r>
        <w:t xml:space="preserve">From those who did provide an answer, there is clear agreement or strong agreement</w:t>
      </w:r>
      <w:r>
        <w:t xml:space="preserve"> </w:t>
      </w:r>
      <w:r>
        <w:t xml:space="preserve">(32/67) that tax debt-equity bias measures are a form of tax competition between</w:t>
      </w:r>
      <w:r>
        <w:t xml:space="preserve"> </w:t>
      </w:r>
      <w:r>
        <w:t xml:space="preserve">countries, among them 100% of academics, 71% of citizens, 58% of corporations and</w:t>
      </w:r>
      <w:r>
        <w:t xml:space="preserve"> </w:t>
      </w:r>
      <w:r>
        <w:t xml:space="preserve">28% of Business associations. Only a small number of respondents disagree (5/67) or are</w:t>
      </w:r>
      <w:r>
        <w:t xml:space="preserve"> </w:t>
      </w:r>
      <w:r>
        <w:t xml:space="preserve">neutral in this regard (9/67). Almost a third of respondents did not provide an answer or</w:t>
      </w:r>
      <w:r>
        <w:t xml:space="preserve"> </w:t>
      </w:r>
      <w:r>
        <w:t xml:space="preserve">did not know (21/67).</w:t>
      </w:r>
      <w:r>
        <w:t xml:space="preserve"> </w:t>
      </w:r>
      <w:r>
        <w:t xml:space="preserve">The answers provided demonstrate that more than half of the respondents (34/67) believe</w:t>
      </w:r>
      <w:r>
        <w:t xml:space="preserve"> </w:t>
      </w:r>
      <w:r>
        <w:t xml:space="preserve">that an EU wide initiative to tackle the debt-equity bias, would be a useful tool to foster</w:t>
      </w:r>
      <w:r>
        <w:t xml:space="preserve"> </w:t>
      </w:r>
      <w:r>
        <w:t xml:space="preserve">economic recovery and incentivize equity investments in the twin green and digital</w:t>
      </w:r>
      <w:r>
        <w:t xml:space="preserve"> </w:t>
      </w:r>
      <w:r>
        <w:t xml:space="preserve">transitions, among them 100% of academics, 86% of citizens, 50% of corporations and</w:t>
      </w:r>
      <w:r>
        <w:t xml:space="preserve"> </w:t>
      </w:r>
      <w:r>
        <w:t xml:space="preserve">42% of Business associations. Only a residual amount of respondents have disagreed or</w:t>
      </w:r>
      <w:r>
        <w:t xml:space="preserve"> </w:t>
      </w:r>
      <w:r>
        <w:t xml:space="preserve">strongly disagreed with such statement (6/67) or are neutral about the subject. A</w:t>
      </w:r>
      <w:r>
        <w:t xml:space="preserve"> </w:t>
      </w:r>
      <w:r>
        <w:t xml:space="preserve">substantial amount of respondents did not provide an answer or did not knew the answer</w:t>
      </w:r>
      <w:r>
        <w:t xml:space="preserve"> </w:t>
      </w:r>
      <w:r>
        <w:t xml:space="preserve">(21/67).</w:t>
      </w:r>
      <w:r>
        <w:t xml:space="preserve"> </w:t>
      </w:r>
      <w:r>
        <w:t xml:space="preserve">Respondents clearly agree that EU initiatives to reduce equity-debt bias would reduce tax</w:t>
      </w:r>
      <w:r>
        <w:t xml:space="preserve"> </w:t>
      </w:r>
      <w:r>
        <w:t xml:space="preserve">competition between member states (27/67). Only 3 respondents disagree with such idea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while 9 are neutral. The amount of respondents that did not provide an answer or did not</w:t>
      </w:r>
      <w:r>
        <w:t xml:space="preserve"> </w:t>
      </w:r>
      <w:r>
        <w:t xml:space="preserve">know the answer is substantial (28/67).</w:t>
      </w:r>
      <w:r>
        <w:t xml:space="preserve"> </w:t>
      </w:r>
      <w:r>
        <w:t xml:space="preserve">More respondents agree or strongly agree that EU measures to tackle the debt-equity bias</w:t>
      </w:r>
      <w:r>
        <w:t xml:space="preserve"> </w:t>
      </w:r>
      <w:r>
        <w:t xml:space="preserve">would be beneficial for businesses (24/67), among them 71% of corporations, 66% of</w:t>
      </w:r>
      <w:r>
        <w:t xml:space="preserve"> </w:t>
      </w:r>
      <w:r>
        <w:t xml:space="preserve">academics, 43% of citizens and 28% of Business associations, while some respondents</w:t>
      </w:r>
      <w:r>
        <w:t xml:space="preserve"> </w:t>
      </w:r>
      <w:r>
        <w:t xml:space="preserve">are neutral (15/67) in this regard. A residual number disagrees or strongly disagrees. The</w:t>
      </w:r>
      <w:r>
        <w:t xml:space="preserve"> </w:t>
      </w:r>
      <w:r>
        <w:t xml:space="preserve">amount of respondents that did not provide an answer or did not know the answer is</w:t>
      </w:r>
      <w:r>
        <w:t xml:space="preserve"> </w:t>
      </w:r>
      <w:r>
        <w:t xml:space="preserve">relevant (24/67).</w:t>
      </w:r>
      <w:r>
        <w:t xml:space="preserve"> </w:t>
      </w:r>
      <w:r>
        <w:t xml:space="preserve">Most respondents strongly disagree that the debt-equity bias should be addressed at</w:t>
      </w:r>
      <w:r>
        <w:t xml:space="preserve"> </w:t>
      </w:r>
      <w:r>
        <w:t xml:space="preserve">national level (26/67). Several respondents have not expressed their position (18/67) or</w:t>
      </w:r>
      <w:r>
        <w:t xml:space="preserve"> </w:t>
      </w:r>
      <w:r>
        <w:t xml:space="preserve">did not know the answer (3/67). A relevant number of respondents are neutral in this</w:t>
      </w:r>
      <w:r>
        <w:t xml:space="preserve"> </w:t>
      </w:r>
      <w:r>
        <w:t xml:space="preserve">regard (15/67).</w:t>
      </w:r>
      <w:r>
        <w:t xml:space="preserve"> </w:t>
      </w:r>
      <w:r>
        <w:t xml:space="preserve">A majority of respondents that provided an answer (while 18/67 did not provide an</w:t>
      </w:r>
      <w:r>
        <w:t xml:space="preserve"> </w:t>
      </w:r>
      <w:r>
        <w:t xml:space="preserve">answer) disagree that there is no such thing as a debt-equity bias, and that an EU</w:t>
      </w:r>
      <w:r>
        <w:t xml:space="preserve"> </w:t>
      </w:r>
      <w:r>
        <w:t xml:space="preserve">initiative which tackles the tax debt-equity bias is not necessary (34/67). There were also</w:t>
      </w:r>
      <w:r>
        <w:t xml:space="preserve"> </w:t>
      </w:r>
      <w:r>
        <w:t xml:space="preserve">10 respondents which were neutral in this regard.</w:t>
      </w:r>
      <w:r>
        <w:t xml:space="preserve"> </w:t>
      </w:r>
      <w:r>
        <w:t xml:space="preserve">Policy options</w:t>
      </w:r>
      <w:r>
        <w:t xml:space="preserve"> </w:t>
      </w:r>
      <w:r>
        <w:t xml:space="preserve">Note that the presentation of the policy options in the open public consultation differed</w:t>
      </w:r>
      <w:r>
        <w:t xml:space="preserve"> </w:t>
      </w:r>
      <w:r>
        <w:t xml:space="preserve">from the presentation in this impact assessment79. According to the responses provided,</w:t>
      </w:r>
      <w:r>
        <w:t xml:space="preserve"> </w:t>
      </w:r>
      <w:r>
        <w:t xml:space="preserve">participants believe that the best option to address the tax debt bias would be the</w:t>
      </w:r>
      <w:r>
        <w:t xml:space="preserve"> </w:t>
      </w:r>
      <w:r>
        <w:t xml:space="preserve">implementation of an allowance on equity that provides for the deductibility of a notional</w:t>
      </w:r>
      <w:r>
        <w:t xml:space="preserve"> </w:t>
      </w:r>
      <w:r>
        <w:t xml:space="preserve">interest on all equity (maintaining the existing interest deductibility). A second most</w:t>
      </w:r>
      <w:r>
        <w:t xml:space="preserve"> </w:t>
      </w:r>
      <w:r>
        <w:t xml:space="preserve">suited option would be an allowance that provides for the deductibility of a notional</w:t>
      </w:r>
      <w:r>
        <w:t xml:space="preserve"> </w:t>
      </w:r>
      <w:r>
        <w:t xml:space="preserve">interest on new equity.</w:t>
      </w:r>
      <w:r>
        <w:br/>
      </w:r>
      <w:r>
        <w:t xml:space="preserve">Most respondents are against disallowing the deductibility of any financing costs as</w:t>
      </w:r>
      <w:r>
        <w:t xml:space="preserve"> </w:t>
      </w:r>
      <w:r>
        <w:t xml:space="preserve">deductible expense as a way of tackling the debt-equity bias. 16 Respondents have</w:t>
      </w:r>
      <w:r>
        <w:t xml:space="preserve"> </w:t>
      </w:r>
      <w:r>
        <w:t xml:space="preserve">provided further comments in this regard.</w:t>
      </w:r>
      <w:r>
        <w:t xml:space="preserve"> </w:t>
      </w:r>
      <w:r>
        <w:t xml:space="preserve">The large majority (48/67) of respondents answered that Option 1 - disallowing any</w:t>
      </w:r>
      <w:r>
        <w:t xml:space="preserve"> </w:t>
      </w:r>
      <w:r>
        <w:t xml:space="preserve">financing costs as a deductible expense - is the least suited option, among them 75% of</w:t>
      </w:r>
      <w:r>
        <w:t xml:space="preserve"> </w:t>
      </w:r>
      <w:r>
        <w:t xml:space="preserve">corporations, 72% of Business associations, 71% of citizens and 66% of academics.</w:t>
      </w:r>
      <w:r>
        <w:t xml:space="preserve"> </w:t>
      </w:r>
      <w:r>
        <w:t xml:space="preserve">Most respondents voted that Option 2 - an allowance on equity that provides for the</w:t>
      </w:r>
      <w:r>
        <w:t xml:space="preserve"> </w:t>
      </w:r>
      <w:r>
        <w:t xml:space="preserve">deductibility of a notional interest on all equity (maintaining the existing interest</w:t>
      </w:r>
      <w:r>
        <w:t xml:space="preserve"> </w:t>
      </w:r>
      <w:r>
        <w:t xml:space="preserve">deductibility) - would be the most suited option among them 57% of citizens, 50% of</w:t>
      </w:r>
      <w:r>
        <w:t xml:space="preserve"> </w:t>
      </w:r>
      <w:r>
        <w:t xml:space="preserve">corporations, 39% of Business associations but 0% of academics. In the 4 level scale</w:t>
      </w:r>
      <w:r>
        <w:t xml:space="preserve"> </w:t>
      </w:r>
      <w:r>
        <w:t xml:space="preserve">more than half of respondents have voted on 1 or 2 (40/67). Taking into consideration</w:t>
      </w:r>
      <w:r>
        <w:t xml:space="preserve"> </w:t>
      </w:r>
      <w:r>
        <w:t xml:space="preserve">that 16 respondents did not answered the question, it is possible to conclude, that most</w:t>
      </w:r>
    </w:p>
    <w:p>
      <w:pPr>
        <w:pStyle w:val="BodyText"/>
      </w:pPr>
      <w:r>
        <w:t xml:space="preserve">79 Option 1 from the OPC is option 4 in the IA, Option 2 in the OPC is option 1 in the IA, option 3 in the</w:t>
      </w:r>
      <w:r>
        <w:t xml:space="preserve"> </w:t>
      </w:r>
      <w:r>
        <w:t xml:space="preserve">OPC is option 2 in the IA and option 4 in the OPC is option 3 in the IA.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respondents that provided an answer agree that this is indeed the best or one of the best</w:t>
      </w:r>
      <w:r>
        <w:t xml:space="preserve"> </w:t>
      </w:r>
      <w:r>
        <w:t xml:space="preserve">options.</w:t>
      </w:r>
      <w:r>
        <w:t xml:space="preserve"> </w:t>
      </w:r>
      <w:r>
        <w:t xml:space="preserve">Option 3 - an allowance that provides for the deductibility of a notional interest only on</w:t>
      </w:r>
      <w:r>
        <w:t xml:space="preserve"> </w:t>
      </w:r>
      <w:r>
        <w:t xml:space="preserve">new equity (maintaining the existing interest deductibility - is considered a second best</w:t>
      </w:r>
      <w:r>
        <w:t xml:space="preserve"> </w:t>
      </w:r>
      <w:r>
        <w:t xml:space="preserve">option after the allowance on equity for all equity, with most respondents (24/67) voting</w:t>
      </w:r>
      <w:r>
        <w:t xml:space="preserve"> </w:t>
      </w:r>
      <w:r>
        <w:t xml:space="preserve">on 2 in the scale of 1 to 4. 18/67 have considered option 3 to be the best option, which</w:t>
      </w:r>
      <w:r>
        <w:t xml:space="preserve"> </w:t>
      </w:r>
      <w:r>
        <w:t xml:space="preserve">corresponds more or less to the number of respondents that have considered Option 1 as</w:t>
      </w:r>
      <w:r>
        <w:t xml:space="preserve"> </w:t>
      </w:r>
      <w:r>
        <w:t xml:space="preserve">the best option among them 66% of academics, 28% of Business associations, 25% of</w:t>
      </w:r>
      <w:r>
        <w:t xml:space="preserve"> </w:t>
      </w:r>
      <w:r>
        <w:t xml:space="preserve">corporations and 14% of citizens. Once again 16/67 respondents did not answer the</w:t>
      </w:r>
      <w:r>
        <w:t xml:space="preserve"> </w:t>
      </w:r>
      <w:r>
        <w:t xml:space="preserve">question.</w:t>
      </w:r>
      <w:r>
        <w:t xml:space="preserve"> </w:t>
      </w:r>
      <w:r>
        <w:t xml:space="preserve">On option 4 – an allowance on corporate financial capital (financial debt+equity) that</w:t>
      </w:r>
      <w:r>
        <w:t xml:space="preserve"> </w:t>
      </w:r>
      <w:r>
        <w:t xml:space="preserve">would replace the tax deduction of interests - the majority of respondents have voted on</w:t>
      </w:r>
      <w:r>
        <w:t xml:space="preserve"> </w:t>
      </w:r>
      <w:r>
        <w:t xml:space="preserve">rate 3 (29/67) or rate 4 (8/67). This means that option 3 elected as the third best option</w:t>
      </w:r>
      <w:r>
        <w:t xml:space="preserve"> </w:t>
      </w:r>
      <w:r>
        <w:t xml:space="preserve">coming only before “Option 1 - Disallow any financing costs as deductible expense.” It</w:t>
      </w:r>
      <w:r>
        <w:t xml:space="preserve"> </w:t>
      </w:r>
      <w:r>
        <w:t xml:space="preserve">was considered the best option by 16% of corporations, 14% of citizens, 5% of Business</w:t>
      </w:r>
      <w:r>
        <w:t xml:space="preserve"> </w:t>
      </w:r>
      <w:r>
        <w:t xml:space="preserve">associations but 0% of academics.</w:t>
      </w:r>
      <w:r>
        <w:t xml:space="preserve"> </w:t>
      </w:r>
      <w:r>
        <w:t xml:space="preserve">17/67 respondents did not respond to this question. See Figure A2.2. Several respondents</w:t>
      </w:r>
      <w:r>
        <w:t xml:space="preserve"> </w:t>
      </w:r>
      <w:r>
        <w:t xml:space="preserve">have provided comments and added suggestions in this section.</w:t>
      </w:r>
    </w:p>
    <w:p>
      <w:pPr>
        <w:pStyle w:val="BodyText"/>
      </w:pPr>
      <w:r>
        <w:t xml:space="preserve">Figure A2.2. Number of respondents that elected as the most suited option</w:t>
      </w:r>
    </w:p>
    <w:p>
      <w:pPr>
        <w:pStyle w:val="BodyText"/>
      </w:pPr>
      <w:r>
        <w:t xml:space="preserve">Most of the respondents (31/67) agreed that the working definition of equity in line with</w:t>
      </w:r>
      <w:r>
        <w:t xml:space="preserve"> </w:t>
      </w:r>
      <w:r>
        <w:t xml:space="preserve">the European System of Accounts 2010 (i.e. “equity is a financial asset that is a claim on</w:t>
      </w:r>
      <w:r>
        <w:t xml:space="preserve"> </w:t>
      </w:r>
      <w:r>
        <w:t xml:space="preserve">the residual value of a corporation, after all other claims have been met”) is useful. All of</w:t>
      </w:r>
      <w:r>
        <w:t xml:space="preserve"> </w:t>
      </w:r>
      <w:r>
        <w:t xml:space="preserve">the 10 respondents that considered the definition as not useful have provided a suggestion</w:t>
      </w:r>
      <w:r>
        <w:t xml:space="preserve"> </w:t>
      </w:r>
      <w:r>
        <w:t xml:space="preserve">to improve such definition. Almost half (26/67) of the respondents did not provide an</w:t>
      </w:r>
      <w:r>
        <w:t xml:space="preserve"> </w:t>
      </w:r>
      <w:r>
        <w:t xml:space="preserve">answer to this question.</w:t>
      </w:r>
      <w:r>
        <w:br/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Option 1: disallowing any financing costs as a</w:t>
      </w:r>
      <w:r>
        <w:t xml:space="preserve"> </w:t>
      </w:r>
      <w:r>
        <w:t xml:space="preserve">deductible expense</w:t>
      </w:r>
      <w:r>
        <w:t xml:space="preserve"> </w:t>
      </w:r>
      <w:r>
        <w:t xml:space="preserve">Option 4: An allowance on corporate financial</w:t>
      </w:r>
      <w:r>
        <w:t xml:space="preserve"> </w:t>
      </w:r>
      <w:r>
        <w:t xml:space="preserve">capital (financial debt+equity) that would replace</w:t>
      </w:r>
      <w:r>
        <w:t xml:space="preserve"> </w:t>
      </w:r>
      <w:r>
        <w:t xml:space="preserve">the tax deduction of interests.</w:t>
      </w:r>
      <w:r>
        <w:t xml:space="preserve"> </w:t>
      </w:r>
      <w:r>
        <w:t xml:space="preserve">Option 3: An allowance that provides for the</w:t>
      </w:r>
      <w:r>
        <w:t xml:space="preserve"> </w:t>
      </w:r>
      <w:r>
        <w:t xml:space="preserve">deductibility of a notional interest on new equity</w:t>
      </w:r>
      <w:r>
        <w:t xml:space="preserve"> </w:t>
      </w:r>
      <w:r>
        <w:t xml:space="preserve">(maintaining the existing interest deductibility).</w:t>
      </w:r>
      <w:r>
        <w:t xml:space="preserve"> </w:t>
      </w:r>
      <w:r>
        <w:t xml:space="preserve">Option 2: An allowance on equity that provides</w:t>
      </w:r>
      <w:r>
        <w:t xml:space="preserve"> </w:t>
      </w:r>
      <w:r>
        <w:t xml:space="preserve">for the deductibility of a notional interest on all</w:t>
      </w:r>
      <w:r>
        <w:t xml:space="preserve"> </w:t>
      </w:r>
      <w:r>
        <w:t xml:space="preserve">equity (maintaining the existing interest…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Notional interest scope and rate</w:t>
      </w:r>
      <w:r>
        <w:br/>
      </w:r>
      <w:r>
        <w:t xml:space="preserve">Although the majority of respondents did not indicate how much the notional interest rate</w:t>
      </w:r>
      <w:r>
        <w:t xml:space="preserve"> </w:t>
      </w:r>
      <w:r>
        <w:t xml:space="preserve">should be, 20 participants have provided further comments in this regard. The majority of</w:t>
      </w:r>
      <w:r>
        <w:t xml:space="preserve"> </w:t>
      </w:r>
      <w:r>
        <w:t xml:space="preserve">respondents agree that a more generous rate should be provided to SMEs than the one</w:t>
      </w:r>
      <w:r>
        <w:t xml:space="preserve"> </w:t>
      </w:r>
      <w:r>
        <w:t xml:space="preserve">provided to bigger businesses.</w:t>
      </w:r>
      <w:r>
        <w:t xml:space="preserve"> </w:t>
      </w:r>
      <w:r>
        <w:t xml:space="preserve">A large number respondents (37/67) did not provide an opinion The remaining</w:t>
      </w:r>
      <w:r>
        <w:t xml:space="preserve"> </w:t>
      </w:r>
      <w:r>
        <w:t xml:space="preserve">respondents’ answers point to a preference for a notional interest rate equal to the risk</w:t>
      </w:r>
      <w:r>
        <w:t xml:space="preserve"> </w:t>
      </w:r>
      <w:r>
        <w:t xml:space="preserve">free interest rate + 3% (10/67) or higher (8/67). All other answers are disperse and do not</w:t>
      </w:r>
      <w:r>
        <w:t xml:space="preserve"> </w:t>
      </w:r>
      <w:r>
        <w:t xml:space="preserve">allow to form a judgement.</w:t>
      </w:r>
      <w:r>
        <w:t xml:space="preserve"> </w:t>
      </w:r>
      <w:r>
        <w:t xml:space="preserve">The majority of responses agree or strongly agree that a more generous notional interest</w:t>
      </w:r>
      <w:r>
        <w:t xml:space="preserve"> </w:t>
      </w:r>
      <w:r>
        <w:t xml:space="preserve">rate should be provided to SMEs (31/67) among them 100% of citizens, 50% of</w:t>
      </w:r>
      <w:r>
        <w:t xml:space="preserve"> </w:t>
      </w:r>
      <w:r>
        <w:t xml:space="preserve">corporations, 36% of Business associations and 33% of academics. 8 respondents did</w:t>
      </w:r>
      <w:r>
        <w:t xml:space="preserve"> </w:t>
      </w:r>
      <w:r>
        <w:t xml:space="preserve">know the answer and a high number of participants (18/67) did not answer the question.</w:t>
      </w:r>
      <w:r>
        <w:t xml:space="preserve"> </w:t>
      </w:r>
      <w:r>
        <w:t xml:space="preserve">However, most respondents did not provide an answer (46/67) on much higher do you</w:t>
      </w:r>
      <w:r>
        <w:t xml:space="preserve"> </w:t>
      </w:r>
      <w:r>
        <w:t xml:space="preserve">think the notional interest rate should be for SME compared to the notional interest rate</w:t>
      </w:r>
      <w:r>
        <w:t xml:space="preserve"> </w:t>
      </w:r>
      <w:r>
        <w:t xml:space="preserve">applied to larger enterprises. From those that provided an answer are too disperse to show</w:t>
      </w:r>
      <w:r>
        <w:t xml:space="preserve"> </w:t>
      </w:r>
      <w:r>
        <w:t xml:space="preserve">a clear pattern.</w:t>
      </w:r>
      <w:r>
        <w:t xml:space="preserve"> </w:t>
      </w:r>
      <w:r>
        <w:t xml:space="preserve">Anti-abuse measures</w:t>
      </w:r>
      <w:r>
        <w:t xml:space="preserve"> </w:t>
      </w:r>
      <w:r>
        <w:t xml:space="preserve">Respondents agree to a large extent that DEBRA’s proposal should include anti-</w:t>
      </w:r>
      <w:r>
        <w:t xml:space="preserve"> </w:t>
      </w:r>
      <w:r>
        <w:t xml:space="preserve">aggressive tax planning measures. Regarding what specific measures should be taken to</w:t>
      </w:r>
      <w:r>
        <w:t xml:space="preserve"> </w:t>
      </w:r>
      <w:r>
        <w:t xml:space="preserve">reach such an objective, there is wide agreement that a general anti-abuse rule would be</w:t>
      </w:r>
      <w:r>
        <w:t xml:space="preserve"> </w:t>
      </w:r>
      <w:r>
        <w:t xml:space="preserve">efficient in preventing the abuse of an allowance for equity for aggressive tax purposes.</w:t>
      </w:r>
      <w:r>
        <w:t xml:space="preserve"> </w:t>
      </w:r>
      <w:r>
        <w:t xml:space="preserve">The exclusion of cascading through intra-group loans and loans involving associated</w:t>
      </w:r>
      <w:r>
        <w:t xml:space="preserve"> </w:t>
      </w:r>
      <w:r>
        <w:t xml:space="preserve">enterprises was also supported by several respondents.</w:t>
      </w:r>
      <w:r>
        <w:t xml:space="preserve"> </w:t>
      </w:r>
      <w:r>
        <w:t xml:space="preserve">From the answers provided participants were against the exclusion of cash contribution</w:t>
      </w:r>
      <w:r>
        <w:t xml:space="preserve"> </w:t>
      </w:r>
      <w:r>
        <w:t xml:space="preserve">in kind. It is relevant to point out that a large percentage of respondents did not give a</w:t>
      </w:r>
      <w:r>
        <w:t xml:space="preserve"> </w:t>
      </w:r>
      <w:r>
        <w:t xml:space="preserve">concrete answer to the questions on the specific anti-abuse provisions.</w:t>
      </w:r>
      <w:r>
        <w:t xml:space="preserve"> </w:t>
      </w:r>
      <w:r>
        <w:t xml:space="preserve">A large number of respondents agrees that the proposal should include measures to</w:t>
      </w:r>
      <w:r>
        <w:t xml:space="preserve"> </w:t>
      </w:r>
      <w:r>
        <w:t xml:space="preserve">prevent aggressive tax planning (33/67) among them 71% of citizens, 66% of academics,</w:t>
      </w:r>
      <w:r>
        <w:t xml:space="preserve"> </w:t>
      </w:r>
      <w:r>
        <w:t xml:space="preserve">42% of Business associations and 33% of corporations, and only 1/67 respondent</w:t>
      </w:r>
      <w:r>
        <w:t xml:space="preserve"> </w:t>
      </w:r>
      <w:r>
        <w:t xml:space="preserve">disagrees with the implementation of such measures. 20/67 respondents did not answer</w:t>
      </w:r>
      <w:r>
        <w:t xml:space="preserve"> </w:t>
      </w:r>
      <w:r>
        <w:t xml:space="preserve">or did not know the answer and a relevant number of respondents (13/67) was neutral in</w:t>
      </w:r>
      <w:r>
        <w:t xml:space="preserve"> </w:t>
      </w:r>
      <w:r>
        <w:t xml:space="preserve">this regard.</w:t>
      </w:r>
      <w:r>
        <w:t xml:space="preserve"> </w:t>
      </w:r>
      <w:r>
        <w:t xml:space="preserve">A large part of respondents (30/67) agrees that a general anti-abuse provision that would</w:t>
      </w:r>
      <w:r>
        <w:t xml:space="preserve"> </w:t>
      </w:r>
      <w:r>
        <w:t xml:space="preserve">deny notional deduction for operations carried out without any substantial economic</w:t>
      </w:r>
      <w:r>
        <w:t xml:space="preserve"> </w:t>
      </w:r>
      <w:r>
        <w:t xml:space="preserve">purpose or carried out with related parties and that have the main purpose of converting</w:t>
      </w:r>
      <w:r>
        <w:t xml:space="preserve"> </w:t>
      </w:r>
      <w:r>
        <w:t xml:space="preserve">old equity into new equity with the aim of benefiting from the notional deduction would</w:t>
      </w:r>
      <w:r>
        <w:t xml:space="preserve"> </w:t>
      </w:r>
      <w:r>
        <w:t xml:space="preserve">be a necessary measure to prevent aggressive tax planning. Only a small amount of</w:t>
      </w:r>
      <w:r>
        <w:t xml:space="preserve"> </w:t>
      </w:r>
      <w:r>
        <w:t xml:space="preserve">respondents disagrees with such a measure (6/67), while a substantial amount of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participants has not responded to the question (20/67) or does not know the answer</w:t>
      </w:r>
      <w:r>
        <w:t xml:space="preserve"> </w:t>
      </w:r>
      <w:r>
        <w:t xml:space="preserve">(6/67).</w:t>
      </w:r>
      <w:r>
        <w:t xml:space="preserve"> </w:t>
      </w:r>
      <w:r>
        <w:t xml:space="preserve">Most respondents agree, strongly agree or are neutral (32/67) that the exclusion of</w:t>
      </w:r>
      <w:r>
        <w:t xml:space="preserve"> </w:t>
      </w:r>
      <w:r>
        <w:t xml:space="preserve">cascading through intra-group loans is necessary. Disagreements with such a measure are</w:t>
      </w:r>
      <w:r>
        <w:t xml:space="preserve"> </w:t>
      </w:r>
      <w:r>
        <w:t xml:space="preserve">residual (6/67). It is important to note that a substantial amount of participants did not</w:t>
      </w:r>
      <w:r>
        <w:t xml:space="preserve"> </w:t>
      </w:r>
      <w:r>
        <w:t xml:space="preserve">respond (21/67) or did not know the answer (8/67).</w:t>
      </w:r>
      <w:r>
        <w:t xml:space="preserve"> </w:t>
      </w:r>
      <w:r>
        <w:t xml:space="preserve">A great part of respondents disagree or strongly disagree (22/67) that contributions in</w:t>
      </w:r>
      <w:r>
        <w:t xml:space="preserve"> </w:t>
      </w:r>
      <w:r>
        <w:t xml:space="preserve">kind and cash should be excluded in order to prevent abuse of an allowance for equity</w:t>
      </w:r>
      <w:r>
        <w:t xml:space="preserve"> </w:t>
      </w:r>
      <w:r>
        <w:t xml:space="preserve">against only (8/67) that agree or strongly agree. Of the total amount of participants a</w:t>
      </w:r>
      <w:r>
        <w:t xml:space="preserve"> </w:t>
      </w:r>
      <w:r>
        <w:t xml:space="preserve">large share did not know the answer to this question (10/67) or did not answer (21/67).</w:t>
      </w:r>
      <w:r>
        <w:t xml:space="preserve"> </w:t>
      </w:r>
      <w:r>
        <w:t xml:space="preserve">More respondents agree or strongly agree (19/67) with the exclusion of capital increase</w:t>
      </w:r>
      <w:r>
        <w:t xml:space="preserve"> </w:t>
      </w:r>
      <w:r>
        <w:t xml:space="preserve">subscribed by the company or one of its subsidiaries (own shares), than the ones who</w:t>
      </w:r>
      <w:r>
        <w:t xml:space="preserve"> </w:t>
      </w:r>
      <w:r>
        <w:t xml:space="preserve">disagree 14/67. However more than half of respondents did not provide a concrete</w:t>
      </w:r>
      <w:r>
        <w:t xml:space="preserve"> </w:t>
      </w:r>
      <w:r>
        <w:t xml:space="preserve">answer, therefore the results are not clear.</w:t>
      </w:r>
      <w:r>
        <w:t xml:space="preserve"> </w:t>
      </w:r>
      <w:r>
        <w:t xml:space="preserve">More respondents that agree or strongly agree (17/67) that the exclusion of intra-group</w:t>
      </w:r>
      <w:r>
        <w:t xml:space="preserve"> </w:t>
      </w:r>
      <w:r>
        <w:t xml:space="preserve">transfers would prevent aggressive tax practices, than the ones that disagree with such a</w:t>
      </w:r>
      <w:r>
        <w:t xml:space="preserve"> </w:t>
      </w:r>
      <w:r>
        <w:t xml:space="preserve">measure (9/67). More than half of the respondents (35/67) did not answer the question or</w:t>
      </w:r>
      <w:r>
        <w:t xml:space="preserve"> </w:t>
      </w:r>
      <w:r>
        <w:t xml:space="preserve">did not know the answer (if neutral answers are added 41/67 did not present a clear</w:t>
      </w:r>
      <w:r>
        <w:t xml:space="preserve"> </w:t>
      </w:r>
      <w:r>
        <w:t xml:space="preserve">answer). Therefore, the answers provided do not show a clear pattern.</w:t>
      </w:r>
      <w:r>
        <w:t xml:space="preserve"> </w:t>
      </w:r>
      <w:r>
        <w:t xml:space="preserve">Most respondents did not have a clear position on preventing re-categorization of old</w:t>
      </w:r>
      <w:r>
        <w:t xml:space="preserve"> </w:t>
      </w:r>
      <w:r>
        <w:t xml:space="preserve">capital as new capital through liquidations and the creation of new businesses. A total of</w:t>
      </w:r>
      <w:r>
        <w:t xml:space="preserve"> </w:t>
      </w:r>
      <w:r>
        <w:t xml:space="preserve">43/67 were either neutral, did not know the answer or did not responded to the question.</w:t>
      </w:r>
      <w:r>
        <w:t xml:space="preserve"> </w:t>
      </w:r>
      <w:r>
        <w:t xml:space="preserve">Among the remaining respondents 13/67 agreed or strongly agree that the re-</w:t>
      </w:r>
      <w:r>
        <w:t xml:space="preserve"> </w:t>
      </w:r>
      <w:r>
        <w:t xml:space="preserve">categorization of old capital as new capital through liquidations and the creation of new</w:t>
      </w:r>
      <w:r>
        <w:t xml:space="preserve"> </w:t>
      </w:r>
      <w:r>
        <w:t xml:space="preserve">businesses should be prevented, while are against (11/67) such a measure.</w:t>
      </w:r>
      <w:r>
        <w:t xml:space="preserve"> </w:t>
      </w:r>
      <w:r>
        <w:t xml:space="preserve">The answers provided do not reveal a clear pattern with regards to the exclusion of</w:t>
      </w:r>
      <w:r>
        <w:t xml:space="preserve"> </w:t>
      </w:r>
      <w:r>
        <w:t xml:space="preserve">businesses held by associated enterprises. Although more respondents agree or strongly</w:t>
      </w:r>
      <w:r>
        <w:t xml:space="preserve"> </w:t>
      </w:r>
      <w:r>
        <w:t xml:space="preserve">agree (18/67) that businesses held by associated enterprises should be excluded, than the</w:t>
      </w:r>
      <w:r>
        <w:t xml:space="preserve"> </w:t>
      </w:r>
      <w:r>
        <w:t xml:space="preserve">ones that disagree (10/67) with such a statement, there is a significant part of respondents</w:t>
      </w:r>
      <w:r>
        <w:t xml:space="preserve"> </w:t>
      </w:r>
      <w:r>
        <w:t xml:space="preserve">that did not know the answer or did not answer (31/67). If the neutral (10/67) answers are</w:t>
      </w:r>
      <w:r>
        <w:t xml:space="preserve"> </w:t>
      </w:r>
      <w:r>
        <w:t xml:space="preserve">added to these figures then it is clear that the majority of respondents did not have a</w:t>
      </w:r>
      <w:r>
        <w:t xml:space="preserve"> </w:t>
      </w:r>
      <w:r>
        <w:t xml:space="preserve">strong position on the topic (41/67).</w:t>
      </w:r>
      <w:r>
        <w:br/>
      </w:r>
      <w:r>
        <w:t xml:space="preserve">55/67 respondents did not present other anti-abuse measures.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Debt Equity Bias Reduction Allowance (DEBRA) would mitigate the tax induced</w:t>
      </w:r>
      <w:r>
        <w:t xml:space="preserve"> </w:t>
      </w:r>
      <w:r>
        <w:t xml:space="preserve">debt-bias. This would reduce the role of taxation in the decision for debt and equity</w:t>
      </w:r>
      <w:r>
        <w:t xml:space="preserve"> </w:t>
      </w:r>
      <w:r>
        <w:t xml:space="preserve">financing of investments. The mitigation of the debt bias should increase the share of</w:t>
      </w:r>
      <w:r>
        <w:t xml:space="preserve"> </w:t>
      </w:r>
      <w:r>
        <w:t xml:space="preserve">equity investments. Businesses with relevant equity increases are directly affected. The</w:t>
      </w:r>
      <w:r>
        <w:t xml:space="preserve"> </w:t>
      </w:r>
      <w:r>
        <w:t xml:space="preserve">measure also affects tax administrations in Member States and Member States’ tax</w:t>
      </w:r>
      <w:r>
        <w:t xml:space="preserve"> </w:t>
      </w:r>
      <w:r>
        <w:t xml:space="preserve">revenues.</w:t>
      </w:r>
      <w:r>
        <w:t xml:space="preserve"> </w:t>
      </w:r>
      <w:r>
        <w:t xml:space="preserve">2. Summary of costs and benefits</w:t>
      </w:r>
      <w:r>
        <w:t xml:space="preserve"> </w:t>
      </w:r>
      <w:r>
        <w:t xml:space="preserve">Table A3.1. Overview of benefits of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Placing taxation of debt</w:t>
      </w:r>
      <w:r>
        <w:t xml:space="preserve"> </w:t>
      </w:r>
      <w:r>
        <w:t xml:space="preserve">and equity on an equal</w:t>
      </w:r>
      <w:r>
        <w:t xml:space="preserve"> </w:t>
      </w:r>
      <w:r>
        <w:t xml:space="preserve">footing</w:t>
      </w:r>
      <w:r>
        <w:t xml:space="preserve"> </w:t>
      </w:r>
      <w:r>
        <w:t xml:space="preserve">++</w:t>
      </w:r>
      <w:r>
        <w:t xml:space="preserve"> </w:t>
      </w:r>
      <w:r>
        <w:t xml:space="preserve">Comparable tax advantage between</w:t>
      </w:r>
      <w:r>
        <w:t xml:space="preserve"> </w:t>
      </w:r>
      <w:r>
        <w:t xml:space="preserve">investment through equity or debt</w:t>
      </w:r>
      <w:r>
        <w:t xml:space="preserve"> </w:t>
      </w:r>
      <w:r>
        <w:t xml:space="preserve">that should benefit businesses and</w:t>
      </w:r>
      <w:r>
        <w:t xml:space="preserve"> </w:t>
      </w:r>
      <w:r>
        <w:t xml:space="preserve">have broader positive financial and</w:t>
      </w:r>
      <w:r>
        <w:t xml:space="preserve"> </w:t>
      </w:r>
      <w:r>
        <w:t xml:space="preserve">economic effects. This comparable</w:t>
      </w:r>
      <w:r>
        <w:t xml:space="preserve"> </w:t>
      </w:r>
      <w:r>
        <w:t xml:space="preserve">advantage is achieved efficiently</w:t>
      </w:r>
      <w:r>
        <w:t xml:space="preserve"> </w:t>
      </w:r>
      <w:r>
        <w:t xml:space="preserve">with quasi no cost to the public</w:t>
      </w:r>
      <w:r>
        <w:t xml:space="preserve"> </w:t>
      </w:r>
      <w:r>
        <w:t xml:space="preserve">treasury thanks to a combination of</w:t>
      </w:r>
      <w:r>
        <w:t xml:space="preserve"> </w:t>
      </w:r>
      <w:r>
        <w:t xml:space="preserve">allowance on equity and reduction of</w:t>
      </w:r>
      <w:r>
        <w:t xml:space="preserve"> </w:t>
      </w:r>
      <w:r>
        <w:t xml:space="preserve">tax advantage of debt.</w:t>
      </w:r>
      <w:r>
        <w:t xml:space="preserve"> </w:t>
      </w:r>
      <w:r>
        <w:t xml:space="preserve">Support creation of</w:t>
      </w:r>
      <w:r>
        <w:t xml:space="preserve"> </w:t>
      </w:r>
      <w:r>
        <w:t xml:space="preserve">harmonized tax</w:t>
      </w:r>
      <w:r>
        <w:t xml:space="preserve"> </w:t>
      </w:r>
      <w:r>
        <w:t xml:space="preserve">environment</w:t>
      </w:r>
      <w:r>
        <w:t xml:space="preserve"> </w:t>
      </w:r>
      <w:r>
        <w:t xml:space="preserve">++</w:t>
      </w:r>
      <w:r>
        <w:t xml:space="preserve"> </w:t>
      </w:r>
      <w:r>
        <w:t xml:space="preserve">Avoids fragmentation of the single</w:t>
      </w:r>
      <w:r>
        <w:t xml:space="preserve"> </w:t>
      </w:r>
      <w:r>
        <w:t xml:space="preserve">market by eliminating different</w:t>
      </w:r>
      <w:r>
        <w:t xml:space="preserve"> </w:t>
      </w:r>
      <w:r>
        <w:t xml:space="preserve">treatment under different national</w:t>
      </w:r>
      <w:r>
        <w:t xml:space="preserve"> </w:t>
      </w:r>
      <w:r>
        <w:t xml:space="preserve">allowance for equity measures and</w:t>
      </w:r>
      <w:r>
        <w:t xml:space="preserve"> </w:t>
      </w:r>
      <w:r>
        <w:t xml:space="preserve">stronger limitation rules across all</w:t>
      </w:r>
      <w:r>
        <w:t xml:space="preserve"> </w:t>
      </w:r>
      <w:r>
        <w:t xml:space="preserve">Member States for debt deduction.</w:t>
      </w:r>
      <w:r>
        <w:t xml:space="preserve"> </w:t>
      </w:r>
      <w:r>
        <w:t xml:space="preserve">Should benefit businesses operating</w:t>
      </w:r>
      <w:r>
        <w:t xml:space="preserve"> </w:t>
      </w:r>
      <w:r>
        <w:t xml:space="preserve">in single market. It is in full</w:t>
      </w:r>
      <w:r>
        <w:t xml:space="preserve"> </w:t>
      </w:r>
      <w:r>
        <w:t xml:space="preserve">coherence with previous measures</w:t>
      </w:r>
      <w:r>
        <w:t xml:space="preserve"> </w:t>
      </w:r>
      <w:r>
        <w:t xml:space="preserve">already taken within the Anti-Tax</w:t>
      </w:r>
      <w:r>
        <w:t xml:space="preserve"> </w:t>
      </w:r>
      <w:r>
        <w:t xml:space="preserve">Avoidance Directive (ATAD), such</w:t>
      </w:r>
      <w:r>
        <w:t xml:space="preserve"> </w:t>
      </w:r>
      <w:r>
        <w:t xml:space="preserve">as the interest limitation rule and the</w:t>
      </w:r>
      <w:r>
        <w:t xml:space="preserve"> </w:t>
      </w:r>
      <w:r>
        <w:t xml:space="preserve">General Anti-Abuse Rule (GAAR).</w:t>
      </w:r>
      <w:r>
        <w:t xml:space="preserve"> </w:t>
      </w:r>
      <w:r>
        <w:t xml:space="preserve">Compliance cost</w:t>
      </w:r>
      <w:r>
        <w:t xml:space="preserve"> </w:t>
      </w:r>
      <w:r>
        <w:t xml:space="preserve">reductions</w:t>
      </w:r>
      <w:r>
        <w:t xml:space="preserve"> </w:t>
      </w:r>
      <w:r>
        <w:t xml:space="preserve">++</w:t>
      </w:r>
      <w:r>
        <w:t xml:space="preserve"> </w:t>
      </w:r>
      <w:r>
        <w:t xml:space="preserve">Same administrative rules in all EU</w:t>
      </w:r>
      <w:r>
        <w:t xml:space="preserve"> </w:t>
      </w:r>
      <w:r>
        <w:t xml:space="preserve">Member States compared to existing</w:t>
      </w:r>
      <w:r>
        <w:t xml:space="preserve"> </w:t>
      </w:r>
      <w:r>
        <w:t xml:space="preserve">different compliance rules given</w:t>
      </w:r>
      <w:r>
        <w:t xml:space="preserve"> </w:t>
      </w:r>
      <w:r>
        <w:t xml:space="preserve">several Member States currently</w:t>
      </w:r>
      <w:r>
        <w:t xml:space="preserve"> </w:t>
      </w:r>
      <w:r>
        <w:t xml:space="preserve">have different national measures in</w:t>
      </w:r>
      <w:r>
        <w:t xml:space="preserve"> </w:t>
      </w:r>
      <w:r>
        <w:t xml:space="preserve">place. Should benefit businesses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operating in single market.</w:t>
      </w:r>
      <w:r>
        <w:t xml:space="preserve"> </w:t>
      </w:r>
      <w:r>
        <w:t xml:space="preserve">Help reduce the</w:t>
      </w:r>
      <w:r>
        <w:t xml:space="preserve"> </w:t>
      </w:r>
      <w:r>
        <w:t xml:space="preserve">accumulation of debt by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corporations</w:t>
      </w:r>
      <w:r>
        <w:t xml:space="preserve"> </w:t>
      </w:r>
      <w:r>
        <w:t xml:space="preserve">++</w:t>
      </w:r>
      <w:r>
        <w:t xml:space="preserve"> </w:t>
      </w:r>
      <w:r>
        <w:t xml:space="preserve">Higher equity ratios reduce</w:t>
      </w:r>
      <w:r>
        <w:t xml:space="preserve"> </w:t>
      </w:r>
      <w:r>
        <w:t xml:space="preserve">insolvency risks. Stronger interest</w:t>
      </w:r>
      <w:r>
        <w:t xml:space="preserve"> </w:t>
      </w:r>
      <w:r>
        <w:t xml:space="preserve">limitation rules would lessen</w:t>
      </w:r>
      <w:r>
        <w:t xml:space="preserve"> </w:t>
      </w:r>
      <w:r>
        <w:t xml:space="preserve">advantages of debt interest deduction</w:t>
      </w:r>
      <w:r>
        <w:t xml:space="preserve"> </w:t>
      </w:r>
      <w:r>
        <w:t xml:space="preserve">and make debt financing less</w:t>
      </w:r>
      <w:r>
        <w:t xml:space="preserve"> </w:t>
      </w:r>
      <w:r>
        <w:t xml:space="preserve">attractive. Should benefit businesses</w:t>
      </w:r>
      <w:r>
        <w:t xml:space="preserve"> </w:t>
      </w:r>
      <w:r>
        <w:t xml:space="preserve">and have overall positive financial</w:t>
      </w:r>
      <w:r>
        <w:t xml:space="preserve"> </w:t>
      </w:r>
      <w:r>
        <w:t xml:space="preserve">and economic effects. Accumulation</w:t>
      </w:r>
      <w:r>
        <w:t xml:space="preserve"> </w:t>
      </w:r>
      <w:r>
        <w:t xml:space="preserve">of debt is reduced while maintaining</w:t>
      </w:r>
      <w:r>
        <w:t xml:space="preserve"> </w:t>
      </w:r>
      <w:r>
        <w:t xml:space="preserve">coherence with previous tax rules,</w:t>
      </w:r>
      <w:r>
        <w:t xml:space="preserve"> </w:t>
      </w:r>
      <w:r>
        <w:t xml:space="preserve">not radically changing the rules and</w:t>
      </w:r>
      <w:r>
        <w:t xml:space="preserve"> </w:t>
      </w:r>
      <w:r>
        <w:t xml:space="preserve">not affecting the legitimate</w:t>
      </w:r>
      <w:r>
        <w:t xml:space="preserve"> </w:t>
      </w:r>
      <w:r>
        <w:t xml:space="preserve">expectations of investors.</w:t>
      </w:r>
      <w:r>
        <w:t xml:space="preserve"> </w:t>
      </w:r>
      <w:r>
        <w:t xml:space="preserve">Encourage equity</w:t>
      </w:r>
      <w:r>
        <w:t xml:space="preserve"> </w:t>
      </w:r>
      <w:r>
        <w:t xml:space="preserve">investments</w:t>
      </w:r>
      <w:r>
        <w:br/>
      </w:r>
      <w:r>
        <w:t xml:space="preserve">++</w:t>
      </w:r>
      <w:r>
        <w:t xml:space="preserve"> </w:t>
      </w:r>
      <w:r>
        <w:t xml:space="preserve">Positive effects on competitiveness,</w:t>
      </w:r>
      <w:r>
        <w:t xml:space="preserve"> </w:t>
      </w:r>
      <w:r>
        <w:t xml:space="preserve">innovation, growth and employment</w:t>
      </w:r>
      <w:r>
        <w:t xml:space="preserve"> </w:t>
      </w:r>
      <w:r>
        <w:t xml:space="preserve">in the EU. Simultaneously, equity</w:t>
      </w:r>
      <w:r>
        <w:t xml:space="preserve"> </w:t>
      </w:r>
      <w:r>
        <w:t xml:space="preserve">investment are encouraged and use</w:t>
      </w:r>
      <w:r>
        <w:t xml:space="preserve"> </w:t>
      </w:r>
      <w:r>
        <w:t xml:space="preserve">of debt discouraged.</w:t>
      </w:r>
      <w:r>
        <w:t xml:space="preserve"> </w:t>
      </w:r>
      <w:r>
        <w:t xml:space="preserve">Provide for a</w:t>
      </w:r>
      <w:r>
        <w:t xml:space="preserve"> </w:t>
      </w:r>
      <w:r>
        <w:t xml:space="preserve">comprehensive anti-</w:t>
      </w:r>
      <w:r>
        <w:t xml:space="preserve"> </w:t>
      </w:r>
      <w:r>
        <w:t xml:space="preserve">abuse framework.</w:t>
      </w:r>
      <w:r>
        <w:t xml:space="preserve"> </w:t>
      </w:r>
      <w:r>
        <w:t xml:space="preserve">++++</w:t>
      </w:r>
      <w:r>
        <w:t xml:space="preserve"> </w:t>
      </w:r>
      <w:r>
        <w:t xml:space="preserve">Ensure effective measures against</w:t>
      </w:r>
      <w:r>
        <w:t xml:space="preserve"> </w:t>
      </w:r>
      <w:r>
        <w:t xml:space="preserve">aggressive tax planning are used</w:t>
      </w:r>
      <w:r>
        <w:t xml:space="preserve"> </w:t>
      </w:r>
      <w:r>
        <w:t xml:space="preserve">throughout the EU.</w:t>
      </w:r>
      <w:r>
        <w:t xml:space="preserve"> </w:t>
      </w:r>
      <w:r>
        <w:t xml:space="preserve">Remove distortions in</w:t>
      </w:r>
      <w:r>
        <w:t xml:space="preserve"> </w:t>
      </w:r>
      <w:r>
        <w:t xml:space="preserve">the single market</w:t>
      </w:r>
      <w:r>
        <w:t xml:space="preserve"> </w:t>
      </w:r>
      <w:r>
        <w:t xml:space="preserve">++++</w:t>
      </w:r>
      <w:r>
        <w:t xml:space="preserve"> </w:t>
      </w:r>
      <w:r>
        <w:t xml:space="preserve">New investment through equity will</w:t>
      </w:r>
      <w:r>
        <w:t xml:space="preserve"> </w:t>
      </w:r>
      <w:r>
        <w:t xml:space="preserve">receive comparable tax treatment as</w:t>
      </w:r>
      <w:r>
        <w:t xml:space="preserve"> </w:t>
      </w:r>
      <w:r>
        <w:t xml:space="preserve">through debt throughout the EU.</w:t>
      </w:r>
      <w:r>
        <w:t xml:space="preserve"> </w:t>
      </w:r>
      <w:r>
        <w:t xml:space="preserve">This option is more effective by</w:t>
      </w:r>
      <w:r>
        <w:t xml:space="preserve"> </w:t>
      </w:r>
      <w:r>
        <w:t xml:space="preserve">playing on both equity and debt side,</w:t>
      </w:r>
      <w:r>
        <w:t xml:space="preserve"> </w:t>
      </w:r>
      <w:r>
        <w:t xml:space="preserve">while not diminishing the</w:t>
      </w:r>
      <w:r>
        <w:t xml:space="preserve"> </w:t>
      </w:r>
      <w:r>
        <w:t xml:space="preserve">competitiveness of the EU economy,</w:t>
      </w:r>
      <w:r>
        <w:t xml:space="preserve"> </w:t>
      </w:r>
      <w:r>
        <w:t xml:space="preserve">which would be the case with</w:t>
      </w:r>
      <w:r>
        <w:t xml:space="preserve"> </w:t>
      </w:r>
      <w:r>
        <w:t xml:space="preserve">disallowing completely interest</w:t>
      </w:r>
      <w:r>
        <w:t xml:space="preserve"> </w:t>
      </w:r>
      <w:r>
        <w:t xml:space="preserve">deductibility in other options.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 in insolvency</w:t>
      </w:r>
      <w:r>
        <w:t xml:space="preserve"> </w:t>
      </w:r>
      <w:r>
        <w:t xml:space="preserve">risk due to higher</w:t>
      </w:r>
      <w:r>
        <w:t xml:space="preserve"> </w:t>
      </w:r>
      <w:r>
        <w:t xml:space="preserve">equity ratios</w:t>
      </w:r>
      <w:r>
        <w:t xml:space="preserve"> </w:t>
      </w:r>
      <w:r>
        <w:t xml:space="preserve">++</w:t>
      </w:r>
      <w:r>
        <w:t xml:space="preserve"> </w:t>
      </w:r>
      <w:r>
        <w:t xml:space="preserve">Higher equity ratios reduce the debt</w:t>
      </w:r>
      <w:r>
        <w:t xml:space="preserve"> </w:t>
      </w:r>
      <w:r>
        <w:t xml:space="preserve">burden and make businesses more</w:t>
      </w:r>
      <w:r>
        <w:t xml:space="preserve"> </w:t>
      </w:r>
      <w:r>
        <w:t xml:space="preserve">resilient to changes in the business</w:t>
      </w:r>
      <w:r>
        <w:t xml:space="preserve"> </w:t>
      </w:r>
      <w:r>
        <w:t xml:space="preserve">environment.</w:t>
      </w:r>
      <w:r>
        <w:t xml:space="preserve"> </w:t>
      </w:r>
      <w:r>
        <w:t xml:space="preserve">Complements other</w:t>
      </w:r>
      <w:r>
        <w:t xml:space="preserve"> </w:t>
      </w:r>
      <w:r>
        <w:t xml:space="preserve">measures to support</w:t>
      </w:r>
      <w:r>
        <w:t xml:space="preserve"> </w:t>
      </w:r>
      <w:r>
        <w:t xml:space="preserve">equity financing</w:t>
      </w:r>
      <w:r>
        <w:t xml:space="preserve"> </w:t>
      </w:r>
      <w:r>
        <w:t xml:space="preserve">(including for SMEs)</w:t>
      </w:r>
      <w:r>
        <w:t xml:space="preserve"> </w:t>
      </w:r>
      <w:r>
        <w:t xml:space="preserve">and furthering capital</w:t>
      </w:r>
      <w:r>
        <w:t xml:space="preserve"> </w:t>
      </w:r>
      <w:r>
        <w:t xml:space="preserve">markets union</w:t>
      </w:r>
      <w:r>
        <w:t xml:space="preserve"> </w:t>
      </w:r>
      <w:r>
        <w:t xml:space="preserve">++</w:t>
      </w:r>
      <w:r>
        <w:t xml:space="preserve"> </w:t>
      </w:r>
      <w:r>
        <w:t xml:space="preserve">Companies (including SMEs) will</w:t>
      </w:r>
      <w:r>
        <w:t xml:space="preserve"> </w:t>
      </w:r>
      <w:r>
        <w:t xml:space="preserve">benefit from this measure as it will</w:t>
      </w:r>
      <w:r>
        <w:t xml:space="preserve"> </w:t>
      </w:r>
      <w:r>
        <w:t xml:space="preserve">help incentivise their re-equitisation.</w:t>
      </w:r>
      <w:r>
        <w:t xml:space="preserve"> </w:t>
      </w:r>
      <w:r>
        <w:t xml:space="preserve">More diverse capital structure would</w:t>
      </w:r>
      <w:r>
        <w:t xml:space="preserve"> </w:t>
      </w:r>
      <w:r>
        <w:t xml:space="preserve">support improve broader financial</w:t>
      </w:r>
      <w:r>
        <w:t xml:space="preserve"> </w:t>
      </w:r>
      <w:r>
        <w:t xml:space="preserve">and economic positions.</w:t>
      </w:r>
      <w:r>
        <w:br/>
      </w:r>
      <w:r>
        <w:t xml:space="preserve">Complements other</w:t>
      </w:r>
      <w:r>
        <w:t xml:space="preserve"> </w:t>
      </w:r>
      <w:r>
        <w:t xml:space="preserve">policy efforts to de-</w:t>
      </w:r>
      <w:r>
        <w:t xml:space="preserve"> </w:t>
      </w:r>
      <w:r>
        <w:t xml:space="preserve">leverage businesses and</w:t>
      </w:r>
      <w:r>
        <w:t xml:space="preserve"> </w:t>
      </w:r>
      <w:r>
        <w:t xml:space="preserve">mitigate reliance on</w:t>
      </w:r>
      <w:r>
        <w:t xml:space="preserve"> </w:t>
      </w:r>
      <w:r>
        <w:t xml:space="preserve">++</w:t>
      </w:r>
      <w:r>
        <w:t xml:space="preserve"> </w:t>
      </w:r>
      <w:r>
        <w:t xml:space="preserve">High debt/leverage at company level</w:t>
      </w:r>
      <w:r>
        <w:t xml:space="preserve"> </w:t>
      </w:r>
      <w:r>
        <w:t xml:space="preserve">introduces operational strains and</w:t>
      </w:r>
      <w:r>
        <w:t xml:space="preserve"> </w:t>
      </w:r>
      <w:r>
        <w:t xml:space="preserve">heightens risks of insolvency that</w:t>
      </w:r>
      <w:r>
        <w:t xml:space="preserve"> </w:t>
      </w:r>
      <w:r>
        <w:t xml:space="preserve">can have broader financial and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debt financing for</w:t>
      </w:r>
      <w:r>
        <w:t xml:space="preserve"> </w:t>
      </w:r>
      <w:r>
        <w:t xml:space="preserve">investment</w:t>
      </w:r>
      <w:r>
        <w:br/>
      </w:r>
      <w:r>
        <w:t xml:space="preserve">economic ramifications, which</w:t>
      </w:r>
      <w:r>
        <w:t xml:space="preserve"> </w:t>
      </w:r>
      <w:r>
        <w:t xml:space="preserve">would be mitigated by the initiative.</w:t>
      </w:r>
    </w:p>
    <w:p>
      <w:pPr>
        <w:pStyle w:val="BodyText"/>
      </w:pPr>
      <w:r>
        <w:t xml:space="preserve">Table A3.2.</w:t>
      </w:r>
      <w:r>
        <w:t xml:space="preserve"> </w:t>
      </w:r>
      <w:r>
        <w:t xml:space="preserve">Overview of cost of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Allowance</w:t>
      </w:r>
      <w:r>
        <w:t xml:space="preserve"> </w:t>
      </w:r>
      <w:r>
        <w:t xml:space="preserve">for new</w:t>
      </w:r>
      <w:r>
        <w:t xml:space="preserve"> </w:t>
      </w:r>
      <w:r>
        <w:t xml:space="preserve">corporate</w:t>
      </w:r>
      <w:r>
        <w:t xml:space="preserve"> </w:t>
      </w:r>
      <w:r>
        <w:t xml:space="preserve">equity</w:t>
      </w:r>
      <w:r>
        <w:br/>
      </w:r>
      <w:r>
        <w:t xml:space="preserve">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Limited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</w:t>
      </w:r>
      <w:r>
        <w:t xml:space="preserve"> </w:t>
      </w:r>
      <w:r>
        <w:t xml:space="preserve">Slight increase</w:t>
      </w:r>
      <w:r>
        <w:t xml:space="preserve"> </w:t>
      </w:r>
      <w:r>
        <w:t xml:space="preserve">in compliance</w:t>
      </w:r>
      <w:r>
        <w:t xml:space="preserve"> </w:t>
      </w:r>
      <w:r>
        <w:t xml:space="preserve">costs only when</w:t>
      </w:r>
      <w:r>
        <w:t xml:space="preserve"> </w:t>
      </w:r>
      <w:r>
        <w:t xml:space="preserve">businesses</w:t>
      </w:r>
      <w:r>
        <w:t xml:space="preserve"> </w:t>
      </w:r>
      <w:r>
        <w:t xml:space="preserve">request the</w:t>
      </w:r>
      <w:r>
        <w:t xml:space="preserve"> </w:t>
      </w:r>
      <w:r>
        <w:t xml:space="preserve">allowance.</w:t>
      </w:r>
      <w:r>
        <w:t xml:space="preserve"> </w:t>
      </w:r>
      <w:r>
        <w:t xml:space="preserve">Low</w:t>
      </w:r>
      <w:r>
        <w:t xml:space="preserve"> </w:t>
      </w:r>
      <w:r>
        <w:t xml:space="preserve">implementat</w:t>
      </w:r>
      <w:r>
        <w:t xml:space="preserve"> </w:t>
      </w:r>
      <w:r>
        <w:t xml:space="preserve">ion costs for</w:t>
      </w:r>
      <w:r>
        <w:t xml:space="preserve"> </w:t>
      </w:r>
      <w:r>
        <w:t xml:space="preserve">the</w:t>
      </w:r>
      <w:r>
        <w:t xml:space="preserve"> </w:t>
      </w:r>
      <w:r>
        <w:t xml:space="preserve">allowance</w:t>
      </w:r>
      <w:r>
        <w:t xml:space="preserve"> </w:t>
      </w:r>
      <w:r>
        <w:t xml:space="preserve">on equity.</w:t>
      </w:r>
      <w:r>
        <w:t xml:space="preserve"> </w:t>
      </w:r>
      <w:r>
        <w:t xml:space="preserve">Potentially</w:t>
      </w:r>
      <w:r>
        <w:t xml:space="preserve"> </w:t>
      </w:r>
      <w:r>
        <w:t xml:space="preserve">higher tax</w:t>
      </w:r>
      <w:r>
        <w:t xml:space="preserve"> </w:t>
      </w:r>
      <w:r>
        <w:t xml:space="preserve">admin costs</w:t>
      </w:r>
      <w:r>
        <w:t xml:space="preserve"> </w:t>
      </w:r>
      <w:r>
        <w:t xml:space="preserve">from</w:t>
      </w:r>
      <w:r>
        <w:t xml:space="preserve"> </w:t>
      </w:r>
      <w:r>
        <w:t xml:space="preserve">application of</w:t>
      </w:r>
      <w:r>
        <w:t xml:space="preserve"> </w:t>
      </w:r>
      <w:r>
        <w:t xml:space="preserve">Anti-</w:t>
      </w:r>
      <w:r>
        <w:t xml:space="preserve"> </w:t>
      </w:r>
      <w:r>
        <w:t xml:space="preserve">Avoidance</w:t>
      </w:r>
      <w:r>
        <w:t xml:space="preserve"> </w:t>
      </w:r>
      <w:r>
        <w:t xml:space="preserve">Rules.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Lower tax</w:t>
      </w:r>
      <w:r>
        <w:t xml:space="preserve"> </w:t>
      </w:r>
      <w:r>
        <w:t xml:space="preserve">revenues from</w:t>
      </w:r>
      <w:r>
        <w:t xml:space="preserve"> </w:t>
      </w:r>
      <w:r>
        <w:t xml:space="preserve">corporate</w:t>
      </w:r>
      <w:r>
        <w:t xml:space="preserve"> </w:t>
      </w:r>
      <w:r>
        <w:t xml:space="preserve">taxation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Limitation</w:t>
      </w:r>
      <w:r>
        <w:t xml:space="preserve"> </w:t>
      </w:r>
      <w:r>
        <w:t xml:space="preserve">of interest</w:t>
      </w:r>
      <w:r>
        <w:t xml:space="preserve"> </w:t>
      </w:r>
      <w:r>
        <w:t xml:space="preserve">deduction</w:t>
      </w:r>
    </w:p>
    <w:p>
      <w:pPr>
        <w:pStyle w:val="BodyText"/>
      </w:pPr>
      <w:r>
        <w:t xml:space="preserve">Direct costs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No additional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 so</w:t>
      </w:r>
      <w:r>
        <w:t xml:space="preserve"> </w:t>
      </w:r>
      <w:r>
        <w:t xml:space="preserve">no additional</w:t>
      </w:r>
      <w:r>
        <w:t xml:space="preserve"> </w:t>
      </w:r>
      <w:r>
        <w:t xml:space="preserve">one-off costs.</w:t>
      </w:r>
      <w:r>
        <w:t xml:space="preserve"> </w:t>
      </w:r>
      <w:r>
        <w:t xml:space="preserve">Debt financing</w:t>
      </w:r>
      <w:r>
        <w:t xml:space="preserve"> </w:t>
      </w:r>
      <w:r>
        <w:t xml:space="preserve">becomes more</w:t>
      </w:r>
      <w:r>
        <w:t xml:space="preserve"> </w:t>
      </w:r>
      <w:r>
        <w:t xml:space="preserve">costly.</w:t>
      </w:r>
      <w:r>
        <w:t xml:space="preserve"> </w:t>
      </w:r>
      <w:r>
        <w:t xml:space="preserve">Low</w:t>
      </w:r>
      <w:r>
        <w:t xml:space="preserve"> </w:t>
      </w:r>
      <w:r>
        <w:t xml:space="preserve">implementat</w:t>
      </w:r>
      <w:r>
        <w:t xml:space="preserve"> </w:t>
      </w:r>
      <w:r>
        <w:t xml:space="preserve">ion cost</w:t>
      </w:r>
      <w:r>
        <w:t xml:space="preserve"> </w:t>
      </w:r>
      <w:r>
        <w:t xml:space="preserve">since</w:t>
      </w:r>
      <w:r>
        <w:t xml:space="preserve"> </w:t>
      </w:r>
      <w:r>
        <w:t xml:space="preserve">existing</w:t>
      </w:r>
      <w:r>
        <w:t xml:space="preserve"> </w:t>
      </w:r>
      <w:r>
        <w:t xml:space="preserve">software</w:t>
      </w:r>
      <w:r>
        <w:t xml:space="preserve"> </w:t>
      </w:r>
      <w:r>
        <w:t xml:space="preserve">needs</w:t>
      </w:r>
      <w:r>
        <w:t xml:space="preserve"> </w:t>
      </w:r>
      <w:r>
        <w:t xml:space="preserve">update.</w:t>
      </w:r>
      <w:r>
        <w:t xml:space="preserve"> </w:t>
      </w:r>
      <w:r>
        <w:t xml:space="preserve">No additional</w:t>
      </w:r>
      <w:r>
        <w:t xml:space="preserve"> </w:t>
      </w:r>
      <w:r>
        <w:t xml:space="preserve">recurrent</w:t>
      </w:r>
      <w:r>
        <w:t xml:space="preserve"> </w:t>
      </w:r>
      <w:r>
        <w:t xml:space="preserve">costs.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n.a.</w:t>
      </w:r>
    </w:p>
    <w:p>
      <w:pPr>
        <w:pStyle w:val="BodyText"/>
      </w:pPr>
      <w:r>
        <w:t xml:space="preserve">n.a.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No one-off cost</w:t>
      </w:r>
      <w:r>
        <w:t xml:space="preserve"> </w:t>
      </w:r>
      <w:r>
        <w:t xml:space="preserve">Slight increase</w:t>
      </w:r>
      <w:r>
        <w:t xml:space="preserve"> </w:t>
      </w:r>
      <w:r>
        <w:t xml:space="preserve">in compliance</w:t>
      </w:r>
      <w:r>
        <w:t xml:space="preserve"> </w:t>
      </w:r>
      <w:r>
        <w:t xml:space="preserve">costs only when</w:t>
      </w:r>
      <w:r>
        <w:t xml:space="preserve"> </w:t>
      </w:r>
      <w:r>
        <w:t xml:space="preserve">businesses</w:t>
      </w:r>
      <w:r>
        <w:t xml:space="preserve"> </w:t>
      </w:r>
      <w:r>
        <w:t xml:space="preserve">request the</w:t>
      </w:r>
      <w:r>
        <w:t xml:space="preserve"> </w:t>
      </w:r>
      <w:r>
        <w:t xml:space="preserve">allowance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n.a</w:t>
      </w:r>
      <w:r>
        <w:t xml:space="preserve"> </w:t>
      </w:r>
      <w:r>
        <w:t xml:space="preserve">n.a.</w:t>
      </w:r>
    </w:p>
    <w:p>
      <w:pPr>
        <w:pStyle w:val="Compact"/>
        <w:numPr>
          <w:ilvl w:val="0"/>
          <w:numId w:val="1017"/>
        </w:numPr>
      </w:pPr>
      <w:r>
        <w:t xml:space="preserve">Relevant Sustainable Development Goals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Overview of relevant Sustainable Development Goals – Preferred Option (Option 5)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</w:p>
    <w:p>
      <w:pPr>
        <w:pStyle w:val="FirstParagraph"/>
      </w:pPr>
      <w:r>
        <w:t xml:space="preserve">83</w:t>
      </w:r>
      <w:r>
        <w:t xml:space="preserve"> </w:t>
      </w:r>
      <w:r>
        <w:t xml:space="preserve">SDG no. 8 – Promote</w:t>
      </w:r>
      <w:r>
        <w:t xml:space="preserve"> </w:t>
      </w:r>
      <w:r>
        <w:t xml:space="preserve">sustained, inclusive and</w:t>
      </w:r>
      <w:r>
        <w:t xml:space="preserve"> </w:t>
      </w:r>
      <w:r>
        <w:t xml:space="preserve">sustainable economic</w:t>
      </w:r>
      <w:r>
        <w:t xml:space="preserve"> </w:t>
      </w:r>
      <w:r>
        <w:t xml:space="preserve">growth, full and productive</w:t>
      </w:r>
      <w:r>
        <w:t xml:space="preserve"> </w:t>
      </w:r>
      <w:r>
        <w:t xml:space="preserve">employment and decent</w:t>
      </w:r>
      <w:r>
        <w:t xml:space="preserve"> </w:t>
      </w:r>
      <w:r>
        <w:t xml:space="preserve">work for all</w:t>
      </w:r>
      <w:r>
        <w:t xml:space="preserve"> </w:t>
      </w:r>
      <w:r>
        <w:t xml:space="preserve">DEBRA is expected to lead to a GDP increase of</w:t>
      </w:r>
      <w:r>
        <w:t xml:space="preserve"> </w:t>
      </w:r>
      <w:r>
        <w:t xml:space="preserve">0.26% across the EU as a whole. Investment is</w:t>
      </w:r>
      <w:r>
        <w:t xml:space="preserve"> </w:t>
      </w:r>
      <w:r>
        <w:t xml:space="preserve">expect to increase by 0.84 percent of the EU-27</w:t>
      </w:r>
      <w:r>
        <w:t xml:space="preserve"> </w:t>
      </w:r>
      <w:r>
        <w:t xml:space="preserve">average GDP.</w:t>
      </w:r>
    </w:p>
    <w:p>
      <w:pPr>
        <w:pStyle w:val="BodyText"/>
      </w:pPr>
      <w:r>
        <w:t xml:space="preserve">Expected to foster economic growth,</w:t>
      </w:r>
      <w:r>
        <w:t xml:space="preserve"> </w:t>
      </w:r>
      <w:r>
        <w:t xml:space="preserve">innovation and employment creation in line</w:t>
      </w:r>
      <w:r>
        <w:t xml:space="preserve"> </w:t>
      </w:r>
      <w:r>
        <w:t xml:space="preserve">with targets 8.1, 8.2, 8.3 among others</w:t>
      </w:r>
      <w:r>
        <w:t xml:space="preserve"> </w:t>
      </w:r>
      <w:r>
        <w:t xml:space="preserve">SDG no. 9 – Build resilient</w:t>
      </w:r>
      <w:r>
        <w:t xml:space="preserve"> </w:t>
      </w:r>
      <w:r>
        <w:t xml:space="preserve">infrastructure, promote</w:t>
      </w:r>
      <w:r>
        <w:t xml:space="preserve"> </w:t>
      </w:r>
      <w:r>
        <w:t xml:space="preserve">inclusive and sustainable</w:t>
      </w:r>
      <w:r>
        <w:t xml:space="preserve"> </w:t>
      </w:r>
      <w:r>
        <w:t xml:space="preserve">industrialization and foster</w:t>
      </w:r>
      <w:r>
        <w:t xml:space="preserve"> </w:t>
      </w:r>
      <w:r>
        <w:t xml:space="preserve">innovation</w:t>
      </w:r>
      <w:r>
        <w:t xml:space="preserve"> </w:t>
      </w:r>
      <w:r>
        <w:t xml:space="preserve">By increasing equity investments across the EU,</w:t>
      </w:r>
      <w:r>
        <w:t xml:space="preserve"> </w:t>
      </w:r>
      <w:r>
        <w:t xml:space="preserve">DEBRA is expected to indirectly promote the</w:t>
      </w:r>
      <w:r>
        <w:t xml:space="preserve"> </w:t>
      </w:r>
      <w:r>
        <w:t xml:space="preserve">development of innovative technology</w:t>
      </w:r>
      <w:r>
        <w:t xml:space="preserve"> </w:t>
      </w:r>
      <w:r>
        <w:t xml:space="preserve">Expected to foster investment and thus</w:t>
      </w:r>
      <w:r>
        <w:t xml:space="preserve"> </w:t>
      </w:r>
      <w:r>
        <w:t xml:space="preserve">contribute to, for example, targets 9.2, and</w:t>
      </w:r>
      <w:r>
        <w:t xml:space="preserve"> </w:t>
      </w:r>
      <w:r>
        <w:t xml:space="preserve">9.4</w:t>
      </w:r>
    </w:p>
    <w:p>
      <w:pPr>
        <w:pStyle w:val="BodyText"/>
      </w:pPr>
      <w:r>
        <w:t xml:space="preserve">Excessive debt levels make businesses more prone to insolvency and increase the overall</w:t>
      </w:r>
      <w:r>
        <w:t xml:space="preserve"> </w:t>
      </w:r>
      <w:r>
        <w:t xml:space="preserve">risk of broad financial crisis. By mitigating the existing differences in the tax treatment</w:t>
      </w:r>
      <w:r>
        <w:t xml:space="preserve"> </w:t>
      </w:r>
      <w:r>
        <w:t xml:space="preserve">between debt and equity, DEBRA will not only promote economic growth, but also</w:t>
      </w:r>
      <w:r>
        <w:t xml:space="preserve"> </w:t>
      </w:r>
      <w:r>
        <w:t xml:space="preserve">reduce financial stability risks within the internal market. Equity financing is particularly</w:t>
      </w:r>
      <w:r>
        <w:t xml:space="preserve"> </w:t>
      </w:r>
      <w:r>
        <w:t xml:space="preserve">relevant to meet investment needs under the twin transitions and for SMEs, which due to</w:t>
      </w:r>
      <w:r>
        <w:t xml:space="preserve"> </w:t>
      </w:r>
      <w:r>
        <w:t xml:space="preserve">their small size, low assets and reduced credit history, are likely to struggle to get</w:t>
      </w:r>
      <w:r>
        <w:t xml:space="preserve"> </w:t>
      </w:r>
      <w:r>
        <w:t xml:space="preserve">financing from traditional financial institutions.</w:t>
      </w:r>
      <w:r>
        <w:br/>
      </w:r>
      <w:r>
        <w:t xml:space="preserve">By mitigating the differences in the tax treatment between debt and equity, DEBRA</w:t>
      </w:r>
      <w:r>
        <w:t xml:space="preserve"> </w:t>
      </w:r>
      <w:r>
        <w:t xml:space="preserve">creates further incentives to equity investments in bold new ideas and products, fostering</w:t>
      </w:r>
      <w:r>
        <w:t xml:space="preserve"> </w:t>
      </w:r>
      <w:r>
        <w:t xml:space="preserve">research and innovation in the EU. Increasing equity investments will therefore play a</w:t>
      </w:r>
      <w:r>
        <w:t xml:space="preserve"> </w:t>
      </w:r>
      <w:r>
        <w:t xml:space="preserve">major role in fostering the development of new solutions, which are essential for</w:t>
      </w:r>
      <w:r>
        <w:t xml:space="preserve"> </w:t>
      </w:r>
      <w:r>
        <w:t xml:space="preserve">reaching the objectives set out by the Commission in relation to the twin digital and</w:t>
      </w:r>
      <w:r>
        <w:t xml:space="preserve"> </w:t>
      </w:r>
      <w:r>
        <w:t xml:space="preserve">green transitions.</w:t>
      </w:r>
      <w:r>
        <w:br/>
      </w:r>
      <w:r>
        <w:t xml:space="preserve">Overall, DEBRA has the potential to not only reduce the risk of existing companies to go</w:t>
      </w:r>
      <w:r>
        <w:t xml:space="preserve"> </w:t>
      </w:r>
      <w:r>
        <w:t xml:space="preserve">into bankruptcy, but also accelerate the creation of innovative new businesses, and</w:t>
      </w:r>
      <w:r>
        <w:t xml:space="preserve"> </w:t>
      </w:r>
      <w:r>
        <w:t xml:space="preserve">therefore have a positive effect on employment.</w:t>
      </w:r>
      <w:r>
        <w:br/>
      </w:r>
      <w:r>
        <w:t xml:space="preserve">These positive impacts are in line with two of the 17 United Nations Sustainable</w:t>
      </w:r>
      <w:r>
        <w:t xml:space="preserve"> </w:t>
      </w:r>
      <w:r>
        <w:t xml:space="preserve">Development Goals (“SDG”). These are SDG 8 “Promote sustained, inclusive and</w:t>
      </w:r>
      <w:r>
        <w:t xml:space="preserve"> </w:t>
      </w:r>
      <w:r>
        <w:t xml:space="preserve">sustainable economic growth, full and productive employment and decent work for all”</w:t>
      </w:r>
      <w:r>
        <w:t xml:space="preserve"> </w:t>
      </w:r>
      <w:r>
        <w:t xml:space="preserve">and SDG 9 “Build resilient infrastructure, promote inclusive and sustainable</w:t>
      </w:r>
      <w:r>
        <w:t xml:space="preserve"> </w:t>
      </w:r>
      <w:r>
        <w:t xml:space="preserve">industrialization and foster innovation”.</w:t>
      </w:r>
      <w:r>
        <w:t xml:space="preserve"> </w:t>
      </w:r>
      <w:r>
        <w:t xml:space="preserve">Specifically regarding SDG 8, DEBRA is expected to, as assessed throughout this impact</w:t>
      </w:r>
      <w:r>
        <w:t xml:space="preserve"> </w:t>
      </w:r>
      <w:r>
        <w:t xml:space="preserve">assessment, foster economic growth, innovation and employment creation. These impacts</w:t>
      </w:r>
      <w:r>
        <w:t xml:space="preserve"> </w:t>
      </w:r>
      <w:r>
        <w:t xml:space="preserve">are in line with targets 8.1, 8.2, 8.3 among others. As to SDG 9, by increasing equity</w:t>
      </w:r>
      <w:r>
        <w:t xml:space="preserve"> </w:t>
      </w:r>
      <w:r>
        <w:t xml:space="preserve">investments in the EU, DEBRA will promote the development of innovative technology,</w:t>
      </w:r>
      <w:r>
        <w:t xml:space="preserve"> </w:t>
      </w:r>
      <w:r>
        <w:t xml:space="preserve">which may contribute to target 9.2. “sustainable industrialization”, as well as target 9.4</w:t>
      </w:r>
      <w:r>
        <w:t xml:space="preserve"> </w:t>
      </w:r>
      <w:r>
        <w:t xml:space="preserve">specifically to “upgrade infrastructure and retrofit industries to make them sustainable”.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CORTAX: A model to simulate corporate tax policies</w:t>
      </w:r>
      <w:r>
        <w:br/>
      </w:r>
      <w:r>
        <w:t xml:space="preserve">1.1. Brief Description of the Model</w:t>
      </w:r>
      <w:r>
        <w:t xml:space="preserve"> </w:t>
      </w:r>
      <w:r>
        <w:t xml:space="preserve">The CORTAX model is a computable general equilibrium model designed to evaluate</w:t>
      </w:r>
      <w:r>
        <w:t xml:space="preserve"> </w:t>
      </w:r>
      <w:r>
        <w:t xml:space="preserve">the effects of corporate tax reforms in 27 EU countries assuming optimal behaviour of all</w:t>
      </w:r>
      <w:r>
        <w:t xml:space="preserve"> </w:t>
      </w:r>
      <w:r>
        <w:t xml:space="preserve">agents in the economy. In the model, each country is assumed to have the same structure</w:t>
      </w:r>
      <w:r>
        <w:t xml:space="preserve"> </w:t>
      </w:r>
      <w:r>
        <w:t xml:space="preserve">in terms of consumption, savings, production and public finances (though the data are</w:t>
      </w:r>
      <w:r>
        <w:t xml:space="preserve"> </w:t>
      </w:r>
      <w:r>
        <w:t xml:space="preserve">country-specific). Countries are linked to each other via international trade in goods</w:t>
      </w:r>
      <w:r>
        <w:t xml:space="preserve"> </w:t>
      </w:r>
      <w:r>
        <w:t xml:space="preserve">markets, intermediate goods markets and investment by multinationals. The model also</w:t>
      </w:r>
      <w:r>
        <w:t xml:space="preserve"> </w:t>
      </w:r>
      <w:r>
        <w:t xml:space="preserve">includes Japan, the UK, the USA and a tax haven.</w:t>
      </w:r>
      <w:r>
        <w:t xml:space="preserve"> </w:t>
      </w:r>
      <w:r>
        <w:t xml:space="preserve">Firms are divided into three categories: multinationals’ headquarters, their subsidiaries</w:t>
      </w:r>
      <w:r>
        <w:t xml:space="preserve"> </w:t>
      </w:r>
      <w:r>
        <w:t xml:space="preserve">located abroad and domestic firms that only produce in their country of residence.</w:t>
      </w:r>
      <w:r>
        <w:t xml:space="preserve"> </w:t>
      </w:r>
      <w:r>
        <w:t xml:space="preserve">Multinationals and domestic firms differ to the extent that the former optimise profits</w:t>
      </w:r>
      <w:r>
        <w:t xml:space="preserve"> </w:t>
      </w:r>
      <w:r>
        <w:t xml:space="preserve">globally and are engaged in profit shifting activities across borders. Domestic firms pay</w:t>
      </w:r>
      <w:r>
        <w:t xml:space="preserve"> </w:t>
      </w:r>
      <w:r>
        <w:t xml:space="preserve">their corporate taxes in their country of residence according to the taxable profits</w:t>
      </w:r>
      <w:r>
        <w:t xml:space="preserve"> </w:t>
      </w:r>
      <w:r>
        <w:t xml:space="preserve">generated in this country only. Both domestic and multinational firms can shift profits to</w:t>
      </w:r>
      <w:r>
        <w:t xml:space="preserve"> </w:t>
      </w:r>
      <w:r>
        <w:t xml:space="preserve">the tax haven to reduce their tax burden. In the benchmark, all firms are equal and, whilst</w:t>
      </w:r>
      <w:r>
        <w:t xml:space="preserve"> </w:t>
      </w:r>
      <w:r>
        <w:t xml:space="preserve">on aggregate taxable profits are positive, there are random shocks affecting their</w:t>
      </w:r>
      <w:r>
        <w:t xml:space="preserve"> </w:t>
      </w:r>
      <w:r>
        <w:t xml:space="preserve">revenues that can be attributed to, for example, business cycle evolutions. These shocks</w:t>
      </w:r>
      <w:r>
        <w:t xml:space="preserve"> </w:t>
      </w:r>
      <w:r>
        <w:t xml:space="preserve">may result in losses that can be carried forward in the model.</w:t>
      </w:r>
      <w:r>
        <w:t xml:space="preserve"> </w:t>
      </w:r>
      <w:r>
        <w:t xml:space="preserve">A breakdown of the results by firm type is not commonly done. While technically</w:t>
      </w:r>
      <w:r>
        <w:t xml:space="preserve"> </w:t>
      </w:r>
      <w:r>
        <w:t xml:space="preserve">possible, it is important to clarify what exactly would be hoped to be learnt from this</w:t>
      </w:r>
      <w:r>
        <w:t xml:space="preserve"> </w:t>
      </w:r>
      <w:r>
        <w:t xml:space="preserve">additional output or what variables would be of particular interest. The calibration of the</w:t>
      </w:r>
      <w:r>
        <w:t xml:space="preserve"> </w:t>
      </w:r>
      <w:r>
        <w:t xml:space="preserve">parameters that determine the behavioural response of the different firm types would</w:t>
      </w:r>
      <w:r>
        <w:t xml:space="preserve"> </w:t>
      </w:r>
      <w:r>
        <w:t xml:space="preserve">result in the expectation that MNEs respond slightly stronger than purely domestic firms,</w:t>
      </w:r>
      <w:r>
        <w:t xml:space="preserve"> </w:t>
      </w:r>
      <w:r>
        <w:t xml:space="preserve">in line with empirical facts. In addition, given the typically lower financing costs of</w:t>
      </w:r>
      <w:r>
        <w:t xml:space="preserve"> </w:t>
      </w:r>
      <w:r>
        <w:t xml:space="preserve">MNEs compared to domestic firms, the impact of the reforms would be larger for MNEs.</w:t>
      </w:r>
      <w:r>
        <w:t xml:space="preserve"> </w:t>
      </w:r>
      <w:r>
        <w:t xml:space="preserve">In relation to government, there is a balanced budget where consumption and public debt</w:t>
      </w:r>
      <w:r>
        <w:t xml:space="preserve"> </w:t>
      </w:r>
      <w:r>
        <w:t xml:space="preserve">are a fixed proportion of GDP. Tax revenues and/or transfer payments adjust to keep a</w:t>
      </w:r>
      <w:r>
        <w:t xml:space="preserve"> </w:t>
      </w:r>
      <w:r>
        <w:t xml:space="preserve">balanced public budget. The taxes included in CORTAX are consumption taxes and</w:t>
      </w:r>
      <w:r>
        <w:t xml:space="preserve"> </w:t>
      </w:r>
      <w:r>
        <w:t xml:space="preserve">direct taxes on income from corporate and labour, dividends, capital gains and interest.</w:t>
      </w:r>
      <w:r>
        <w:t xml:space="preserve"> </w:t>
      </w:r>
      <w:r>
        <w:t xml:space="preserve">Government consumption and government debt as a share of GDP are kept constant after</w:t>
      </w:r>
      <w:r>
        <w:t xml:space="preserve"> </w:t>
      </w:r>
      <w:r>
        <w:t xml:space="preserve">a reform.</w:t>
      </w:r>
      <w:r>
        <w:t xml:space="preserve"> </w:t>
      </w:r>
      <w:r>
        <w:t xml:space="preserve">The effects of reforms can be expressed as changes in GDP, household consumption,</w:t>
      </w:r>
      <w:r>
        <w:t xml:space="preserve"> </w:t>
      </w:r>
      <w:r>
        <w:t xml:space="preserve">business investment and fiscal revenue. The model is elaborated using data from different</w:t>
      </w:r>
      <w:r>
        <w:t xml:space="preserve"> </w:t>
      </w:r>
      <w:r>
        <w:t xml:space="preserve">data sources including Eurostat, the OECD, the United Nations, the IMF and the Orbis</w:t>
      </w:r>
      <w:r>
        <w:t xml:space="preserve"> </w:t>
      </w:r>
      <w:r>
        <w:t xml:space="preserve">firm database. The structural description of the model and the calibration process borrow</w:t>
      </w:r>
      <w:r>
        <w:t xml:space="preserve"> </w:t>
      </w:r>
      <w:r>
        <w:t xml:space="preserve">heavily from Bettendorf et al. (2009b).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1.2. Model Validation and Peer Review</w:t>
      </w:r>
      <w:r>
        <w:t xml:space="preserve"> </w:t>
      </w:r>
      <w:r>
        <w:t xml:space="preserve">The CORTAX model has acquired a strong reputation among corporate tax experts. The</w:t>
      </w:r>
      <w:r>
        <w:t xml:space="preserve"> </w:t>
      </w:r>
      <w:r>
        <w:t xml:space="preserve">model was originally produced by CPB Netherlands, and has since been used by experts</w:t>
      </w:r>
      <w:r>
        <w:t xml:space="preserve"> </w:t>
      </w:r>
      <w:r>
        <w:t xml:space="preserve">affiliated to the Oxford University Centre for Business Taxation, the Erasmus University</w:t>
      </w:r>
      <w:r>
        <w:t xml:space="preserve"> </w:t>
      </w:r>
      <w:r>
        <w:t xml:space="preserve">Rotterdam, the Tinbergen Institute and CESifo. The model was previously used in</w:t>
      </w:r>
      <w:r>
        <w:t xml:space="preserve"> </w:t>
      </w:r>
      <w:r>
        <w:t xml:space="preserve">European Commission’s impact assessments of the common consolidated corporate tax</w:t>
      </w:r>
      <w:r>
        <w:t xml:space="preserve"> </w:t>
      </w:r>
      <w:r>
        <w:t xml:space="preserve">base and is discussed in further detail in (European Commission, 2016)</w:t>
      </w:r>
      <w:r>
        <w:t xml:space="preserve"> </w:t>
      </w:r>
      <w:r>
        <w:t xml:space="preserve">1.3. Key assumptions</w:t>
      </w:r>
      <w:r>
        <w:t xml:space="preserve"> </w:t>
      </w:r>
      <w:r>
        <w:t xml:space="preserve">CORTAX accounts for two types of households: old and young. Households maximise</w:t>
      </w:r>
      <w:r>
        <w:t xml:space="preserve"> </w:t>
      </w:r>
      <w:r>
        <w:t xml:space="preserve">their intra-temporal utility function subject to a budget constraint, where net savings from</w:t>
      </w:r>
      <w:r>
        <w:t xml:space="preserve"> </w:t>
      </w:r>
      <w:r>
        <w:t xml:space="preserve">young workers (wages, current transfers and negative consumption) are equal to negative</w:t>
      </w:r>
      <w:r>
        <w:t xml:space="preserve"> </w:t>
      </w:r>
      <w:r>
        <w:t xml:space="preserve">value of net savings from old households. The effects on welfare are calculated using the</w:t>
      </w:r>
      <w:r>
        <w:t xml:space="preserve"> </w:t>
      </w:r>
      <w:r>
        <w:t xml:space="preserve">compensating variation. This is calculated as the difference in transfers received by</w:t>
      </w:r>
      <w:r>
        <w:t xml:space="preserve"> </w:t>
      </w:r>
      <w:r>
        <w:t xml:space="preserve">young households required to compensate the change in utility.</w:t>
      </w:r>
      <w:r>
        <w:t xml:space="preserve"> </w:t>
      </w:r>
      <w:r>
        <w:t xml:space="preserve">Firms maximise their value subject to the production function and the accumulation</w:t>
      </w:r>
      <w:r>
        <w:t xml:space="preserve"> </w:t>
      </w:r>
      <w:r>
        <w:t xml:space="preserve">constraints on physical capital and fiscal depreciation. Total production is calculated as</w:t>
      </w:r>
      <w:r>
        <w:t xml:space="preserve"> </w:t>
      </w:r>
      <w:r>
        <w:t xml:space="preserve">the sum of production in all firms (domestic and multinationals) net of intermediate</w:t>
      </w:r>
      <w:r>
        <w:t xml:space="preserve"> </w:t>
      </w:r>
      <w:r>
        <w:t xml:space="preserve">inputs in foreign subsidiaries. Usually, the production function is a Cobb Douglas</w:t>
      </w:r>
      <w:r>
        <w:t xml:space="preserve"> </w:t>
      </w:r>
      <w:r>
        <w:t xml:space="preserve">combination of the fixed factor and the value added, which is a CES aggregate of labour</w:t>
      </w:r>
      <w:r>
        <w:t xml:space="preserve"> </w:t>
      </w:r>
      <w:r>
        <w:t xml:space="preserve">and capital. The model allows the parent company to charge a transfer price for intra-firm</w:t>
      </w:r>
      <w:r>
        <w:t xml:space="preserve"> </w:t>
      </w:r>
      <w:r>
        <w:t xml:space="preserve">deliveries that deviates from the equivalent price that would be charged if it had been an</w:t>
      </w:r>
      <w:r>
        <w:t xml:space="preserve"> </w:t>
      </w:r>
      <w:r>
        <w:t xml:space="preserve">inter-firm transaction (the ‘arms-length’ price), which reflects profit shifting in</w:t>
      </w:r>
      <w:r>
        <w:t xml:space="preserve"> </w:t>
      </w:r>
      <w:r>
        <w:t xml:space="preserve">multinationals. Both, multinationals and domestic firms have some access to tax havens,</w:t>
      </w:r>
      <w:r>
        <w:t xml:space="preserve"> </w:t>
      </w:r>
      <w:r>
        <w:t xml:space="preserve">which are another mechanism by which they shift profits. The degree of profit shifting to</w:t>
      </w:r>
      <w:r>
        <w:t xml:space="preserve"> </w:t>
      </w:r>
      <w:r>
        <w:t xml:space="preserve">tax havens depends on the difference between the statutory rate in their respective</w:t>
      </w:r>
      <w:r>
        <w:t xml:space="preserve"> </w:t>
      </w:r>
      <w:r>
        <w:t xml:space="preserve">countries and the tax rate in the tax haven.</w:t>
      </w:r>
      <w:r>
        <w:t xml:space="preserve"> </w:t>
      </w:r>
      <w:r>
        <w:t xml:space="preserve">CORTAX is by design a one-sector economy and does not allow to distinguish between,</w:t>
      </w:r>
      <w:r>
        <w:t xml:space="preserve"> </w:t>
      </w:r>
      <w:r>
        <w:t xml:space="preserve">say, different NACE industries, or between financial or non-financial firms. Therefore, a</w:t>
      </w:r>
      <w:r>
        <w:t xml:space="preserve"> </w:t>
      </w:r>
      <w:r>
        <w:t xml:space="preserve">breakdown of the results by industry is not possible. The purpose of CORTAX is to</w:t>
      </w:r>
      <w:r>
        <w:t xml:space="preserve"> </w:t>
      </w:r>
      <w:r>
        <w:t xml:space="preserve">provide a detailed illustration of the corporate sector as a whole, but it is not a multi-</w:t>
      </w:r>
      <w:r>
        <w:t xml:space="preserve"> </w:t>
      </w:r>
      <w:r>
        <w:t xml:space="preserve">sector model in the classical sense that considers different industries and the linkages</w:t>
      </w:r>
      <w:r>
        <w:t xml:space="preserve"> </w:t>
      </w:r>
      <w:r>
        <w:t xml:space="preserve">between them. It can also not be parametrised so as to mirror a specific industry.</w:t>
      </w:r>
      <w:r>
        <w:t xml:space="preserve"> </w:t>
      </w:r>
      <w:r>
        <w:t xml:space="preserve">Likewise, CORTAX does not consider different types of investments, such as with</w:t>
      </w:r>
      <w:r>
        <w:t xml:space="preserve"> </w:t>
      </w:r>
      <w:r>
        <w:t xml:space="preserve">respect to the type of asset invested in.</w:t>
      </w:r>
      <w:r>
        <w:t xml:space="preserve"> </w:t>
      </w:r>
      <w:r>
        <w:t xml:space="preserve">The simulations are coded to ensure that the government budget remains balanced, i.e. </w:t>
      </w:r>
      <w:r>
        <w:t xml:space="preserve"> </w:t>
      </w:r>
      <w:r>
        <w:t xml:space="preserve">governments do not run deficits or surpluses. This is achieved in two ways. First, some</w:t>
      </w:r>
      <w:r>
        <w:t xml:space="preserve"> </w:t>
      </w:r>
      <w:r>
        <w:t xml:space="preserve">simulations are run under the assumption that governments will compensate for the</w:t>
      </w:r>
      <w:r>
        <w:t xml:space="preserve"> </w:t>
      </w:r>
      <w:r>
        <w:t xml:space="preserve">change in the tax base by adjusting the corporate tax rates to maintain constant corporate</w:t>
      </w:r>
      <w:r>
        <w:t xml:space="preserve"> </w:t>
      </w:r>
      <w:r>
        <w:t xml:space="preserve">tax revenue, prior to any behavioural response (i.e. ex-ante to the simulation). Whether or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not this ex-ante compensation is introduced, further changes in the tax revenues are</w:t>
      </w:r>
      <w:r>
        <w:t xml:space="preserve"> </w:t>
      </w:r>
      <w:r>
        <w:t xml:space="preserve">balanced by the government adjusting transfers to retirees.</w:t>
      </w:r>
      <w:r>
        <w:t xml:space="preserve"> </w:t>
      </w:r>
      <w:r>
        <w:t xml:space="preserve">1.4. Construction of the baseline and core policy simulations</w:t>
      </w:r>
      <w:r>
        <w:t xml:space="preserve"> </w:t>
      </w:r>
      <w:r>
        <w:t xml:space="preserve">The model provides a consistent and connected framework for firms, household and</w:t>
      </w:r>
      <w:r>
        <w:t xml:space="preserve"> </w:t>
      </w:r>
      <w:r>
        <w:t xml:space="preserve">governments. The data and the current policies of each country are used to replicate the</w:t>
      </w:r>
      <w:r>
        <w:t xml:space="preserve"> </w:t>
      </w:r>
      <w:r>
        <w:t xml:space="preserve">corporate taxation regime, and indeed the production structure and household behaviour.</w:t>
      </w:r>
      <w:r>
        <w:t xml:space="preserve"> </w:t>
      </w:r>
      <w:r>
        <w:t xml:space="preserve">The corporate taxation regime is necessarily stylised (for example, not every deduction</w:t>
      </w:r>
      <w:r>
        <w:t xml:space="preserve"> </w:t>
      </w:r>
      <w:r>
        <w:t xml:space="preserve">can be included), though the simulations confirm that at a macro-level the CIT regimes</w:t>
      </w:r>
      <w:r>
        <w:t xml:space="preserve"> </w:t>
      </w:r>
      <w:r>
        <w:t xml:space="preserve">are replicated well.</w:t>
      </w:r>
      <w:r>
        <w:t xml:space="preserve"> </w:t>
      </w:r>
      <w:r>
        <w:t xml:space="preserve">Debt and equity financing can be seen as imperfect substitute forms of capital use, and</w:t>
      </w:r>
      <w:r>
        <w:t xml:space="preserve"> </w:t>
      </w:r>
      <w:r>
        <w:t xml:space="preserve">their different tax treatment introduces distortions in the way firms and investors choose</w:t>
      </w:r>
      <w:r>
        <w:t xml:space="preserve"> </w:t>
      </w:r>
      <w:r>
        <w:t xml:space="preserve">to invest funds – the so-called debt bias. An allowance for the stock of corporate equity</w:t>
      </w:r>
      <w:r>
        <w:t xml:space="preserve"> </w:t>
      </w:r>
      <w:r>
        <w:t xml:space="preserve">(ACE), an allowance on new corporate equity (ANCE) and an allowance on corporate</w:t>
      </w:r>
      <w:r>
        <w:t xml:space="preserve"> </w:t>
      </w:r>
      <w:r>
        <w:t xml:space="preserve">capital (ACC) which provides an notional interest deduction on investments, regardless</w:t>
      </w:r>
      <w:r>
        <w:t xml:space="preserve"> </w:t>
      </w:r>
      <w:r>
        <w:t xml:space="preserve">of its form (debt or equity) are analysed.</w:t>
      </w:r>
      <w:r>
        <w:br/>
      </w:r>
      <w:r>
        <w:t xml:space="preserve">CORTAX parametrises the deductibility of the cost of equity and debt through two β</w:t>
      </w:r>
      <w:r>
        <w:t xml:space="preserve"> </w:t>
      </w:r>
      <w:r>
        <w:t xml:space="preserve">parameters: β_equity and β_debt. In a “classical” tax system, with full deductibility of</w:t>
      </w:r>
      <w:r>
        <w:t xml:space="preserve"> </w:t>
      </w:r>
      <w:r>
        <w:t xml:space="preserve">interest payments and no deductibility of the cost of equity: β_equity=0 and β_debt=1.</w:t>
      </w:r>
      <w:r>
        <w:t xml:space="preserve"> </w:t>
      </w:r>
      <w:r>
        <w:t xml:space="preserve">The baseline calibration of the model considers the existing limited deductibility of debt</w:t>
      </w:r>
      <w:r>
        <w:t xml:space="preserve"> </w:t>
      </w:r>
      <w:r>
        <w:t xml:space="preserve">in some EU MS (e.g. Germany and Italy, where interest is not or only partially deductible</w:t>
      </w:r>
      <w:r>
        <w:t xml:space="preserve"> </w:t>
      </w:r>
      <w:r>
        <w:t xml:space="preserve">from the local business tax base) and the existence of an allowance on equity in Belgium,</w:t>
      </w:r>
      <w:r>
        <w:t xml:space="preserve"> </w:t>
      </w:r>
      <w:r>
        <w:t xml:space="preserve">Italy, Cyprus, and Poland.</w:t>
      </w:r>
      <w:r>
        <w:t xml:space="preserve"> </w:t>
      </w:r>
      <w:r>
        <w:t xml:space="preserve">To simulate the effects of the different policy options, the β_equity has been calibrated</w:t>
      </w:r>
      <w:r>
        <w:t xml:space="preserve"> </w:t>
      </w:r>
      <w:r>
        <w:t xml:space="preserve">for each MS and between multinational and domestic firms using data from ORBIS and</w:t>
      </w:r>
      <w:r>
        <w:t xml:space="preserve"> </w:t>
      </w:r>
      <w:r>
        <w:t xml:space="preserve">the ECB Survey on the Access to Finance of Enterprises (SAFE). The β_equity can be</w:t>
      </w:r>
      <w:r>
        <w:t xml:space="preserve"> </w:t>
      </w:r>
      <w:r>
        <w:t xml:space="preserve">best seen as a product of (i) the notional allowance factor calibrated by country and type</w:t>
      </w:r>
      <w:r>
        <w:t xml:space="preserve"> </w:t>
      </w:r>
      <w:r>
        <w:t xml:space="preserve">of enterprise and (ii) the base of the allowance.</w:t>
      </w:r>
      <w:r>
        <w:t xml:space="preserve"> </w:t>
      </w:r>
      <w:r>
        <w:t xml:space="preserve">Next, the base of the allowance is calibrated using data from ORBIS for the financial</w:t>
      </w:r>
      <w:r>
        <w:t xml:space="preserve"> </w:t>
      </w:r>
      <w:r>
        <w:t xml:space="preserve">year 2018.</w:t>
      </w:r>
      <w:r>
        <w:t xml:space="preserve"> </w:t>
      </w:r>
      <w:r>
        <w:t xml:space="preserve">As the model does not include the implementation of the Anti-Tax Avoidance Directive</w:t>
      </w:r>
      <w:r>
        <w:t xml:space="preserve"> </w:t>
      </w:r>
      <w:r>
        <w:t xml:space="preserve">(ATAD), it cannot directly simulate the effect of a change in such directive. Option 5 is</w:t>
      </w:r>
      <w:r>
        <w:t xml:space="preserve"> </w:t>
      </w:r>
      <w:r>
        <w:t xml:space="preserve">simulated by compensating the increase in deductibility on equity with a reduction by</w:t>
      </w:r>
      <w:r>
        <w:t xml:space="preserve"> </w:t>
      </w:r>
      <w:r>
        <w:t xml:space="preserve">25% of debt’s interest deductibility.</w:t>
      </w:r>
      <w:r>
        <w:t xml:space="preserve"> </w:t>
      </w:r>
      <w:r>
        <w:t xml:space="preserve">2.</w:t>
      </w:r>
      <w:r>
        <w:t xml:space="preserve"> </w:t>
      </w:r>
      <w:r>
        <w:t xml:space="preserve">Measuring the cost of capital and effective average tax rates</w:t>
      </w:r>
      <w:r>
        <w:t xml:space="preserve"> </w:t>
      </w:r>
      <w:r>
        <w:t xml:space="preserve">An alternative measure employed is the analysis of existing differences in effective</w:t>
      </w:r>
      <w:r>
        <w:t xml:space="preserve"> </w:t>
      </w:r>
      <w:r>
        <w:t xml:space="preserve">corporate tax rates within the EU. The aim is to detect possible tax induced distortions to</w:t>
      </w:r>
      <w:r>
        <w:t xml:space="preserve"> </w:t>
      </w:r>
      <w:r>
        <w:t xml:space="preserve">the allocation of resources in both domestic and international investments in a theoretical</w:t>
      </w:r>
      <w:r>
        <w:t xml:space="preserve"> </w:t>
      </w:r>
      <w:r>
        <w:t xml:space="preserve">framework which allows country comparisons. The analysis of the impact of taxation on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investment behaviour requires forward-looking indicators which include a large majority</w:t>
      </w:r>
      <w:r>
        <w:t xml:space="preserve"> </w:t>
      </w:r>
      <w:r>
        <w:t xml:space="preserve">of the relevant tax provisions relevant for corporate investment.</w:t>
      </w:r>
      <w:r>
        <w:t xml:space="preserve"> </w:t>
      </w:r>
      <w:r>
        <w:t xml:space="preserve">The annual report on effective tax levels in the EU carried out by the ZEW applies a</w:t>
      </w:r>
      <w:r>
        <w:t xml:space="preserve"> </w:t>
      </w:r>
      <w:r>
        <w:t xml:space="preserve">forward-looking approach originally developed by Devereux and Griffith (1998a, 1998b)</w:t>
      </w:r>
      <w:r>
        <w:t xml:space="preserve"> </w:t>
      </w:r>
      <w:r>
        <w:t xml:space="preserve">and provides a comprehensive analysis of the effects of tax legislation on investments for</w:t>
      </w:r>
      <w:r>
        <w:t xml:space="preserve"> </w:t>
      </w:r>
      <w:r>
        <w:t xml:space="preserve">all 27 EU Member States and selected third countries.</w:t>
      </w:r>
      <w:r>
        <w:t xml:space="preserve"> </w:t>
      </w:r>
      <w:r>
        <w:t xml:space="preserve">The basic approach is to consider a hypothetical incremental investment located in a</w:t>
      </w:r>
      <w:r>
        <w:t xml:space="preserve"> </w:t>
      </w:r>
      <w:r>
        <w:t xml:space="preserve">specific country that is undertaken by a company resident in the same country or in</w:t>
      </w:r>
      <w:r>
        <w:t xml:space="preserve"> </w:t>
      </w:r>
      <w:r>
        <w:t xml:space="preserve">another country. Two tax measures are computed: the cost of capital and the effective</w:t>
      </w:r>
      <w:r>
        <w:t xml:space="preserve"> </w:t>
      </w:r>
      <w:r>
        <w:t xml:space="preserve">average tax rate. The cost of capital measures the required minimum pre-tax return of a</w:t>
      </w:r>
      <w:r>
        <w:t xml:space="preserve"> </w:t>
      </w:r>
      <w:r>
        <w:t xml:space="preserve">real investment (the</w:t>
      </w:r>
      <w:r>
        <w:t xml:space="preserve"> </w:t>
      </w:r>
      <w:r>
        <w:t xml:space="preserve">‘marginal investment’</w:t>
      </w:r>
      <w:r>
        <w:t xml:space="preserve">) to achieve the same after-tax return as a safe</w:t>
      </w:r>
      <w:r>
        <w:t xml:space="preserve"> </w:t>
      </w:r>
      <w:r>
        <w:t xml:space="preserve">investment in the capital market. The standard assumption by the ZEW for the real return</w:t>
      </w:r>
      <w:r>
        <w:t xml:space="preserve"> </w:t>
      </w:r>
      <w:r>
        <w:t xml:space="preserve">on the safe investment is 5%. The lower the cost of capital the more investments are</w:t>
      </w:r>
      <w:r>
        <w:t xml:space="preserve"> </w:t>
      </w:r>
      <w:r>
        <w:t xml:space="preserve">undertaken. If the cost of capital is exactly equal to the return from a safe investment, the</w:t>
      </w:r>
      <w:r>
        <w:t xml:space="preserve"> </w:t>
      </w:r>
      <w:r>
        <w:t xml:space="preserve">tax system does not distort the scale of investments. This approach is based on the</w:t>
      </w:r>
      <w:r>
        <w:t xml:space="preserve"> </w:t>
      </w:r>
      <w:r>
        <w:t xml:space="preserve">presumption that firms undertake all investment projects that earns at least the required</w:t>
      </w:r>
      <w:r>
        <w:t xml:space="preserve"> </w:t>
      </w:r>
      <w:r>
        <w:t xml:space="preserve">rate of return.</w:t>
      </w:r>
      <w:r>
        <w:t xml:space="preserve"> </w:t>
      </w:r>
      <w:r>
        <w:t xml:space="preserve">A complementary approach is to consider discrete choices for profitable investments and</w:t>
      </w:r>
      <w:r>
        <w:t xml:space="preserve"> </w:t>
      </w:r>
      <w:r>
        <w:t xml:space="preserve">in particular discrete location choices. The effective average tax rate measures the</w:t>
      </w:r>
      <w:r>
        <w:t xml:space="preserve"> </w:t>
      </w:r>
      <w:r>
        <w:t xml:space="preserve">relative difference between a fixed rate of pre-tax return of a profitable investment (the</w:t>
      </w:r>
      <w:r>
        <w:t xml:space="preserve"> </w:t>
      </w:r>
      <w:r>
        <w:t xml:space="preserve">standard assumption by the model is 20%) and its after-tax return.80 The effective</w:t>
      </w:r>
      <w:r>
        <w:t xml:space="preserve"> </w:t>
      </w:r>
      <w:r>
        <w:t xml:space="preserve">average tax rate is thus a measure of the attractiveness of a tax system.</w:t>
      </w:r>
      <w:r>
        <w:t xml:space="preserve"> </w:t>
      </w:r>
      <w:r>
        <w:t xml:space="preserve">In both cases, the hypothetical investment takes place in one period and generates a</w:t>
      </w:r>
      <w:r>
        <w:t xml:space="preserve"> </w:t>
      </w:r>
      <w:r>
        <w:t xml:space="preserve">return in the next period. The impact of taxation is analysed by considering a number of</w:t>
      </w:r>
      <w:r>
        <w:t xml:space="preserve"> </w:t>
      </w:r>
      <w:r>
        <w:t xml:space="preserve">features of the tax system, including the statutory tax rate, capital allowances, the</w:t>
      </w:r>
      <w:r>
        <w:t xml:space="preserve"> </w:t>
      </w:r>
      <w:r>
        <w:t xml:space="preserve">treatment of interest deduction, the allowance for corporate equity, the treatment of</w:t>
      </w:r>
      <w:r>
        <w:t xml:space="preserve"> </w:t>
      </w:r>
      <w:r>
        <w:t xml:space="preserve">foreign source income, wealth taxes paid by the company, as well as possibly the</w:t>
      </w:r>
      <w:r>
        <w:t xml:space="preserve"> </w:t>
      </w:r>
      <w:r>
        <w:t xml:space="preserve">treatment at the corporate and personal level of dividends paid by the company, and</w:t>
      </w:r>
      <w:r>
        <w:t xml:space="preserve"> </w:t>
      </w:r>
      <w:r>
        <w:t xml:space="preserve">wealth and capital gains taxes at the personal level.</w:t>
      </w:r>
      <w:r>
        <w:t xml:space="preserve"> </w:t>
      </w:r>
      <w:r>
        <w:t xml:space="preserve">Both the cost of capital and the effective average tax rate are computed for five different</w:t>
      </w:r>
      <w:r>
        <w:t xml:space="preserve"> </w:t>
      </w:r>
      <w:r>
        <w:t xml:space="preserve">types of assets (intangibles, buildings, machinery, financial assets, inventory) and three</w:t>
      </w:r>
      <w:r>
        <w:t xml:space="preserve"> </w:t>
      </w:r>
      <w:r>
        <w:t xml:space="preserve">different sources of financing (retained earnings, new equity, debt). Further, both</w:t>
      </w:r>
      <w:r>
        <w:t xml:space="preserve"> </w:t>
      </w:r>
      <w:r>
        <w:t xml:space="preserve">measures are computed for the corporate level and the shareholder level, considering</w:t>
      </w:r>
      <w:r>
        <w:t xml:space="preserve"> </w:t>
      </w:r>
      <w:r>
        <w:t xml:space="preserve">three different types (zero-rate, top-rate non-qualified and top-rate qualified shareholder)</w:t>
      </w:r>
      <w:r>
        <w:t xml:space="preserve"> </w:t>
      </w:r>
      <w:r>
        <w:t xml:space="preserve">and can thereby be used to compare the relative distortions introduced by the tax system</w:t>
      </w:r>
      <w:r>
        <w:t xml:space="preserve"> </w:t>
      </w:r>
      <w:r>
        <w:t xml:space="preserve">in relation to certain investments or financing sources both at the corporate level and</w:t>
      </w:r>
      <w:r>
        <w:t xml:space="preserve"> </w:t>
      </w:r>
      <w:r>
        <w:t xml:space="preserve">shareholder level.</w:t>
      </w:r>
    </w:p>
    <w:p>
      <w:pPr>
        <w:pStyle w:val="BodyText"/>
      </w:pPr>
      <w:r>
        <w:t xml:space="preserve">80 When the profitability is equal to the cost of capital, the effective average tax rate equals the effective</w:t>
      </w:r>
      <w:r>
        <w:t xml:space="preserve"> </w:t>
      </w:r>
      <w:r>
        <w:t xml:space="preserve">marginal tax rate.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In presenting averages over different forms of assets, these assets are weighted equally,</w:t>
      </w:r>
      <w:r>
        <w:t xml:space="preserve"> </w:t>
      </w:r>
      <w:r>
        <w:t xml:space="preserve">while unequal weights are used for financing: retained earnings 55%, new equity 10%</w:t>
      </w:r>
      <w:r>
        <w:t xml:space="preserve"> </w:t>
      </w:r>
      <w:r>
        <w:t xml:space="preserve">and debt 35% (based on OECD, 1991). As for true economic depreciation rates it is</w:t>
      </w:r>
      <w:r>
        <w:t xml:space="preserve"> </w:t>
      </w:r>
      <w:r>
        <w:t xml:space="preserve">assumed: intangibles (15.35%), industrial buildings (3.1%); machinery (17.5%), financial</w:t>
      </w:r>
      <w:r>
        <w:t xml:space="preserve"> </w:t>
      </w:r>
      <w:r>
        <w:t xml:space="preserve">assets (0%), and inventories (0%).</w:t>
      </w:r>
      <w:r>
        <w:t xml:space="preserve"> </w:t>
      </w:r>
      <w:r>
        <w:t xml:space="preserve">In the context of the 2016 impact assessment for the CCCTB proposal, a study using the</w:t>
      </w:r>
      <w:r>
        <w:t xml:space="preserve"> </w:t>
      </w:r>
      <w:r>
        <w:t xml:space="preserve">methodology described above was produced by the ZEW. The first report analysed the</w:t>
      </w:r>
      <w:r>
        <w:t xml:space="preserve"> </w:t>
      </w:r>
      <w:r>
        <w:t xml:space="preserve">impact of debt-bias reforms on the cost of capital and effective average tax rates as well</w:t>
      </w:r>
      <w:r>
        <w:t xml:space="preserve"> </w:t>
      </w:r>
      <w:r>
        <w:t xml:space="preserve">as the consequences of a revenue neutral implementation. Four debt-bias reforms were</w:t>
      </w:r>
      <w:r>
        <w:t xml:space="preserve"> </w:t>
      </w:r>
      <w:r>
        <w:t xml:space="preserve">considered at the time: no interest deductibility (Comprehensive Business Income Tax,</w:t>
      </w:r>
      <w:r>
        <w:t xml:space="preserve"> </w:t>
      </w:r>
      <w:r>
        <w:t xml:space="preserve">CBIT), Allowance for Corporate Equity (ACE), Allowance for Corporate Capital (ACC)</w:t>
      </w:r>
      <w:r>
        <w:t xml:space="preserve"> </w:t>
      </w:r>
      <w:r>
        <w:t xml:space="preserve">and Cost of Capital Allowance (CoCA).</w:t>
      </w:r>
      <w:r>
        <w:br/>
      </w:r>
      <w:r>
        <w:t xml:space="preserve">In the context of the current impact assessment, the 2020 update of the ZEW study (ZEW</w:t>
      </w:r>
      <w:r>
        <w:t xml:space="preserve"> </w:t>
      </w:r>
      <w:r>
        <w:t xml:space="preserve">2020) on effective tax rates has been used to assess evidence on the debt-equity bias and</w:t>
      </w:r>
      <w:r>
        <w:t xml:space="preserve"> </w:t>
      </w:r>
      <w:r>
        <w:t xml:space="preserve">the effect of existing allowances in Member States.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ANNEX 5: COMPLEMENTARY RESULTS FROM CORTAX</w:t>
      </w:r>
      <w:r>
        <w:t xml:space="preserve"> </w:t>
      </w:r>
      <w:r>
        <w:t xml:space="preserve">1.</w:t>
      </w:r>
      <w:r>
        <w:t xml:space="preserve"> </w:t>
      </w:r>
      <w:r>
        <w:t xml:space="preserve">Results on economic impacts from the uncompensated approach</w:t>
      </w:r>
      <w:r>
        <w:t xml:space="preserve"> </w:t>
      </w:r>
      <w:r>
        <w:t xml:space="preserve">The CORTAX modelling approach provides a compensated and uncompensated</w:t>
      </w:r>
      <w:r>
        <w:t xml:space="preserve"> </w:t>
      </w:r>
      <w:r>
        <w:t xml:space="preserve">approach. In the compensated approach, CIT tax rates are adapted so as to assure ex-ante</w:t>
      </w:r>
      <w:r>
        <w:t xml:space="preserve"> </w:t>
      </w:r>
      <w:r>
        <w:t xml:space="preserve">revenue neutrality of the policy option in order to isolate structural effects from</w:t>
      </w:r>
      <w:r>
        <w:t xml:space="preserve"> </w:t>
      </w:r>
      <w:r>
        <w:t xml:space="preserve">budgetary effects. In the uncompensated approach CIT rates are kept fix. Two scenarios</w:t>
      </w:r>
      <w:r>
        <w:t xml:space="preserve"> </w:t>
      </w:r>
      <w:r>
        <w:t xml:space="preserve">are estimated, one where there all firms are treated identical and another one where</w:t>
      </w:r>
      <w:r>
        <w:t xml:space="preserve"> </w:t>
      </w:r>
      <w:r>
        <w:t xml:space="preserve">SMEs receive a higher notional interest rate (NIR) when calculating their allowance. This</w:t>
      </w:r>
      <w:r>
        <w:t xml:space="preserve"> </w:t>
      </w:r>
      <w:r>
        <w:t xml:space="preserve">has been already discussed in detail in Section 6.1. The policy options have been</w:t>
      </w:r>
      <w:r>
        <w:t xml:space="preserve"> </w:t>
      </w:r>
      <w:r>
        <w:t xml:space="preserve">analysed based on the application of an EU-wide NIR and a Member State specific NIRs.</w:t>
      </w:r>
      <w:r>
        <w:t xml:space="preserve"> </w:t>
      </w:r>
      <w:r>
        <w:t xml:space="preserve">The compensated approach did not provide results with an EU-wide NIR due to technical</w:t>
      </w:r>
      <w:r>
        <w:t xml:space="preserve"> </w:t>
      </w:r>
      <w:r>
        <w:t xml:space="preserve">problems. Specifically, the required change in CIT rates to compensate for CIT revenues</w:t>
      </w:r>
      <w:r>
        <w:t xml:space="preserve"> </w:t>
      </w:r>
      <w:r>
        <w:t xml:space="preserve">losses due to the equity allowance would have resulted in non-feasible CIT rates of more</w:t>
      </w:r>
      <w:r>
        <w:t xml:space="preserve"> </w:t>
      </w:r>
      <w:r>
        <w:t xml:space="preserve">than 100%. Accordingly, the results presented in Section 6.4. are those based on Member</w:t>
      </w:r>
      <w:r>
        <w:t xml:space="preserve"> </w:t>
      </w:r>
      <w:r>
        <w:t xml:space="preserve">State specific NIRs. For the sake of clarity, the discussion of country specific NIRs</w:t>
      </w:r>
      <w:r>
        <w:t xml:space="preserve"> </w:t>
      </w:r>
      <w:r>
        <w:t xml:space="preserve">versus an EU-wide NIR has been avoided in Chapter 6. Comparison of results reveal that</w:t>
      </w:r>
      <w:r>
        <w:t xml:space="preserve"> </w:t>
      </w:r>
      <w:r>
        <w:t xml:space="preserve">the results of an EU-wide NIR indicate stronger effects than the results for a country</w:t>
      </w:r>
      <w:r>
        <w:t xml:space="preserve"> </w:t>
      </w:r>
      <w:r>
        <w:t xml:space="preserve">specific NIR. The third approach of currency specific NIRs lies between those two</w:t>
      </w:r>
      <w:r>
        <w:t xml:space="preserve"> </w:t>
      </w:r>
      <w:r>
        <w:t xml:space="preserve">approaches and has not been modelled separately.</w:t>
      </w:r>
      <w:r>
        <w:br/>
      </w:r>
      <w:r>
        <w:t xml:space="preserve">Table A5.1 and A5.3 present the results for scenario 1 and 2 base on member state</w:t>
      </w:r>
      <w:r>
        <w:t xml:space="preserve"> </w:t>
      </w:r>
      <w:r>
        <w:t xml:space="preserve">specific NIRs. Table A5.2 and A5.4 present the results for an EU-wide NIR. Comparison</w:t>
      </w:r>
      <w:r>
        <w:t xml:space="preserve"> </w:t>
      </w:r>
      <w:r>
        <w:t xml:space="preserve">of respective tables makes clear that a switch from an MS specific NIR to an EU-wide</w:t>
      </w:r>
      <w:r>
        <w:t xml:space="preserve"> </w:t>
      </w:r>
      <w:r>
        <w:t xml:space="preserve">NIR shifts the effects of the allowance for equity up, i.e. the impact of Options 1, 2, 3 and</w:t>
      </w:r>
      <w:r>
        <w:t xml:space="preserve"> </w:t>
      </w:r>
      <w:r>
        <w:t xml:space="preserve">5 become more positive. Option 4 is unaffected by the two different approaches since</w:t>
      </w:r>
      <w:r>
        <w:t xml:space="preserve"> </w:t>
      </w:r>
      <w:r>
        <w:t xml:space="preserve">now allowance is granted.</w:t>
      </w:r>
    </w:p>
    <w:p>
      <w:pPr>
        <w:pStyle w:val="BodyText"/>
      </w:pPr>
      <w:r>
        <w:t xml:space="preserve">Table A5.1. Economy-wide impacts of debt bias reforms without budget neutrality; MS specific</w:t>
      </w:r>
      <w:r>
        <w:t xml:space="preserve"> </w:t>
      </w:r>
      <w:r>
        <w:t xml:space="preserve">notional interest rate; Scenario 1 – equal treatment of all businesses; GDP-weighted EU-27</w:t>
      </w:r>
      <w:r>
        <w:t xml:space="preserve"> </w:t>
      </w:r>
      <w:r>
        <w:t xml:space="preserve">average</w:t>
      </w:r>
    </w:p>
    <w:p>
      <w:pPr>
        <w:pStyle w:val="Compact"/>
        <w:numPr>
          <w:ilvl w:val="0"/>
          <w:numId w:val="1019"/>
        </w:numPr>
      </w:pPr>
      <w:r>
        <w:t xml:space="preserve">ACE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ANCE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ACC</w:t>
      </w:r>
    </w:p>
    <w:p>
      <w:pPr>
        <w:pStyle w:val="Compact"/>
        <w:numPr>
          <w:ilvl w:val="0"/>
          <w:numId w:val="1019"/>
        </w:numPr>
      </w:pPr>
      <w:r>
        <w:t xml:space="preserve">NDI</w:t>
      </w:r>
    </w:p>
    <w:p>
      <w:pPr>
        <w:pStyle w:val="Compact"/>
        <w:numPr>
          <w:ilvl w:val="0"/>
          <w:numId w:val="1019"/>
        </w:numPr>
      </w:pPr>
      <w:r>
        <w:t xml:space="preserve">ANCE</w:t>
      </w:r>
    </w:p>
    <w:p>
      <w:pPr>
        <w:pStyle w:val="Compact"/>
        <w:numPr>
          <w:ilvl w:val="0"/>
          <w:numId w:val="1020"/>
        </w:numPr>
      </w:pPr>
      <w:r>
        <w:t xml:space="preserve">partial</w:t>
      </w:r>
      <w:r>
        <w:t xml:space="preserve"> </w:t>
      </w:r>
      <w:r>
        <w:t xml:space="preserve">NDI</w:t>
      </w:r>
      <w:r>
        <w:t xml:space="preserve"> </w:t>
      </w:r>
      <w:r>
        <w:t xml:space="preserve">Cost of capital (change in 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-0.397</w:t>
      </w:r>
      <w:r>
        <w:t xml:space="preserve"> </w:t>
      </w:r>
      <w:r>
        <w:t xml:space="preserve">-0.174</w:t>
      </w:r>
      <w:r>
        <w:t xml:space="preserve"> </w:t>
      </w:r>
      <w:r>
        <w:t xml:space="preserve">-0.437</w:t>
      </w:r>
      <w:r>
        <w:t xml:space="preserve"> </w:t>
      </w:r>
      <w:r>
        <w:t xml:space="preserve">0.49</w:t>
      </w:r>
      <w:r>
        <w:t xml:space="preserve"> </w:t>
      </w:r>
      <w:r>
        <w:t xml:space="preserve">-0.057</w:t>
      </w:r>
      <w:r>
        <w:t xml:space="preserve"> </w:t>
      </w:r>
      <w:r>
        <w:t xml:space="preserve">Investment (change in % of GDP)</w:t>
      </w:r>
      <w:r>
        <w:t xml:space="preserve"> </w:t>
      </w:r>
      <w:r>
        <w:t xml:space="preserve">6.216</w:t>
      </w:r>
      <w:r>
        <w:t xml:space="preserve"> </w:t>
      </w:r>
      <w:r>
        <w:t xml:space="preserve">2.643</w:t>
      </w:r>
      <w:r>
        <w:t xml:space="preserve"> </w:t>
      </w:r>
      <w:r>
        <w:t xml:space="preserve">6.336</w:t>
      </w:r>
      <w:r>
        <w:t xml:space="preserve"> </w:t>
      </w:r>
      <w:r>
        <w:t xml:space="preserve">-7.599</w:t>
      </w:r>
      <w:r>
        <w:t xml:space="preserve"> </w:t>
      </w:r>
      <w:r>
        <w:t xml:space="preserve">0.592</w:t>
      </w:r>
      <w:r>
        <w:t xml:space="preserve"> </w:t>
      </w:r>
      <w:r>
        <w:t xml:space="preserve">Share of debt-financed total assets (level,</w:t>
      </w:r>
      <w:r>
        <w:t xml:space="preserve"> </w:t>
      </w:r>
      <w:r>
        <w:t xml:space="preserve">ex-post)</w:t>
      </w:r>
      <w:r>
        <w:t xml:space="preserve"> </w:t>
      </w:r>
      <w:r>
        <w:t xml:space="preserve">43.18</w:t>
      </w:r>
      <w:r>
        <w:t xml:space="preserve"> </w:t>
      </w:r>
      <w:r>
        <w:t xml:space="preserve">44.86</w:t>
      </w:r>
      <w:r>
        <w:t xml:space="preserve"> </w:t>
      </w:r>
      <w:r>
        <w:t xml:space="preserve">42.93</w:t>
      </w:r>
      <w:r>
        <w:t xml:space="preserve"> </w:t>
      </w:r>
      <w:r>
        <w:t xml:space="preserve">40.92</w:t>
      </w:r>
      <w:r>
        <w:t xml:space="preserve"> </w:t>
      </w:r>
      <w:r>
        <w:t xml:space="preserve">43.32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2.442</w:t>
      </w:r>
      <w:r>
        <w:t xml:space="preserve"> </w:t>
      </w:r>
      <w:r>
        <w:t xml:space="preserve">1.064</w:t>
      </w:r>
      <w:r>
        <w:t xml:space="preserve"> </w:t>
      </w:r>
      <w:r>
        <w:t xml:space="preserve">2.462</w:t>
      </w:r>
      <w:r>
        <w:t xml:space="preserve"> </w:t>
      </w:r>
      <w:r>
        <w:t xml:space="preserve">-2.985</w:t>
      </w:r>
      <w:r>
        <w:t xml:space="preserve"> </w:t>
      </w:r>
      <w:r>
        <w:t xml:space="preserve">0.309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0.689</w:t>
      </w:r>
      <w:r>
        <w:t xml:space="preserve"> </w:t>
      </w:r>
      <w:r>
        <w:t xml:space="preserve">0.284</w:t>
      </w:r>
      <w:r>
        <w:t xml:space="preserve"> </w:t>
      </w:r>
      <w:r>
        <w:t xml:space="preserve">0.717</w:t>
      </w:r>
      <w:r>
        <w:t xml:space="preserve"> </w:t>
      </w:r>
      <w:r>
        <w:t xml:space="preserve">-1.219</w:t>
      </w:r>
      <w:r>
        <w:t xml:space="preserve"> </w:t>
      </w:r>
      <w:r>
        <w:t xml:space="preserve">-0.051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2.388</w:t>
      </w:r>
      <w:r>
        <w:t xml:space="preserve"> </w:t>
      </w:r>
      <w:r>
        <w:t xml:space="preserve">1.022</w:t>
      </w:r>
      <w:r>
        <w:t xml:space="preserve"> </w:t>
      </w:r>
      <w:r>
        <w:t xml:space="preserve">2.431</w:t>
      </w:r>
      <w:r>
        <w:t xml:space="preserve"> </w:t>
      </w:r>
      <w:r>
        <w:t xml:space="preserve">-3.266</w:t>
      </w:r>
      <w:r>
        <w:t xml:space="preserve"> </w:t>
      </w:r>
      <w:r>
        <w:t xml:space="preserve">0.165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Note: Results are GDP-weighted EU-27 averages</w:t>
      </w:r>
    </w:p>
    <w:p>
      <w:pPr>
        <w:pStyle w:val="FirstParagraph"/>
      </w:pPr>
      <w:r>
        <w:t xml:space="preserve">90</w:t>
      </w:r>
    </w:p>
    <w:p>
      <w:pPr>
        <w:pStyle w:val="BodyText"/>
      </w:pPr>
      <w:r>
        <w:t xml:space="preserve">Table A5.2. Economy-wide impacts of debt bias reforms without budget neutrality; EU-wide</w:t>
      </w:r>
      <w:r>
        <w:t xml:space="preserve"> </w:t>
      </w:r>
      <w:r>
        <w:t xml:space="preserve">notional interest rate; GDP-weighted EU-27 average</w:t>
      </w:r>
    </w:p>
    <w:p>
      <w:pPr>
        <w:pStyle w:val="Compact"/>
        <w:numPr>
          <w:ilvl w:val="0"/>
          <w:numId w:val="1021"/>
        </w:numPr>
      </w:pPr>
      <w:r>
        <w:t xml:space="preserve">ACE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ANCE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ACC</w:t>
      </w:r>
    </w:p>
    <w:p>
      <w:pPr>
        <w:pStyle w:val="Compact"/>
        <w:numPr>
          <w:ilvl w:val="0"/>
          <w:numId w:val="1021"/>
        </w:numPr>
      </w:pPr>
      <w:r>
        <w:t xml:space="preserve">NDI</w:t>
      </w:r>
    </w:p>
    <w:p>
      <w:pPr>
        <w:pStyle w:val="Compact"/>
        <w:numPr>
          <w:ilvl w:val="0"/>
          <w:numId w:val="1021"/>
        </w:numPr>
      </w:pPr>
      <w:r>
        <w:t xml:space="preserve">ANCE</w:t>
      </w:r>
    </w:p>
    <w:p>
      <w:pPr>
        <w:pStyle w:val="Compact"/>
        <w:numPr>
          <w:ilvl w:val="0"/>
          <w:numId w:val="1022"/>
        </w:numPr>
      </w:pPr>
      <w:r>
        <w:t xml:space="preserve">partial</w:t>
      </w:r>
      <w:r>
        <w:t xml:space="preserve"> </w:t>
      </w:r>
      <w:r>
        <w:t xml:space="preserve">NDI</w:t>
      </w:r>
      <w:r>
        <w:t xml:space="preserve"> </w:t>
      </w:r>
      <w:r>
        <w:t xml:space="preserve">Cost of capital (change in 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-0.482</w:t>
      </w:r>
      <w:r>
        <w:t xml:space="preserve"> </w:t>
      </w:r>
      <w:r>
        <w:t xml:space="preserve">-0.212</w:t>
      </w:r>
      <w:r>
        <w:t xml:space="preserve"> </w:t>
      </w:r>
      <w:r>
        <w:t xml:space="preserve">-0.618</w:t>
      </w:r>
      <w:r>
        <w:t xml:space="preserve"> </w:t>
      </w:r>
      <w:r>
        <w:t xml:space="preserve">0.49</w:t>
      </w:r>
      <w:r>
        <w:t xml:space="preserve"> </w:t>
      </w:r>
      <w:r>
        <w:t xml:space="preserve">-0.096</w:t>
      </w:r>
      <w:r>
        <w:t xml:space="preserve"> </w:t>
      </w:r>
      <w:r>
        <w:t xml:space="preserve">Investment (change in % of GDP)</w:t>
      </w:r>
      <w:r>
        <w:t xml:space="preserve"> </w:t>
      </w:r>
      <w:r>
        <w:t xml:space="preserve">7.436</w:t>
      </w:r>
      <w:r>
        <w:t xml:space="preserve"> </w:t>
      </w:r>
      <w:r>
        <w:t xml:space="preserve">3.127</w:t>
      </w:r>
      <w:r>
        <w:t xml:space="preserve"> </w:t>
      </w:r>
      <w:r>
        <w:t xml:space="preserve">9.304</w:t>
      </w:r>
      <w:r>
        <w:t xml:space="preserve"> </w:t>
      </w:r>
      <w:r>
        <w:t xml:space="preserve">-7.599</w:t>
      </w:r>
      <w:r>
        <w:t xml:space="preserve"> </w:t>
      </w:r>
      <w:r>
        <w:t xml:space="preserve">1.077</w:t>
      </w:r>
      <w:r>
        <w:t xml:space="preserve"> </w:t>
      </w:r>
      <w:r>
        <w:t xml:space="preserve">Share of debt-financed total assets</w:t>
      </w:r>
      <w:r>
        <w:t xml:space="preserve"> </w:t>
      </w:r>
      <w:r>
        <w:t xml:space="preserve">(level, ex-post)</w:t>
      </w:r>
      <w:r>
        <w:t xml:space="preserve"> </w:t>
      </w:r>
      <w:r>
        <w:t xml:space="preserve">41.39</w:t>
      </w:r>
      <w:r>
        <w:t xml:space="preserve"> </w:t>
      </w:r>
      <w:r>
        <w:t xml:space="preserve">43.84</w:t>
      </w:r>
      <w:r>
        <w:t xml:space="preserve"> </w:t>
      </w:r>
      <w:r>
        <w:t xml:space="preserve">43.98</w:t>
      </w:r>
      <w:r>
        <w:t xml:space="preserve"> </w:t>
      </w:r>
      <w:r>
        <w:t xml:space="preserve">40.92</w:t>
      </w:r>
      <w:r>
        <w:t xml:space="preserve"> </w:t>
      </w:r>
      <w:r>
        <w:t xml:space="preserve">42.25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2.815</w:t>
      </w:r>
      <w:r>
        <w:t xml:space="preserve"> </w:t>
      </w:r>
      <w:r>
        <w:t xml:space="preserve">1.223</w:t>
      </w:r>
      <w:r>
        <w:t xml:space="preserve"> </w:t>
      </w:r>
      <w:r>
        <w:t xml:space="preserve">3.314</w:t>
      </w:r>
      <w:r>
        <w:t xml:space="preserve"> </w:t>
      </w:r>
      <w:r>
        <w:t xml:space="preserve">-2.985</w:t>
      </w:r>
      <w:r>
        <w:t xml:space="preserve"> </w:t>
      </w:r>
      <w:r>
        <w:t xml:space="preserve">0.471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0.807</w:t>
      </w:r>
      <w:r>
        <w:t xml:space="preserve"> </w:t>
      </w:r>
      <w:r>
        <w:t xml:space="preserve">0.325</w:t>
      </w:r>
      <w:r>
        <w:t xml:space="preserve"> </w:t>
      </w:r>
      <w:r>
        <w:t xml:space="preserve">1.069</w:t>
      </w:r>
      <w:r>
        <w:t xml:space="preserve"> </w:t>
      </w:r>
      <w:r>
        <w:t xml:space="preserve">-1.219</w:t>
      </w:r>
      <w:r>
        <w:t xml:space="preserve"> </w:t>
      </w:r>
      <w:r>
        <w:t xml:space="preserve">-0.008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2.767</w:t>
      </w:r>
      <w:r>
        <w:t xml:space="preserve"> </w:t>
      </w:r>
      <w:r>
        <w:t xml:space="preserve">1.174</w:t>
      </w:r>
      <w:r>
        <w:t xml:space="preserve"> </w:t>
      </w:r>
      <w:r>
        <w:t xml:space="preserve">3.385</w:t>
      </w:r>
      <w:r>
        <w:t xml:space="preserve"> </w:t>
      </w:r>
      <w:r>
        <w:t xml:space="preserve">-3.266</w:t>
      </w:r>
      <w:r>
        <w:t xml:space="preserve"> </w:t>
      </w:r>
      <w:r>
        <w:t xml:space="preserve">0.32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Note: Results are GDP-weighted EU-27 averages</w:t>
      </w:r>
    </w:p>
    <w:p>
      <w:pPr>
        <w:pStyle w:val="FirstParagraph"/>
      </w:pPr>
      <w:r>
        <w:t xml:space="preserve">Table A5.3: Economy-wide impacts of debt bias reforms without budget neutrality; MS specific</w:t>
      </w:r>
      <w:r>
        <w:t xml:space="preserve"> </w:t>
      </w:r>
      <w:r>
        <w:t xml:space="preserve">notional interest rate; Scenario 1 – Rate top up for SMEs; GDP-weighted EU-27 average</w:t>
      </w:r>
    </w:p>
    <w:p>
      <w:pPr>
        <w:pStyle w:val="Compact"/>
        <w:numPr>
          <w:ilvl w:val="0"/>
          <w:numId w:val="1023"/>
        </w:numPr>
      </w:pPr>
      <w:r>
        <w:t xml:space="preserve">ACE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ANCE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ACC</w:t>
      </w:r>
    </w:p>
    <w:p>
      <w:pPr>
        <w:pStyle w:val="Compact"/>
        <w:numPr>
          <w:ilvl w:val="0"/>
          <w:numId w:val="1023"/>
        </w:numPr>
      </w:pPr>
      <w:r>
        <w:t xml:space="preserve">NDI</w:t>
      </w:r>
    </w:p>
    <w:p>
      <w:pPr>
        <w:pStyle w:val="Compact"/>
        <w:numPr>
          <w:ilvl w:val="0"/>
          <w:numId w:val="1023"/>
        </w:numPr>
      </w:pPr>
      <w:r>
        <w:t xml:space="preserve">ANCE</w:t>
      </w:r>
    </w:p>
    <w:p>
      <w:pPr>
        <w:pStyle w:val="Compact"/>
        <w:numPr>
          <w:ilvl w:val="0"/>
          <w:numId w:val="1024"/>
        </w:numPr>
      </w:pPr>
      <w:r>
        <w:t xml:space="preserve">partial</w:t>
      </w:r>
      <w:r>
        <w:t xml:space="preserve"> </w:t>
      </w:r>
      <w:r>
        <w:t xml:space="preserve">NDI</w:t>
      </w:r>
      <w:r>
        <w:t xml:space="preserve"> </w:t>
      </w:r>
      <w:r>
        <w:t xml:space="preserve">Cost of capital (change in 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-0.397</w:t>
      </w:r>
      <w:r>
        <w:t xml:space="preserve"> </w:t>
      </w:r>
      <w:r>
        <w:t xml:space="preserve">-0.174</w:t>
      </w:r>
      <w:r>
        <w:t xml:space="preserve"> </w:t>
      </w:r>
      <w:r>
        <w:t xml:space="preserve">-0.397</w:t>
      </w:r>
      <w:r>
        <w:t xml:space="preserve"> </w:t>
      </w:r>
      <w:r>
        <w:t xml:space="preserve">0.49</w:t>
      </w:r>
      <w:r>
        <w:t xml:space="preserve"> </w:t>
      </w:r>
      <w:r>
        <w:t xml:space="preserve">-0.057</w:t>
      </w:r>
      <w:r>
        <w:t xml:space="preserve"> </w:t>
      </w:r>
      <w:r>
        <w:t xml:space="preserve">Investment (change in % of GDP)</w:t>
      </w:r>
      <w:r>
        <w:t xml:space="preserve"> </w:t>
      </w:r>
      <w:r>
        <w:t xml:space="preserve">6.825</w:t>
      </w:r>
      <w:r>
        <w:t xml:space="preserve"> </w:t>
      </w:r>
      <w:r>
        <w:t xml:space="preserve">2.899</w:t>
      </w:r>
      <w:r>
        <w:t xml:space="preserve"> </w:t>
      </w:r>
      <w:r>
        <w:t xml:space="preserve">6.825</w:t>
      </w:r>
      <w:r>
        <w:t xml:space="preserve"> </w:t>
      </w:r>
      <w:r>
        <w:t xml:space="preserve">-7.599</w:t>
      </w:r>
      <w:r>
        <w:t xml:space="preserve"> </w:t>
      </w:r>
      <w:r>
        <w:t xml:space="preserve">0.844</w:t>
      </w:r>
      <w:r>
        <w:t xml:space="preserve"> </w:t>
      </w:r>
      <w:r>
        <w:t xml:space="preserve">Share of debt-financed total assets</w:t>
      </w:r>
      <w:r>
        <w:t xml:space="preserve"> </w:t>
      </w:r>
      <w:r>
        <w:t xml:space="preserve">(level, ex-post)</w:t>
      </w:r>
      <w:r>
        <w:t xml:space="preserve"> </w:t>
      </w:r>
      <w:r>
        <w:t xml:space="preserve">42.87</w:t>
      </w:r>
      <w:r>
        <w:t xml:space="preserve"> </w:t>
      </w:r>
      <w:r>
        <w:t xml:space="preserve">44.7</w:t>
      </w:r>
      <w:r>
        <w:t xml:space="preserve"> </w:t>
      </w:r>
      <w:r>
        <w:t xml:space="preserve">42.87</w:t>
      </w:r>
      <w:r>
        <w:t xml:space="preserve"> </w:t>
      </w:r>
      <w:r>
        <w:t xml:space="preserve">40.92</w:t>
      </w:r>
      <w:r>
        <w:t xml:space="preserve"> </w:t>
      </w:r>
      <w:r>
        <w:t xml:space="preserve">43.15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2.685</w:t>
      </w:r>
      <w:r>
        <w:t xml:space="preserve"> </w:t>
      </w:r>
      <w:r>
        <w:t xml:space="preserve">1.172</w:t>
      </w:r>
      <w:r>
        <w:t xml:space="preserve"> </w:t>
      </w:r>
      <w:r>
        <w:t xml:space="preserve">2.685</w:t>
      </w:r>
      <w:r>
        <w:t xml:space="preserve"> </w:t>
      </w:r>
      <w:r>
        <w:t xml:space="preserve">-2.985</w:t>
      </w:r>
      <w:r>
        <w:t xml:space="preserve"> </w:t>
      </w:r>
      <w:r>
        <w:t xml:space="preserve">0.418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0.752</w:t>
      </w:r>
      <w:r>
        <w:t xml:space="preserve"> </w:t>
      </w:r>
      <w:r>
        <w:t xml:space="preserve">0.307</w:t>
      </w:r>
      <w:r>
        <w:t xml:space="preserve"> </w:t>
      </w:r>
      <w:r>
        <w:t xml:space="preserve">0.752</w:t>
      </w:r>
      <w:r>
        <w:t xml:space="preserve"> </w:t>
      </w:r>
      <w:r>
        <w:t xml:space="preserve">-1.219</w:t>
      </w:r>
      <w:r>
        <w:t xml:space="preserve"> </w:t>
      </w:r>
      <w:r>
        <w:t xml:space="preserve">-0.028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2.617</w:t>
      </w:r>
      <w:r>
        <w:t xml:space="preserve"> </w:t>
      </w:r>
      <w:r>
        <w:t xml:space="preserve">1.119</w:t>
      </w:r>
      <w:r>
        <w:t xml:space="preserve"> </w:t>
      </w:r>
      <w:r>
        <w:t xml:space="preserve">2.617</w:t>
      </w:r>
      <w:r>
        <w:t xml:space="preserve"> </w:t>
      </w:r>
      <w:r>
        <w:t xml:space="preserve">-3.266</w:t>
      </w:r>
      <w:r>
        <w:t xml:space="preserve"> </w:t>
      </w:r>
      <w:r>
        <w:t xml:space="preserve">0.262</w:t>
      </w:r>
      <w:r>
        <w:t xml:space="preserve"> </w:t>
      </w:r>
      <w:r>
        <w:t xml:space="preserve">Source: Joint Research Centre of the European Commission (2021).</w:t>
      </w:r>
    </w:p>
    <w:p>
      <w:pPr>
        <w:pStyle w:val="FirstParagraph"/>
      </w:pPr>
      <w:r>
        <w:t xml:space="preserve">Table A5.4. Economy-wide impacts of debt bias reforms without budget neutrality; EU-</w:t>
      </w:r>
      <w:r>
        <w:t xml:space="preserve"> </w:t>
      </w:r>
      <w:r>
        <w:t xml:space="preserve">wide notional interest rate; Scenario 2 – Rate top up for SMEs; GDP-weighted EU-27 average</w:t>
      </w:r>
    </w:p>
    <w:p>
      <w:pPr>
        <w:numPr>
          <w:ilvl w:val="0"/>
          <w:numId w:val="1025"/>
        </w:numPr>
      </w:pPr>
      <w:r>
        <w:t xml:space="preserve">ACE</w:t>
      </w:r>
    </w:p>
    <w:p>
      <w:pPr>
        <w:numPr>
          <w:ilvl w:val="0"/>
          <w:numId w:val="1025"/>
        </w:numPr>
      </w:pPr>
      <w:r>
        <w:t xml:space="preserve">ANCE</w:t>
      </w:r>
    </w:p>
    <w:p>
      <w:pPr>
        <w:numPr>
          <w:ilvl w:val="0"/>
          <w:numId w:val="1025"/>
        </w:numPr>
      </w:pPr>
      <w:r>
        <w:t xml:space="preserve">ACC</w:t>
      </w:r>
    </w:p>
    <w:p>
      <w:pPr>
        <w:numPr>
          <w:ilvl w:val="0"/>
          <w:numId w:val="1025"/>
        </w:numPr>
      </w:pPr>
      <w:r>
        <w:t xml:space="preserve">NDI</w:t>
      </w:r>
    </w:p>
    <w:p>
      <w:pPr>
        <w:numPr>
          <w:ilvl w:val="0"/>
          <w:numId w:val="1025"/>
        </w:numPr>
      </w:pPr>
      <w:r>
        <w:t xml:space="preserve">ANCE</w:t>
      </w:r>
    </w:p>
    <w:p>
      <w:pPr>
        <w:pStyle w:val="Compact"/>
        <w:numPr>
          <w:ilvl w:val="0"/>
          <w:numId w:val="1026"/>
        </w:numPr>
      </w:pPr>
      <w:r>
        <w:t xml:space="preserve">partial</w:t>
      </w:r>
      <w:r>
        <w:t xml:space="preserve"> </w:t>
      </w:r>
      <w:r>
        <w:t xml:space="preserve">NDI</w:t>
      </w:r>
      <w:r>
        <w:t xml:space="preserve"> </w:t>
      </w:r>
      <w:r>
        <w:t xml:space="preserve">Cost of capital (change in percentage</w:t>
      </w:r>
      <w:r>
        <w:t xml:space="preserve"> </w:t>
      </w:r>
      <w:r>
        <w:t xml:space="preserve">points)</w:t>
      </w:r>
      <w:r>
        <w:t xml:space="preserve"> </w:t>
      </w:r>
      <w:r>
        <w:t xml:space="preserve">-0.482</w:t>
      </w:r>
      <w:r>
        <w:t xml:space="preserve"> </w:t>
      </w:r>
      <w:r>
        <w:t xml:space="preserve">-0.212</w:t>
      </w:r>
      <w:r>
        <w:t xml:space="preserve"> </w:t>
      </w:r>
      <w:r>
        <w:t xml:space="preserve">-0.618</w:t>
      </w:r>
      <w:r>
        <w:t xml:space="preserve"> </w:t>
      </w:r>
      <w:r>
        <w:t xml:space="preserve">0.49</w:t>
      </w:r>
      <w:r>
        <w:t xml:space="preserve"> </w:t>
      </w:r>
      <w:r>
        <w:t xml:space="preserve">-0.096</w:t>
      </w:r>
      <w:r>
        <w:t xml:space="preserve"> </w:t>
      </w:r>
      <w:r>
        <w:t xml:space="preserve">Investment (change in % of GDP)</w:t>
      </w:r>
      <w:r>
        <w:t xml:space="preserve"> </w:t>
      </w:r>
      <w:r>
        <w:t xml:space="preserve">8.181</w:t>
      </w:r>
      <w:r>
        <w:t xml:space="preserve"> </w:t>
      </w:r>
      <w:r>
        <w:t xml:space="preserve">3.426</w:t>
      </w:r>
      <w:r>
        <w:t xml:space="preserve"> </w:t>
      </w:r>
      <w:r>
        <w:t xml:space="preserve">12.67</w:t>
      </w:r>
      <w:r>
        <w:t xml:space="preserve"> </w:t>
      </w:r>
      <w:r>
        <w:t xml:space="preserve">-7.599</w:t>
      </w:r>
      <w:r>
        <w:t xml:space="preserve"> </w:t>
      </w:r>
      <w:r>
        <w:t xml:space="preserve">1.371</w:t>
      </w:r>
      <w:r>
        <w:t xml:space="preserve"> </w:t>
      </w:r>
      <w:r>
        <w:t xml:space="preserve">Share of debt-financed total assets</w:t>
      </w:r>
      <w:r>
        <w:t xml:space="preserve"> </w:t>
      </w:r>
      <w:r>
        <w:t xml:space="preserve">(level, ex-post)</w:t>
      </w:r>
      <w:r>
        <w:t xml:space="preserve"> </w:t>
      </w:r>
      <w:r>
        <w:t xml:space="preserve">40.95</w:t>
      </w:r>
      <w:r>
        <w:t xml:space="preserve"> </w:t>
      </w:r>
      <w:r>
        <w:t xml:space="preserve">43.61</w:t>
      </w:r>
      <w:r>
        <w:t xml:space="preserve"> </w:t>
      </w:r>
      <w:r>
        <w:t xml:space="preserve">44.19</w:t>
      </w:r>
      <w:r>
        <w:t xml:space="preserve"> </w:t>
      </w:r>
      <w:r>
        <w:t xml:space="preserve">40.92</w:t>
      </w:r>
      <w:r>
        <w:t xml:space="preserve"> </w:t>
      </w:r>
      <w:r>
        <w:t xml:space="preserve">42</w:t>
      </w:r>
    </w:p>
    <w:p>
      <w:pPr>
        <w:pStyle w:val="FirstParagraph"/>
      </w:pPr>
      <w:r>
        <w:t xml:space="preserve">91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3.096</w:t>
      </w:r>
      <w:r>
        <w:t xml:space="preserve"> </w:t>
      </w:r>
      <w:r>
        <w:t xml:space="preserve">1.344</w:t>
      </w:r>
      <w:r>
        <w:t xml:space="preserve"> </w:t>
      </w:r>
      <w:r>
        <w:t xml:space="preserve">4.346</w:t>
      </w:r>
      <w:r>
        <w:t xml:space="preserve"> </w:t>
      </w:r>
      <w:r>
        <w:t xml:space="preserve">-2.985</w:t>
      </w:r>
      <w:r>
        <w:t xml:space="preserve"> </w:t>
      </w:r>
      <w:r>
        <w:t xml:space="preserve">0.594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0.884</w:t>
      </w:r>
      <w:r>
        <w:t xml:space="preserve"> </w:t>
      </w:r>
      <w:r>
        <w:t xml:space="preserve">0.352</w:t>
      </w:r>
      <w:r>
        <w:t xml:space="preserve"> </w:t>
      </w:r>
      <w:r>
        <w:t xml:space="preserve">1.315</w:t>
      </w:r>
      <w:r>
        <w:t xml:space="preserve"> </w:t>
      </w:r>
      <w:r>
        <w:t xml:space="preserve">-1.219</w:t>
      </w:r>
      <w:r>
        <w:t xml:space="preserve"> </w:t>
      </w:r>
      <w:r>
        <w:t xml:space="preserve">0.018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3.038</w:t>
      </w:r>
      <w:r>
        <w:t xml:space="preserve"> </w:t>
      </w:r>
      <w:r>
        <w:t xml:space="preserve">1.284</w:t>
      </w:r>
      <w:r>
        <w:t xml:space="preserve"> </w:t>
      </w:r>
      <w:r>
        <w:t xml:space="preserve">4.341</w:t>
      </w:r>
      <w:r>
        <w:t xml:space="preserve"> </w:t>
      </w:r>
      <w:r>
        <w:t xml:space="preserve">-3.266</w:t>
      </w:r>
      <w:r>
        <w:t xml:space="preserve"> </w:t>
      </w:r>
      <w:r>
        <w:t xml:space="preserve">0.431</w:t>
      </w:r>
      <w:r>
        <w:t xml:space="preserve"> </w:t>
      </w:r>
      <w:r>
        <w:t xml:space="preserve">Source: Joint Research Centre of the European Commission (2021).</w:t>
      </w:r>
    </w:p>
    <w:p>
      <w:pPr>
        <w:pStyle w:val="Compact"/>
        <w:numPr>
          <w:ilvl w:val="0"/>
          <w:numId w:val="1027"/>
        </w:numPr>
      </w:pPr>
      <w:r>
        <w:t xml:space="preserve">Analysis of restricted equity</w:t>
      </w:r>
      <w:r>
        <w:t xml:space="preserve"> </w:t>
      </w:r>
      <w:r>
        <w:t xml:space="preserve">In order to complement the analysis and better understand different parameters of the</w:t>
      </w:r>
      <w:r>
        <w:t xml:space="preserve"> </w:t>
      </w:r>
      <w:r>
        <w:t xml:space="preserve">policy options, an alternative equity definition has been analysed in the context of Option</w:t>
      </w:r>
      <w:r>
        <w:t xml:space="preserve"> </w:t>
      </w:r>
      <w:r>
        <w:t xml:space="preserve">1 and 2. These alternative options will in the following be called option 1b and 2b.</w:t>
      </w:r>
      <w:r>
        <w:t xml:space="preserve"> </w:t>
      </w:r>
      <w:r>
        <w:t xml:space="preserve">Option 1b provides for a legislative initiative as well, but one that applies a restricted</w:t>
      </w:r>
      <w:r>
        <w:t xml:space="preserve"> </w:t>
      </w:r>
      <w:r>
        <w:t xml:space="preserve">equity definition to the approach described for Option 1. Restricted equity is defined as</w:t>
      </w:r>
      <w:r>
        <w:t xml:space="preserve"> </w:t>
      </w:r>
      <w:r>
        <w:t xml:space="preserve">the sum of subscribed capital and share premium accounts. The calculation of the</w:t>
      </w:r>
      <w:r>
        <w:t xml:space="preserve"> </w:t>
      </w:r>
      <w:r>
        <w:t xml:space="preserve">allowance would be as in Option 1 but based on this restricted equity, i.e. compared to</w:t>
      </w:r>
      <w:r>
        <w:t xml:space="preserve"> </w:t>
      </w:r>
      <w:r>
        <w:t xml:space="preserve">Option 1, reserves would be excluded. Under a restricted definition of equity, only</w:t>
      </w:r>
      <w:r>
        <w:t xml:space="preserve"> </w:t>
      </w:r>
      <w:r>
        <w:t xml:space="preserve">external capital increases would qualify for an allowance. This would limit the fiscal cost</w:t>
      </w:r>
      <w:r>
        <w:t xml:space="preserve"> </w:t>
      </w:r>
      <w:r>
        <w:t xml:space="preserve">of the measure and focus on fresh capital only.</w:t>
      </w:r>
      <w:r>
        <w:t xml:space="preserve"> </w:t>
      </w:r>
      <w:r>
        <w:t xml:space="preserve">Option 2b: Option 2b would apply a restricted equity definition (same as option 1b) in</w:t>
      </w:r>
      <w:r>
        <w:t xml:space="preserve"> </w:t>
      </w:r>
      <w:r>
        <w:t xml:space="preserve">relation to the approach described for Option 2. The calculation of the allowance base</w:t>
      </w:r>
      <w:r>
        <w:t xml:space="preserve"> </w:t>
      </w:r>
      <w:r>
        <w:t xml:space="preserve">would use restricted equity to calculate the allowance base, i.e. compared to Option 2, all</w:t>
      </w:r>
      <w:r>
        <w:t xml:space="preserve"> </w:t>
      </w:r>
      <w:r>
        <w:t xml:space="preserve">forms of reserves would be excluded.</w:t>
      </w:r>
      <w:r>
        <w:br/>
      </w:r>
      <w:r>
        <w:t xml:space="preserve">The restricted definition of equity only takes into account registered capital and share</w:t>
      </w:r>
      <w:r>
        <w:t xml:space="preserve"> </w:t>
      </w:r>
      <w:r>
        <w:t xml:space="preserve">premium accounts. Due to data limitations, the structure of corporate equity across</w:t>
      </w:r>
      <w:r>
        <w:t xml:space="preserve"> </w:t>
      </w:r>
      <w:r>
        <w:t xml:space="preserve">countries is generally not know. The firm level data base ORBIS provides information on</w:t>
      </w:r>
      <w:r>
        <w:t xml:space="preserve"> </w:t>
      </w:r>
      <w:r>
        <w:t xml:space="preserve">registered capital and total equity but not on share premium accounts. Therefore, the</w:t>
      </w:r>
      <w:r>
        <w:t xml:space="preserve"> </w:t>
      </w:r>
      <w:r>
        <w:t xml:space="preserve">estimations of policy options involving a restricted definition of equity only consider</w:t>
      </w:r>
      <w:r>
        <w:t xml:space="preserve"> </w:t>
      </w:r>
      <w:r>
        <w:t xml:space="preserve">registered capital and disregard share premium accounts. More detailed micro-data from</w:t>
      </w:r>
      <w:r>
        <w:t xml:space="preserve"> </w:t>
      </w:r>
      <w:r>
        <w:t xml:space="preserve">Italy suggests that restricted equity could be 10% to 30% higher if share premium</w:t>
      </w:r>
      <w:r>
        <w:t xml:space="preserve"> </w:t>
      </w:r>
      <w:r>
        <w:t xml:space="preserve">accounts would be added. Estimations are thus lower bound results in these cases.</w:t>
      </w:r>
      <w:r>
        <w:br/>
      </w:r>
      <w:r>
        <w:t xml:space="preserve">Tables A5.7 and A5.8 provide CORTAX modelling results for Options 1b and 2b</w:t>
      </w:r>
      <w:r>
        <w:t xml:space="preserve"> </w:t>
      </w:r>
      <w:r>
        <w:t xml:space="preserve">respectively. Column 2 reports compensated results with a special treatment of SMEs</w:t>
      </w:r>
      <w:r>
        <w:t xml:space="preserve"> </w:t>
      </w:r>
      <w:r>
        <w:t xml:space="preserve">when Member State specific notional interest rates are applied. Column 3 adds a SME</w:t>
      </w:r>
      <w:r>
        <w:t xml:space="preserve"> </w:t>
      </w:r>
      <w:r>
        <w:t xml:space="preserve">top-up to compensated results based on Member State specific notional interest rates.</w:t>
      </w:r>
      <w:r>
        <w:t xml:space="preserve"> </w:t>
      </w:r>
      <w:r>
        <w:t xml:space="preserve">Column 4 shows uncompensated results without SME top-up based on Member State</w:t>
      </w:r>
      <w:r>
        <w:t xml:space="preserve"> </w:t>
      </w:r>
      <w:r>
        <w:t xml:space="preserve">specific notional interest rates. Column 5 add an SME top-up to the uncompensated</w:t>
      </w:r>
      <w:r>
        <w:t xml:space="preserve"> </w:t>
      </w:r>
      <w:r>
        <w:t xml:space="preserve">results based on Member State specific notional interest rates. Column 6 and 7 finally</w:t>
      </w:r>
      <w:r>
        <w:t xml:space="preserve"> </w:t>
      </w:r>
      <w:r>
        <w:t xml:space="preserve">show uncompensated results for an EU wide notional interest rate without and with a</w:t>
      </w:r>
      <w:r>
        <w:t xml:space="preserve"> </w:t>
      </w:r>
      <w:r>
        <w:t xml:space="preserve">SME top-up, respectively.</w:t>
      </w:r>
    </w:p>
    <w:p>
      <w:pPr>
        <w:pStyle w:val="FirstParagraph"/>
      </w:pPr>
      <w:r>
        <w:t xml:space="preserve">92</w:t>
      </w:r>
      <w:r>
        <w:t xml:space="preserve"> </w:t>
      </w:r>
      <w:r>
        <w:t xml:space="preserve">If the restricted definition of equity is applied (Option 1b and Option 2b) the changes in</w:t>
      </w:r>
      <w:r>
        <w:t xml:space="preserve"> </w:t>
      </w:r>
      <w:r>
        <w:t xml:space="preserve">debt-shares are small or even positive. The increase in debt-shares reported for Option 2a</w:t>
      </w:r>
      <w:r>
        <w:t xml:space="preserve"> </w:t>
      </w:r>
      <w:r>
        <w:t xml:space="preserve">results from the fact that existing notional equity allowances in six Member States would</w:t>
      </w:r>
      <w:r>
        <w:t xml:space="preserve"> </w:t>
      </w:r>
      <w:r>
        <w:t xml:space="preserve">be substituted with an EU wide system based on a much more limited equity definition.</w:t>
      </w:r>
      <w:r>
        <w:t xml:space="preserve"> </w:t>
      </w:r>
      <w:r>
        <w:t xml:space="preserve">The ACE with restricted equity (1b) would result in additional investments of 0.34% of</w:t>
      </w:r>
      <w:r>
        <w:t xml:space="preserve"> </w:t>
      </w:r>
      <w:r>
        <w:t xml:space="preserve">GDP and GDP growth of 0.11%. If an allowance would be granted for new restricted</w:t>
      </w:r>
      <w:r>
        <w:t xml:space="preserve"> </w:t>
      </w:r>
      <w:r>
        <w:t xml:space="preserve">equity only as in Option 2b, investments and GDP would actually decrease by -0.02% of</w:t>
      </w:r>
      <w:r>
        <w:t xml:space="preserve"> </w:t>
      </w:r>
      <w:r>
        <w:t xml:space="preserve">GDP for investment and -0.003% for GDP. Given the very restricted equity definition,</w:t>
      </w:r>
      <w:r>
        <w:t xml:space="preserve"> </w:t>
      </w:r>
      <w:r>
        <w:t xml:space="preserve">the measure would have a small positive impact on investment and growth in those</w:t>
      </w:r>
      <w:r>
        <w:t xml:space="preserve"> </w:t>
      </w:r>
      <w:r>
        <w:t xml:space="preserve">Member States without any allowance for equity in place. The substitution of the existing</w:t>
      </w:r>
      <w:r>
        <w:t xml:space="preserve"> </w:t>
      </w:r>
      <w:r>
        <w:t xml:space="preserve">allowances for equity in Belgium, Cyprus, Italy, Malta, Poland and Portugal with the</w:t>
      </w:r>
      <w:r>
        <w:t xml:space="preserve"> </w:t>
      </w:r>
      <w:r>
        <w:t xml:space="preserve">ANCE based on restricted equity, however has a strong contractive effect. Overall, the</w:t>
      </w:r>
      <w:r>
        <w:t xml:space="preserve"> </w:t>
      </w:r>
      <w:r>
        <w:t xml:space="preserve">negative effect on the six Member States with an equity allowance in place, would</w:t>
      </w:r>
      <w:r>
        <w:t xml:space="preserve"> </w:t>
      </w:r>
      <w:r>
        <w:t xml:space="preserve">overcompensate the positive effects, so that for the EU-27 a negative impact is observed.</w:t>
      </w:r>
      <w:r>
        <w:t xml:space="preserve"> </w:t>
      </w:r>
      <w:r>
        <w:t xml:space="preserve">Table A5.7. Economy-wide impacts of ACE as in Option 1 with restricted equity</w:t>
      </w:r>
      <w:r>
        <w:t xml:space="preserve"> </w:t>
      </w:r>
      <w:r>
        <w:t xml:space="preserve">definition</w:t>
      </w:r>
    </w:p>
    <w:p>
      <w:pPr>
        <w:pStyle w:val="BodyText"/>
      </w:pPr>
      <w:r>
        <w:t xml:space="preserve">Comp</w:t>
      </w:r>
      <w:r>
        <w:t xml:space="preserve"> </w:t>
      </w:r>
      <w:r>
        <w:t xml:space="preserve">No-SME</w:t>
      </w:r>
      <w:r>
        <w:t xml:space="preserve"> </w:t>
      </w:r>
      <w:r>
        <w:t xml:space="preserve">MS NIR</w:t>
      </w:r>
    </w:p>
    <w:p>
      <w:pPr>
        <w:pStyle w:val="BodyText"/>
      </w:pPr>
      <w:r>
        <w:t xml:space="preserve">Comp</w:t>
      </w:r>
      <w:r>
        <w:t xml:space="preserve"> </w:t>
      </w:r>
      <w:r>
        <w:t xml:space="preserve">SME</w:t>
      </w:r>
      <w:r>
        <w:t xml:space="preserve"> </w:t>
      </w:r>
      <w:r>
        <w:t xml:space="preserve">top-up</w:t>
      </w:r>
      <w:r>
        <w:t xml:space="preserve"> </w:t>
      </w:r>
      <w:r>
        <w:t xml:space="preserve">MS 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No-SME</w:t>
      </w:r>
      <w:r>
        <w:t xml:space="preserve"> </w:t>
      </w:r>
      <w:r>
        <w:t xml:space="preserve">MS-NIR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SME</w:t>
      </w:r>
      <w:r>
        <w:t xml:space="preserve"> </w:t>
      </w:r>
      <w:r>
        <w:t xml:space="preserve">top-up</w:t>
      </w:r>
      <w:r>
        <w:t xml:space="preserve"> </w:t>
      </w:r>
      <w:r>
        <w:t xml:space="preserve">MS-NIR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No-SME</w:t>
      </w:r>
      <w:r>
        <w:t xml:space="preserve"> </w:t>
      </w:r>
      <w:r>
        <w:t xml:space="preserve">EU-NIR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SME</w:t>
      </w:r>
      <w:r>
        <w:t xml:space="preserve"> </w:t>
      </w:r>
      <w:r>
        <w:t xml:space="preserve">EU-NIR</w:t>
      </w:r>
    </w:p>
    <w:p>
      <w:pPr>
        <w:pStyle w:val="BodyText"/>
      </w:pPr>
      <w:r>
        <w:t xml:space="preserve">Change in CIT rate (change in</w:t>
      </w:r>
      <w:r>
        <w:t xml:space="preserve"> </w:t>
      </w:r>
      <w:r>
        <w:t xml:space="preserve">percentage points)</w:t>
      </w:r>
      <w:r>
        <w:t xml:space="preserve"> </w:t>
      </w:r>
      <w:r>
        <w:t xml:space="preserve">0.884</w:t>
      </w:r>
      <w:r>
        <w:t xml:space="preserve"> </w:t>
      </w:r>
      <w:r>
        <w:t xml:space="preserve">0.988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 of capital (change in</w:t>
      </w:r>
      <w:r>
        <w:t xml:space="preserve"> </w:t>
      </w:r>
      <w:r>
        <w:t xml:space="preserve">percentage points)</w:t>
      </w:r>
      <w:r>
        <w:t xml:space="preserve"> </w:t>
      </w:r>
      <w:r>
        <w:t xml:space="preserve">-0.028</w:t>
      </w:r>
      <w:r>
        <w:t xml:space="preserve"> </w:t>
      </w:r>
      <w:r>
        <w:t xml:space="preserve">-0.025</w:t>
      </w:r>
      <w:r>
        <w:t xml:space="preserve"> </w:t>
      </w:r>
      <w:r>
        <w:t xml:space="preserve">-0.048</w:t>
      </w:r>
      <w:r>
        <w:t xml:space="preserve"> </w:t>
      </w:r>
      <w:r>
        <w:t xml:space="preserve">-0.048</w:t>
      </w:r>
      <w:r>
        <w:t xml:space="preserve"> </w:t>
      </w:r>
      <w:r>
        <w:t xml:space="preserve">-0.061</w:t>
      </w:r>
      <w:r>
        <w:t xml:space="preserve"> </w:t>
      </w:r>
      <w:r>
        <w:t xml:space="preserve">-0.061</w:t>
      </w:r>
      <w:r>
        <w:t xml:space="preserve"> </w:t>
      </w:r>
      <w:r>
        <w:t xml:space="preserve">Investment (change in % of</w:t>
      </w:r>
      <w:r>
        <w:t xml:space="preserve"> </w:t>
      </w:r>
      <w:r>
        <w:t xml:space="preserve">GDP)</w:t>
      </w:r>
      <w:r>
        <w:t xml:space="preserve"> </w:t>
      </w:r>
      <w:r>
        <w:t xml:space="preserve">0.336</w:t>
      </w:r>
      <w:r>
        <w:t xml:space="preserve"> </w:t>
      </w:r>
      <w:r>
        <w:t xml:space="preserve">0.379</w:t>
      </w:r>
      <w:r>
        <w:t xml:space="preserve"> </w:t>
      </w:r>
      <w:r>
        <w:t xml:space="preserve">0.732</w:t>
      </w:r>
      <w:r>
        <w:t xml:space="preserve"> </w:t>
      </w:r>
      <w:r>
        <w:t xml:space="preserve">0.82</w:t>
      </w:r>
      <w:r>
        <w:t xml:space="preserve"> </w:t>
      </w:r>
      <w:r>
        <w:t xml:space="preserve">0.879</w:t>
      </w:r>
      <w:r>
        <w:t xml:space="preserve"> </w:t>
      </w:r>
      <w:r>
        <w:t xml:space="preserve">0.978</w:t>
      </w:r>
      <w:r>
        <w:t xml:space="preserve"> </w:t>
      </w:r>
      <w:r>
        <w:t xml:space="preserve">Share of debt-financed total</w:t>
      </w:r>
      <w:r>
        <w:t xml:space="preserve"> </w:t>
      </w:r>
      <w:r>
        <w:t xml:space="preserve">assets (level, ex-post)</w:t>
      </w:r>
      <w:r>
        <w:t xml:space="preserve"> </w:t>
      </w:r>
      <w:r>
        <w:t xml:space="preserve">46.35</w:t>
      </w:r>
      <w:r>
        <w:t xml:space="preserve"> </w:t>
      </w:r>
      <w:r>
        <w:t xml:space="preserve">46.33</w:t>
      </w:r>
      <w:r>
        <w:t xml:space="preserve"> </w:t>
      </w:r>
      <w:r>
        <w:t xml:space="preserve">46.24</w:t>
      </w:r>
      <w:r>
        <w:t xml:space="preserve"> </w:t>
      </w:r>
      <w:r>
        <w:t xml:space="preserve">46.19</w:t>
      </w:r>
      <w:r>
        <w:t xml:space="preserve"> </w:t>
      </w:r>
      <w:r>
        <w:t xml:space="preserve">46.14</w:t>
      </w:r>
      <w:r>
        <w:t xml:space="preserve"> </w:t>
      </w:r>
      <w:r>
        <w:t xml:space="preserve">46.09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0.112</w:t>
      </w:r>
      <w:r>
        <w:t xml:space="preserve"> </w:t>
      </w:r>
      <w:r>
        <w:t xml:space="preserve">0.129</w:t>
      </w:r>
      <w:r>
        <w:t xml:space="preserve"> </w:t>
      </w:r>
      <w:r>
        <w:t xml:space="preserve">0.303</w:t>
      </w:r>
      <w:r>
        <w:t xml:space="preserve"> </w:t>
      </w:r>
      <w:r>
        <w:t xml:space="preserve">0.341</w:t>
      </w:r>
      <w:r>
        <w:t xml:space="preserve"> </w:t>
      </w:r>
      <w:r>
        <w:t xml:space="preserve">0.349</w:t>
      </w:r>
      <w:r>
        <w:t xml:space="preserve"> </w:t>
      </w:r>
      <w:r>
        <w:t xml:space="preserve">0.391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0.017</w:t>
      </w:r>
      <w:r>
        <w:t xml:space="preserve"> </w:t>
      </w:r>
      <w:r>
        <w:t xml:space="preserve">0.017</w:t>
      </w:r>
      <w:r>
        <w:t xml:space="preserve"> </w:t>
      </w:r>
      <w:r>
        <w:t xml:space="preserve">0.079</w:t>
      </w:r>
      <w:r>
        <w:t xml:space="preserve"> </w:t>
      </w:r>
      <w:r>
        <w:t xml:space="preserve">0.086</w:t>
      </w:r>
      <w:r>
        <w:t xml:space="preserve"> </w:t>
      </w:r>
      <w:r>
        <w:t xml:space="preserve">0.089</w:t>
      </w:r>
      <w:r>
        <w:t xml:space="preserve"> </w:t>
      </w:r>
      <w:r>
        <w:t xml:space="preserve">0.097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0.112</w:t>
      </w:r>
      <w:r>
        <w:t xml:space="preserve"> </w:t>
      </w:r>
      <w:r>
        <w:t xml:space="preserve">0.126</w:t>
      </w:r>
      <w:r>
        <w:t xml:space="preserve"> </w:t>
      </w:r>
      <w:r>
        <w:t xml:space="preserve">0.288</w:t>
      </w:r>
      <w:r>
        <w:t xml:space="preserve"> </w:t>
      </w:r>
      <w:r>
        <w:t xml:space="preserve">0.322</w:t>
      </w:r>
      <w:r>
        <w:t xml:space="preserve"> </w:t>
      </w:r>
      <w:r>
        <w:t xml:space="preserve">0.33</w:t>
      </w:r>
      <w:r>
        <w:t xml:space="preserve"> </w:t>
      </w:r>
      <w:r>
        <w:t xml:space="preserve">0.367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Note: Results are GDP-weighted EU-27 averages</w:t>
      </w:r>
    </w:p>
    <w:p>
      <w:pPr>
        <w:pStyle w:val="BodyText"/>
      </w:pPr>
      <w:r>
        <w:t xml:space="preserve">Table A5.8. Economy-wide impacts of ANCE as in Option 2 with restricted equity</w:t>
      </w:r>
      <w:r>
        <w:t xml:space="preserve"> </w:t>
      </w:r>
      <w:r>
        <w:t xml:space="preserve">definition</w:t>
      </w:r>
    </w:p>
    <w:p>
      <w:pPr>
        <w:pStyle w:val="BodyText"/>
      </w:pPr>
      <w:r>
        <w:t xml:space="preserve">Comp</w:t>
      </w:r>
      <w:r>
        <w:t xml:space="preserve"> </w:t>
      </w:r>
      <w:r>
        <w:t xml:space="preserve">No-SME</w:t>
      </w:r>
      <w:r>
        <w:t xml:space="preserve"> </w:t>
      </w:r>
      <w:r>
        <w:t xml:space="preserve">MS NIR</w:t>
      </w:r>
    </w:p>
    <w:p>
      <w:pPr>
        <w:pStyle w:val="BodyText"/>
      </w:pPr>
      <w:r>
        <w:t xml:space="preserve">Comp</w:t>
      </w:r>
      <w:r>
        <w:t xml:space="preserve"> </w:t>
      </w:r>
      <w:r>
        <w:t xml:space="preserve">SME</w:t>
      </w:r>
      <w:r>
        <w:t xml:space="preserve"> </w:t>
      </w:r>
      <w:r>
        <w:t xml:space="preserve">top-up</w:t>
      </w:r>
      <w:r>
        <w:t xml:space="preserve"> </w:t>
      </w:r>
      <w:r>
        <w:t xml:space="preserve">MS 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No-SME</w:t>
      </w:r>
      <w:r>
        <w:t xml:space="preserve"> </w:t>
      </w:r>
      <w:r>
        <w:t xml:space="preserve">MS-NIR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SME</w:t>
      </w:r>
      <w:r>
        <w:t xml:space="preserve"> </w:t>
      </w:r>
      <w:r>
        <w:t xml:space="preserve">top-up</w:t>
      </w:r>
      <w:r>
        <w:t xml:space="preserve"> </w:t>
      </w:r>
      <w:r>
        <w:t xml:space="preserve">MS-NIR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No-SME</w:t>
      </w:r>
      <w:r>
        <w:t xml:space="preserve"> </w:t>
      </w:r>
      <w:r>
        <w:t xml:space="preserve">EU-NIR</w:t>
      </w:r>
    </w:p>
    <w:p>
      <w:pPr>
        <w:pStyle w:val="BodyText"/>
      </w:pPr>
      <w:r>
        <w:t xml:space="preserve">Uncomp</w:t>
      </w:r>
      <w:r>
        <w:t xml:space="preserve"> </w:t>
      </w:r>
      <w:r>
        <w:t xml:space="preserve">SME</w:t>
      </w:r>
      <w:r>
        <w:t xml:space="preserve"> </w:t>
      </w:r>
      <w:r>
        <w:t xml:space="preserve">EU-NIR</w:t>
      </w:r>
    </w:p>
    <w:p>
      <w:pPr>
        <w:pStyle w:val="BodyText"/>
      </w:pPr>
      <w:r>
        <w:t xml:space="preserve">Change in CIT rate (change in</w:t>
      </w:r>
      <w:r>
        <w:t xml:space="preserve"> </w:t>
      </w:r>
      <w:r>
        <w:t xml:space="preserve">percentage points)</w:t>
      </w:r>
      <w:r>
        <w:t xml:space="preserve"> </w:t>
      </w:r>
      <w:r>
        <w:t xml:space="preserve">-0.077</w:t>
      </w:r>
      <w:r>
        <w:t xml:space="preserve"> </w:t>
      </w:r>
      <w:r>
        <w:t xml:space="preserve">-0.047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Cost of capital (change in</w:t>
      </w:r>
      <w:r>
        <w:t xml:space="preserve"> </w:t>
      </w:r>
      <w:r>
        <w:t xml:space="preserve">percentage points)</w:t>
      </w:r>
      <w:r>
        <w:t xml:space="preserve"> </w:t>
      </w:r>
      <w:r>
        <w:t xml:space="preserve">0.002</w:t>
      </w:r>
      <w:r>
        <w:t xml:space="preserve"> </w:t>
      </w:r>
      <w:r>
        <w:t xml:space="preserve">0.003</w:t>
      </w:r>
      <w:r>
        <w:t xml:space="preserve"> </w:t>
      </w:r>
      <w:r>
        <w:t xml:space="preserve">0.005</w:t>
      </w:r>
      <w:r>
        <w:t xml:space="preserve"> </w:t>
      </w:r>
      <w:r>
        <w:t xml:space="preserve">0.005</w:t>
      </w:r>
      <w:r>
        <w:t xml:space="preserve"> </w:t>
      </w:r>
      <w:r>
        <w:t xml:space="preserve">0.002</w:t>
      </w:r>
      <w:r>
        <w:t xml:space="preserve"> </w:t>
      </w:r>
      <w:r>
        <w:t xml:space="preserve">0.002</w:t>
      </w:r>
      <w:r>
        <w:t xml:space="preserve"> </w:t>
      </w:r>
      <w:r>
        <w:t xml:space="preserve">Investment (change in % of</w:t>
      </w:r>
      <w:r>
        <w:t xml:space="preserve"> </w:t>
      </w:r>
      <w:r>
        <w:t xml:space="preserve">GDP)</w:t>
      </w:r>
      <w:r>
        <w:t xml:space="preserve"> </w:t>
      </w:r>
      <w:r>
        <w:t xml:space="preserve">-0.016</w:t>
      </w:r>
      <w:r>
        <w:t xml:space="preserve"> </w:t>
      </w:r>
      <w:r>
        <w:t xml:space="preserve">-0.008</w:t>
      </w:r>
      <w:r>
        <w:t xml:space="preserve"> </w:t>
      </w:r>
      <w:r>
        <w:t xml:space="preserve">-0.045</w:t>
      </w:r>
      <w:r>
        <w:t xml:space="preserve"> </w:t>
      </w:r>
      <w:r>
        <w:t xml:space="preserve">-0.023</w:t>
      </w:r>
      <w:r>
        <w:t xml:space="preserve"> </w:t>
      </w:r>
      <w:r>
        <w:t xml:space="preserve">-0.015</w:t>
      </w:r>
      <w:r>
        <w:t xml:space="preserve"> </w:t>
      </w:r>
      <w:r>
        <w:t xml:space="preserve">0.009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Share of debt-financed total</w:t>
      </w:r>
      <w:r>
        <w:t xml:space="preserve"> </w:t>
      </w:r>
      <w:r>
        <w:t xml:space="preserve">assets (level, ex-post)</w:t>
      </w:r>
      <w:r>
        <w:t xml:space="preserve"> </w:t>
      </w:r>
      <w:r>
        <w:t xml:space="preserve">46.52</w:t>
      </w:r>
      <w:r>
        <w:t xml:space="preserve"> </w:t>
      </w:r>
      <w:r>
        <w:t xml:space="preserve">46.52</w:t>
      </w:r>
      <w:r>
        <w:t xml:space="preserve"> </w:t>
      </w:r>
      <w:r>
        <w:t xml:space="preserve">46.62</w:t>
      </w:r>
      <w:r>
        <w:t xml:space="preserve"> </w:t>
      </w:r>
      <w:r>
        <w:t xml:space="preserve">46.61</w:t>
      </w:r>
      <w:r>
        <w:t xml:space="preserve"> </w:t>
      </w:r>
      <w:r>
        <w:t xml:space="preserve">46.6</w:t>
      </w:r>
      <w:r>
        <w:t xml:space="preserve"> </w:t>
      </w:r>
      <w:r>
        <w:t xml:space="preserve">46.59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-0.004</w:t>
      </w:r>
      <w:r>
        <w:t xml:space="preserve"> </w:t>
      </w:r>
      <w:r>
        <w:t xml:space="preserve">-0.001</w:t>
      </w:r>
      <w:r>
        <w:t xml:space="preserve"> </w:t>
      </w:r>
      <w:r>
        <w:t xml:space="preserve">-0.016</w:t>
      </w:r>
      <w:r>
        <w:t xml:space="preserve"> </w:t>
      </w:r>
      <w:r>
        <w:t xml:space="preserve">-0.006</w:t>
      </w:r>
      <w:r>
        <w:t xml:space="preserve"> </w:t>
      </w:r>
      <w:r>
        <w:t xml:space="preserve">-0.007</w:t>
      </w:r>
      <w:r>
        <w:t xml:space="preserve"> </w:t>
      </w:r>
      <w:r>
        <w:t xml:space="preserve">0.003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0.001</w:t>
      </w:r>
      <w:r>
        <w:t xml:space="preserve"> </w:t>
      </w:r>
      <w:r>
        <w:t xml:space="preserve">0</w:t>
      </w:r>
      <w:r>
        <w:t xml:space="preserve"> </w:t>
      </w:r>
      <w:r>
        <w:t xml:space="preserve">-0.005</w:t>
      </w:r>
      <w:r>
        <w:t xml:space="preserve"> </w:t>
      </w:r>
      <w:r>
        <w:t xml:space="preserve">-0.003</w:t>
      </w:r>
      <w:r>
        <w:t xml:space="preserve"> </w:t>
      </w:r>
      <w:r>
        <w:t xml:space="preserve">-0.003</w:t>
      </w:r>
      <w:r>
        <w:t xml:space="preserve"> </w:t>
      </w:r>
      <w:r>
        <w:t xml:space="preserve">-0.001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-0.003</w:t>
      </w:r>
      <w:r>
        <w:t xml:space="preserve"> </w:t>
      </w:r>
      <w:r>
        <w:t xml:space="preserve">-0.001</w:t>
      </w:r>
      <w:r>
        <w:t xml:space="preserve"> </w:t>
      </w:r>
      <w:r>
        <w:t xml:space="preserve">-0.017</w:t>
      </w:r>
      <w:r>
        <w:t xml:space="preserve"> </w:t>
      </w:r>
      <w:r>
        <w:t xml:space="preserve">-0.008</w:t>
      </w:r>
      <w:r>
        <w:t xml:space="preserve"> </w:t>
      </w:r>
      <w:r>
        <w:t xml:space="preserve">-0.009</w:t>
      </w:r>
      <w:r>
        <w:t xml:space="preserve"> </w:t>
      </w:r>
      <w:r>
        <w:t xml:space="preserve">0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Note: Results are GDP-weighted EU-27 averages</w:t>
      </w:r>
    </w:p>
    <w:p>
      <w:pPr>
        <w:pStyle w:val="Compact"/>
        <w:numPr>
          <w:ilvl w:val="0"/>
          <w:numId w:val="1028"/>
        </w:numPr>
      </w:pPr>
      <w:r>
        <w:t xml:space="preserve">Calibration of the preferred Option 5</w:t>
      </w:r>
      <w:r>
        <w:br/>
      </w:r>
      <w:r>
        <w:t xml:space="preserve">The preferred Option 5 is the only option which achieves a far-reaching mitigation of the</w:t>
      </w:r>
      <w:r>
        <w:t xml:space="preserve"> </w:t>
      </w:r>
      <w:r>
        <w:t xml:space="preserve">debt-equity bias without incurring substantially cost on society either by contracting the</w:t>
      </w:r>
      <w:r>
        <w:t xml:space="preserve"> </w:t>
      </w:r>
      <w:r>
        <w:t xml:space="preserve">economy (full non-deductibility) or contracting public budgets. It provides an</w:t>
      </w:r>
      <w:r>
        <w:t xml:space="preserve"> </w:t>
      </w:r>
      <w:r>
        <w:t xml:space="preserve">equilibrated approach tackling the debt-equity bias simultaneously from the equity and</w:t>
      </w:r>
      <w:r>
        <w:t xml:space="preserve"> </w:t>
      </w:r>
      <w:r>
        <w:t xml:space="preserve">debt side, and while doing so balances out the budgetary effects of both actions. The</w:t>
      </w:r>
      <w:r>
        <w:t xml:space="preserve"> </w:t>
      </w:r>
      <w:r>
        <w:t xml:space="preserve">correct calibration of this approach has not yet been determined due to data limitation</w:t>
      </w:r>
      <w:r>
        <w:t xml:space="preserve"> </w:t>
      </w:r>
      <w:r>
        <w:t xml:space="preserve">and the requirements for further political decision making. Research is ongoing.</w:t>
      </w:r>
      <w:r>
        <w:br/>
      </w:r>
      <w:r>
        <w:t xml:space="preserve">On the equity side the decisive parameters are the notional interest rate, the duration of</w:t>
      </w:r>
      <w:r>
        <w:t xml:space="preserve"> </w:t>
      </w:r>
      <w:r>
        <w:t xml:space="preserve">allowance and the year to year increase in equity. The growth rate on equity is</w:t>
      </w:r>
      <w:r>
        <w:t xml:space="preserve"> </w:t>
      </w:r>
      <w:r>
        <w:t xml:space="preserve">determined by economic agents investing. The duration of the measure has been fixed to</w:t>
      </w:r>
      <w:r>
        <w:t xml:space="preserve"> </w:t>
      </w:r>
      <w:r>
        <w:t xml:space="preserve">10 years. For the notional interest, currently two options are being considered. The NIR</w:t>
      </w:r>
      <w:r>
        <w:t xml:space="preserve"> </w:t>
      </w:r>
      <w:r>
        <w:t xml:space="preserve">is determined by a risk free rate plus x. For the risk free interest rate the EIOPA risk free</w:t>
      </w:r>
      <w:r>
        <w:t xml:space="preserve"> </w:t>
      </w:r>
      <w:r>
        <w:t xml:space="preserve">rate for the Euro area would be applied to all Member States. The risk premium is would</w:t>
      </w:r>
      <w:r>
        <w:t xml:space="preserve"> </w:t>
      </w:r>
      <w:r>
        <w:t xml:space="preserve">be either 2 percentage points or 3 percentage points.</w:t>
      </w:r>
      <w:r>
        <w:t xml:space="preserve"> </w:t>
      </w:r>
      <w:r>
        <w:t xml:space="preserve">On the debt side, the interest deductibility could be reduced either through a more</w:t>
      </w:r>
      <w:r>
        <w:t xml:space="preserve"> </w:t>
      </w:r>
      <w:r>
        <w:t xml:space="preserve">stringent application of the ATAD 1 ILRs or through a specific DEBRA ILR. The latter</w:t>
      </w:r>
      <w:r>
        <w:t xml:space="preserve"> </w:t>
      </w:r>
      <w:r>
        <w:t xml:space="preserve">could take up design elements from ATAD or simply propose a proportional interest</w:t>
      </w:r>
      <w:r>
        <w:t xml:space="preserve"> </w:t>
      </w:r>
      <w:r>
        <w:t xml:space="preserve">limitation applying to all companies uniformly.</w:t>
      </w:r>
      <w:r>
        <w:br/>
      </w:r>
      <w:r>
        <w:t xml:space="preserve">The specific calibration has not been determined. Table A5.9 shows the implications of</w:t>
      </w:r>
      <w:r>
        <w:t xml:space="preserve"> </w:t>
      </w:r>
      <w:r>
        <w:t xml:space="preserve">different parameter values in the context of CORTAX modelling. Specifically, a notional</w:t>
      </w:r>
      <w:r>
        <w:t xml:space="preserve"> </w:t>
      </w:r>
      <w:r>
        <w:t xml:space="preserve">interest rate of 2.2% and 3.2% is considered and an interest limitation of 10% and 25%</w:t>
      </w:r>
      <w:r>
        <w:t xml:space="preserve"> </w:t>
      </w:r>
      <w:r>
        <w:t xml:space="preserve">(i.e. instead of all interest only 90% or 75% could be deducted). As already discussed in</w:t>
      </w:r>
      <w:r>
        <w:t xml:space="preserve"> </w:t>
      </w:r>
      <w:r>
        <w:t xml:space="preserve">Chapter 6 and Annex 6, CORTAX does not model ATAD 1 and thus does not include</w:t>
      </w:r>
      <w:r>
        <w:t xml:space="preserve"> </w:t>
      </w:r>
      <w:r>
        <w:t xml:space="preserve">ILRs in its base line. The situation where ATAD exists and interest deductibility would</w:t>
      </w:r>
      <w:r>
        <w:t xml:space="preserve"> </w:t>
      </w:r>
      <w:r>
        <w:t xml:space="preserve">thus be differently parametrises in CORTAX compare to the empirical reality. We</w:t>
      </w:r>
      <w:r>
        <w:t xml:space="preserve"> </w:t>
      </w:r>
      <w:r>
        <w:t xml:space="preserve">consider IRLs of 10% and 25% useful lower and upper bounds to guide further research</w:t>
      </w:r>
      <w:r>
        <w:t xml:space="preserve"> </w:t>
      </w:r>
      <w:r>
        <w:t xml:space="preserve">on the matter.</w:t>
      </w:r>
      <w:r>
        <w:t xml:space="preserve"> </w:t>
      </w:r>
      <w:r>
        <w:t xml:space="preserve">Table A5.9 indicates that higher NIRs would lead to more effective but also more costly</w:t>
      </w:r>
      <w:r>
        <w:t xml:space="preserve"> </w:t>
      </w:r>
      <w:r>
        <w:t xml:space="preserve">measures. A higher IRL would reduce cost but also reduce costs. Both work together in</w:t>
      </w:r>
      <w:r>
        <w:t xml:space="preserve"> </w:t>
      </w:r>
      <w:r>
        <w:t xml:space="preserve">mitigating the debt-equity bias. It is noteworthy that the change of the NIR from 2.2% to</w:t>
      </w:r>
      <w:r>
        <w:t xml:space="preserve"> </w:t>
      </w:r>
      <w:r>
        <w:t xml:space="preserve">3.2% has much more pronounced effects that the switch from 25% ILR to 10% ILR.</w:t>
      </w:r>
      <w:r>
        <w:br/>
      </w:r>
      <w:r>
        <w:t xml:space="preserve">Table A5.9. Economic impacts of Option 5 – uncompensated approach, EU-wide NIR</w:t>
      </w:r>
    </w:p>
    <w:p>
      <w:pPr>
        <w:pStyle w:val="FirstParagraph"/>
      </w:pPr>
      <w:r>
        <w:t xml:space="preserve">2.2% NIR</w:t>
      </w:r>
      <w:r>
        <w:t xml:space="preserve"> </w:t>
      </w:r>
      <w:r>
        <w:t xml:space="preserve">25% ILR</w:t>
      </w:r>
      <w:r>
        <w:t xml:space="preserve"> </w:t>
      </w:r>
      <w:r>
        <w:t xml:space="preserve">2.2% NIR</w:t>
      </w:r>
      <w:r>
        <w:t xml:space="preserve"> </w:t>
      </w:r>
      <w:r>
        <w:t xml:space="preserve">10% ILR</w:t>
      </w:r>
      <w:r>
        <w:t xml:space="preserve"> </w:t>
      </w:r>
      <w:r>
        <w:t xml:space="preserve">3.2% NIR</w:t>
      </w:r>
      <w:r>
        <w:t xml:space="preserve"> </w:t>
      </w:r>
      <w:r>
        <w:t xml:space="preserve">25% ILR</w:t>
      </w:r>
      <w:r>
        <w:t xml:space="preserve"> </w:t>
      </w:r>
      <w:r>
        <w:t xml:space="preserve">3.2% NIR</w:t>
      </w:r>
      <w:r>
        <w:t xml:space="preserve"> </w:t>
      </w:r>
      <w:r>
        <w:t xml:space="preserve">10% ILR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Cost of capital (change in</w:t>
      </w:r>
      <w:r>
        <w:t xml:space="preserve"> </w:t>
      </w:r>
      <w:r>
        <w:t xml:space="preserve">percentage points)</w:t>
      </w:r>
      <w:r>
        <w:t xml:space="preserve"> </w:t>
      </w:r>
      <w:r>
        <w:t xml:space="preserve">1.371</w:t>
      </w:r>
      <w:r>
        <w:t xml:space="preserve"> </w:t>
      </w:r>
      <w:r>
        <w:t xml:space="preserve">2.287</w:t>
      </w:r>
      <w:r>
        <w:t xml:space="preserve"> </w:t>
      </w:r>
      <w:r>
        <w:t xml:space="preserve">2.772</w:t>
      </w:r>
      <w:r>
        <w:t xml:space="preserve"> </w:t>
      </w:r>
      <w:r>
        <w:t xml:space="preserve">3.982</w:t>
      </w:r>
      <w:r>
        <w:t xml:space="preserve"> </w:t>
      </w:r>
      <w:r>
        <w:t xml:space="preserve">Investment (change in % of</w:t>
      </w:r>
      <w:r>
        <w:t xml:space="preserve"> </w:t>
      </w:r>
      <w:r>
        <w:t xml:space="preserve">GDP)</w:t>
      </w:r>
      <w:r>
        <w:t xml:space="preserve"> </w:t>
      </w:r>
      <w:r>
        <w:t xml:space="preserve">1.371</w:t>
      </w:r>
      <w:r>
        <w:t xml:space="preserve"> </w:t>
      </w:r>
      <w:r>
        <w:t xml:space="preserve">2.287</w:t>
      </w:r>
      <w:r>
        <w:t xml:space="preserve"> </w:t>
      </w:r>
      <w:r>
        <w:t xml:space="preserve">2.772</w:t>
      </w:r>
      <w:r>
        <w:t xml:space="preserve"> </w:t>
      </w:r>
      <w:r>
        <w:t xml:space="preserve">3.982</w:t>
      </w:r>
      <w:r>
        <w:t xml:space="preserve"> </w:t>
      </w:r>
      <w:r>
        <w:t xml:space="preserve">Share of debt-financed total</w:t>
      </w:r>
      <w:r>
        <w:t xml:space="preserve"> </w:t>
      </w:r>
      <w:r>
        <w:t xml:space="preserve">assets (level. ex-post)</w:t>
      </w:r>
      <w:r>
        <w:t xml:space="preserve"> </w:t>
      </w:r>
      <w:r>
        <w:t xml:space="preserve">42</w:t>
      </w:r>
      <w:r>
        <w:t xml:space="preserve"> </w:t>
      </w:r>
      <w:r>
        <w:t xml:space="preserve">43.17</w:t>
      </w:r>
      <w:r>
        <w:t xml:space="preserve"> </w:t>
      </w:r>
      <w:r>
        <w:t xml:space="preserve">40.73</w:t>
      </w:r>
      <w:r>
        <w:t xml:space="preserve"> </w:t>
      </w:r>
      <w:r>
        <w:t xml:space="preserve">41.67</w:t>
      </w:r>
      <w:r>
        <w:t xml:space="preserve"> </w:t>
      </w:r>
      <w:r>
        <w:t xml:space="preserve">Wages (change in %)</w:t>
      </w:r>
      <w:r>
        <w:t xml:space="preserve"> </w:t>
      </w:r>
      <w:r>
        <w:t xml:space="preserve">0.594</w:t>
      </w:r>
      <w:r>
        <w:t xml:space="preserve"> </w:t>
      </w:r>
      <w:r>
        <w:t xml:space="preserve">0.917</w:t>
      </w:r>
      <w:r>
        <w:t xml:space="preserve"> </w:t>
      </w:r>
      <w:r>
        <w:t xml:space="preserve">1.12</w:t>
      </w:r>
      <w:r>
        <w:t xml:space="preserve"> </w:t>
      </w:r>
      <w:r>
        <w:t xml:space="preserve">1.561</w:t>
      </w:r>
      <w:r>
        <w:t xml:space="preserve"> </w:t>
      </w:r>
      <w:r>
        <w:t xml:space="preserve">Employment (change in %)</w:t>
      </w:r>
      <w:r>
        <w:t xml:space="preserve"> </w:t>
      </w:r>
      <w:r>
        <w:t xml:space="preserve">0.018</w:t>
      </w:r>
      <w:r>
        <w:t xml:space="preserve"> </w:t>
      </w:r>
      <w:r>
        <w:t xml:space="preserve">0.187</w:t>
      </w:r>
      <w:r>
        <w:t xml:space="preserve"> </w:t>
      </w:r>
      <w:r>
        <w:t xml:space="preserve">0.184</w:t>
      </w:r>
      <w:r>
        <w:t xml:space="preserve"> </w:t>
      </w:r>
      <w:r>
        <w:t xml:space="preserve">0.376</w:t>
      </w:r>
      <w:r>
        <w:t xml:space="preserve"> </w:t>
      </w:r>
      <w:r>
        <w:t xml:space="preserve">GDP (change in %)</w:t>
      </w:r>
      <w:r>
        <w:t xml:space="preserve"> </w:t>
      </w:r>
      <w:r>
        <w:t xml:space="preserve">0.431</w:t>
      </w:r>
      <w:r>
        <w:t xml:space="preserve"> </w:t>
      </w:r>
      <w:r>
        <w:t xml:space="preserve">0.824</w:t>
      </w:r>
      <w:r>
        <w:t xml:space="preserve"> </w:t>
      </w:r>
      <w:r>
        <w:t xml:space="preserve">0.964</w:t>
      </w:r>
      <w:r>
        <w:t xml:space="preserve"> </w:t>
      </w:r>
      <w:r>
        <w:t xml:space="preserve">1.461</w:t>
      </w:r>
      <w:r>
        <w:t xml:space="preserve"> </w:t>
      </w:r>
      <w:r>
        <w:t xml:space="preserve">CIT revenue (change in % of</w:t>
      </w:r>
      <w:r>
        <w:t xml:space="preserve"> </w:t>
      </w:r>
      <w:r>
        <w:t xml:space="preserve">GDP)</w:t>
      </w:r>
      <w:r>
        <w:t xml:space="preserve"> </w:t>
      </w:r>
      <w:r>
        <w:t xml:space="preserve">-0.163</w:t>
      </w:r>
      <w:r>
        <w:t xml:space="preserve"> </w:t>
      </w:r>
      <w:r>
        <w:t xml:space="preserve">-0.386</w:t>
      </w:r>
      <w:r>
        <w:t xml:space="preserve"> </w:t>
      </w:r>
      <w:r>
        <w:t xml:space="preserve">-0.437</w:t>
      </w:r>
      <w:r>
        <w:t xml:space="preserve"> </w:t>
      </w:r>
      <w:r>
        <w:t xml:space="preserve">-0.709</w:t>
      </w:r>
      <w:r>
        <w:t xml:space="preserve"> </w:t>
      </w:r>
      <w:r>
        <w:t xml:space="preserve">Total tax revenue (change in %</w:t>
      </w:r>
      <w:r>
        <w:t xml:space="preserve"> </w:t>
      </w:r>
      <w:r>
        <w:t xml:space="preserve">of GDP)</w:t>
      </w:r>
      <w:r>
        <w:t xml:space="preserve"> </w:t>
      </w:r>
      <w:r>
        <w:t xml:space="preserve">0.066</w:t>
      </w:r>
      <w:r>
        <w:t xml:space="preserve"> </w:t>
      </w:r>
      <w:r>
        <w:t xml:space="preserve">0.003</w:t>
      </w:r>
      <w:r>
        <w:t xml:space="preserve"> </w:t>
      </w:r>
      <w:r>
        <w:t xml:space="preserve">0.03</w:t>
      </w:r>
      <w:r>
        <w:t xml:space="preserve"> </w:t>
      </w:r>
      <w:r>
        <w:t xml:space="preserve">-0.035</w:t>
      </w:r>
      <w:r>
        <w:t xml:space="preserve"> </w:t>
      </w:r>
      <w:r>
        <w:t xml:space="preserve">Source: Joint Research Centre of the European Commission (2021).</w:t>
      </w:r>
      <w:r>
        <w:t xml:space="preserve"> </w:t>
      </w:r>
      <w:r>
        <w:t xml:space="preserve">Note: Results are GDP-weighted EU-27 averages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ANNEX 6: STATISTICS ON CORPORATE INDEBTEDNESS</w:t>
      </w:r>
    </w:p>
    <w:p>
      <w:pPr>
        <w:pStyle w:val="Compact"/>
        <w:numPr>
          <w:ilvl w:val="0"/>
          <w:numId w:val="1029"/>
        </w:numPr>
      </w:pPr>
      <w:r>
        <w:t xml:space="preserve">Interest limitation rules</w:t>
      </w:r>
      <w:r>
        <w:t xml:space="preserve"> </w:t>
      </w:r>
      <w:r>
        <w:t xml:space="preserve">There is very limited public information on the quantitative implications of the interest</w:t>
      </w:r>
      <w:r>
        <w:t xml:space="preserve"> </w:t>
      </w:r>
      <w:r>
        <w:t xml:space="preserve">limitation rules (ILR) of ATAD 1. This section uses ORBIS company data to gather</w:t>
      </w:r>
      <w:r>
        <w:t xml:space="preserve"> </w:t>
      </w:r>
      <w:r>
        <w:t xml:space="preserve">some insights.</w:t>
      </w:r>
      <w:r>
        <w:t xml:space="preserve"> </w:t>
      </w:r>
      <w:r>
        <w:t xml:space="preserve">1.1.</w:t>
      </w:r>
      <w:r>
        <w:t xml:space="preserve"> </w:t>
      </w:r>
      <w:r>
        <w:t xml:space="preserve">Sample</w:t>
      </w:r>
      <w:r>
        <w:t xml:space="preserve"> </w:t>
      </w:r>
      <w:r>
        <w:t xml:space="preserve">For 2018, there have been about 25 million active companies in the EU, with about 2.5</w:t>
      </w:r>
      <w:r>
        <w:t xml:space="preserve"> </w:t>
      </w:r>
      <w:r>
        <w:t xml:space="preserve">million newly born in 2018. ORBIS contains about 2.5 million observations of</w:t>
      </w:r>
      <w:r>
        <w:t xml:space="preserve"> </w:t>
      </w:r>
      <w:r>
        <w:t xml:space="preserve">enterprises in the EU for 2019. Relevant information for the application of ATAD rules</w:t>
      </w:r>
      <w:r>
        <w:t xml:space="preserve"> </w:t>
      </w:r>
      <w:r>
        <w:t xml:space="preserve">(EBITDA, EBIT, interest payments) is available for 1.97 million companies. A total of</w:t>
      </w:r>
      <w:r>
        <w:t xml:space="preserve"> </w:t>
      </w:r>
      <w:r>
        <w:t xml:space="preserve">1.49 million companies have positive values for EBITDA, EBIT and interest payments</w:t>
      </w:r>
      <w:r>
        <w:t xml:space="preserve"> </w:t>
      </w:r>
      <w:r>
        <w:t xml:space="preserve">and thus constitutes the relevant (non-representative) sample of analysis.</w:t>
      </w:r>
      <w:r>
        <w:t xml:space="preserve"> </w:t>
      </w:r>
      <w:r>
        <w:t xml:space="preserve">The sample of 1.49 million companies is not representative for the EU-27. There are</w:t>
      </w:r>
      <w:r>
        <w:t xml:space="preserve"> </w:t>
      </w:r>
      <w:r>
        <w:t xml:space="preserve">basically no observations (less than 20) for BG, EE, HR, HU, NL and PL. Most</w:t>
      </w:r>
      <w:r>
        <w:t xml:space="preserve"> </w:t>
      </w:r>
      <w:r>
        <w:t xml:space="preserve">observations are from Italy (31%), Spain (19%), Portugal (8.7%), France (8.6%), Sweden</w:t>
      </w:r>
      <w:r>
        <w:t xml:space="preserve"> </w:t>
      </w:r>
      <w:r>
        <w:t xml:space="preserve">(8.6%), Romania (7%) and Denmark (4.5%). Given that the sample is not representative,</w:t>
      </w:r>
      <w:r>
        <w:t xml:space="preserve"> </w:t>
      </w:r>
      <w:r>
        <w:t xml:space="preserve">we have no indication how well the statistical analysis can describe the empirical reality.</w:t>
      </w:r>
      <w:r>
        <w:t xml:space="preserve"> </w:t>
      </w:r>
      <w:r>
        <w:t xml:space="preserve">The sample contains about 93% SMEs (operating revenues of not more than EUR 50</w:t>
      </w:r>
      <w:r>
        <w:t xml:space="preserve"> </w:t>
      </w:r>
      <w:r>
        <w:t xml:space="preserve">million) and about 7% larger firms. The larger firms account for 72% of revenues and for</w:t>
      </w:r>
      <w:r>
        <w:t xml:space="preserve"> </w:t>
      </w:r>
      <w:r>
        <w:t xml:space="preserve">about 70% of all interest payments registered in the data.</w:t>
      </w:r>
      <w:r>
        <w:t xml:space="preserve"> </w:t>
      </w:r>
      <w:r>
        <w:t xml:space="preserve">1.2. Understanding DEBRA ILR – Interaction with ATAD 1 (ORBIS)</w:t>
      </w:r>
      <w:r>
        <w:t xml:space="preserve"> </w:t>
      </w:r>
      <w:r>
        <w:t xml:space="preserve">If DEBRA ILR would exist in parallel to ATAD 1, the more biting rule for the taxpayer</w:t>
      </w:r>
      <w:r>
        <w:t xml:space="preserve"> </w:t>
      </w:r>
      <w:r>
        <w:t xml:space="preserve">should apply. From a practical point of view, the simultaneous application of two or</w:t>
      </w:r>
      <w:r>
        <w:t xml:space="preserve"> </w:t>
      </w:r>
      <w:r>
        <w:t xml:space="preserve">more rules is regularly done by tax authorities and does not pose a problem.</w:t>
      </w:r>
      <w:r>
        <w:br/>
      </w:r>
      <w:r>
        <w:t xml:space="preserve">Different sources (Member State authorities, more granular company data) indicate that</w:t>
      </w:r>
      <w:r>
        <w:t xml:space="preserve"> </w:t>
      </w:r>
      <w:r>
        <w:t xml:space="preserve">about 10%-17% of net interest expenses could be covered by ATAD. Only a very small</w:t>
      </w:r>
      <w:r>
        <w:t xml:space="preserve"> </w:t>
      </w:r>
      <w:r>
        <w:t xml:space="preserve">share of companies are captured by ATAD. These companies are responsible for a high</w:t>
      </w:r>
      <w:r>
        <w:t xml:space="preserve"> </w:t>
      </w:r>
      <w:r>
        <w:t xml:space="preserve">share of interest payments and a large share of interests paid per company are captured</w:t>
      </w:r>
      <w:r>
        <w:t xml:space="preserve"> </w:t>
      </w:r>
      <w:r>
        <w:t xml:space="preserve">by ATAD. Thus only a few companies move from ATAD to DEBRA ILR. Since these</w:t>
      </w:r>
      <w:r>
        <w:t xml:space="preserve"> </w:t>
      </w:r>
      <w:r>
        <w:t xml:space="preserve">companies had their interest deduction already restricted, only very limited additional</w:t>
      </w:r>
      <w:r>
        <w:t xml:space="preserve"> </w:t>
      </w:r>
      <w:r>
        <w:t xml:space="preserve">revenues (i.e. new money) will result from these companies which move from ATAD to</w:t>
      </w:r>
      <w:r>
        <w:t xml:space="preserve"> </w:t>
      </w:r>
      <w:r>
        <w:t xml:space="preserve">DEBRA ILR.</w:t>
      </w:r>
    </w:p>
    <w:p>
      <w:pPr>
        <w:pStyle w:val="FirstParagraph"/>
      </w:pPr>
      <w:r>
        <w:t xml:space="preserve">96</w:t>
      </w:r>
      <w:r>
        <w:t xml:space="preserve"> </w:t>
      </w:r>
      <w:r>
        <w:t xml:space="preserve">2. Calibration of notional interest rate and interest limitation for Option 5</w:t>
      </w:r>
      <w:r>
        <w:t xml:space="preserve"> </w:t>
      </w:r>
      <w:r>
        <w:t xml:space="preserve">2.1. Data and limitations</w:t>
      </w:r>
      <w:r>
        <w:t xml:space="preserve"> </w:t>
      </w:r>
      <w:r>
        <w:t xml:space="preserve">There are three approaches available to support the analysis of DEBRA. The CORTAX</w:t>
      </w:r>
      <w:r>
        <w:t xml:space="preserve"> </w:t>
      </w:r>
      <w:r>
        <w:t xml:space="preserve">model, national financial account data and ORBIS company data. This section will shorty</w:t>
      </w:r>
      <w:r>
        <w:t xml:space="preserve"> </w:t>
      </w:r>
      <w:r>
        <w:t xml:space="preserve">discuss what each approach can do and what limits there are. With national financial</w:t>
      </w:r>
      <w:r>
        <w:t xml:space="preserve"> </w:t>
      </w:r>
      <w:r>
        <w:t xml:space="preserve">accounts not differentiation between large firms and SMEs can be made. For consistency</w:t>
      </w:r>
      <w:r>
        <w:t xml:space="preserve"> </w:t>
      </w:r>
      <w:r>
        <w:t xml:space="preserve">the following analysis thus disregards the SME top-up. As results in Section 6 have</w:t>
      </w:r>
      <w:r>
        <w:t xml:space="preserve"> </w:t>
      </w:r>
      <w:r>
        <w:t xml:space="preserve">shown, the SME top-up scales up results but does not change the general message.</w:t>
      </w:r>
      <w:r>
        <w:br/>
      </w:r>
      <w:r>
        <w:t xml:space="preserve">CORTAX: CORTAX is a general equilibrium model, i.e. it is highly stylized (e.g. there</w:t>
      </w:r>
      <w:r>
        <w:t xml:space="preserve"> </w:t>
      </w:r>
      <w:r>
        <w:t xml:space="preserve">is one representative household and two companies in each economy). The model has a</w:t>
      </w:r>
      <w:r>
        <w:t xml:space="preserve"> </w:t>
      </w:r>
      <w:r>
        <w:t xml:space="preserve">very detailed description of the tax systems and allows the analysis of tax policies. The</w:t>
      </w:r>
      <w:r>
        <w:t xml:space="preserve"> </w:t>
      </w:r>
      <w:r>
        <w:t xml:space="preserve">results the model provides are country level changes in tax rates, tax revenues,</w:t>
      </w:r>
      <w:r>
        <w:t xml:space="preserve"> </w:t>
      </w:r>
      <w:r>
        <w:t xml:space="preserve">investment, employment, wages and GDP. There is however no time in the model and</w:t>
      </w:r>
      <w:r>
        <w:t xml:space="preserve"> </w:t>
      </w:r>
      <w:r>
        <w:t xml:space="preserve">changes have to be interpreted as change between the old equilibrium pathway and the</w:t>
      </w:r>
      <w:r>
        <w:t xml:space="preserve"> </w:t>
      </w:r>
      <w:r>
        <w:t xml:space="preserve">new equilibrium pathway. The model assumes full information, i.e. everybody knows</w:t>
      </w:r>
      <w:r>
        <w:t xml:space="preserve"> </w:t>
      </w:r>
      <w:r>
        <w:t xml:space="preserve">everything, prices contain all relevant information and there is no uncertainty. In the</w:t>
      </w:r>
      <w:r>
        <w:t xml:space="preserve"> </w:t>
      </w:r>
      <w:r>
        <w:t xml:space="preserve">model, an allowance for equity mechanically reduces the cost of equity and effective</w:t>
      </w:r>
      <w:r>
        <w:t xml:space="preserve"> </w:t>
      </w:r>
      <w:r>
        <w:t xml:space="preserve">taxation, which leads to more investment, employment and growth. On the contrary, a</w:t>
      </w:r>
      <w:r>
        <w:t xml:space="preserve"> </w:t>
      </w:r>
      <w:r>
        <w:t xml:space="preserve">limitation of interest deductibility increases the cost of debt and effective taxation and</w:t>
      </w:r>
      <w:r>
        <w:t xml:space="preserve"> </w:t>
      </w:r>
      <w:r>
        <w:t xml:space="preserve">leads to lower levels of investment, employment and growth. The model provides useful</w:t>
      </w:r>
      <w:r>
        <w:t xml:space="preserve"> </w:t>
      </w:r>
      <w:r>
        <w:t xml:space="preserve">information for comparing policy options. The validity of specific point estimates</w:t>
      </w:r>
      <w:r>
        <w:t xml:space="preserve"> </w:t>
      </w:r>
      <w:r>
        <w:t xml:space="preserve">however should be considered cautiously but due to its limitations should not be used for</w:t>
      </w:r>
      <w:r>
        <w:t xml:space="preserve"> </w:t>
      </w:r>
      <w:r>
        <w:t xml:space="preserve">calibrating specific policy parameters.</w:t>
      </w:r>
      <w:r>
        <w:t xml:space="preserve"> </w:t>
      </w:r>
      <w:r>
        <w:t xml:space="preserve">National financial accounts: National financial accounts (NFAs) are an element of</w:t>
      </w:r>
      <w:r>
        <w:t xml:space="preserve"> </w:t>
      </w:r>
      <w:r>
        <w:t xml:space="preserve">national accounting, i.e. bookkeeping on the country level. NFAs contain aggregate</w:t>
      </w:r>
      <w:r>
        <w:t xml:space="preserve"> </w:t>
      </w:r>
      <w:r>
        <w:t xml:space="preserve">information on equity, interest paid and interest received per sector of the economy. All</w:t>
      </w:r>
      <w:r>
        <w:t xml:space="preserve"> </w:t>
      </w:r>
      <w:r>
        <w:t xml:space="preserve">observations are static, i.e. no growth effects can be considered. The data is provided by</w:t>
      </w:r>
      <w:r>
        <w:t xml:space="preserve"> </w:t>
      </w:r>
      <w:r>
        <w:t xml:space="preserve">Eurostat and has the best data quality. For the calibration of the debt and equity side of</w:t>
      </w:r>
      <w:r>
        <w:t xml:space="preserve"> </w:t>
      </w:r>
      <w:r>
        <w:t xml:space="preserve">option 5 there are however a few problems. Equity in NFAs contains a few elements,</w:t>
      </w:r>
      <w:r>
        <w:t xml:space="preserve"> </w:t>
      </w:r>
      <w:r>
        <w:t xml:space="preserve">which would likely not qualify as equity under option 5. In addition, equity is reported as</w:t>
      </w:r>
      <w:r>
        <w:t xml:space="preserve"> </w:t>
      </w:r>
      <w:r>
        <w:t xml:space="preserve">the market value of traded and non-traded shares. The market value of shares might differ</w:t>
      </w:r>
      <w:r>
        <w:t xml:space="preserve"> </w:t>
      </w:r>
      <w:r>
        <w:t xml:space="preserve">considerable from the book value of equity, which is the relevant base for the equity</w:t>
      </w:r>
      <w:r>
        <w:t xml:space="preserve"> </w:t>
      </w:r>
      <w:r>
        <w:t xml:space="preserve">allowance. For interest payments there is a problem with the aggregation. Interest</w:t>
      </w:r>
      <w:r>
        <w:t xml:space="preserve"> </w:t>
      </w:r>
      <w:r>
        <w:t xml:space="preserve">limitation will be applied to net interest expenses, i.e. interest paid minus interest</w:t>
      </w:r>
      <w:r>
        <w:t xml:space="preserve"> </w:t>
      </w:r>
      <w:r>
        <w:t xml:space="preserve">received. Since both values are only available in the aggregate, many relevant interest</w:t>
      </w:r>
      <w:r>
        <w:t xml:space="preserve"> </w:t>
      </w:r>
      <w:r>
        <w:t xml:space="preserve">payments might be averaged out (example: company A has 100 interest paid and 10</w:t>
      </w:r>
      <w:r>
        <w:t xml:space="preserve"> </w:t>
      </w:r>
      <w:r>
        <w:t xml:space="preserve">interest received; B has 20 interest paid and 50 interest received. In total, there are 120</w:t>
      </w:r>
      <w:r>
        <w:t xml:space="preserve"> </w:t>
      </w:r>
      <w:r>
        <w:t xml:space="preserve">interest paid and 60 interest received. Applying an ILR at the company level would result</w:t>
      </w:r>
      <w:r>
        <w:t xml:space="preserve"> </w:t>
      </w:r>
      <w:r>
        <w:t xml:space="preserve">in (100-10=) 90 falling under the ILR. In the aggregate, only (120-60=) 60 fall under the</w:t>
      </w:r>
      <w:r>
        <w:t xml:space="preserve"> </w:t>
      </w:r>
      <w:r>
        <w:t xml:space="preserve">ILR). In DE, LV, NL and SI net-interest expenses are smaller than zero, i.e. overall non-</w:t>
      </w:r>
      <w:r>
        <w:t xml:space="preserve"> </w:t>
      </w:r>
      <w:r>
        <w:t xml:space="preserve">financial corporations (NFCs) received more interest than they paid. This will not be the</w:t>
      </w:r>
      <w:r>
        <w:t xml:space="preserve"> </w:t>
      </w:r>
      <w:r>
        <w:t xml:space="preserve">case for all companies. Aggregation thus results in lower levels of net-interest payments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than we would see on the company level. The estimated values are thus lower bounds for</w:t>
      </w:r>
      <w:r>
        <w:t xml:space="preserve"> </w:t>
      </w:r>
      <w:r>
        <w:t xml:space="preserve">potential tax revenue gains through an ILR. Gross interest payments are about 4 times</w:t>
      </w:r>
      <w:r>
        <w:t xml:space="preserve"> </w:t>
      </w:r>
      <w:r>
        <w:t xml:space="preserve">larger than net-interest payments, which would constitute an upper bound on potential tax</w:t>
      </w:r>
      <w:r>
        <w:t xml:space="preserve"> </w:t>
      </w:r>
      <w:r>
        <w:t xml:space="preserve">revenue gains from an ILR. The “truth” will lay somewhere in the middle.</w:t>
      </w:r>
      <w:r>
        <w:br/>
      </w:r>
      <w:r>
        <w:t xml:space="preserve">ORBIS data: ORBIS provides company level data and thus needs to be used whenever</w:t>
      </w:r>
      <w:r>
        <w:t xml:space="preserve"> </w:t>
      </w:r>
      <w:r>
        <w:t xml:space="preserve">the analysis is contingent on specific company characteristics. All observations are static,</w:t>
      </w:r>
      <w:r>
        <w:t xml:space="preserve"> </w:t>
      </w:r>
      <w:r>
        <w:t xml:space="preserve">i.e. no growth effects can be considered. A problem of ORBIS is sample bias and simple</w:t>
      </w:r>
      <w:r>
        <w:t xml:space="preserve"> </w:t>
      </w:r>
      <w:r>
        <w:t xml:space="preserve">incompleteness. ORBIS is a collection of all publicly available information about</w:t>
      </w:r>
      <w:r>
        <w:t xml:space="preserve"> </w:t>
      </w:r>
      <w:r>
        <w:t xml:space="preserve">companies. Since reporting requirements differ across countries and legal forms of</w:t>
      </w:r>
      <w:r>
        <w:t xml:space="preserve"> </w:t>
      </w:r>
      <w:r>
        <w:t xml:space="preserve">companies, there is generally no guarantee about the representativeness of the sample.</w:t>
      </w:r>
      <w:r>
        <w:t xml:space="preserve"> </w:t>
      </w:r>
      <w:r>
        <w:t xml:space="preserve">On the contrary, it seems very likely that the sample is biased because company</w:t>
      </w:r>
      <w:r>
        <w:t xml:space="preserve"> </w:t>
      </w:r>
      <w:r>
        <w:t xml:space="preserve">characteristics as well as specific country requirements will decide what information a</w:t>
      </w:r>
      <w:r>
        <w:t xml:space="preserve"> </w:t>
      </w:r>
      <w:r>
        <w:t xml:space="preserve">company is reporting and thus what information is part of ORBIS. This data can thus not</w:t>
      </w:r>
      <w:r>
        <w:t xml:space="preserve"> </w:t>
      </w:r>
      <w:r>
        <w:t xml:space="preserve">be used to obtain absolute values (like the equity allowance costs in billion EUR) since</w:t>
      </w:r>
      <w:r>
        <w:t xml:space="preserve"> </w:t>
      </w:r>
      <w:r>
        <w:t xml:space="preserve">only a (unknown) fraction of companies is covered and the coverage differs across MS.</w:t>
      </w:r>
      <w:r>
        <w:t xml:space="preserve"> </w:t>
      </w:r>
      <w:r>
        <w:t xml:space="preserve">However, ORBIS can still be used to analyse ratios, like e.g. what is the proportion of the</w:t>
      </w:r>
      <w:r>
        <w:t xml:space="preserve"> </w:t>
      </w:r>
      <w:r>
        <w:t xml:space="preserve">reduction in interest limitation to the equity allowance. Another major problem in the</w:t>
      </w:r>
      <w:r>
        <w:t xml:space="preserve"> </w:t>
      </w:r>
      <w:r>
        <w:t xml:space="preserve">current context is that ORBIS does not have information about interest received but only</w:t>
      </w:r>
      <w:r>
        <w:t xml:space="preserve"> </w:t>
      </w:r>
      <w:r>
        <w:t xml:space="preserve">about interest paid. In order to approach net interest payments, the share of net interest</w:t>
      </w:r>
      <w:r>
        <w:t xml:space="preserve"> </w:t>
      </w:r>
      <w:r>
        <w:t xml:space="preserve">expenses from national financial accounts could be used (interest received is 75% of</w:t>
      </w:r>
      <w:r>
        <w:t xml:space="preserve"> </w:t>
      </w:r>
      <w:r>
        <w:t xml:space="preserve">interest paid so that net interest paid make 25% of gross interest paid). This of course</w:t>
      </w:r>
      <w:r>
        <w:t xml:space="preserve"> </w:t>
      </w:r>
      <w:r>
        <w:t xml:space="preserve">would transfers the problem of averaging out interest received and paid across companies</w:t>
      </w:r>
      <w:r>
        <w:t xml:space="preserve"> </w:t>
      </w:r>
      <w:r>
        <w:t xml:space="preserve">from the macro data to the micro data. It is thus assumed that net interest expenses are</w:t>
      </w:r>
      <w:r>
        <w:t xml:space="preserve"> </w:t>
      </w:r>
      <w:r>
        <w:t xml:space="preserve">equal to 50% of gross interest expenses.</w:t>
      </w:r>
      <w:r>
        <w:t xml:space="preserve"> </w:t>
      </w:r>
      <w:r>
        <w:t xml:space="preserve">2.2. Why move from alternative 5a (2.2% NIR / 25% ILR) to alternative 5b (1.2% NIR/</w:t>
      </w:r>
      <w:r>
        <w:t xml:space="preserve"> </w:t>
      </w:r>
      <w:r>
        <w:t xml:space="preserve">15% ILR)</w:t>
      </w:r>
      <w:r>
        <w:t xml:space="preserve"> </w:t>
      </w:r>
      <w:r>
        <w:t xml:space="preserve">This section will discuss several pieces of evidence around Option 5 which justify why</w:t>
      </w:r>
      <w:r>
        <w:t xml:space="preserve"> </w:t>
      </w:r>
      <w:r>
        <w:t xml:space="preserve">the preferred option is alternative 5b, i.e. a notional allowance on equity with a notional</w:t>
      </w:r>
      <w:r>
        <w:t xml:space="preserve"> </w:t>
      </w:r>
      <w:r>
        <w:t xml:space="preserve">interest rate defined by the risk-free rate plus 1% risk premium combined with a</w:t>
      </w:r>
      <w:r>
        <w:t xml:space="preserve"> </w:t>
      </w:r>
      <w:r>
        <w:t xml:space="preserve">limitation on interest deductibility of 15%. While CORTAX suggests that a higher NIR</w:t>
      </w:r>
      <w:r>
        <w:t xml:space="preserve"> </w:t>
      </w:r>
      <w:r>
        <w:t xml:space="preserve">and higher ILR are more effective in mitigating the debt-equity bias without much</w:t>
      </w:r>
      <w:r>
        <w:t xml:space="preserve"> </w:t>
      </w:r>
      <w:r>
        <w:t xml:space="preserve">additional fiscal costs, static evidence presented in the following paints a different</w:t>
      </w:r>
      <w:r>
        <w:t xml:space="preserve"> </w:t>
      </w:r>
      <w:r>
        <w:t xml:space="preserve">picture. Since many real life events can break the mechanical model link between the</w:t>
      </w:r>
      <w:r>
        <w:t xml:space="preserve"> </w:t>
      </w:r>
      <w:r>
        <w:t xml:space="preserve">reduction of the costs of capital and investment and growth (e.g. pandemic, war etc.) the</w:t>
      </w:r>
      <w:r>
        <w:t xml:space="preserve"> </w:t>
      </w:r>
      <w:r>
        <w:t xml:space="preserve">policy evaluation should not rely too much on the assumption of growth. It is thus a</w:t>
      </w:r>
      <w:r>
        <w:t xml:space="preserve"> </w:t>
      </w:r>
      <w:r>
        <w:t xml:space="preserve">measure of caution and the aim to prevent excessive fiscal costs which lead to a</w:t>
      </w:r>
      <w:r>
        <w:t xml:space="preserve"> </w:t>
      </w:r>
      <w:r>
        <w:t xml:space="preserve">preference for alternative 5b. Note that the SME top-up is not considered separately in</w:t>
      </w:r>
      <w:r>
        <w:t xml:space="preserve"> </w:t>
      </w:r>
      <w:r>
        <w:t xml:space="preserve">this exercise due to data limitations. Inclusion of the SME top-up shifts up results</w:t>
      </w:r>
      <w:r>
        <w:t xml:space="preserve"> </w:t>
      </w:r>
      <w:r>
        <w:t xml:space="preserve">proportionally. The line of argument remains unaffected.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2.2.1. Evaluation with CORTAX</w:t>
      </w:r>
      <w:r>
        <w:t xml:space="preserve"> </w:t>
      </w:r>
      <w:r>
        <w:t xml:space="preserve">The CORTAX model has been used to estimate macro-economic impacts of DEBRA.</w:t>
      </w:r>
      <w:r>
        <w:t xml:space="preserve"> </w:t>
      </w:r>
      <w:r>
        <w:t xml:space="preserve">Table A6.1 exhibits the main findings for two different designs of DEBRA:</w:t>
      </w:r>
      <w:r>
        <w:br/>
      </w:r>
      <w:r>
        <w:t xml:space="preserve">Alternative 5a: a 10 year equity allowance with NIR = 2.2% and DEBRA ILR = 25%.</w:t>
      </w:r>
      <w:r>
        <w:t xml:space="preserve"> </w:t>
      </w:r>
      <w:r>
        <w:t xml:space="preserve">Alternative 5b: a 10 year equity allowance with NIR = 1.2% and DEBRA ILR = 15%</w:t>
      </w:r>
      <w:r>
        <w:t xml:space="preserve"> </w:t>
      </w:r>
      <w:r>
        <w:t xml:space="preserve">Column ‘Inv’ reports investments (i.e. the percent change in capital stock), column</w:t>
      </w:r>
      <w:r>
        <w:t xml:space="preserve"> </w:t>
      </w:r>
      <w:r>
        <w:t xml:space="preserve">‘Wage’ reports the percentage change of the wage rate, ‘Empl.’ reports the percentage</w:t>
      </w:r>
      <w:r>
        <w:t xml:space="preserve"> </w:t>
      </w:r>
      <w:r>
        <w:t xml:space="preserve">change in employment, ‘GDP’ reports GDP change in percent, ‘Rev_CIT’ reports the</w:t>
      </w:r>
      <w:r>
        <w:t xml:space="preserve"> </w:t>
      </w:r>
      <w:r>
        <w:t xml:space="preserve">change in CIT tax revenues expressed in % of GDP, ‘Rev_tax’ reports the change in</w:t>
      </w:r>
      <w:r>
        <w:t xml:space="preserve"> </w:t>
      </w:r>
      <w:r>
        <w:t xml:space="preserve">overall tax revenues expressed in % of GDP and finally, ‘Diff’ reports the change in the</w:t>
      </w:r>
      <w:r>
        <w:t xml:space="preserve"> </w:t>
      </w:r>
      <w:r>
        <w:t xml:space="preserve">share of debt used in the economy.</w:t>
      </w:r>
      <w:r>
        <w:br/>
      </w:r>
      <w:r>
        <w:t xml:space="preserve">Inspection of Table A6.1 indicates that both approaches mitigate the fiscal impact of the</w:t>
      </w:r>
      <w:r>
        <w:t xml:space="preserve"> </w:t>
      </w:r>
      <w:r>
        <w:t xml:space="preserve">measure. A lower notional interest rate and less interest deduction has less impact on the</w:t>
      </w:r>
      <w:r>
        <w:t xml:space="preserve"> </w:t>
      </w:r>
      <w:r>
        <w:t xml:space="preserve">economy and on the mitigation of the debt-equity bias.</w:t>
      </w:r>
      <w:r>
        <w:t xml:space="preserve"> </w:t>
      </w:r>
      <w:r>
        <w:t xml:space="preserve">Table A6.1: Comparing the alternatives with CORTAX</w:t>
      </w:r>
      <w:r>
        <w:br/>
      </w:r>
      <w:r>
        <w:t xml:space="preserve">Inv.</w:t>
      </w:r>
      <w:r>
        <w:t xml:space="preserve"> </w:t>
      </w:r>
      <w:r>
        <w:t xml:space="preserve">Wage</w:t>
      </w:r>
      <w:r>
        <w:t xml:space="preserve"> </w:t>
      </w:r>
      <w:r>
        <w:t xml:space="preserve">Empl.</w:t>
      </w:r>
      <w:r>
        <w:t xml:space="preserve"> </w:t>
      </w:r>
      <w:r>
        <w:t xml:space="preserve">GDP</w:t>
      </w:r>
      <w:r>
        <w:t xml:space="preserve"> </w:t>
      </w:r>
      <w:r>
        <w:t xml:space="preserve">Rev_CIT</w:t>
      </w:r>
      <w:r>
        <w:t xml:space="preserve"> </w:t>
      </w:r>
      <w:r>
        <w:t xml:space="preserve">Rev_tax</w:t>
      </w:r>
      <w:r>
        <w:t xml:space="preserve"> </w:t>
      </w:r>
      <w:r>
        <w:t xml:space="preserve">Diff</w:t>
      </w:r>
      <w:r>
        <w:t xml:space="preserve"> </w:t>
      </w:r>
      <w:r>
        <w:t xml:space="preserve">Alt. 5a:</w:t>
      </w:r>
      <w:r>
        <w:t xml:space="preserve"> </w:t>
      </w:r>
      <w:r>
        <w:t xml:space="preserve">2.2% NIR/25% NIR</w:t>
      </w:r>
      <w:r>
        <w:t xml:space="preserve"> </w:t>
      </w:r>
      <w:r>
        <w:t xml:space="preserve">1.077</w:t>
      </w:r>
      <w:r>
        <w:t xml:space="preserve"> </w:t>
      </w:r>
      <w:r>
        <w:t xml:space="preserve">0.471</w:t>
      </w:r>
      <w:r>
        <w:t xml:space="preserve"> </w:t>
      </w:r>
      <w:r>
        <w:t xml:space="preserve">-0.008</w:t>
      </w:r>
      <w:r>
        <w:t xml:space="preserve"> </w:t>
      </w:r>
      <w:r>
        <w:t xml:space="preserve">0.32</w:t>
      </w:r>
      <w:r>
        <w:t xml:space="preserve"> </w:t>
      </w:r>
      <w:r>
        <w:t xml:space="preserve">-0.111</w:t>
      </w:r>
      <w:r>
        <w:t xml:space="preserve"> </w:t>
      </w:r>
      <w:r>
        <w:t xml:space="preserve">0.068</w:t>
      </w:r>
      <w:r>
        <w:t xml:space="preserve"> </w:t>
      </w:r>
      <w:r>
        <w:t xml:space="preserve">4.17</w:t>
      </w:r>
      <w:r>
        <w:t xml:space="preserve"> </w:t>
      </w:r>
      <w:r>
        <w:t xml:space="preserve">Alt. 5b:</w:t>
      </w:r>
      <w:r>
        <w:t xml:space="preserve"> </w:t>
      </w:r>
      <w:r>
        <w:t xml:space="preserve">1.2% NIR/15% ILR</w:t>
      </w:r>
      <w:r>
        <w:t xml:space="preserve"> </w:t>
      </w:r>
      <w:r>
        <w:t xml:space="preserve">0.296</w:t>
      </w:r>
      <w:r>
        <w:t xml:space="preserve"> </w:t>
      </w:r>
      <w:r>
        <w:t xml:space="preserve">0.128</w:t>
      </w:r>
      <w:r>
        <w:t xml:space="preserve"> </w:t>
      </w:r>
      <w:r>
        <w:t xml:space="preserve">-0.005</w:t>
      </w:r>
      <w:r>
        <w:t xml:space="preserve"> </w:t>
      </w:r>
      <w:r>
        <w:t xml:space="preserve">0.084</w:t>
      </w:r>
      <w:r>
        <w:t xml:space="preserve"> </w:t>
      </w:r>
      <w:r>
        <w:t xml:space="preserve">-0.038</w:t>
      </w:r>
      <w:r>
        <w:t xml:space="preserve"> </w:t>
      </w:r>
      <w:r>
        <w:t xml:space="preserve">0.018</w:t>
      </w:r>
      <w:r>
        <w:t xml:space="preserve"> </w:t>
      </w:r>
      <w:r>
        <w:t xml:space="preserve">2.09</w:t>
      </w:r>
    </w:p>
    <w:p>
      <w:pPr>
        <w:pStyle w:val="BodyText"/>
      </w:pPr>
      <w:r>
        <w:t xml:space="preserve">Alternative 5a thus has a more pronounced effect, leading to higher investments more</w:t>
      </w:r>
      <w:r>
        <w:t xml:space="preserve"> </w:t>
      </w:r>
      <w:r>
        <w:t xml:space="preserve">growth and a stronger reduction of the debt-equity bias than alternative 5b. While CIT</w:t>
      </w:r>
      <w:r>
        <w:t xml:space="preserve"> </w:t>
      </w:r>
      <w:r>
        <w:t xml:space="preserve">revenues are being lost, overall tax revenues are positive and more so for option 5a.</w:t>
      </w:r>
      <w:r>
        <w:t xml:space="preserve"> </w:t>
      </w:r>
      <w:r>
        <w:t xml:space="preserve">Specifically, in 2021 values estimates would amount to CIT revenue losses of about EUR</w:t>
      </w:r>
      <w:r>
        <w:t xml:space="preserve"> </w:t>
      </w:r>
      <w:r>
        <w:t xml:space="preserve">16 billion for alternative 5a and about EUR 5.5 billion for option 5b. Due to increased</w:t>
      </w:r>
      <w:r>
        <w:t xml:space="preserve"> </w:t>
      </w:r>
      <w:r>
        <w:t xml:space="preserve">investment and associated growth, overall tax revenues are predicted to increase for both</w:t>
      </w:r>
      <w:r>
        <w:t xml:space="preserve"> </w:t>
      </w:r>
      <w:r>
        <w:t xml:space="preserve">options. In 2021 values the overall increase in tax revenues for alternative 5a is estimated</w:t>
      </w:r>
      <w:r>
        <w:t xml:space="preserve"> </w:t>
      </w:r>
      <w:r>
        <w:t xml:space="preserve">to be about EUR 9.8 billion, for alternative 5b about EUR 2.6 billion.</w:t>
      </w:r>
      <w:r>
        <w:br/>
      </w:r>
      <w:r>
        <w:t xml:space="preserve">CORTAX would suggest that alternative 5a is preferable to alternative 5b. These results</w:t>
      </w:r>
      <w:r>
        <w:t xml:space="preserve"> </w:t>
      </w:r>
      <w:r>
        <w:t xml:space="preserve">obviously depend strongly on the growth mechanics resulting from the maximizing</w:t>
      </w:r>
      <w:r>
        <w:t xml:space="preserve"> </w:t>
      </w:r>
      <w:r>
        <w:t xml:space="preserve">behaviour of the agent in the model. Note however, that there is no uncertainty in the</w:t>
      </w:r>
      <w:r>
        <w:t xml:space="preserve"> </w:t>
      </w:r>
      <w:r>
        <w:t xml:space="preserve">model so that exogenous crisis, which could prevent additional investments for other</w:t>
      </w:r>
      <w:r>
        <w:t xml:space="preserve"> </w:t>
      </w:r>
      <w:r>
        <w:t xml:space="preserve">reasons cannot be taken in consideration.</w:t>
      </w:r>
      <w:r>
        <w:t xml:space="preserve"> </w:t>
      </w:r>
      <w:r>
        <w:t xml:space="preserve">2.2.2. Evidence from national financial accounts</w:t>
      </w:r>
      <w:r>
        <w:t xml:space="preserve"> </w:t>
      </w:r>
      <w:r>
        <w:t xml:space="preserve">National financial accounts are used to compare the potential tax revenue costs of an</w:t>
      </w:r>
      <w:r>
        <w:t xml:space="preserve"> </w:t>
      </w:r>
      <w:r>
        <w:t xml:space="preserve">allowance for equity with potential revenue gains resulting from a proportional limitation</w:t>
      </w:r>
      <w:r>
        <w:t xml:space="preserve"> </w:t>
      </w:r>
      <w:r>
        <w:t xml:space="preserve">on interest deductibility. This exercise is undertaken for alternative 5a and alternative 5b</w:t>
      </w:r>
      <w:r>
        <w:t xml:space="preserve"> </w:t>
      </w:r>
      <w:r>
        <w:t xml:space="preserve">differently. Several assumptions are required to derive results. The analysis shows that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even under optimistic assumptions a substantial fiscal gap to finance the equity</w:t>
      </w:r>
      <w:r>
        <w:t xml:space="preserve"> </w:t>
      </w:r>
      <w:r>
        <w:t xml:space="preserve">allowance remains in this static approach.</w:t>
      </w:r>
      <w:r>
        <w:br/>
      </w:r>
      <w:r>
        <w:t xml:space="preserve">Optimistic scenario (this scenario assumes low equity costs and high revenues): only</w:t>
      </w:r>
      <w:r>
        <w:t xml:space="preserve"> </w:t>
      </w:r>
      <w:r>
        <w:t xml:space="preserve">50% of equity is relevant for DEBRA, equity growth with 4% p.a., NIR is 1% or 2%81,</w:t>
      </w:r>
      <w:r>
        <w:t xml:space="preserve"> </w:t>
      </w:r>
      <w:r>
        <w:t xml:space="preserve">10 years duration. All companies, which have been captured under ATAD would now</w:t>
      </w:r>
      <w:r>
        <w:t xml:space="preserve"> </w:t>
      </w:r>
      <w:r>
        <w:t xml:space="preserve">fall under the proportional DEBRA ILR with 15% or 25% of interest being non-</w:t>
      </w:r>
      <w:r>
        <w:t xml:space="preserve"> </w:t>
      </w:r>
      <w:r>
        <w:t xml:space="preserve">deductible. Since interest deductibility has already been limited under ATAD, additional</w:t>
      </w:r>
      <w:r>
        <w:t xml:space="preserve"> </w:t>
      </w:r>
      <w:r>
        <w:t xml:space="preserve">revenue gains are limited, only “new money is considered”. In addition, higher net</w:t>
      </w:r>
      <w:r>
        <w:t xml:space="preserve"> </w:t>
      </w:r>
      <w:r>
        <w:t xml:space="preserve">interest payments are assumed than what is reported in the data. As discussed, interest</w:t>
      </w:r>
      <w:r>
        <w:t xml:space="preserve"> </w:t>
      </w:r>
      <w:r>
        <w:t xml:space="preserve">received is 75% of interest paid overall. Since there might be companies with very high</w:t>
      </w:r>
      <w:r>
        <w:t xml:space="preserve"> </w:t>
      </w:r>
      <w:r>
        <w:t xml:space="preserve">positive net interests and others with negative net interests, the actual contribution of an</w:t>
      </w:r>
      <w:r>
        <w:t xml:space="preserve"> </w:t>
      </w:r>
      <w:r>
        <w:t xml:space="preserve">ILR might be higher than the aggregated difference between interest paid and interest</w:t>
      </w:r>
      <w:r>
        <w:t xml:space="preserve"> </w:t>
      </w:r>
      <w:r>
        <w:t xml:space="preserve">received. In the optimistic scenario it is thus assumed that net interest payments are 50%</w:t>
      </w:r>
      <w:r>
        <w:t xml:space="preserve"> </w:t>
      </w:r>
      <w:r>
        <w:t xml:space="preserve">of gross interest payments (as opposed to 25% as indicated by the data).</w:t>
      </w:r>
      <w:r>
        <w:t xml:space="preserve"> </w:t>
      </w:r>
      <w:r>
        <w:t xml:space="preserve">Pessimistic scenario82 (this scenario assumes higher equity costs and lower revenues</w:t>
      </w:r>
      <w:r>
        <w:t xml:space="preserve"> </w:t>
      </w:r>
      <w:r>
        <w:t xml:space="preserve">from interest limitation): 80% of equity is relevant for DEBRA, 4% growth, NIR is 1%</w:t>
      </w:r>
      <w:r>
        <w:t xml:space="preserve"> </w:t>
      </w:r>
      <w:r>
        <w:t xml:space="preserve">or 2%, 10 years duration. All companies, which have been captured under ATAD remain</w:t>
      </w:r>
      <w:r>
        <w:t xml:space="preserve"> </w:t>
      </w:r>
      <w:r>
        <w:t xml:space="preserve">under ATAD. Net interest expenses are 25% of gross interest paid.</w:t>
      </w:r>
      <w:r>
        <w:t xml:space="preserve"> </w:t>
      </w:r>
      <w:r>
        <w:t xml:space="preserve">The central assumptions of the optimistic and a pessimistic scenario focus on the share of</w:t>
      </w:r>
      <w:r>
        <w:t xml:space="preserve"> </w:t>
      </w:r>
      <w:r>
        <w:t xml:space="preserve">relevant equity, the growth rate of equity and the relationship between gross and net</w:t>
      </w:r>
      <w:r>
        <w:t xml:space="preserve"> </w:t>
      </w:r>
      <w:r>
        <w:t xml:space="preserve">interest payments. The policy parameters of interest are of course the notional interest</w:t>
      </w:r>
      <w:r>
        <w:t xml:space="preserve"> </w:t>
      </w:r>
      <w:r>
        <w:t xml:space="preserve">rate (NIR) and the proportional interest limitation rule, as expressed in option 5a and 5b.</w:t>
      </w:r>
      <w:r>
        <w:br/>
      </w:r>
      <w:r>
        <w:t xml:space="preserve">Table A6.2 reports the financing gap in billion EUR that could result for given policy</w:t>
      </w:r>
      <w:r>
        <w:t xml:space="preserve"> </w:t>
      </w:r>
      <w:r>
        <w:t xml:space="preserve">options and scenarios. The brackets report the share of fiscal costs of the equity</w:t>
      </w:r>
      <w:r>
        <w:t xml:space="preserve"> </w:t>
      </w:r>
      <w:r>
        <w:t xml:space="preserve">allowance which would be covered in the specific context. It becomes obvious that the</w:t>
      </w:r>
      <w:r>
        <w:t xml:space="preserve"> </w:t>
      </w:r>
      <w:r>
        <w:t xml:space="preserve">share of the costs covered is similar for both options. However, in absolute terms the</w:t>
      </w:r>
      <w:r>
        <w:t xml:space="preserve"> </w:t>
      </w:r>
      <w:r>
        <w:t xml:space="preserve">potential financing gap of alternative 5a is more than twice as high as for alternative 5b.</w:t>
      </w:r>
      <w:r>
        <w:t xml:space="preserve"> </w:t>
      </w:r>
      <w:r>
        <w:t xml:space="preserve">Table A6.2: Financing gap in billion EUR (share of equity costs covered)</w:t>
      </w:r>
      <w:r>
        <w:t xml:space="preserve"> </w:t>
      </w:r>
      <w:r>
        <w:t xml:space="preserve">Pessimistic</w:t>
      </w:r>
      <w:r>
        <w:t xml:space="preserve"> </w:t>
      </w:r>
      <w:r>
        <w:t xml:space="preserve">Optimistic</w:t>
      </w:r>
      <w:r>
        <w:t xml:space="preserve"> </w:t>
      </w:r>
      <w:r>
        <w:t xml:space="preserve">Alternative 5a</w:t>
      </w:r>
      <w:r>
        <w:t xml:space="preserve"> </w:t>
      </w:r>
      <w:r>
        <w:t xml:space="preserve">43.6 (4.3%)</w:t>
      </w:r>
      <w:r>
        <w:t xml:space="preserve"> </w:t>
      </w:r>
      <w:r>
        <w:t xml:space="preserve">23.1 (19.0%)</w:t>
      </w:r>
      <w:r>
        <w:t xml:space="preserve"> </w:t>
      </w:r>
      <w:r>
        <w:t xml:space="preserve">Alternative 5b</w:t>
      </w:r>
      <w:r>
        <w:t xml:space="preserve"> </w:t>
      </w:r>
      <w:r>
        <w:t xml:space="preserve">21.6 (5.1%)</w:t>
      </w:r>
      <w:r>
        <w:t xml:space="preserve"> </w:t>
      </w:r>
      <w:r>
        <w:t xml:space="preserve">11 (22.8%)</w:t>
      </w:r>
    </w:p>
    <w:p>
      <w:pPr>
        <w:pStyle w:val="BodyText"/>
      </w:pPr>
      <w:r>
        <w:t xml:space="preserve">These static results indicate a potential financing gap and thus highlight the importance</w:t>
      </w:r>
      <w:r>
        <w:t xml:space="preserve"> </w:t>
      </w:r>
      <w:r>
        <w:t xml:space="preserve">of economic growth for the CORTAX results. If in an uncertain environment effective</w:t>
      </w:r>
      <w:r>
        <w:t xml:space="preserve"> </w:t>
      </w:r>
      <w:r>
        <w:t xml:space="preserve">tax rate reductions and lower costs of equity do not mechanically translate into more</w:t>
      </w:r>
      <w:r>
        <w:t xml:space="preserve"> </w:t>
      </w:r>
      <w:r>
        <w:t xml:space="preserve">investments for exogenous reasons like a war, drought or other major disruptions,</w:t>
      </w:r>
    </w:p>
    <w:p>
      <w:pPr>
        <w:pStyle w:val="BodyText"/>
      </w:pPr>
      <w:r>
        <w:t xml:space="preserve">81 For simplicity a risk free rate of 0% has been assumed. A risk free rate of 0.2% as assumed in CORTAX</w:t>
      </w:r>
      <w:r>
        <w:t xml:space="preserve"> </w:t>
      </w:r>
      <w:r>
        <w:t xml:space="preserve">and the ORBIS calculation would result in even higher allowance costs. The financing gap accordingly</w:t>
      </w:r>
      <w:r>
        <w:t xml:space="preserve"> </w:t>
      </w:r>
      <w:r>
        <w:t xml:space="preserve">increases and the arguments gets even stronger.</w:t>
      </w:r>
      <w:r>
        <w:br/>
      </w:r>
      <w:r>
        <w:t xml:space="preserve">82 The pessimistic scenario has a priori the more probable assumptions.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CORTAX results might be too optimistic about the revenue impacts of alternatives 5a</w:t>
      </w:r>
      <w:r>
        <w:t xml:space="preserve"> </w:t>
      </w:r>
      <w:r>
        <w:t xml:space="preserve">and 5b.</w:t>
      </w:r>
      <w:r>
        <w:br/>
      </w:r>
      <w:r>
        <w:t xml:space="preserve">2.2.3 Evidence from ORBIS</w:t>
      </w:r>
      <w:r>
        <w:t xml:space="preserve"> </w:t>
      </w:r>
      <w:r>
        <w:t xml:space="preserve">ORBIS allows for a company level analysis. While the data suffers from sample bias and</w:t>
      </w:r>
      <w:r>
        <w:t xml:space="preserve"> </w:t>
      </w:r>
      <w:r>
        <w:t xml:space="preserve">net interest expenses cannot be directly observed, the data might still be useful, to</w:t>
      </w:r>
      <w:r>
        <w:t xml:space="preserve"> </w:t>
      </w:r>
      <w:r>
        <w:t xml:space="preserve">understand proportions. In line with the assumption in the optimistic scenario for the</w:t>
      </w:r>
      <w:r>
        <w:t xml:space="preserve"> </w:t>
      </w:r>
      <w:r>
        <w:t xml:space="preserve">national financial accounts, net interest expenses are approximated as 50% of gross</w:t>
      </w:r>
      <w:r>
        <w:t xml:space="preserve"> </w:t>
      </w:r>
      <w:r>
        <w:t xml:space="preserve">interest expenses.</w:t>
      </w:r>
      <w:r>
        <w:t xml:space="preserve"> </w:t>
      </w:r>
      <w:r>
        <w:t xml:space="preserve">If we sum up all equity allowances and all interest limitations, what is the share of</w:t>
      </w:r>
      <w:r>
        <w:t xml:space="preserve"> </w:t>
      </w:r>
      <w:r>
        <w:t xml:space="preserve">revenue losses of the equity allowance which can be covered by the reduction in interest</w:t>
      </w:r>
      <w:r>
        <w:t xml:space="preserve"> </w:t>
      </w:r>
      <w:r>
        <w:t xml:space="preserve">deductibility overall? Table A6.3 reports the shares of expenditure losses covered under</w:t>
      </w:r>
      <w:r>
        <w:t xml:space="preserve"> </w:t>
      </w:r>
      <w:r>
        <w:t xml:space="preserve">the two policy options (columns 2 and 3). Columns 4 and 5 report the share of companies</w:t>
      </w:r>
      <w:r>
        <w:t xml:space="preserve"> </w:t>
      </w:r>
      <w:r>
        <w:t xml:space="preserve">for which the equity allowance is larger than the non-deducted interest payments. It</w:t>
      </w:r>
      <w:r>
        <w:t xml:space="preserve"> </w:t>
      </w:r>
      <w:r>
        <w:t xml:space="preserve">becomes obvious that a considerable majority of companies profits from the measure.</w:t>
      </w:r>
      <w:r>
        <w:t xml:space="preserve"> </w:t>
      </w:r>
      <w:r>
        <w:t xml:space="preserve">Note however that a growth rate of 4% for equity is assumed, i.e. all companies are</w:t>
      </w:r>
      <w:r>
        <w:t xml:space="preserve"> </w:t>
      </w:r>
      <w:r>
        <w:t xml:space="preserve">assumed to increase their equity in each year.</w:t>
      </w:r>
      <w:r>
        <w:br/>
      </w:r>
      <w:r>
        <w:t xml:space="preserve">Table A6.3: Share of expenditure losses covered by DEBRA ILR (overall)</w:t>
      </w:r>
    </w:p>
    <w:p>
      <w:pPr>
        <w:pStyle w:val="BodyText"/>
      </w:pPr>
      <w:r>
        <w:t xml:space="preserve">share covered overall</w:t>
      </w:r>
      <w:r>
        <w:t xml:space="preserve"> </w:t>
      </w:r>
      <w:r>
        <w:t xml:space="preserve">share winner</w:t>
      </w:r>
      <w:r>
        <w:t xml:space="preserve"> </w:t>
      </w:r>
      <w:r>
        <w:t xml:space="preserve">net</w:t>
      </w:r>
      <w:r>
        <w:t xml:space="preserve"> </w:t>
      </w:r>
      <w:r>
        <w:t xml:space="preserve">gross</w:t>
      </w:r>
      <w:r>
        <w:t xml:space="preserve"> </w:t>
      </w:r>
      <w:r>
        <w:t xml:space="preserve">net</w:t>
      </w:r>
      <w:r>
        <w:t xml:space="preserve"> </w:t>
      </w:r>
      <w:r>
        <w:t xml:space="preserve">gross</w:t>
      </w:r>
      <w:r>
        <w:t xml:space="preserve"> </w:t>
      </w:r>
      <w:r>
        <w:t xml:space="preserve">Alternative 5a</w:t>
      </w:r>
      <w:r>
        <w:t xml:space="preserve"> </w:t>
      </w:r>
      <w:r>
        <w:t xml:space="preserve">(2.2%/25%)</w:t>
      </w:r>
      <w:r>
        <w:t xml:space="preserve"> </w:t>
      </w:r>
      <w:r>
        <w:t xml:space="preserve">34,7%</w:t>
      </w:r>
      <w:r>
        <w:t xml:space="preserve"> </w:t>
      </w:r>
      <w:r>
        <w:t xml:space="preserve">69,4%</w:t>
      </w:r>
      <w:r>
        <w:t xml:space="preserve"> </w:t>
      </w:r>
      <w:r>
        <w:t xml:space="preserve">79,7%</w:t>
      </w:r>
      <w:r>
        <w:t xml:space="preserve"> </w:t>
      </w:r>
      <w:r>
        <w:t xml:space="preserve">67,9%</w:t>
      </w:r>
      <w:r>
        <w:t xml:space="preserve"> </w:t>
      </w:r>
      <w:r>
        <w:t xml:space="preserve">Alternative 5b</w:t>
      </w:r>
      <w:r>
        <w:t xml:space="preserve"> </w:t>
      </w:r>
      <w:r>
        <w:t xml:space="preserve">(1.2%/15%)</w:t>
      </w:r>
      <w:r>
        <w:t xml:space="preserve"> </w:t>
      </w:r>
      <w:r>
        <w:t xml:space="preserve">38,2%</w:t>
      </w:r>
      <w:r>
        <w:t xml:space="preserve"> </w:t>
      </w:r>
      <w:r>
        <w:t xml:space="preserve">76,3%</w:t>
      </w:r>
      <w:r>
        <w:t xml:space="preserve"> </w:t>
      </w:r>
      <w:r>
        <w:t xml:space="preserve">78,2%</w:t>
      </w:r>
      <w:r>
        <w:t xml:space="preserve"> </w:t>
      </w:r>
      <w:r>
        <w:t xml:space="preserve">66,2%</w:t>
      </w:r>
    </w:p>
    <w:p>
      <w:pPr>
        <w:pStyle w:val="BodyText"/>
      </w:pPr>
      <w:r>
        <w:t xml:space="preserve">ORBIS data suggests a higher coverage of the costs of the equity allowance as compared</w:t>
      </w:r>
      <w:r>
        <w:t xml:space="preserve"> </w:t>
      </w:r>
      <w:r>
        <w:t xml:space="preserve">to what the estimates based on national financial accounts have suggested.</w:t>
      </w:r>
      <w:r>
        <w:br/>
      </w:r>
      <w:r>
        <w:t xml:space="preserve">2.2.4 Conclusion</w:t>
      </w:r>
      <w:r>
        <w:t xml:space="preserve"> </w:t>
      </w:r>
      <w:r>
        <w:t xml:space="preserve">The combination of three three available data-sources indicates that the calibration of the</w:t>
      </w:r>
      <w:r>
        <w:t xml:space="preserve"> </w:t>
      </w:r>
      <w:r>
        <w:t xml:space="preserve">preferred option achieves an optimal trade-off among conflicting objective, while</w:t>
      </w:r>
      <w:r>
        <w:t xml:space="preserve"> </w:t>
      </w:r>
      <w:r>
        <w:t xml:space="preserve">accounting for possible (model) uncertainties. While in the dynamic context both</w:t>
      </w:r>
      <w:r>
        <w:t xml:space="preserve"> </w:t>
      </w:r>
      <w:r>
        <w:t xml:space="preserve">alternative calibrations of option 5 indicate revenue neutralitiy, a static picture indicates</w:t>
      </w:r>
      <w:r>
        <w:t xml:space="preserve"> </w:t>
      </w:r>
      <w:r>
        <w:t xml:space="preserve">potential substantial fiscal costs, possible only in the short term. A calibration with a</w:t>
      </w:r>
      <w:r>
        <w:t xml:space="preserve"> </w:t>
      </w:r>
      <w:r>
        <w:t xml:space="preserve">lower notional interest rate and a limitation of interest deductability to 85% of net</w:t>
      </w:r>
      <w:r>
        <w:t xml:space="preserve"> </w:t>
      </w:r>
      <w:r>
        <w:t xml:space="preserve">financing costs (15% ILR) reduces the risk of substantial fiscal costs.</w:t>
      </w:r>
      <w:r>
        <w:br/>
      </w:r>
      <w:r>
        <w:t xml:space="preserve">The preceeding paragraph does not consider the SME top-up separately due to data</w:t>
      </w:r>
      <w:r>
        <w:t xml:space="preserve"> </w:t>
      </w:r>
      <w:r>
        <w:t xml:space="preserve">limitations with national financial accounts. In general, the SME top-up will shift up</w:t>
      </w:r>
      <w:r>
        <w:t xml:space="preserve"> </w:t>
      </w:r>
      <w:r>
        <w:t xml:space="preserve">results and make the argument for a more prudent approach based on 1%/1.5% risk</w:t>
      </w:r>
      <w:r>
        <w:t xml:space="preserve"> </w:t>
      </w:r>
      <w:r>
        <w:t xml:space="preserve">premium and 15% interest limitation rule even stronger.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3. Disentangle the effect of equity allowance and ILR on debt bias</w:t>
      </w:r>
      <w:r>
        <w:t xml:space="preserve"> </w:t>
      </w:r>
      <w:r>
        <w:t xml:space="preserve">While it is inherently difficult to disentangle the effect of the equity allowance from the</w:t>
      </w:r>
      <w:r>
        <w:t xml:space="preserve"> </w:t>
      </w:r>
      <w:r>
        <w:t xml:space="preserve">effect of the interest limitation rule, four different model runs of CORTAX can be used</w:t>
      </w:r>
      <w:r>
        <w:t xml:space="preserve"> </w:t>
      </w:r>
      <w:r>
        <w:t xml:space="preserve">to develop some preliminary understanding of the issue.</w:t>
      </w:r>
      <w:r>
        <w:t xml:space="preserve"> </w:t>
      </w:r>
      <w:r>
        <w:t xml:space="preserve">Table A6.4 reports the reduction in the debt share in the EU-27 for given parameter</w:t>
      </w:r>
      <w:r>
        <w:t xml:space="preserve"> </w:t>
      </w:r>
      <w:r>
        <w:t xml:space="preserve">values of option 5. The first four specifications will be used to disentangle the effect of</w:t>
      </w:r>
      <w:r>
        <w:t xml:space="preserve"> </w:t>
      </w:r>
      <w:r>
        <w:t xml:space="preserve">the NIR and the ILR.</w:t>
      </w:r>
      <w:r>
        <w:t xml:space="preserve"> </w:t>
      </w:r>
      <w:r>
        <w:t xml:space="preserve">Table A6.4: Reduction in debt share for different calibrations of Option 5 in CORTAX</w:t>
      </w:r>
    </w:p>
    <w:p>
      <w:pPr>
        <w:pStyle w:val="BodyText"/>
      </w:pPr>
      <w:r>
        <w:t xml:space="preserve">3.2%/25%</w:t>
      </w:r>
      <w:r>
        <w:t xml:space="preserve"> </w:t>
      </w:r>
      <w:r>
        <w:t xml:space="preserve">2.2%/25%</w:t>
      </w:r>
      <w:r>
        <w:t xml:space="preserve"> </w:t>
      </w:r>
      <w:r>
        <w:t xml:space="preserve">3.2%/10%</w:t>
      </w:r>
      <w:r>
        <w:t xml:space="preserve"> </w:t>
      </w:r>
      <w:r>
        <w:t xml:space="preserve">2.2%/10%</w:t>
      </w:r>
      <w:r>
        <w:t xml:space="preserve"> </w:t>
      </w:r>
      <w:r>
        <w:t xml:space="preserve">change in debt share</w:t>
      </w:r>
      <w:r>
        <w:t xml:space="preserve"> </w:t>
      </w:r>
      <w:r>
        <w:t xml:space="preserve">(in percentage points)</w:t>
      </w:r>
      <w:r>
        <w:t xml:space="preserve"> </w:t>
      </w:r>
      <w:r>
        <w:t xml:space="preserve">5.69</w:t>
      </w:r>
      <w:r>
        <w:t xml:space="preserve"> </w:t>
      </w:r>
      <w:r>
        <w:t xml:space="preserve">4.17</w:t>
      </w:r>
      <w:r>
        <w:t xml:space="preserve"> </w:t>
      </w:r>
      <w:r>
        <w:t xml:space="preserve">4.75</w:t>
      </w:r>
      <w:r>
        <w:t xml:space="preserve"> </w:t>
      </w:r>
      <w:r>
        <w:t xml:space="preserve">3.25</w:t>
      </w:r>
    </w:p>
    <w:p>
      <w:pPr>
        <w:pStyle w:val="BodyText"/>
      </w:pPr>
      <w:r>
        <w:t xml:space="preserve">The results are presented in Table A6.5. In line three the specification with 3.2% NIR</w:t>
      </w:r>
      <w:r>
        <w:t xml:space="preserve"> </w:t>
      </w:r>
      <w:r>
        <w:t xml:space="preserve">and 25% ILR is compared with the specification with 2.2% NIR and 25% ILR. The NIR</w:t>
      </w:r>
      <w:r>
        <w:t xml:space="preserve"> </w:t>
      </w:r>
      <w:r>
        <w:t xml:space="preserve">is thus reduced by 31.3% while the ILR is held constant. This leads to a reduction in the</w:t>
      </w:r>
      <w:r>
        <w:t xml:space="preserve"> </w:t>
      </w:r>
      <w:r>
        <w:t xml:space="preserve">change in the debt share by 1.52 percentage points (5.69-4.17=1.52)</w:t>
      </w:r>
      <w:r>
        <w:br/>
      </w:r>
      <w:r>
        <w:t xml:space="preserve">There are thus two main insights: The notional interest rate has a stronger effect on the</w:t>
      </w:r>
      <w:r>
        <w:t xml:space="preserve"> </w:t>
      </w:r>
      <w:r>
        <w:t xml:space="preserve">reduction of the debt shares compared to the interest limitation rule. While a reduction of</w:t>
      </w:r>
      <w:r>
        <w:t xml:space="preserve"> </w:t>
      </w:r>
      <w:r>
        <w:t xml:space="preserve">the NIR by 31.3% (from 3.2% to 2.2%) leads to a change in the debt change of about 1.5</w:t>
      </w:r>
      <w:r>
        <w:t xml:space="preserve"> </w:t>
      </w:r>
      <w:r>
        <w:t xml:space="preserve">percentage points, a reduction in the ILR by 60% (from 25% to 10%) results only in a</w:t>
      </w:r>
      <w:r>
        <w:t xml:space="preserve"> </w:t>
      </w:r>
      <w:r>
        <w:t xml:space="preserve">change in the debt change of about 0.95 percentage points. Secondly, there is a</w:t>
      </w:r>
      <w:r>
        <w:t xml:space="preserve"> </w:t>
      </w:r>
      <w:r>
        <w:t xml:space="preserve">complementarity between the NIR and the ILR. A given change in the NIR has a larger</w:t>
      </w:r>
      <w:r>
        <w:t xml:space="preserve"> </w:t>
      </w:r>
      <w:r>
        <w:t xml:space="preserve">effect if the ILR is higher. Similarly, a given change in the ILR is more impact full when</w:t>
      </w:r>
      <w:r>
        <w:t xml:space="preserve"> </w:t>
      </w:r>
      <w:r>
        <w:t xml:space="preserve">the NIR is higher.</w:t>
      </w:r>
      <w:r>
        <w:t xml:space="preserve"> </w:t>
      </w:r>
      <w:r>
        <w:t xml:space="preserve">Table A6.5: The effect of changes in NIR and ILR on changes in the debt share</w:t>
      </w:r>
      <w:r>
        <w:t xml:space="preserve"> </w:t>
      </w:r>
      <w:r>
        <w:t xml:space="preserve">effect of NIR change</w:t>
      </w:r>
      <w:r>
        <w:t xml:space="preserve"> </w:t>
      </w:r>
      <w:r>
        <w:t xml:space="preserve">Change in NIR</w:t>
      </w:r>
      <w:r>
        <w:t xml:space="preserve"> </w:t>
      </w:r>
      <w:r>
        <w:t xml:space="preserve">Change in</w:t>
      </w:r>
      <w:r>
        <w:t xml:space="preserve"> </w:t>
      </w:r>
      <w:r>
        <w:t xml:space="preserve">debt share</w:t>
      </w:r>
      <w:r>
        <w:t xml:space="preserve"> </w:t>
      </w:r>
      <w:r>
        <w:t xml:space="preserve">(in pp)</w:t>
      </w:r>
      <w:r>
        <w:t xml:space="preserve"> </w:t>
      </w:r>
      <w:r>
        <w:t xml:space="preserve">from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3.2%/25%</w:t>
      </w:r>
      <w:r>
        <w:t xml:space="preserve"> </w:t>
      </w:r>
      <w:r>
        <w:t xml:space="preserve">2.2%/25%</w:t>
      </w:r>
      <w:r>
        <w:t xml:space="preserve"> </w:t>
      </w:r>
      <w:r>
        <w:t xml:space="preserve">31.3%</w:t>
      </w:r>
      <w:r>
        <w:t xml:space="preserve"> </w:t>
      </w:r>
      <w:r>
        <w:t xml:space="preserve">1.52</w:t>
      </w:r>
      <w:r>
        <w:t xml:space="preserve"> </w:t>
      </w:r>
      <w:r>
        <w:t xml:space="preserve">3.2%/10%</w:t>
      </w:r>
      <w:r>
        <w:t xml:space="preserve"> </w:t>
      </w:r>
      <w:r>
        <w:t xml:space="preserve">2.2%/10%</w:t>
      </w:r>
      <w:r>
        <w:t xml:space="preserve"> </w:t>
      </w:r>
      <w:r>
        <w:t xml:space="preserve">31.3%</w:t>
      </w:r>
      <w:r>
        <w:t xml:space="preserve"> </w:t>
      </w:r>
      <w:r>
        <w:t xml:space="preserve">1.5</w:t>
      </w:r>
      <w:r>
        <w:t xml:space="preserve"> </w:t>
      </w:r>
      <w:r>
        <w:t xml:space="preserve">effect of ILR change</w:t>
      </w:r>
      <w:r>
        <w:t xml:space="preserve"> </w:t>
      </w:r>
      <w:r>
        <w:t xml:space="preserve">Change in ILR</w:t>
      </w:r>
      <w:r>
        <w:t xml:space="preserve"> </w:t>
      </w:r>
      <w:r>
        <w:t xml:space="preserve">Change in</w:t>
      </w:r>
      <w:r>
        <w:t xml:space="preserve"> </w:t>
      </w:r>
      <w:r>
        <w:t xml:space="preserve">debt share</w:t>
      </w:r>
      <w:r>
        <w:t xml:space="preserve"> </w:t>
      </w:r>
      <w:r>
        <w:t xml:space="preserve">(in pp)</w:t>
      </w:r>
      <w:r>
        <w:t xml:space="preserve"> </w:t>
      </w:r>
      <w:r>
        <w:t xml:space="preserve">from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3.2%/25%</w:t>
      </w:r>
      <w:r>
        <w:t xml:space="preserve"> </w:t>
      </w:r>
      <w:r>
        <w:t xml:space="preserve">3.2%/10%</w:t>
      </w:r>
      <w:r>
        <w:t xml:space="preserve"> </w:t>
      </w:r>
      <w:r>
        <w:t xml:space="preserve">60%</w:t>
      </w:r>
      <w:r>
        <w:t xml:space="preserve"> </w:t>
      </w:r>
      <w:r>
        <w:t xml:space="preserve">0.94</w:t>
      </w:r>
      <w:r>
        <w:t xml:space="preserve"> </w:t>
      </w:r>
      <w:r>
        <w:t xml:space="preserve">2.2%/25%</w:t>
      </w:r>
      <w:r>
        <w:t xml:space="preserve"> </w:t>
      </w:r>
      <w:r>
        <w:t xml:space="preserve">2.2%/10%</w:t>
      </w:r>
      <w:r>
        <w:t xml:space="preserve"> </w:t>
      </w:r>
      <w:r>
        <w:t xml:space="preserve">60%</w:t>
      </w:r>
      <w:r>
        <w:t xml:space="preserve"> </w:t>
      </w:r>
      <w:r>
        <w:t xml:space="preserve">0.92</w:t>
      </w:r>
      <w:r>
        <w:t xml:space="preserve"> </w:t>
      </w:r>
      <w:r>
        <w:t xml:space="preserve">ANNEX 7: OVERVIEW OF EXISTING MEASURES IN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1.</w:t>
      </w:r>
      <w:r>
        <w:t xml:space="preserve"> </w:t>
      </w:r>
      <w:r>
        <w:t xml:space="preserve">Existing measures of interest allowance for equity in EU Member States</w:t>
      </w:r>
      <w:r>
        <w:t xml:space="preserve"> </w:t>
      </w:r>
      <w:r>
        <w:t xml:space="preserve">Table A7.1: Overview of existing notional interest allowances</w:t>
      </w:r>
      <w:r>
        <w:t xml:space="preserve"> </w:t>
      </w:r>
      <w:r>
        <w:t xml:space="preserve">Country</w:t>
      </w:r>
      <w:r>
        <w:t xml:space="preserve"> </w:t>
      </w:r>
      <w:r>
        <w:t xml:space="preserve">Period</w:t>
      </w:r>
      <w:r>
        <w:t xml:space="preserve"> </w:t>
      </w:r>
      <w:r>
        <w:t xml:space="preserve">Details</w:t>
      </w:r>
      <w:r>
        <w:t xml:space="preserve"> </w:t>
      </w:r>
      <w:r>
        <w:t xml:space="preserve">Notional interest</w:t>
      </w:r>
      <w:r>
        <w:t xml:space="preserve"> </w:t>
      </w:r>
      <w:r>
        <w:t xml:space="preserve">rate and equity</w:t>
      </w:r>
      <w:r>
        <w:t xml:space="preserve"> </w:t>
      </w:r>
      <w:r>
        <w:t xml:space="preserve">base</w:t>
      </w:r>
      <w:r>
        <w:t xml:space="preserve"> </w:t>
      </w:r>
      <w:r>
        <w:t xml:space="preserve">Belgium</w:t>
      </w:r>
      <w:r>
        <w:t xml:space="preserve"> </w:t>
      </w:r>
      <w:r>
        <w:t xml:space="preserve">Since</w:t>
      </w:r>
      <w:r>
        <w:t xml:space="preserve"> </w:t>
      </w:r>
      <w:r>
        <w:t xml:space="preserve">2006</w:t>
      </w:r>
      <w:r>
        <w:t xml:space="preserve"> </w:t>
      </w:r>
      <w:r>
        <w:t xml:space="preserve">The notional interest deduction allows all businesses subject to</w:t>
      </w:r>
      <w:r>
        <w:t xml:space="preserve"> </w:t>
      </w:r>
      <w:r>
        <w:t xml:space="preserve">Belgian corporate income tax to deduct a fictitious amount of interest,</w:t>
      </w:r>
      <w:r>
        <w:t xml:space="preserve"> </w:t>
      </w:r>
      <w:r>
        <w:t xml:space="preserve">calculated based on their shareholders’ equity (net assets) from their taxable</w:t>
      </w:r>
      <w:r>
        <w:t xml:space="preserve"> </w:t>
      </w:r>
      <w:r>
        <w:t xml:space="preserve">income. In 2013, legislative changes ruled out the carrying-forward of</w:t>
      </w:r>
      <w:r>
        <w:t xml:space="preserve"> </w:t>
      </w:r>
      <w:r>
        <w:t xml:space="preserve">unused allowances. The base rate for the NIR is the ten year linear treasury</w:t>
      </w:r>
      <w:r>
        <w:t xml:space="preserve"> </w:t>
      </w:r>
      <w:r>
        <w:t xml:space="preserve">bond. Small firms receive an additional 0.5% risk premium on their</w:t>
      </w:r>
      <w:r>
        <w:t xml:space="preserve"> </w:t>
      </w:r>
      <w:r>
        <w:t xml:space="preserve">notional rate. By law, the notional interest rate cannot exceed 3%. Since</w:t>
      </w:r>
      <w:r>
        <w:t xml:space="preserve"> </w:t>
      </w:r>
      <w:r>
        <w:t xml:space="preserve">2018, the deduction no longer applies to the full equity stock but on the</w:t>
      </w:r>
      <w:r>
        <w:t xml:space="preserve"> </w:t>
      </w:r>
      <w:r>
        <w:t xml:space="preserve">incremental adjusted net accounting equity of a company over a period of 5</w:t>
      </w:r>
      <w:r>
        <w:t xml:space="preserve"> </w:t>
      </w:r>
      <w:r>
        <w:t xml:space="preserve">years. It includes anti-avoidance provisions to prevent the cascading of the</w:t>
      </w:r>
      <w:r>
        <w:t xml:space="preserve"> </w:t>
      </w:r>
      <w:r>
        <w:t xml:space="preserve">tax benefit and the re-categorisation of old capital in new capital.</w:t>
      </w:r>
      <w:r>
        <w:t xml:space="preserve"> </w:t>
      </w:r>
      <w:r>
        <w:t xml:space="preserve">NIR in 2020 is 0.0% (0.5</w:t>
      </w:r>
      <w:r>
        <w:t xml:space="preserve"> </w:t>
      </w:r>
      <w:r>
        <w:t xml:space="preserve">p.p. higher for SMEs,</w:t>
      </w:r>
      <w:r>
        <w:t xml:space="preserve"> </w:t>
      </w:r>
      <w:r>
        <w:t xml:space="preserve">i.e. 0.34%), new equity</w:t>
      </w:r>
      <w:r>
        <w:t xml:space="preserve"> </w:t>
      </w:r>
      <w:r>
        <w:t xml:space="preserve">Cyprus</w:t>
      </w:r>
      <w:r>
        <w:t xml:space="preserve"> </w:t>
      </w:r>
      <w:r>
        <w:t xml:space="preserve">Since</w:t>
      </w:r>
      <w:r>
        <w:t xml:space="preserve"> </w:t>
      </w:r>
      <w:r>
        <w:t xml:space="preserve">2015</w:t>
      </w:r>
      <w:r>
        <w:t xml:space="preserve"> </w:t>
      </w:r>
      <w:r>
        <w:t xml:space="preserve">Applicable new equity is calculated against 2015 as a base year. The</w:t>
      </w:r>
      <w:r>
        <w:t xml:space="preserve"> </w:t>
      </w:r>
      <w:r>
        <w:t xml:space="preserve">notional interest deduction is limited to 80% of the taxable profit generated</w:t>
      </w:r>
      <w:r>
        <w:t xml:space="preserve"> </w:t>
      </w:r>
      <w:r>
        <w:t xml:space="preserve">from the new equity as calculated before the application of the notional</w:t>
      </w:r>
      <w:r>
        <w:t xml:space="preserve"> </w:t>
      </w:r>
      <w:r>
        <w:t xml:space="preserve">interest deduction and applies only to fully-owned subsidiaries if their</w:t>
      </w:r>
      <w:r>
        <w:t xml:space="preserve"> </w:t>
      </w:r>
      <w:r>
        <w:t xml:space="preserve">assets are used for business (non-financial) purposes. The notional interest</w:t>
      </w:r>
      <w:r>
        <w:t xml:space="preserve"> </w:t>
      </w:r>
      <w:r>
        <w:t xml:space="preserve">rate is the 10-year government bond rate plus a 5% risk premium. The 10-</w:t>
      </w:r>
      <w:r>
        <w:t xml:space="preserve"> </w:t>
      </w:r>
      <w:r>
        <w:t xml:space="preserve">year Cypriot government bond rate only applies if the country in which the</w:t>
      </w:r>
      <w:r>
        <w:t xml:space="preserve"> </w:t>
      </w:r>
      <w:r>
        <w:t xml:space="preserve">new equity is invested has not issued any government bond up until</w:t>
      </w:r>
      <w:r>
        <w:t xml:space="preserve"> </w:t>
      </w:r>
      <w:r>
        <w:t xml:space="preserve">December 31 of the previous year.</w:t>
      </w:r>
      <w:r>
        <w:t xml:space="preserve"> </w:t>
      </w:r>
      <w:r>
        <w:t xml:space="preserve">NIR in 2020 is 5%.</w:t>
      </w:r>
      <w:r>
        <w:br/>
      </w:r>
      <w:r>
        <w:t xml:space="preserve">min. 4.5%; max.</w:t>
      </w:r>
      <w:r>
        <w:t xml:space="preserve"> </w:t>
      </w:r>
      <w:r>
        <w:t xml:space="preserve">18.5%, new equity</w:t>
      </w:r>
      <w:r>
        <w:t xml:space="preserve"> </w:t>
      </w:r>
      <w:r>
        <w:t xml:space="preserve">Italy</w:t>
      </w:r>
      <w:r>
        <w:t xml:space="preserve"> </w:t>
      </w:r>
      <w:r>
        <w:t xml:space="preserve">Since</w:t>
      </w:r>
      <w:r>
        <w:t xml:space="preserve"> </w:t>
      </w:r>
      <w:r>
        <w:t xml:space="preserve">2011</w:t>
      </w:r>
      <w:r>
        <w:t xml:space="preserve"> </w:t>
      </w:r>
      <w:r>
        <w:t xml:space="preserve">The NID is applicable on new equity compared to the end of 2010 situation.</w:t>
      </w:r>
      <w:r>
        <w:t xml:space="preserve"> </w:t>
      </w:r>
      <w:r>
        <w:t xml:space="preserve">The considered new equity includes the equity contributions and retained</w:t>
      </w:r>
      <w:r>
        <w:t xml:space="preserve"> </w:t>
      </w:r>
      <w:r>
        <w:t xml:space="preserve">earnings, excluding the profits allocated to a non-disposable reserve. It</w:t>
      </w:r>
      <w:r>
        <w:t xml:space="preserve"> </w:t>
      </w:r>
      <w:r>
        <w:t xml:space="preserve">deducts reductions to the net equity with assignment to shareholders</w:t>
      </w:r>
      <w:r>
        <w:t xml:space="preserve"> </w:t>
      </w:r>
      <w:r>
        <w:t xml:space="preserve">(especially dividend distributions), investment in controlled businesses, and</w:t>
      </w:r>
      <w:r>
        <w:t xml:space="preserve"> </w:t>
      </w:r>
      <w:r>
        <w:t xml:space="preserve">certain intra-group business acquisitions and transactions. The notional</w:t>
      </w:r>
      <w:r>
        <w:t xml:space="preserve"> </w:t>
      </w:r>
      <w:r>
        <w:t xml:space="preserve">interest rate is fixed annually by the authorities.</w:t>
      </w:r>
      <w:r>
        <w:t xml:space="preserve"> </w:t>
      </w:r>
      <w:r>
        <w:t xml:space="preserve">1.3%, new equity</w:t>
      </w:r>
      <w:r>
        <w:t xml:space="preserve"> </w:t>
      </w:r>
      <w:r>
        <w:t xml:space="preserve">Malta</w:t>
      </w:r>
      <w:r>
        <w:t xml:space="preserve"> </w:t>
      </w:r>
      <w:r>
        <w:t xml:space="preserve">Since</w:t>
      </w:r>
      <w:r>
        <w:t xml:space="preserve"> </w:t>
      </w:r>
      <w:r>
        <w:t xml:space="preserve">2018</w:t>
      </w:r>
      <w:r>
        <w:t xml:space="preserve"> </w:t>
      </w:r>
      <w:r>
        <w:t xml:space="preserve">Notional interest deduction is applied on the stock of equity. The notional</w:t>
      </w:r>
      <w:r>
        <w:t xml:space="preserve"> </w:t>
      </w:r>
      <w:r>
        <w:t xml:space="preserve">interest rate is set to the rate of 20 year Maltese government bonds (1.37%</w:t>
      </w:r>
      <w:r>
        <w:t xml:space="preserve"> </w:t>
      </w:r>
      <w:r>
        <w:t xml:space="preserve">in Q3 2020), plus a risk premium of 5%.</w:t>
      </w:r>
      <w:r>
        <w:t xml:space="preserve"> </w:t>
      </w:r>
      <w:r>
        <w:t xml:space="preserve">6.47% (in 2020)</w:t>
      </w:r>
      <w:r>
        <w:t xml:space="preserve"> </w:t>
      </w:r>
      <w:r>
        <w:t xml:space="preserve">Poland</w:t>
      </w:r>
      <w:r>
        <w:t xml:space="preserve"> </w:t>
      </w:r>
      <w:r>
        <w:t xml:space="preserve">Since</w:t>
      </w:r>
      <w:r>
        <w:t xml:space="preserve"> </w:t>
      </w:r>
      <w:r>
        <w:t xml:space="preserve">2019</w:t>
      </w:r>
      <w:r>
        <w:t xml:space="preserve"> </w:t>
      </w:r>
      <w:r>
        <w:t xml:space="preserve">Incremental NID. The notional return is deductible up to approximately</w:t>
      </w:r>
      <w:r>
        <w:t xml:space="preserve"> </w:t>
      </w:r>
      <w:r>
        <w:t xml:space="preserve">EUR 55000. The notional interest rate is the National Bank of Poland’s</w:t>
      </w:r>
      <w:r>
        <w:t xml:space="preserve"> </w:t>
      </w:r>
      <w:r>
        <w:t xml:space="preserve">reference rate (as applicable on the last day of the preceding calendar year),</w:t>
      </w:r>
      <w:r>
        <w:t xml:space="preserve"> </w:t>
      </w:r>
      <w:r>
        <w:t xml:space="preserve">plus 1 p.p. The allowance is applied for three years.</w:t>
      </w:r>
      <w:r>
        <w:t xml:space="preserve"> </w:t>
      </w:r>
      <w:r>
        <w:t xml:space="preserve">2.5%, full equity stock</w:t>
      </w:r>
      <w:r>
        <w:t xml:space="preserve"> </w:t>
      </w:r>
      <w:r>
        <w:t xml:space="preserve">Portugal</w:t>
      </w:r>
      <w:r>
        <w:t xml:space="preserve"> </w:t>
      </w:r>
      <w:r>
        <w:t xml:space="preserve">Since</w:t>
      </w:r>
      <w:r>
        <w:t xml:space="preserve"> </w:t>
      </w:r>
      <w:r>
        <w:t xml:space="preserve">2017</w:t>
      </w:r>
      <w:r>
        <w:t xml:space="preserve"> </w:t>
      </w:r>
      <w:r>
        <w:t xml:space="preserve">The notional return is deductible up to EUR 2 million and capped at 25%</w:t>
      </w:r>
      <w:r>
        <w:t xml:space="preserve"> </w:t>
      </w:r>
      <w:r>
        <w:t xml:space="preserve">of firm EBITDA. It applies to capital increases for 6 years, provided equity</w:t>
      </w:r>
      <w:r>
        <w:t xml:space="preserve"> </w:t>
      </w:r>
      <w:r>
        <w:t xml:space="preserve">capital is not reduced in that period. The notional rate is fixed by law.</w:t>
      </w:r>
      <w:r>
        <w:t xml:space="preserve"> </w:t>
      </w:r>
      <w:r>
        <w:t xml:space="preserve">7.0%, new equity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2.</w:t>
      </w:r>
      <w:r>
        <w:t xml:space="preserve"> </w:t>
      </w:r>
      <w:r>
        <w:t xml:space="preserve">Transposition of ATAD 1 interest limitation rules in EU Member States</w:t>
      </w:r>
    </w:p>
    <w:p>
      <w:pPr>
        <w:pStyle w:val="BodyText"/>
      </w:pPr>
      <w:r>
        <w:t xml:space="preserve">Table A7.2: Transposition of the ATAD 1 interest limitation rule</w:t>
      </w:r>
    </w:p>
    <w:p>
      <w:pPr>
        <w:pStyle w:val="BodyText"/>
      </w:pPr>
      <w:r>
        <w:t xml:space="preserve">Which deductibility</w:t>
      </w:r>
      <w:r>
        <w:t xml:space="preserve"> </w:t>
      </w:r>
      <w:r>
        <w:t xml:space="preserve">threshold is used?</w:t>
      </w:r>
      <w:r>
        <w:t xml:space="preserve"> </w:t>
      </w:r>
      <w:r>
        <w:t xml:space="preserve">(deductibility up to 30%</w:t>
      </w:r>
      <w:r>
        <w:t xml:space="preserve"> </w:t>
      </w:r>
      <w:r>
        <w:t xml:space="preserve">of the EBITDA under</w:t>
      </w:r>
      <w:r>
        <w:t xml:space="preserve"> </w:t>
      </w:r>
      <w:r>
        <w:t xml:space="preserve">article 4(1) of the ATAD)</w:t>
      </w:r>
      <w:r>
        <w:t xml:space="preserve"> </w:t>
      </w:r>
      <w:r>
        <w:t xml:space="preserve">Is a safe harbour threshold</w:t>
      </w:r>
      <w:r>
        <w:t xml:space="preserve"> </w:t>
      </w:r>
      <w:r>
        <w:t xml:space="preserve">implemented?</w:t>
      </w:r>
      <w:r>
        <w:br/>
      </w:r>
      <w:r>
        <w:t xml:space="preserve">(article 4(3)(a) of the ATAD)</w:t>
      </w:r>
      <w:r>
        <w:t xml:space="preserve"> </w:t>
      </w:r>
      <w:r>
        <w:t xml:space="preserve">Are financial</w:t>
      </w:r>
      <w:r>
        <w:t xml:space="preserve"> </w:t>
      </w:r>
      <w:r>
        <w:t xml:space="preserve">undertakings</w:t>
      </w:r>
      <w:r>
        <w:t xml:space="preserve"> </w:t>
      </w:r>
      <w:r>
        <w:t xml:space="preserve">excluded</w:t>
      </w:r>
      <w:r>
        <w:t xml:space="preserve"> </w:t>
      </w:r>
      <w:r>
        <w:t xml:space="preserve">from the</w:t>
      </w:r>
      <w:r>
        <w:t xml:space="preserve"> </w:t>
      </w:r>
      <w:r>
        <w:t xml:space="preserve">scope of the</w:t>
      </w:r>
      <w:r>
        <w:t xml:space="preserve"> </w:t>
      </w:r>
      <w:r>
        <w:t xml:space="preserve">rule?</w:t>
      </w:r>
      <w:r>
        <w:br/>
      </w:r>
      <w:r>
        <w:t xml:space="preserve">(article 4(7) of</w:t>
      </w:r>
      <w:r>
        <w:t xml:space="preserve"> </w:t>
      </w:r>
      <w:r>
        <w:t xml:space="preserve">the ATAD)</w:t>
      </w:r>
      <w:r>
        <w:t xml:space="preserve"> </w:t>
      </w:r>
      <w:r>
        <w:t xml:space="preserve">Is it possible to</w:t>
      </w:r>
      <w:r>
        <w:t xml:space="preserve"> </w:t>
      </w:r>
      <w:r>
        <w:t xml:space="preserve">carry-forward or</w:t>
      </w:r>
      <w:r>
        <w:t xml:space="preserve"> </w:t>
      </w:r>
      <w:r>
        <w:t xml:space="preserve">carry-back</w:t>
      </w:r>
      <w:r>
        <w:t xml:space="preserve"> </w:t>
      </w:r>
      <w:r>
        <w:t xml:space="preserve">borrowing costs</w:t>
      </w:r>
      <w:r>
        <w:t xml:space="preserve"> </w:t>
      </w:r>
      <w:r>
        <w:t xml:space="preserve">that are not</w:t>
      </w:r>
      <w:r>
        <w:t xml:space="preserve"> </w:t>
      </w:r>
      <w:r>
        <w:t xml:space="preserve">deducted?</w:t>
      </w:r>
      <w:r>
        <w:br/>
      </w:r>
      <w:r>
        <w:t xml:space="preserve">(article 4(6) of the</w:t>
      </w:r>
      <w:r>
        <w:t xml:space="preserve"> </w:t>
      </w:r>
      <w:r>
        <w:t xml:space="preserve">ATAD)</w:t>
      </w:r>
      <w:r>
        <w:t xml:space="preserve"> </w:t>
      </w:r>
      <w:r>
        <w:t xml:space="preserve">Austria</w:t>
      </w:r>
      <w:r>
        <w:t xml:space="preserve"> </w:t>
      </w:r>
      <w:r>
        <w:t xml:space="preserve">Deductibility up to 30%</w:t>
      </w:r>
      <w:r>
        <w:t xml:space="preserve"> </w:t>
      </w:r>
      <w:r>
        <w:t xml:space="preserve">of the EBITDA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Belgium</w:t>
      </w:r>
      <w:r>
        <w:t xml:space="preserve"> </w:t>
      </w:r>
      <w:r>
        <w:t xml:space="preserve">30% of the calculation</w:t>
      </w:r>
      <w:r>
        <w:t xml:space="preserve"> </w:t>
      </w:r>
      <w:r>
        <w:t xml:space="preserve">base1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Bulgaria</w:t>
      </w:r>
      <w:r>
        <w:t xml:space="preserve"> </w:t>
      </w:r>
      <w:r>
        <w:t xml:space="preserve">Deductibility up to 30%</w:t>
      </w:r>
      <w:r>
        <w:t xml:space="preserve"> </w:t>
      </w:r>
      <w:r>
        <w:t xml:space="preserve">of the EBITDA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Croatia</w:t>
      </w:r>
      <w:r>
        <w:t xml:space="preserve"> </w:t>
      </w:r>
      <w:r>
        <w:t xml:space="preserve">30% of the calculation</w:t>
      </w:r>
      <w:r>
        <w:t xml:space="preserve"> </w:t>
      </w:r>
      <w:r>
        <w:t xml:space="preserve">base1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for 3 years</w:t>
      </w:r>
      <w:r>
        <w:t xml:space="preserve"> </w:t>
      </w:r>
      <w:r>
        <w:t xml:space="preserve">Cyprus</w:t>
      </w:r>
      <w:r>
        <w:t xml:space="preserve"> </w:t>
      </w:r>
      <w:r>
        <w:t xml:space="preserve">30% of EBITDA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Carry-forward is</w:t>
      </w:r>
      <w:r>
        <w:t xml:space="preserve"> </w:t>
      </w:r>
      <w:r>
        <w:t xml:space="preserve">possible.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 - CZK 80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Denmark</w:t>
      </w:r>
      <w:r>
        <w:t xml:space="preserve"> </w:t>
      </w:r>
      <w:r>
        <w:t xml:space="preserve">30% EBITDA</w:t>
      </w:r>
      <w:r>
        <w:t xml:space="preserve"> </w:t>
      </w:r>
      <w:r>
        <w:t xml:space="preserve">Yes. Full deductibility up to</w:t>
      </w:r>
      <w:r>
        <w:t xml:space="preserve"> </w:t>
      </w:r>
      <w:r>
        <w:t xml:space="preserve">DKK 22,313,400 (equivalent</w:t>
      </w:r>
      <w:r>
        <w:t xml:space="preserve"> </w:t>
      </w:r>
      <w:r>
        <w:t xml:space="preserve">to EUR 3 million)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Estonia</w:t>
      </w:r>
      <w:r>
        <w:t xml:space="preserve"> </w:t>
      </w:r>
      <w:r>
        <w:t xml:space="preserve">30% EBITDA</w:t>
      </w:r>
      <w:r>
        <w:t xml:space="preserve"> </w:t>
      </w:r>
      <w:r>
        <w:t xml:space="preserve">Yes,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Finland</w:t>
      </w:r>
      <w:r>
        <w:t xml:space="preserve"> </w:t>
      </w:r>
      <w:r>
        <w:t xml:space="preserve">25% of the EBITD</w:t>
      </w:r>
      <w:r>
        <w:t xml:space="preserve"> </w:t>
      </w:r>
      <w:r>
        <w:t xml:space="preserve">Yes - EUR 500,000 for loans</w:t>
      </w:r>
      <w:r>
        <w:t xml:space="preserve"> </w:t>
      </w:r>
      <w:r>
        <w:t xml:space="preserve">between related parties and</w:t>
      </w:r>
      <w:r>
        <w:t xml:space="preserve"> </w:t>
      </w:r>
      <w:r>
        <w:t xml:space="preserve">EUR 3 million for loans from</w:t>
      </w:r>
      <w:r>
        <w:t xml:space="preserve"> </w:t>
      </w:r>
      <w:r>
        <w:t xml:space="preserve">unrelated parties</w:t>
      </w:r>
      <w:r>
        <w:t xml:space="preserve"> </w:t>
      </w:r>
      <w:r>
        <w:t xml:space="preserve">Yes</w:t>
      </w:r>
      <w:r>
        <w:t xml:space="preserve"> </w:t>
      </w:r>
      <w:r>
        <w:t xml:space="preserve">Yes (only carry-</w:t>
      </w:r>
      <w:r>
        <w:t xml:space="preserve"> </w:t>
      </w:r>
      <w:r>
        <w:t xml:space="preserve">forward)</w:t>
      </w:r>
      <w:r>
        <w:t xml:space="preserve"> </w:t>
      </w:r>
      <w:r>
        <w:t xml:space="preserve">France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1) Non-deducted</w:t>
      </w:r>
      <w:r>
        <w:t xml:space="preserve"> </w:t>
      </w:r>
      <w:r>
        <w:t xml:space="preserve">borrowing costs:</w:t>
      </w:r>
      <w:r>
        <w:t xml:space="preserve"> </w:t>
      </w:r>
      <w:r>
        <w:t xml:space="preserve">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2) Unused interest</w:t>
      </w:r>
      <w:r>
        <w:t xml:space="preserve"> </w:t>
      </w:r>
      <w:r>
        <w:t xml:space="preserve">capacity: carried</w:t>
      </w:r>
      <w:r>
        <w:t xml:space="preserve"> </w:t>
      </w:r>
      <w:r>
        <w:t xml:space="preserve">forward up to 5 years</w:t>
      </w:r>
      <w:r>
        <w:t xml:space="preserve"> </w:t>
      </w:r>
      <w:r>
        <w:t xml:space="preserve">Germany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</w:t>
      </w:r>
      <w:r>
        <w:t xml:space="preserve"> </w:t>
      </w:r>
      <w:r>
        <w:t xml:space="preserve">Full deductibility of exceeding</w:t>
      </w:r>
      <w:r>
        <w:t xml:space="preserve"> </w:t>
      </w:r>
      <w:r>
        <w:t xml:space="preserve">borrowing costs up to EUR 3</w:t>
      </w:r>
      <w:r>
        <w:t xml:space="preserve"> </w:t>
      </w:r>
      <w:r>
        <w:t xml:space="preserve">million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Greece</w:t>
      </w:r>
      <w:r>
        <w:t xml:space="preserve"> </w:t>
      </w:r>
      <w:r>
        <w:t xml:space="preserve">30% of EBITDA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Hungary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HUF 939,810,000 (approx.</w:t>
      </w:r>
      <w:r>
        <w:t xml:space="preserve"> </w:t>
      </w:r>
      <w:r>
        <w:t xml:space="preserve">EUR 3 million at the time of</w:t>
      </w:r>
      <w:r>
        <w:t xml:space="preserve"> </w:t>
      </w:r>
      <w:r>
        <w:t xml:space="preserve">the implementation)</w:t>
      </w:r>
      <w:r>
        <w:t xml:space="preserve"> </w:t>
      </w:r>
      <w:r>
        <w:t xml:space="preserve">Yes</w:t>
      </w:r>
      <w:r>
        <w:t xml:space="preserve"> </w:t>
      </w:r>
      <w:r>
        <w:t xml:space="preserve">Carry-forward is</w:t>
      </w:r>
      <w:r>
        <w:t xml:space="preserve"> </w:t>
      </w:r>
      <w:r>
        <w:t xml:space="preserve">generally available</w:t>
      </w:r>
      <w:r>
        <w:t xml:space="preserve"> </w:t>
      </w:r>
      <w:r>
        <w:t xml:space="preserve">for 5 years</w:t>
      </w:r>
      <w:r>
        <w:t xml:space="preserve"> </w:t>
      </w:r>
      <w:r>
        <w:t xml:space="preserve">Ireland</w:t>
      </w:r>
      <w:r>
        <w:t xml:space="preserve"> </w:t>
      </w:r>
      <w:r>
        <w:t xml:space="preserve">Interest limitation rule is</w:t>
      </w:r>
      <w:r>
        <w:t xml:space="preserve"> </w:t>
      </w:r>
      <w:r>
        <w:t xml:space="preserve">not based on a threshold,</w:t>
      </w:r>
      <w:r>
        <w:t xml:space="preserve"> </w:t>
      </w:r>
      <w:r>
        <w:t xml:space="preserve">but on qualification</w:t>
      </w:r>
      <w:r>
        <w:t xml:space="preserve"> </w:t>
      </w:r>
      <w:r>
        <w:t xml:space="preserve">criteria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Italy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30% of the EBITDA</w:t>
      </w:r>
    </w:p>
    <w:p>
      <w:pPr>
        <w:pStyle w:val="BodyText"/>
      </w:pPr>
      <w:r>
        <w:t xml:space="preserve">Yes, EUR 3 million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Lithuania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Yes, full deductibility of</w:t>
      </w:r>
      <w:r>
        <w:t xml:space="preserve"> </w:t>
      </w:r>
      <w:r>
        <w:t xml:space="preserve">exceeding borrowing costs up</w:t>
      </w:r>
      <w:r>
        <w:t xml:space="preserve"> </w:t>
      </w:r>
      <w:r>
        <w:t xml:space="preserve">to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carry-forward</w:t>
      </w:r>
      <w:r>
        <w:t xml:space="preserve"> </w:t>
      </w:r>
      <w:r>
        <w:t xml:space="preserve">Luxembourg</w:t>
      </w:r>
      <w:r>
        <w:t xml:space="preserve"> </w:t>
      </w:r>
      <w:r>
        <w:t xml:space="preserve">30% of the calculation</w:t>
      </w:r>
      <w:r>
        <w:t xml:space="preserve"> </w:t>
      </w:r>
      <w:r>
        <w:t xml:space="preserve">base1</w:t>
      </w:r>
      <w:r>
        <w:t xml:space="preserve"> </w:t>
      </w:r>
      <w:r>
        <w:t xml:space="preserve">Yes,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Malta</w:t>
      </w:r>
      <w:r>
        <w:t xml:space="preserve"> </w:t>
      </w:r>
      <w:r>
        <w:t xml:space="preserve">30% of EBITDA</w:t>
      </w:r>
      <w:r>
        <w:t xml:space="preserve"> </w:t>
      </w:r>
      <w:r>
        <w:t xml:space="preserve">Yes,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carry-forward is</w:t>
      </w:r>
      <w:r>
        <w:t xml:space="preserve"> </w:t>
      </w:r>
      <w:r>
        <w:t xml:space="preserve">possible.</w:t>
      </w:r>
      <w:r>
        <w:t xml:space="preserve"> </w:t>
      </w:r>
      <w:r>
        <w:t xml:space="preserve">Netherlands</w:t>
      </w:r>
      <w:r>
        <w:t xml:space="preserve"> </w:t>
      </w:r>
      <w:r>
        <w:t xml:space="preserve">30% of the calculation</w:t>
      </w:r>
      <w:r>
        <w:t xml:space="preserve"> </w:t>
      </w:r>
      <w:r>
        <w:t xml:space="preserve">base1</w:t>
      </w:r>
      <w:r>
        <w:t xml:space="preserve"> </w:t>
      </w:r>
      <w:r>
        <w:t xml:space="preserve">Yes - EUR 1 million</w:t>
      </w:r>
      <w:r>
        <w:t xml:space="preserve"> </w:t>
      </w:r>
      <w:r>
        <w:t xml:space="preserve">No</w:t>
      </w:r>
      <w:r>
        <w:t xml:space="preserve"> </w:t>
      </w:r>
      <w:r>
        <w:t xml:space="preserve">Yes - Carried</w:t>
      </w:r>
      <w:r>
        <w:t xml:space="preserve"> </w:t>
      </w:r>
      <w:r>
        <w:t xml:space="preserve">forward indefinitely</w:t>
      </w:r>
      <w:r>
        <w:t xml:space="preserve"> </w:t>
      </w:r>
      <w:r>
        <w:t xml:space="preserve">Poland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 - EUR 3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for 5 years</w:t>
      </w:r>
      <w:r>
        <w:t xml:space="preserve"> </w:t>
      </w:r>
      <w:r>
        <w:t xml:space="preserve">Portugal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 - EUR 1 million</w:t>
      </w:r>
      <w:r>
        <w:t xml:space="preserve"> </w:t>
      </w:r>
      <w:r>
        <w:t xml:space="preserve">Yes</w:t>
      </w:r>
      <w:r>
        <w:t xml:space="preserve"> </w:t>
      </w:r>
      <w:r>
        <w:t xml:space="preserve">Yes, carry-forward</w:t>
      </w:r>
      <w:r>
        <w:t xml:space="preserve"> </w:t>
      </w:r>
      <w:r>
        <w:t xml:space="preserve">for the following 5</w:t>
      </w:r>
      <w:r>
        <w:t xml:space="preserve"> </w:t>
      </w:r>
      <w:r>
        <w:t xml:space="preserve">tax periods</w:t>
      </w:r>
      <w:r>
        <w:t xml:space="preserve"> </w:t>
      </w:r>
      <w:r>
        <w:t xml:space="preserve">Romania</w:t>
      </w:r>
      <w:r>
        <w:t xml:space="preserve"> </w:t>
      </w:r>
      <w:r>
        <w:t xml:space="preserve">30% of the calculation</w:t>
      </w:r>
      <w:r>
        <w:t xml:space="preserve"> </w:t>
      </w:r>
      <w:r>
        <w:t xml:space="preserve">base1</w:t>
      </w:r>
      <w:r>
        <w:t xml:space="preserve"> </w:t>
      </w:r>
      <w:r>
        <w:t xml:space="preserve">Yes - EUR 1 million</w:t>
      </w:r>
      <w:r>
        <w:t xml:space="preserve"> </w:t>
      </w:r>
      <w:r>
        <w:t xml:space="preserve">No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Slovak</w:t>
      </w:r>
      <w:r>
        <w:t xml:space="preserve"> </w:t>
      </w:r>
      <w:r>
        <w:t xml:space="preserve">Republic</w:t>
      </w:r>
      <w:r>
        <w:t xml:space="preserve"> </w:t>
      </w:r>
      <w:r>
        <w:t xml:space="preserve">Interest deductions</w:t>
      </w:r>
      <w:r>
        <w:t xml:space="preserve"> </w:t>
      </w:r>
      <w:r>
        <w:t xml:space="preserve">limited to 25% of</w:t>
      </w:r>
      <w:r>
        <w:t xml:space="preserve"> </w:t>
      </w:r>
      <w:r>
        <w:t xml:space="preserve">EBITDA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n.a.</w:t>
      </w:r>
      <w:r>
        <w:t xml:space="preserve"> </w:t>
      </w:r>
      <w:r>
        <w:t xml:space="preserve">Slovenia</w:t>
      </w:r>
      <w:r>
        <w:t xml:space="preserve"> </w:t>
      </w:r>
      <w:r>
        <w:t xml:space="preserve">No3</w:t>
      </w:r>
    </w:p>
    <w:p>
      <w:pPr>
        <w:pStyle w:val="BodyText"/>
      </w:pP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Spain</w:t>
      </w:r>
      <w:r>
        <w:t xml:space="preserve"> </w:t>
      </w:r>
      <w:r>
        <w:t xml:space="preserve">30% of the calculation</w:t>
      </w:r>
      <w:r>
        <w:t xml:space="preserve"> </w:t>
      </w:r>
      <w:r>
        <w:t xml:space="preserve">base (i.e. adjusted</w:t>
      </w:r>
      <w:r>
        <w:t xml:space="preserve"> </w:t>
      </w:r>
      <w:r>
        <w:t xml:space="preserve">operating income)3</w:t>
      </w:r>
      <w:r>
        <w:t xml:space="preserve"> </w:t>
      </w:r>
      <w:r>
        <w:t xml:space="preserve">Yes - EUR 1 million</w:t>
      </w:r>
      <w:r>
        <w:t xml:space="preserve"> </w:t>
      </w:r>
      <w:r>
        <w:t xml:space="preserve">No</w:t>
      </w:r>
      <w:r>
        <w:t xml:space="preserve"> </w:t>
      </w:r>
      <w:r>
        <w:t xml:space="preserve">Carried forward</w:t>
      </w:r>
      <w:r>
        <w:t xml:space="preserve"> </w:t>
      </w:r>
      <w:r>
        <w:t xml:space="preserve">indefinitely</w:t>
      </w:r>
      <w:r>
        <w:t xml:space="preserve"> </w:t>
      </w:r>
      <w:r>
        <w:t xml:space="preserve">Sweden</w:t>
      </w:r>
      <w:r>
        <w:t xml:space="preserve"> </w:t>
      </w:r>
      <w:r>
        <w:t xml:space="preserve">30% of the EBITDA</w:t>
      </w:r>
      <w:r>
        <w:t xml:space="preserve"> </w:t>
      </w:r>
      <w:r>
        <w:t xml:space="preserve">Yes - SEK 5 million</w:t>
      </w:r>
      <w:r>
        <w:t xml:space="preserve"> </w:t>
      </w:r>
      <w:r>
        <w:t xml:space="preserve">No</w:t>
      </w:r>
      <w:r>
        <w:t xml:space="preserve"> </w:t>
      </w:r>
      <w:r>
        <w:t xml:space="preserve">Yes, carried forward</w:t>
      </w:r>
      <w:r>
        <w:t xml:space="preserve"> </w:t>
      </w:r>
      <w:r>
        <w:t xml:space="preserve">for a maximum of 6</w:t>
      </w:r>
      <w:r>
        <w:t xml:space="preserve"> </w:t>
      </w:r>
      <w:r>
        <w:t xml:space="preserve">years</w:t>
      </w:r>
      <w:r>
        <w:t xml:space="preserve"> </w:t>
      </w:r>
      <w:r>
        <w:t xml:space="preserve">1.</w:t>
      </w:r>
      <w:r>
        <w:t xml:space="preserve"> </w:t>
      </w:r>
      <w:r>
        <w:t xml:space="preserve">Calculation base = the difference between the gross accounting profit and the tax-exempt income to which corporate income</w:t>
      </w:r>
      <w:r>
        <w:t xml:space="preserve"> </w:t>
      </w:r>
      <w:r>
        <w:t xml:space="preserve">tax, exceeding borrowing costs and deductible tax depreciation, is added back.</w:t>
      </w:r>
      <w:r>
        <w:t xml:space="preserve"> </w:t>
      </w:r>
      <w:r>
        <w:t xml:space="preserve">2.</w:t>
      </w:r>
      <w:r>
        <w:t xml:space="preserve"> </w:t>
      </w:r>
      <w:r>
        <w:t xml:space="preserve">Slovenia has a thin capitalization rule in place but has not yet transposed the ATAD rule.</w:t>
      </w:r>
      <w:r>
        <w:t xml:space="preserve"> </w:t>
      </w:r>
      <w:r>
        <w:t xml:space="preserve">3.</w:t>
      </w:r>
      <w:r>
        <w:t xml:space="preserve"> </w:t>
      </w:r>
      <w:r>
        <w:t xml:space="preserve">“Operating income” is defined as earnings from the income statement of the year, after the deduction of (i) amortization and</w:t>
      </w:r>
      <w:r>
        <w:t xml:space="preserve"> </w:t>
      </w:r>
      <w:r>
        <w:t xml:space="preserve">depreciation expenses for fixed and other non-current assets, (ii) subsidies for non-financial fixed assets and others, and (iii)</w:t>
      </w:r>
      <w:r>
        <w:t xml:space="preserve"> </w:t>
      </w:r>
      <w:r>
        <w:t xml:space="preserve">any impairment losses on, and gains on disposals of fixed and other non-current assets, and the addition of any financial</w:t>
      </w:r>
      <w:r>
        <w:t xml:space="preserve"> </w:t>
      </w:r>
      <w:r>
        <w:t xml:space="preserve">income from investments in equity instruments. This financial income only includes income from dividends, or profit</w:t>
      </w:r>
      <w:r>
        <w:t xml:space="preserve"> </w:t>
      </w:r>
      <w:r>
        <w:t xml:space="preserve">participations where the taxpayer directly or indirectly holds at least 5% of the distributing company, or the acquisition cost of</w:t>
      </w:r>
      <w:r>
        <w:t xml:space="preserve"> </w:t>
      </w:r>
      <w:r>
        <w:t xml:space="preserve">the holding in a company was higher than EUR 20 million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ANNEX 8: ANTI TAX AVOIDANCE RULES</w:t>
      </w:r>
    </w:p>
    <w:p>
      <w:pPr>
        <w:pStyle w:val="Compact"/>
        <w:numPr>
          <w:ilvl w:val="0"/>
          <w:numId w:val="1030"/>
        </w:numPr>
      </w:pPr>
      <w:r>
        <w:t xml:space="preserve">General Anti Avoidance Rule (GAAR)</w:t>
      </w:r>
      <w:r>
        <w:t xml:space="preserve"> </w:t>
      </w:r>
      <w:r>
        <w:t xml:space="preserve">A first layer of the anti-abuse framework should be a general anti-abuse provision that</w:t>
      </w:r>
      <w:r>
        <w:t xml:space="preserve"> </w:t>
      </w:r>
      <w:r>
        <w:t xml:space="preserve">would deny notional deduction for operations carried out without any substantial</w:t>
      </w:r>
      <w:r>
        <w:t xml:space="preserve"> </w:t>
      </w:r>
      <w:r>
        <w:t xml:space="preserve">economic purpose or carried out with related parties and that have the main purpose of</w:t>
      </w:r>
      <w:r>
        <w:t xml:space="preserve"> </w:t>
      </w:r>
      <w:r>
        <w:t xml:space="preserve">converting old equity into new equity with the aim of benefiting from the notional</w:t>
      </w:r>
      <w:r>
        <w:t xml:space="preserve"> </w:t>
      </w:r>
      <w:r>
        <w:t xml:space="preserve">deduction.</w:t>
      </w:r>
    </w:p>
    <w:p>
      <w:pPr>
        <w:pStyle w:val="Compact"/>
        <w:numPr>
          <w:ilvl w:val="0"/>
          <w:numId w:val="1030"/>
        </w:numPr>
      </w:pPr>
      <w:r>
        <w:t xml:space="preserve">Special Anti Avoidance Rules (SAARS)</w:t>
      </w:r>
      <w:r>
        <w:br/>
      </w:r>
      <w:r>
        <w:t xml:space="preserve">The Code of Conduct Group issued a Guidance on notional interest deduction regimes83</w:t>
      </w:r>
      <w:r>
        <w:t xml:space="preserve"> </w:t>
      </w:r>
      <w:r>
        <w:t xml:space="preserve">based on past decisions of the Code of Conduct Group concerning Notional Interest</w:t>
      </w:r>
      <w:r>
        <w:t xml:space="preserve"> </w:t>
      </w:r>
      <w:r>
        <w:t xml:space="preserve">Deduction regimes (NID) in EU Member States and in some neighbouring countries. It</w:t>
      </w:r>
      <w:r>
        <w:t xml:space="preserve"> </w:t>
      </w:r>
      <w:r>
        <w:t xml:space="preserve">presents a non-exhaustive list of elements and characteristics which indicate that a NID</w:t>
      </w:r>
      <w:r>
        <w:t xml:space="preserve"> </w:t>
      </w:r>
      <w:r>
        <w:t xml:space="preserve">may be harmful when assessed against the criteria of the Code of Conduct Group. This</w:t>
      </w:r>
      <w:r>
        <w:t xml:space="preserve"> </w:t>
      </w:r>
      <w:r>
        <w:t xml:space="preserve">Guidance will serve as a basis for the development of the anti-abuse framework of</w:t>
      </w:r>
      <w:r>
        <w:t xml:space="preserve"> </w:t>
      </w:r>
      <w:r>
        <w:t xml:space="preserve">DEBRA. The following elements could be deducted from the base of the allowance.</w:t>
      </w:r>
      <w:r>
        <w:t xml:space="preserve"> </w:t>
      </w:r>
      <w:r>
        <w:t xml:space="preserve">Reflection is on-going on which elements will finally be incorporated in the Directive.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Intra-group loans and loans involving related enterprises;</w:t>
      </w:r>
      <w:r>
        <w:br/>
      </w:r>
      <w:r>
        <w:t xml:space="preserve">This measure is designed to prevent that an equity injection granted to company A</w:t>
      </w:r>
      <w:r>
        <w:t xml:space="preserve"> </w:t>
      </w:r>
      <w:r>
        <w:t xml:space="preserve">located in the EU is used by company A to grant a loan to a related company B.</w:t>
      </w:r>
      <w:r>
        <w:t xml:space="preserve"> </w:t>
      </w:r>
      <w:r>
        <w:t xml:space="preserve">Company B uses this money to inject equity in another related company C, located in the</w:t>
      </w:r>
      <w:r>
        <w:t xml:space="preserve"> </w:t>
      </w:r>
      <w:r>
        <w:t xml:space="preserve">EU. This would allow multiplying the allowance on equity with only one genuine equity</w:t>
      </w:r>
      <w:r>
        <w:t xml:space="preserve"> </w:t>
      </w:r>
      <w:r>
        <w:t xml:space="preserve">increase. A related company is defined using the associated enterprises definition (see</w:t>
      </w:r>
      <w:r>
        <w:t xml:space="preserve"> </w:t>
      </w:r>
      <w:r>
        <w:t xml:space="preserve">chapter 5).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Cash contributions and contributions in kind;</w:t>
      </w:r>
    </w:p>
    <w:p>
      <w:pPr>
        <w:pStyle w:val="FirstParagraph"/>
      </w:pPr>
      <w:r>
        <w:t xml:space="preserve">Cash contributions can be used to cascade the allowance within multinational groups. A</w:t>
      </w:r>
      <w:r>
        <w:t xml:space="preserve"> </w:t>
      </w:r>
      <w:r>
        <w:t xml:space="preserve">group could circulate a cash contribution through related companies to multiply the</w:t>
      </w:r>
      <w:r>
        <w:t xml:space="preserve"> </w:t>
      </w:r>
      <w:r>
        <w:t xml:space="preserve">allowance deduction at the level of different subsidiaries.</w:t>
      </w:r>
      <w:r>
        <w:t xml:space="preserve"> </w:t>
      </w:r>
      <w:r>
        <w:t xml:space="preserve">Contributions in kind can also be used to abuse the allowance deduction. The value of the</w:t>
      </w:r>
      <w:r>
        <w:t xml:space="preserve"> </w:t>
      </w:r>
      <w:r>
        <w:t xml:space="preserve">asset should not exceed the market value, the value of the asset and the related costs</w:t>
      </w:r>
      <w:r>
        <w:t xml:space="preserve"> </w:t>
      </w:r>
      <w:r>
        <w:t xml:space="preserve">should not exceed reasonable professional needs. The part of the value of the asset</w:t>
      </w:r>
      <w:r>
        <w:t xml:space="preserve"> </w:t>
      </w:r>
      <w:r>
        <w:t xml:space="preserve">contributed in the accounting books of the company that exceeds the market value of this</w:t>
      </w:r>
      <w:r>
        <w:t xml:space="preserve"> </w:t>
      </w:r>
      <w:r>
        <w:t xml:space="preserve">asset will be deducted from the base of the allowance.</w:t>
      </w:r>
    </w:p>
    <w:p>
      <w:pPr>
        <w:pStyle w:val="BodyText"/>
      </w:pPr>
      <w:r>
        <w:t xml:space="preserve">83 WK 11093/2019 REV 1 of 19 October 2019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c) Capital increase subscribed by the company or one of its associated enterprises</w:t>
      </w:r>
      <w:r>
        <w:t xml:space="preserve"> </w:t>
      </w:r>
      <w:r>
        <w:t xml:space="preserve">(as defined above);</w:t>
      </w:r>
      <w:r>
        <w:t xml:space="preserve"> </w:t>
      </w:r>
      <w:r>
        <w:t xml:space="preserve">This measure aims at preventing that a company or a group of company subscribes to its</w:t>
      </w:r>
      <w:r>
        <w:t xml:space="preserve"> </w:t>
      </w:r>
      <w:r>
        <w:t xml:space="preserve">own equity increase with the aim of benefiting from the deduction of the allowance on</w:t>
      </w:r>
      <w:r>
        <w:t xml:space="preserve"> </w:t>
      </w:r>
      <w:r>
        <w:t xml:space="preserve">equity.</w:t>
      </w:r>
      <w:r>
        <w:t xml:space="preserve"> </w:t>
      </w:r>
      <w:r>
        <w:t xml:space="preserve">d) Intra-group transfer of participations;</w:t>
      </w:r>
      <w:r>
        <w:br/>
      </w:r>
      <w:r>
        <w:t xml:space="preserve">This measure aims at avoiding that measure the exclusion of participations embedded in</w:t>
      </w:r>
      <w:r>
        <w:t xml:space="preserve"> </w:t>
      </w:r>
      <w:r>
        <w:t xml:space="preserve">the allowance base definition is circumvented. Since intra-group participations should be</w:t>
      </w:r>
      <w:r>
        <w:t xml:space="preserve"> </w:t>
      </w:r>
      <w:r>
        <w:t xml:space="preserve">deducted from the allowance base, a group could maximise the deduction by transferring</w:t>
      </w:r>
      <w:r>
        <w:t xml:space="preserve"> </w:t>
      </w:r>
      <w:r>
        <w:t xml:space="preserve">participations to companies that cannot claim an allowance deduction in order to</w:t>
      </w:r>
      <w:r>
        <w:t xml:space="preserve"> </w:t>
      </w:r>
      <w:r>
        <w:t xml:space="preserve">maximise the allowance deduction at the level of the group.</w:t>
      </w:r>
      <w:r>
        <w:t xml:space="preserve"> </w:t>
      </w:r>
      <w:r>
        <w:t xml:space="preserve">e) Prevent re-categorisation of old capital as new capital through liquidations and</w:t>
      </w:r>
      <w:r>
        <w:t xml:space="preserve"> </w:t>
      </w:r>
      <w:r>
        <w:t xml:space="preserve">the creation of new companies;</w:t>
      </w:r>
    </w:p>
    <w:p>
      <w:pPr>
        <w:pStyle w:val="Compact"/>
        <w:numPr>
          <w:ilvl w:val="0"/>
          <w:numId w:val="1032"/>
        </w:numPr>
      </w:pPr>
      <w:r>
        <w:t xml:space="preserve">Exclude acquisitions of businesses held by associated enterprises;</w:t>
      </w:r>
      <w:r>
        <w:t xml:space="preserve"> </w:t>
      </w:r>
      <w:r>
        <w:t xml:space="preserve">This measure aims at avoiding that a company A of the group tax resident of a non-EU</w:t>
      </w:r>
      <w:r>
        <w:t xml:space="preserve"> </w:t>
      </w:r>
      <w:r>
        <w:t xml:space="preserve">country transfers one of its businesses to company B of the group that is tax resident in a</w:t>
      </w:r>
      <w:r>
        <w:t xml:space="preserve"> </w:t>
      </w:r>
      <w:r>
        <w:t xml:space="preserve">EU member to increase its allowance base. The price paid by company B to company A</w:t>
      </w:r>
      <w:r>
        <w:t xml:space="preserve"> </w:t>
      </w:r>
      <w:r>
        <w:t xml:space="preserve">would come from an equity increase of company B that would lead to a notional interest</w:t>
      </w:r>
      <w:r>
        <w:t xml:space="preserve"> </w:t>
      </w:r>
      <w:r>
        <w:t xml:space="preserve">deduction although there is no actual investment, since the business remains within the</w:t>
      </w:r>
      <w:r>
        <w:t xml:space="preserve"> </w:t>
      </w:r>
      <w:r>
        <w:t xml:space="preserve">same group of companies.</w:t>
      </w:r>
    </w:p>
    <w:p>
      <w:pPr>
        <w:pStyle w:val="Compact"/>
        <w:numPr>
          <w:ilvl w:val="0"/>
          <w:numId w:val="1032"/>
        </w:numPr>
      </w:pPr>
      <w:r>
        <w:t xml:space="preserve">Assets not linked to the activity;</w:t>
      </w:r>
      <w:r>
        <w:t xml:space="preserve"> </w:t>
      </w:r>
      <w:r>
        <w:t xml:space="preserve">The accounting value of investments which by nature are not expected to produce</w:t>
      </w:r>
      <w:r>
        <w:t xml:space="preserve"> </w:t>
      </w:r>
      <w:r>
        <w:t xml:space="preserve">recurring income (e.g. artwork, jewellery, gold, collector items …) will be deducted from</w:t>
      </w:r>
      <w:r>
        <w:t xml:space="preserve"> </w:t>
      </w:r>
      <w:r>
        <w:t xml:space="preserve">the allowance base (passive investments).</w:t>
      </w:r>
      <w:r>
        <w:t xml:space="preserve"> </w:t>
      </w:r>
      <w:r>
        <w:t xml:space="preserve">This measure aims at avoiding that the allowance on equity is granted on a capital</w:t>
      </w:r>
      <w:r>
        <w:t xml:space="preserve"> </w:t>
      </w:r>
      <w:r>
        <w:t xml:space="preserve">increase used to finance luxury goods. The aim of DEBRA is to stimulate productive</w:t>
      </w:r>
      <w:r>
        <w:t xml:space="preserve"> </w:t>
      </w:r>
      <w:r>
        <w:t xml:space="preserve">investments, financed through equity.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SAAR based on the Arm’s Length Principle (ALP)</w:t>
      </w:r>
      <w:r>
        <w:t xml:space="preserve"> </w:t>
      </w:r>
      <w:r>
        <w:t xml:space="preserve">The idea is to mirror the thin capitalization test but with the purpose to avoid</w:t>
      </w:r>
      <w:r>
        <w:t xml:space="preserve"> </w:t>
      </w:r>
      <w:r>
        <w:t xml:space="preserve">overcapitalisation (also called fat capitalisation) and only allow for a deduction when the</w:t>
      </w:r>
      <w:r>
        <w:t xml:space="preserve"> </w:t>
      </w:r>
      <w:r>
        <w:t xml:space="preserve">debt to equity ratio falls within a certain range (thick capitalization rule). Reflection is</w:t>
      </w:r>
      <w:r>
        <w:t xml:space="preserve"> </w:t>
      </w:r>
      <w:r>
        <w:t xml:space="preserve">on-going on this point.</w:t>
      </w:r>
    </w:p>
    <w:p>
      <w:pPr>
        <w:pStyle w:val="FirstParagraph"/>
      </w:pPr>
      <w:r>
        <w:t xml:space="preserve">107</w:t>
      </w:r>
      <w:r>
        <w:t xml:space="preserve"> </w:t>
      </w:r>
      <w:r>
        <w:t xml:space="preserve">ANNEX 9: MAIN CONCEPTS DEFINITIONS</w:t>
      </w:r>
      <w:r>
        <w:t xml:space="preserve"> </w:t>
      </w:r>
      <w:r>
        <w:t xml:space="preserve">CORTAX</w:t>
      </w:r>
      <w:r>
        <w:t xml:space="preserve"> </w:t>
      </w:r>
      <w:r>
        <w:t xml:space="preserve">A general equilibrium model covering all EU Member States, featuring different firm</w:t>
      </w:r>
      <w:r>
        <w:t xml:space="preserve"> </w:t>
      </w:r>
      <w:r>
        <w:t xml:space="preserve">types and modelling many key features of corporate tax regimes, including multinational</w:t>
      </w:r>
      <w:r>
        <w:t xml:space="preserve"> </w:t>
      </w:r>
      <w:r>
        <w:t xml:space="preserve">profit shifting, investment decisions, loss compensation and the debt-equity choice of</w:t>
      </w:r>
      <w:r>
        <w:t xml:space="preserve"> </w:t>
      </w:r>
      <w:r>
        <w:t xml:space="preserve">firms. In economics, a model is a theoretical construct representing economic processes</w:t>
      </w:r>
      <w:r>
        <w:t xml:space="preserve"> </w:t>
      </w:r>
      <w:r>
        <w:t xml:space="preserve">by a set of variables and a set of logical and/or quantitative relationships between them.</w:t>
      </w:r>
      <w:r>
        <w:t xml:space="preserve"> </w:t>
      </w:r>
      <w:r>
        <w:t xml:space="preserve">The economic model is a simplified, often mathematical, framework designed to</w:t>
      </w:r>
      <w:r>
        <w:t xml:space="preserve"> </w:t>
      </w:r>
      <w:r>
        <w:t xml:space="preserve">illustrate complex processes. General Equilibrium Theory is a macroeconomic theory</w:t>
      </w:r>
      <w:r>
        <w:t xml:space="preserve"> </w:t>
      </w:r>
      <w:r>
        <w:t xml:space="preserve">that explains how supply and demand in an economy with many markets interact</w:t>
      </w:r>
      <w:r>
        <w:t xml:space="preserve"> </w:t>
      </w:r>
      <w:r>
        <w:t xml:space="preserve">dynamically and eventually culminate in an equilibrium of prices.</w:t>
      </w:r>
      <w:r>
        <w:br/>
      </w:r>
      <w:r>
        <w:t xml:space="preserve">EBIT</w:t>
      </w:r>
      <w:r>
        <w:t xml:space="preserve"> </w:t>
      </w:r>
      <w:r>
        <w:t xml:space="preserve">Earnings Before Interest, Taxes and Depreciation</w:t>
      </w:r>
      <w:r>
        <w:t xml:space="preserve"> </w:t>
      </w:r>
      <w:r>
        <w:t xml:space="preserve">EBITDA</w:t>
      </w:r>
      <w:r>
        <w:t xml:space="preserve"> </w:t>
      </w:r>
      <w:r>
        <w:t xml:space="preserve">Earnings Before Interest, Taxes, Depreciation, and Amortization.</w:t>
      </w:r>
      <w:r>
        <w:br/>
      </w:r>
      <w:r>
        <w:t xml:space="preserve">EIOPA</w:t>
      </w:r>
      <w:r>
        <w:t xml:space="preserve"> </w:t>
      </w:r>
      <w:r>
        <w:t xml:space="preserve">The European Insurance and Occupational Pensions Authority (EIOPA) is a European</w:t>
      </w:r>
      <w:r>
        <w:t xml:space="preserve"> </w:t>
      </w:r>
      <w:r>
        <w:t xml:space="preserve">Union financial regulatory institution. EIOPA’s mission is to protect the public interest</w:t>
      </w:r>
      <w:r>
        <w:t xml:space="preserve"> </w:t>
      </w:r>
      <w:r>
        <w:t xml:space="preserve">by contributing to the short, medium and long-term stability and effectiveness of the</w:t>
      </w:r>
      <w:r>
        <w:t xml:space="preserve"> </w:t>
      </w:r>
      <w:r>
        <w:t xml:space="preserve">financial system for the Union economy, its citizens and businesses. This mission is</w:t>
      </w:r>
      <w:r>
        <w:t xml:space="preserve"> </w:t>
      </w:r>
      <w:r>
        <w:t xml:space="preserve">pursued by promoting a sound regulatory framework and consistent supervisory practices</w:t>
      </w:r>
      <w:r>
        <w:t xml:space="preserve"> </w:t>
      </w:r>
      <w:r>
        <w:t xml:space="preserve">in order to protect the rights of policyholders, pension scheme members and beneficiaries</w:t>
      </w:r>
      <w:r>
        <w:t xml:space="preserve"> </w:t>
      </w:r>
      <w:r>
        <w:t xml:space="preserve">and contribute to the public confidence in the European Union’s insurance and</w:t>
      </w:r>
      <w:r>
        <w:t xml:space="preserve"> </w:t>
      </w:r>
      <w:r>
        <w:t xml:space="preserve">occupational pensions sectors.</w:t>
      </w:r>
      <w:r>
        <w:t xml:space="preserve"> </w:t>
      </w:r>
      <w:r>
        <w:t xml:space="preserve">Equity</w:t>
      </w:r>
      <w:r>
        <w:br/>
      </w:r>
      <w:r>
        <w:t xml:space="preserve">Equity is defined as the sum of paid-up capital, Share premium account, Revaluation</w:t>
      </w:r>
      <w:r>
        <w:t xml:space="preserve"> </w:t>
      </w:r>
      <w:r>
        <w:t xml:space="preserve">reserve, Reserves84, Profit or loss brought forward and Profit and loss of the year.</w:t>
      </w:r>
      <w:r>
        <w:t xml:space="preserve"> </w:t>
      </w:r>
      <w:r>
        <w:t xml:space="preserve">Equity in the sense of this draft directive</w:t>
      </w:r>
      <w:r>
        <w:t xml:space="preserve"> </w:t>
      </w:r>
      <w:r>
        <w:t xml:space="preserve">Equity means, in a given tax year, the sum of paid-up capital, the share premium account,</w:t>
      </w:r>
      <w:r>
        <w:t xml:space="preserve"> </w:t>
      </w:r>
      <w:r>
        <w:t xml:space="preserve">revaluation reserve and reserves.</w:t>
      </w:r>
      <w:r>
        <w:t xml:space="preserve"> </w:t>
      </w:r>
      <w:r>
        <w:t xml:space="preserve">ORBIS</w:t>
      </w:r>
      <w:r>
        <w:br/>
      </w:r>
      <w:r>
        <w:t xml:space="preserve">Orbis is a database of companies and other entities across the globe</w:t>
      </w:r>
    </w:p>
    <w:p>
      <w:pPr>
        <w:pStyle w:val="BodyText"/>
      </w:pPr>
      <w:r>
        <w:t xml:space="preserve">84 Reserves include: 1. Legal reserve, in so far as national law requires such a reserve; 2. Reserve for own</w:t>
      </w:r>
      <w:r>
        <w:t xml:space="preserve"> </w:t>
      </w:r>
      <w:r>
        <w:t xml:space="preserve">shares, in so far as national law requires such a reserve, without prejudice to point (b) of Article 24 (1) of</w:t>
      </w:r>
      <w:r>
        <w:t xml:space="preserve"> </w:t>
      </w:r>
      <w:r>
        <w:t xml:space="preserve">Directive 2012/30/EU; 3. Reserves provided for by the articles of association; 4. Other reserves, including</w:t>
      </w:r>
      <w:r>
        <w:t xml:space="preserve"> </w:t>
      </w:r>
      <w:r>
        <w:t xml:space="preserve">the fair value reserve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Notional interest deduction</w:t>
      </w:r>
      <w:r>
        <w:t xml:space="preserve"> </w:t>
      </w:r>
      <w:r>
        <w:t xml:space="preserve">The notional interest multiplied by the capital considered eligible for the allowance is</w:t>
      </w:r>
      <w:r>
        <w:t xml:space="preserve"> </w:t>
      </w:r>
      <w:r>
        <w:t xml:space="preserve">directly deducted from the tax base of the company, as if it were a professional expense.</w:t>
      </w:r>
      <w:r>
        <w:t xml:space="preserve"> </w:t>
      </w:r>
      <w:r>
        <w:t xml:space="preserve">Notional interest rate</w:t>
      </w:r>
      <w:r>
        <w:br/>
      </w:r>
      <w:r>
        <w:t xml:space="preserve">Theoretical interest applied on the capital of a company. The notional interest does not</w:t>
      </w:r>
      <w:r>
        <w:t xml:space="preserve"> </w:t>
      </w:r>
      <w:r>
        <w:t xml:space="preserve">constitute an accounting charge and therefore does not affect the income statement of the</w:t>
      </w:r>
      <w:r>
        <w:t xml:space="preserve"> </w:t>
      </w:r>
      <w:r>
        <w:t xml:space="preserve">company.</w:t>
      </w:r>
      <w:r>
        <w:t xml:space="preserve"> </w:t>
      </w:r>
      <w:r>
        <w:t xml:space="preserve">Risk free rate</w:t>
      </w:r>
      <w:r>
        <w:t xml:space="preserve"> </w:t>
      </w:r>
      <w:r>
        <w:t xml:space="preserve">The risk-free rate is the interest rate an investor can expect to earn on an investment that</w:t>
      </w:r>
      <w:r>
        <w:t xml:space="preserve"> </w:t>
      </w:r>
      <w:r>
        <w:t xml:space="preserve">carries zero risk. In practice, the risk-free rate is commonly considered equal to the</w:t>
      </w:r>
      <w:r>
        <w:t xml:space="preserve"> </w:t>
      </w:r>
      <w:r>
        <w:t xml:space="preserve">interest paid on a government bond, generally the safest investment an investor can</w:t>
      </w:r>
      <w:r>
        <w:t xml:space="preserve"> </w:t>
      </w:r>
      <w:r>
        <w:t xml:space="preserve">make.</w:t>
      </w:r>
      <w:r>
        <w:t xml:space="preserve"> </w:t>
      </w:r>
      <w:r>
        <w:t xml:space="preserve">Risk premium</w:t>
      </w:r>
      <w:r>
        <w:t xml:space="preserve"> </w:t>
      </w:r>
      <w:r>
        <w:t xml:space="preserve">The risk premium is the compensation that investors ask for investing into risky debt</w:t>
      </w:r>
      <w:r>
        <w:t xml:space="preserve"> </w:t>
      </w:r>
      <w:r>
        <w:t xml:space="preserve">instruments. It can be assessed as a spread between yields on risky debt instruments and</w:t>
      </w:r>
      <w:r>
        <w:t xml:space="preserve"> </w:t>
      </w:r>
      <w:r>
        <w:t xml:space="preserve">risk free bonds. The risk premium would be determined as the difference between the</w:t>
      </w:r>
      <w:r>
        <w:t xml:space="preserve"> </w:t>
      </w:r>
      <w:r>
        <w:t xml:space="preserve">market rate and the risk-free rate.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2026-07-31T16:47:15Z</dcterms:created>
  <dcterms:modified xsi:type="dcterms:W3CDTF">2026-07-31T16:47:15Z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