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14.7.2022</w:t>
      </w:r>
      <w:r>
        <w:br/>
      </w:r>
      <w:r>
        <w:t xml:space="preserve">SWD(2022) 190 final</w:t>
      </w:r>
      <w:r>
        <w:t xml:space="preserve"> </w:t>
      </w:r>
      <w:r>
        <w:t xml:space="preserve">PART 3/3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br/>
      </w:r>
      <w:r>
        <w:t xml:space="preserve">on standards of quality and safety for substances of human origin intended for human</w:t>
      </w:r>
      <w:r>
        <w:t xml:space="preserve"> </w:t>
      </w:r>
      <w:r>
        <w:t xml:space="preserve">application and repealing Directives 2002/98/EC and 2004/23/EC</w:t>
      </w:r>
      <w:r>
        <w:t xml:space="preserve"> </w:t>
      </w:r>
      <w:r>
        <w:t xml:space="preserve">{COM(2022) 338 final} - {SEC(2022) 304 final} - {SWD(2022) 189 final} -</w:t>
      </w:r>
      <w:r>
        <w:t xml:space="preserve"> </w:t>
      </w:r>
      <w:r>
        <w:t xml:space="preserve">{SWD(2022) 191 final}</w:t>
      </w:r>
    </w:p>
    <w:p>
      <w:pPr>
        <w:pStyle w:val="BodyText"/>
      </w:pPr>
      <w:r>
        <w:t xml:space="preserve">304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ANNEX 12: MEASURES PROPOSED TO FACILITATE INNOVATION IN THE BTC SECTOR …… 305</w:t>
      </w:r>
      <w:r>
        <w:t xml:space="preserve"> </w:t>
      </w:r>
      <w:r>
        <w:t xml:space="preserve">ANNEX 13: PROBLEM TREE AND INTERVENTION LOGIC ……………………………………………………. 312</w:t>
      </w:r>
      <w:r>
        <w:t xml:space="preserve"> </w:t>
      </w:r>
      <w:r>
        <w:t xml:space="preserve">ANNEX 14: COLLABORATION WITH COUNCIL OF EUROPE …………………………………………………. 314</w:t>
      </w:r>
      <w:r>
        <w:t xml:space="preserve"> </w:t>
      </w:r>
      <w:r>
        <w:t xml:space="preserve">ANNEX 15: CURRENT AND FUTURE SOHO TASKS OF ECDC ……………………………………………….. 316</w:t>
      </w:r>
      <w:r>
        <w:t xml:space="preserve"> </w:t>
      </w:r>
      <w:r>
        <w:t xml:space="preserve">ANNEX 16: DETAILS OF THE MEASURES AND POLICY OPTIONS ………………………………………… 319</w:t>
      </w:r>
      <w:r>
        <w:t xml:space="preserve"> </w:t>
      </w:r>
      <w:r>
        <w:t xml:space="preserve">ANNEX 17: EU MEASURES THAT CAN OFFSET THE COSTS FOR PUBLIC AUTHORITIES</w:t>
      </w:r>
      <w:r>
        <w:t xml:space="preserve"> </w:t>
      </w:r>
      <w:r>
        <w:t xml:space="preserve">AND ESTABLISHMENTS ………………………………………………………………………………………………… 335</w:t>
      </w:r>
      <w:r>
        <w:t xml:space="preserve"> </w:t>
      </w:r>
      <w:r>
        <w:t xml:space="preserve">ANNEX 18: SUMMARY OF THE ONLINE CONSULTATIONS ………………………………………………….. 336</w:t>
      </w:r>
      <w:r>
        <w:t xml:space="preserve"> </w:t>
      </w:r>
      <w:r>
        <w:t xml:space="preserve">ANNEX 19: SOHO-X – DIGITAL PLATFORM …………………………………………………………………………… 354</w:t>
      </w:r>
      <w:r>
        <w:t xml:space="preserve"> </w:t>
      </w:r>
      <w:r>
        <w:t xml:space="preserve">ANNEX 20: BIBLIOGRAPHIC REFERENCES …………………………………………………………………………… 372</w:t>
      </w:r>
    </w:p>
    <w:p>
      <w:pPr>
        <w:pStyle w:val="BodyText"/>
      </w:pPr>
      <w:r>
        <w:t xml:space="preserve">305</w:t>
      </w:r>
    </w:p>
    <w:p>
      <w:pPr>
        <w:pStyle w:val="BodyText"/>
      </w:pPr>
      <w:r>
        <w:t xml:space="preserve">ANNEX 12: MEASURES PROPOSED TO FACILITATE INNOVATION IN THE BTC SECTOR</w:t>
      </w:r>
      <w:r>
        <w:t xml:space="preserve"> </w:t>
      </w:r>
      <w:r>
        <w:t xml:space="preserve">New ways to collect, prepare, store and apply BTC to patients can bring significant health</w:t>
      </w:r>
      <w:r>
        <w:t xml:space="preserve"> </w:t>
      </w:r>
      <w:r>
        <w:t xml:space="preserve">benefits, and are usually achieved in an incremental manner 1. Newly developed methods are</w:t>
      </w:r>
      <w:r>
        <w:t xml:space="preserve"> </w:t>
      </w:r>
      <w:r>
        <w:t xml:space="preserve">mainly driven by the public/non-profit sector, and are rarely patent-protected. Newly</w:t>
      </w:r>
      <w:r>
        <w:t xml:space="preserve"> </w:t>
      </w:r>
      <w:r>
        <w:t xml:space="preserve">developed technologies and practices are usually shared openly through scientific publications</w:t>
      </w:r>
      <w:r>
        <w:t xml:space="preserve"> </w:t>
      </w:r>
      <w:r>
        <w:t xml:space="preserve">and at professional society conferences, allowing for wide access within the public and non-</w:t>
      </w:r>
      <w:r>
        <w:t xml:space="preserve"> </w:t>
      </w:r>
      <w:r>
        <w:t xml:space="preserve">profit sector. A recent example is the broad collaboration between blood services to study</w:t>
      </w:r>
      <w:r>
        <w:t xml:space="preserve"> </w:t>
      </w:r>
      <w:r>
        <w:t xml:space="preserve">whether and how plasma can be used as a possible therapy for COVID patients 2.</w:t>
      </w:r>
      <w:r>
        <w:t xml:space="preserve"> </w:t>
      </w:r>
      <w:r>
        <w:t xml:space="preserve">Developers (mainly academic/public sector) and authorities have raised two areas to be</w:t>
      </w:r>
      <w:r>
        <w:t xml:space="preserve"> </w:t>
      </w:r>
      <w:r>
        <w:t xml:space="preserve">addressed, to ensure appropriate levels of regulation, avoiding under- or over-regulation</w:t>
      </w:r>
      <w:r>
        <w:t xml:space="preserve"> </w:t>
      </w:r>
      <w:r>
        <w:t xml:space="preserve">while. The issues to be addressed to ensure safety, quality and proof of benefit for BTC</w:t>
      </w:r>
      <w:r>
        <w:t xml:space="preserve"> </w:t>
      </w:r>
      <w:r>
        <w:t xml:space="preserve">processed or used in new ways are:</w:t>
      </w:r>
      <w:r>
        <w:t xml:space="preserve"> </w:t>
      </w:r>
      <w:r>
        <w:t xml:space="preserve">1. The need for a proportionate authorisation model designed to allow incremental</w:t>
      </w:r>
      <w:r>
        <w:t xml:space="preserve"> </w:t>
      </w:r>
      <w:r>
        <w:t xml:space="preserve">changes in preparations and use of BTC. This model should oblige developers to</w:t>
      </w:r>
      <w:r>
        <w:t xml:space="preserve"> </w:t>
      </w:r>
      <w:r>
        <w:t xml:space="preserve">provide sufficient clinical evidence to ensure safety and efficacy, while not requiring</w:t>
      </w:r>
      <w:r>
        <w:t xml:space="preserve"> </w:t>
      </w:r>
      <w:r>
        <w:t xml:space="preserve">unnecessary efforts that would hamper access to innovation that can bring significant</w:t>
      </w:r>
      <w:r>
        <w:t xml:space="preserve"> </w:t>
      </w:r>
      <w:r>
        <w:t xml:space="preserve">benefit for patients.</w:t>
      </w:r>
    </w:p>
    <w:p>
      <w:pPr>
        <w:pStyle w:val="Compact"/>
        <w:numPr>
          <w:ilvl w:val="0"/>
          <w:numId w:val="1001"/>
        </w:numPr>
      </w:pPr>
      <w:r>
        <w:t xml:space="preserve">The need for legal clarity regarding which legal requirements or frameworks will</w:t>
      </w:r>
      <w:r>
        <w:t xml:space="preserve"> </w:t>
      </w:r>
      <w:r>
        <w:t xml:space="preserve">apply to specific BTC and when a particular process or processing step may push that</w:t>
      </w:r>
      <w:r>
        <w:t xml:space="preserve"> </w:t>
      </w:r>
      <w:r>
        <w:t xml:space="preserve">process into another framework. In some cases this will imply a need to understand</w:t>
      </w:r>
      <w:r>
        <w:t xml:space="preserve"> </w:t>
      </w:r>
      <w:r>
        <w:t xml:space="preserve">definitions and requirements in other EU legal frameworks (e.g., ‘industrial</w:t>
      </w:r>
      <w:r>
        <w:t xml:space="preserve"> </w:t>
      </w:r>
      <w:r>
        <w:t xml:space="preserve">processing’ or ‘substantial manipulation’ in the pharmaceuticals framework or</w:t>
      </w:r>
      <w:r>
        <w:t xml:space="preserve"> </w:t>
      </w:r>
      <w:r>
        <w:t xml:space="preserve">‘derivative’ in the medical device framework) and hence an interaction with the</w:t>
      </w:r>
      <w:r>
        <w:t xml:space="preserve"> </w:t>
      </w:r>
      <w:r>
        <w:t xml:space="preserve">relevant bodies in those frameworks.</w:t>
      </w:r>
    </w:p>
    <w:p>
      <w:pPr>
        <w:pStyle w:val="FirstParagraph"/>
      </w:pPr>
      <w:r>
        <w:t xml:space="preserve">The BTC revision proposes two key measures to facilitate such innovation.</w:t>
      </w:r>
      <w:r>
        <w:t xml:space="preserve"> </w:t>
      </w:r>
      <w:r>
        <w:t xml:space="preserve">12.1 A risk-based proportionate approach for incremental innovation (M4B)</w:t>
      </w:r>
      <w:r>
        <w:t xml:space="preserve"> </w:t>
      </w:r>
      <w:r>
        <w:t xml:space="preserve">The first measure will extend an existing requirement for preparation process authorisation in</w:t>
      </w:r>
      <w:r>
        <w:t xml:space="preserve"> </w:t>
      </w:r>
      <w:r>
        <w:t xml:space="preserve">the tissue and cell legislation to the blood sector, and create a legal framework for requiring</w:t>
      </w:r>
      <w:r>
        <w:t xml:space="preserve"> </w:t>
      </w:r>
      <w:r>
        <w:t xml:space="preserve">clinical evidence of safety and quality for BTC processed or used in new ways, when the risk</w:t>
      </w:r>
      <w:r>
        <w:t xml:space="preserve"> </w:t>
      </w:r>
      <w:r>
        <w:t xml:space="preserve">or novelty reach certain thresholds. New ways of processing or using BTC comprise a</w:t>
      </w:r>
      <w:r>
        <w:t xml:space="preserve"> </w:t>
      </w:r>
      <w:r>
        <w:t xml:space="preserve">spectrum from very minor changes to entirely new ways to prepare and/or use BTC. The</w:t>
      </w:r>
      <w:r>
        <w:t xml:space="preserve"> </w:t>
      </w:r>
      <w:r>
        <w:t xml:space="preserve">simplest change might involve new information on a label or the validation of storage for a</w:t>
      </w:r>
      <w:r>
        <w:t xml:space="preserve"> </w:t>
      </w:r>
      <w:r>
        <w:t xml:space="preserve">longer period. More significant changes would include improved approaches that aim, for</w:t>
      </w:r>
      <w:r>
        <w:t xml:space="preserve"> </w:t>
      </w:r>
      <w:r>
        <w:t xml:space="preserve">example:</w:t>
      </w:r>
      <w:r>
        <w:t xml:space="preserve"> </w:t>
      </w:r>
      <w:r>
        <w:t xml:space="preserve">-</w:t>
      </w:r>
      <w:r>
        <w:t xml:space="preserve"> </w:t>
      </w:r>
      <w:r>
        <w:t xml:space="preserve">to achieve preservation (e.g. vitrification of egg cells 3 or adding a storage solution to</w:t>
      </w:r>
      <w:r>
        <w:t xml:space="preserve"> </w:t>
      </w:r>
      <w:r>
        <w:t xml:space="preserve">platelet concentrates 4);</w:t>
      </w:r>
    </w:p>
    <w:p>
      <w:pPr>
        <w:pStyle w:val="BodyText"/>
      </w:pPr>
      <w:r>
        <w:t xml:space="preserve">1 For a description of the trends of innovation, see Evaluation {SWD (2019) 376 final} , p. 29 and Annex 10</w:t>
      </w:r>
      <w:r>
        <w:t xml:space="preserve"> </w:t>
      </w:r>
      <w:r>
        <w:t xml:space="preserve">2 https://www.support-e.eu/</w:t>
      </w:r>
      <w:r>
        <w:br/>
      </w:r>
      <w:r>
        <w:t xml:space="preserve">3 Chian R, Wang Y and Li Y (2013) Oocyte vitrification: advances, progress and future goals J Assist Reprod</w:t>
      </w:r>
      <w:r>
        <w:t xml:space="preserve"> </w:t>
      </w:r>
      <w:r>
        <w:t xml:space="preserve">Genet (2014) 31:411–420.</w:t>
      </w:r>
    </w:p>
    <w:p>
      <w:pPr>
        <w:pStyle w:val="BodyText"/>
      </w:pPr>
      <w:r>
        <w:t xml:space="preserve">306</w:t>
      </w:r>
    </w:p>
    <w:p>
      <w:pPr>
        <w:pStyle w:val="Compact"/>
        <w:numPr>
          <w:ilvl w:val="0"/>
          <w:numId w:val="1002"/>
        </w:numPr>
      </w:pPr>
      <w:r>
        <w:t xml:space="preserve">to inactivate contaminating microbes before BTC storage (e.g. microbial reduction</w:t>
      </w:r>
      <w:r>
        <w:t xml:space="preserve"> </w:t>
      </w:r>
      <w:r>
        <w:t xml:space="preserve">steps added during blood processing 5, or</w:t>
      </w:r>
      <w:r>
        <w:br/>
      </w:r>
      <w:r>
        <w:t xml:space="preserve">to select and concentrate the specific cells that are required for patient treatment (e.g. </w:t>
      </w:r>
      <w:r>
        <w:t xml:space="preserve"> </w:t>
      </w:r>
      <w:r>
        <w:t xml:space="preserve">volume reduction in cord blood 6.</w:t>
      </w:r>
    </w:p>
    <w:bookmarkStart w:id="9" w:name="X8afc3c6fe541d00729b8b713a966958d02b3715"/>
    <w:p>
      <w:pPr>
        <w:pStyle w:val="Heading2"/>
      </w:pPr>
      <w:r>
        <w:t xml:space="preserve">The most innovative changes have involved approaches such as:</w:t>
      </w:r>
    </w:p>
    <w:p>
      <w:pPr>
        <w:pStyle w:val="FirstParagraph"/>
      </w:pPr>
      <w:r>
        <w:t xml:space="preserve">using well-established BTC for a new patient group and indication (e.g. use of plasma</w:t>
      </w:r>
      <w:r>
        <w:t xml:space="preserve"> </w:t>
      </w:r>
      <w:r>
        <w:t xml:space="preserve">from convalescent COVID-19 patients to enhance the immune response of patients</w:t>
      </w:r>
      <w:r>
        <w:t xml:space="preserve"> </w:t>
      </w:r>
      <w:r>
        <w:t xml:space="preserve">fighting the virus);</w:t>
      </w:r>
      <w:r>
        <w:br/>
      </w:r>
      <w:r>
        <w:t xml:space="preserve">-</w:t>
      </w:r>
      <w:r>
        <w:t xml:space="preserve"> </w:t>
      </w:r>
      <w:r>
        <w:t xml:space="preserve">the complete removal of living cells from a tissue to enhance re-cellularisation of the</w:t>
      </w:r>
      <w:r>
        <w:t xml:space="preserve"> </w:t>
      </w:r>
      <w:r>
        <w:t xml:space="preserve">tissue in the patient (e.g. de-cellularised heart valves 7 or skin 8) or</w:t>
      </w:r>
      <w:r>
        <w:br/>
      </w:r>
      <w:r>
        <w:t xml:space="preserve">-</w:t>
      </w:r>
      <w:r>
        <w:t xml:space="preserve"> </w:t>
      </w:r>
      <w:r>
        <w:t xml:space="preserve">treatment of the patient’s own blood outside their body to inactivate cells that can</w:t>
      </w:r>
      <w:r>
        <w:t xml:space="preserve"> </w:t>
      </w:r>
      <w:r>
        <w:t xml:space="preserve">cause organ rejection in transplanted patients or causing a bone marrow transplant to</w:t>
      </w:r>
      <w:r>
        <w:t xml:space="preserve"> </w:t>
      </w:r>
      <w:r>
        <w:t xml:space="preserve">attack the cells and tissues of the patient (graft-versus-host disease) - a frequent and</w:t>
      </w:r>
      <w:r>
        <w:t xml:space="preserve"> </w:t>
      </w:r>
      <w:r>
        <w:t xml:space="preserve">potentially life-threatening complication of allogeneic bone marrow transplantation</w:t>
      </w:r>
      <w:r>
        <w:t xml:space="preserve"> </w:t>
      </w:r>
      <w:r>
        <w:t xml:space="preserve">(the process is called extra-corporeal photopheresis).</w:t>
      </w:r>
    </w:p>
    <w:p>
      <w:pPr>
        <w:pStyle w:val="BodyText"/>
      </w:pPr>
      <w:r>
        <w:t xml:space="preserve">In general, there is also a trend towards increased automation in BTC collection and</w:t>
      </w:r>
      <w:r>
        <w:t xml:space="preserve"> </w:t>
      </w:r>
      <w:r>
        <w:t xml:space="preserve">processing, with computerised systems incorporated during processing to ensure more</w:t>
      </w:r>
      <w:r>
        <w:t xml:space="preserve"> </w:t>
      </w:r>
      <w:r>
        <w:t xml:space="preserve">consistent preparations and improved documentation and traceability.</w:t>
      </w:r>
      <w:r>
        <w:br/>
      </w:r>
      <w:r>
        <w:t xml:space="preserve">The EU legal frameworks that aim to ensure safety and quality of these therapies have to</w:t>
      </w:r>
      <w:r>
        <w:t xml:space="preserve"> </w:t>
      </w:r>
      <w:r>
        <w:t xml:space="preserve">reflect this spectrum from minor to significant changes, and the risks they entail.</w:t>
      </w:r>
      <w:r>
        <w:t xml:space="preserve"> </w:t>
      </w:r>
      <w:r>
        <w:t xml:space="preserve">The measure will build on work that has been carried out by EU authorities and professionals</w:t>
      </w:r>
      <w:r>
        <w:t xml:space="preserve"> </w:t>
      </w:r>
      <w:r>
        <w:t xml:space="preserve">over the last 5 years and that was co-funded by the EU Public Health Programme,</w:t>
      </w:r>
      <w:r>
        <w:t xml:space="preserve"> </w:t>
      </w:r>
      <w:r>
        <w:t xml:space="preserve">incorporating the principles that developed with wide consensus, into EU legislation. Fifteen</w:t>
      </w:r>
      <w:r>
        <w:t xml:space="preserve"> </w:t>
      </w:r>
      <w:r>
        <w:t xml:space="preserve">national competent authorities, in collaboration with learned societies for BTC therapies, have</w:t>
      </w:r>
      <w:r>
        <w:t xml:space="preserve"> </w:t>
      </w:r>
      <w:r>
        <w:t xml:space="preserve">collaborated under an EU-funded joint action that developed a proportionate approach for</w:t>
      </w:r>
      <w:r>
        <w:t xml:space="preserve"> </w:t>
      </w:r>
      <w:r>
        <w:t xml:space="preserve">authorizing changes to BTC processing or use 9. This approach foresees a series of steps to</w:t>
      </w:r>
      <w:r>
        <w:t xml:space="preserve"> </w:t>
      </w:r>
      <w:r>
        <w:t xml:space="preserve">take before authorising BTC processing changes or the introduction of new BTC processes or</w:t>
      </w:r>
      <w:r>
        <w:t xml:space="preserve"> </w:t>
      </w:r>
      <w:r>
        <w:t xml:space="preserve">uses. 10</w:t>
      </w:r>
      <w:r>
        <w:t xml:space="preserve"> </w:t>
      </w:r>
      <w:r>
        <w:t xml:space="preserve">Steps of the GAPP approach to authorize BTC changes</w:t>
      </w:r>
    </w:p>
    <w:p>
      <w:pPr>
        <w:pStyle w:val="BodyText"/>
      </w:pPr>
      <w:r>
        <w:t xml:space="preserve">4 Platelet Additive Solutions: A Review of the Latest Developments and Their Clinical Implications - FullText -</w:t>
      </w:r>
      <w:r>
        <w:t xml:space="preserve"> </w:t>
      </w:r>
      <w:r>
        <w:t xml:space="preserve">Transfusion Medicine and Hemotherapy 2018, Vol. 45, No. 2 - Karger Publishers</w:t>
      </w:r>
      <w:r>
        <w:t xml:space="preserve"> </w:t>
      </w:r>
      <w:r>
        <w:t xml:space="preserve">5 Introducing Pathogen Reduction Technology in Poland: A Cost-Utility Analysis Maria Agapovaa. Transfus</w:t>
      </w:r>
      <w:r>
        <w:t xml:space="preserve"> </w:t>
      </w:r>
      <w:r>
        <w:t xml:space="preserve">Med Hemother 2015;42:158–165</w:t>
      </w:r>
      <w:r>
        <w:t xml:space="preserve"> </w:t>
      </w:r>
      <w:r>
        <w:t xml:space="preserve">6 Solves P, Mirabet V, Roig R. Volume reduction in routine cord blood banking. Curr Stem Cell Res Ther. 2010</w:t>
      </w:r>
      <w:r>
        <w:t xml:space="preserve"> </w:t>
      </w:r>
      <w:r>
        <w:t xml:space="preserve">Dec;5(4):362-6. doi: 10.2174/157488810793351703. PMID: 20528760.</w:t>
      </w:r>
      <w:r>
        <w:t xml:space="preserve"> </w:t>
      </w:r>
      <w:r>
        <w:t xml:space="preserve">7 Chapter 19, Guide to the Quality and Safety of Tissues and Cells for Human Application. EDQM, 3rd Edition</w:t>
      </w:r>
      <w:r>
        <w:t xml:space="preserve"> </w:t>
      </w:r>
      <w:r>
        <w:t xml:space="preserve">2017.</w:t>
      </w:r>
      <w:r>
        <w:t xml:space="preserve"> </w:t>
      </w:r>
      <w:r>
        <w:t xml:space="preserve">8 Hogg P1, Rooney P, Ingham E et al. (2012) Development of a decellularised dermis. Cell Tissue Bank. 2013</w:t>
      </w:r>
      <w:r>
        <w:t xml:space="preserve"> </w:t>
      </w:r>
      <w:r>
        <w:t xml:space="preserve">Sep; 14(3):465-74.</w:t>
      </w:r>
      <w:r>
        <w:br/>
      </w:r>
      <w:r>
        <w:t xml:space="preserve">9 GAPP Joint Action: Facilitating the Authorisation of Preparation Process for blood, tissues and cells</w:t>
      </w:r>
      <w:r>
        <w:t xml:space="preserve"> </w:t>
      </w:r>
      <w:r>
        <w:t xml:space="preserve">https://www.gapp-ja.eu/</w:t>
      </w:r>
      <w:r>
        <w:br/>
      </w:r>
      <w:r>
        <w:t xml:space="preserve">10 Technical Annex 3 to overall guidance: assessing clinical data as part of Preparation Process Authorisation</w:t>
      </w:r>
      <w:r>
        <w:t xml:space="preserve"> </w:t>
      </w:r>
      <w:r>
        <w:t xml:space="preserve">(PPA) D8.3_Ref.-Ares_2020_4146352_06082020.pdf (gapp-ja.eu)</w:t>
      </w:r>
    </w:p>
    <w:p>
      <w:pPr>
        <w:pStyle w:val="BodyText"/>
      </w:pPr>
      <w:r>
        <w:t xml:space="preserve">307</w:t>
      </w:r>
    </w:p>
    <w:p>
      <w:pPr>
        <w:pStyle w:val="BodyText"/>
      </w:pPr>
      <w:r>
        <w:t xml:space="preserve">Figure 12.1: steps of the GAPP approach to authorize BTC changes</w:t>
      </w:r>
      <w:r>
        <w:t xml:space="preserve"> </w:t>
      </w:r>
      <w:r>
        <w:t xml:space="preserve">This starts with an assessment of novelty, by comparing the proposed change to an existing</w:t>
      </w:r>
      <w:r>
        <w:t xml:space="preserve"> </w:t>
      </w:r>
      <w:r>
        <w:t xml:space="preserve">BTC preparation. If the process is not already in use (e.g. in line with a monograph published</w:t>
      </w:r>
      <w:r>
        <w:t xml:space="preserve"> </w:t>
      </w:r>
      <w:r>
        <w:t xml:space="preserve">by EDQM), a risk assessment will be performed. A standard risk-assessment tool has been</w:t>
      </w:r>
      <w:r>
        <w:t xml:space="preserve"> </w:t>
      </w:r>
      <w:r>
        <w:t xml:space="preserve">developed and tested and could be used by BTC establishments for this purpose (EuroGTP</w:t>
      </w:r>
      <w:r>
        <w:t xml:space="preserve"> </w:t>
      </w:r>
      <w:r>
        <w:t xml:space="preserve">II). It takes account of risk factors such as immunogenicity, engraftment failure, disease</w:t>
      </w:r>
      <w:r>
        <w:t xml:space="preserve"> </w:t>
      </w:r>
      <w:r>
        <w:t xml:space="preserve">transmission, toxicity, carcinogenicity, etc. 11,12,13. The tool leads to four levels of risk:</w:t>
      </w:r>
      <w:r>
        <w:t xml:space="preserve"> </w:t>
      </w:r>
      <w:r>
        <w:t xml:space="preserve">negligible, low, medium and high. The higher the level of risk, the more clinical evidence will</w:t>
      </w:r>
      <w:r>
        <w:t xml:space="preserve"> </w:t>
      </w:r>
      <w:r>
        <w:t xml:space="preserve">be required from the developer for authorisation of the process. This can vary from a</w:t>
      </w:r>
      <w:r>
        <w:t xml:space="preserve"> </w:t>
      </w:r>
      <w:r>
        <w:t xml:space="preserve">description of the process and standard reporting of serious adverse events and reactions</w:t>
      </w:r>
      <w:r>
        <w:t xml:space="preserve"> </w:t>
      </w:r>
      <w:r>
        <w:t xml:space="preserve">(SARE) to full clinical investigation plans with a defined number of patients, in comparison to</w:t>
      </w:r>
      <w:r>
        <w:t xml:space="preserve"> </w:t>
      </w:r>
      <w:r>
        <w:t xml:space="preserve">standard therapies.</w:t>
      </w:r>
    </w:p>
    <w:p>
      <w:pPr>
        <w:pStyle w:val="BodyText"/>
      </w:pPr>
      <w:r>
        <w:t xml:space="preserve">11 Trias E, et al. EuroGTP II Study Group. EuroGTP II: a tool to assess risk, safety and efficacy of substances of</w:t>
      </w:r>
      <w:r>
        <w:t xml:space="preserve"> </w:t>
      </w:r>
      <w:r>
        <w:t xml:space="preserve">human origin. Int J Qual Health Care. 2020 Apr 21;32(1):80-84. doi: 10.1093/intqhc/mzz048. PMID: 31087044</w:t>
      </w:r>
      <w:r>
        <w:t xml:space="preserve"> </w:t>
      </w:r>
      <w:r>
        <w:t xml:space="preserve">12 EuroGTPII: An interactive assessment tool for risk assessment of new tissue and cellular therapies and</w:t>
      </w:r>
      <w:r>
        <w:t xml:space="preserve"> </w:t>
      </w:r>
      <w:r>
        <w:t xml:space="preserve">products | EBMT</w:t>
      </w:r>
      <w:r>
        <w:t xml:space="preserve"> </w:t>
      </w:r>
      <w:r>
        <w:t xml:space="preserve">13 Assessing the safety risks of new introductions in ART (focusonreproduction.eu) /article/ESHRE-News-</w:t>
      </w:r>
      <w:r>
        <w:t xml:space="preserve"> </w:t>
      </w:r>
      <w:r>
        <w:t xml:space="preserve">EuroGTP-2019</w:t>
      </w:r>
    </w:p>
    <w:p>
      <w:pPr>
        <w:pStyle w:val="BodyText"/>
      </w:pPr>
      <w:r>
        <w:t xml:space="preserve">308</w:t>
      </w:r>
    </w:p>
    <w:p>
      <w:pPr>
        <w:pStyle w:val="BodyText"/>
      </w:pPr>
      <w:r>
        <w:t xml:space="preserve">Different risk levels lead to proportionate levels of required clinical evidence (GAPP</w:t>
      </w:r>
      <w:r>
        <w:t xml:space="preserve"> </w:t>
      </w:r>
      <w:r>
        <w:t xml:space="preserve">approach)</w:t>
      </w:r>
    </w:p>
    <w:p>
      <w:pPr>
        <w:pStyle w:val="BodyText"/>
      </w:pPr>
      <w:r>
        <w:t xml:space="preserve">Figure 12.2: GAPP risk levels</w:t>
      </w:r>
      <w:r>
        <w:t xml:space="preserve"> </w:t>
      </w:r>
      <w:r>
        <w:t xml:space="preserve">Implementing the GAPP approach would mean that developers in BTC establishments would</w:t>
      </w:r>
      <w:r>
        <w:t xml:space="preserve"> </w:t>
      </w:r>
      <w:r>
        <w:t xml:space="preserve">be required to provide this clinical evidence for assessment by the national competent</w:t>
      </w:r>
      <w:r>
        <w:t xml:space="preserve"> </w:t>
      </w:r>
      <w:r>
        <w:t xml:space="preserve">authorities. If satisfactory, the establishment would receive an authorisation for this new</w:t>
      </w:r>
      <w:r>
        <w:t xml:space="preserve"> </w:t>
      </w:r>
      <w:r>
        <w:t xml:space="preserve">preparation process.</w:t>
      </w:r>
      <w:r>
        <w:br/>
      </w:r>
      <w:r>
        <w:t xml:space="preserve">All three policy options include the incorporation of this approach in the revised legislation. A</w:t>
      </w:r>
      <w:r>
        <w:t xml:space="preserve"> </w:t>
      </w:r>
      <w:r>
        <w:t xml:space="preserve">common ICT tool is planned to allow national assessors to share data and results of</w:t>
      </w:r>
      <w:r>
        <w:t xml:space="preserve"> </w:t>
      </w:r>
      <w:r>
        <w:t xml:space="preserve">assessments, where appropriate, make common authorisation decisions. Further technical</w:t>
      </w:r>
      <w:r>
        <w:t xml:space="preserve"> </w:t>
      </w:r>
      <w:r>
        <w:t xml:space="preserve">rules can be developed by EU expert bodies, or under either of the two other policy options</w:t>
      </w:r>
      <w:r>
        <w:t xml:space="preserve"> </w:t>
      </w:r>
      <w:r>
        <w:t xml:space="preserve">for the impact assessment. Such guidance might address, in particular, the design of clinical</w:t>
      </w:r>
      <w:r>
        <w:t xml:space="preserve"> </w:t>
      </w:r>
      <w:r>
        <w:t xml:space="preserve">studies or how to enter data in clinical registries.</w:t>
      </w:r>
      <w:r>
        <w:t xml:space="preserve"> </w:t>
      </w:r>
      <w:r>
        <w:t xml:space="preserve">For the changes that imply the highest level of risk or novelty, the use of the EU clinical trials</w:t>
      </w:r>
      <w:r>
        <w:t xml:space="preserve"> </w:t>
      </w:r>
      <w:r>
        <w:t xml:space="preserve">framework might be appropriate. Already today, assessors of innovations in BTC in several</w:t>
      </w:r>
      <w:r>
        <w:t xml:space="preserve"> </w:t>
      </w:r>
      <w:r>
        <w:t xml:space="preserve">countries (e.g., ANSM in FR and PEI in DE) regularly require the conduct of (adapted)</w:t>
      </w:r>
      <w:r>
        <w:t xml:space="preserve"> </w:t>
      </w:r>
      <w:r>
        <w:t xml:space="preserve">clinical trials. It is estimated that over 50 clinical trials are required for changes in BTC every</w:t>
      </w:r>
      <w:r>
        <w:t xml:space="preserve"> </w:t>
      </w:r>
      <w:r>
        <w:t xml:space="preserve">year by national competent authorities in the EU. In 2020, at least 48 clinical trials were</w:t>
      </w:r>
      <w:r>
        <w:t xml:space="preserve"> </w:t>
      </w:r>
      <w:r>
        <w:t xml:space="preserve">organised to test the preparation and use of COVID-19 convalescent plasma. The use of a</w:t>
      </w:r>
      <w:r>
        <w:t xml:space="preserve"> </w:t>
      </w:r>
      <w:r>
        <w:t xml:space="preserve">common approach across national competent authorities, supported by a common ICT tool,</w:t>
      </w:r>
      <w:r>
        <w:t xml:space="preserve"> </w:t>
      </w:r>
      <w:r>
        <w:t xml:space="preserve">will bring potential for significant efficiencies.</w:t>
      </w:r>
      <w:r>
        <w:t xml:space="preserve"> </w:t>
      </w:r>
      <w:r>
        <w:t xml:space="preserve">The use of clinical trials in this measure will create a smooth transition from the requirements</w:t>
      </w:r>
      <w:r>
        <w:t xml:space="preserve"> </w:t>
      </w:r>
      <w:r>
        <w:t xml:space="preserve">this framework to the requirements of the medicinal products framework, when the degree of</w:t>
      </w:r>
      <w:r>
        <w:t xml:space="preserve"> </w:t>
      </w:r>
      <w:r>
        <w:t xml:space="preserve">novelty or complexity of processing brings BTC closer to the borderline.</w:t>
      </w:r>
    </w:p>
    <w:p>
      <w:pPr>
        <w:pStyle w:val="BodyText"/>
      </w:pPr>
      <w:r>
        <w:t xml:space="preserve">309</w:t>
      </w:r>
    </w:p>
    <w:p>
      <w:pPr>
        <w:pStyle w:val="BodyText"/>
      </w:pPr>
      <w:r>
        <w:t xml:space="preserve">Incorporating this approach in the new legislation will ensure both an appropriate level of</w:t>
      </w:r>
      <w:r>
        <w:t xml:space="preserve"> </w:t>
      </w:r>
      <w:r>
        <w:t xml:space="preserve">protection for patients and facilitated access to safe BTC prepared in new ways and will</w:t>
      </w:r>
      <w:r>
        <w:t xml:space="preserve"> </w:t>
      </w:r>
      <w:r>
        <w:t xml:space="preserve">reduce the risk that unproven BTC therapies with inherent risks are administered to patients.</w:t>
      </w:r>
      <w:r>
        <w:t xml:space="preserve"> </w:t>
      </w:r>
      <w:r>
        <w:t xml:space="preserve">12.2 A central BTC mechanism to provide legal clarity (M4A)</w:t>
      </w:r>
      <w:r>
        <w:t xml:space="preserve"> </w:t>
      </w:r>
      <w:r>
        <w:t xml:space="preserve">Continuous developments in the BTC sector raise a high number of questions on how to</w:t>
      </w:r>
      <w:r>
        <w:t xml:space="preserve"> </w:t>
      </w:r>
      <w:r>
        <w:t xml:space="preserve">interpret the BTC legal frameworks and understand whether BTC requirements are applicable</w:t>
      </w:r>
      <w:r>
        <w:t xml:space="preserve"> </w:t>
      </w:r>
      <w:r>
        <w:t xml:space="preserve">and in which situations.</w:t>
      </w:r>
      <w:r>
        <w:br/>
      </w:r>
      <w:r>
        <w:t xml:space="preserve">In the absence of a central mechanism to answer these questions they are often brought by the</w:t>
      </w:r>
      <w:r>
        <w:t xml:space="preserve"> </w:t>
      </w:r>
      <w:r>
        <w:t xml:space="preserve">national competent authorities to the meetings of the SoHO Expert Group of competent</w:t>
      </w:r>
      <w:r>
        <w:t xml:space="preserve"> </w:t>
      </w:r>
      <w:r>
        <w:t xml:space="preserve">authorities. This Expert Group is however set-up with a broader scope of activities, is not</w:t>
      </w:r>
      <w:r>
        <w:t xml:space="preserve"> </w:t>
      </w:r>
      <w:r>
        <w:t xml:space="preserve">specifically mandated to advise on scope issues and does not meet with a high frequency.</w:t>
      </w:r>
      <w:r>
        <w:t xml:space="preserve"> </w:t>
      </w:r>
      <w:r>
        <w:t xml:space="preserve">Nonetheless, Annex VIII of the BTC Evaluation report provides a comprehensive overview of</w:t>
      </w:r>
      <w:r>
        <w:t xml:space="preserve"> </w:t>
      </w:r>
      <w:r>
        <w:t xml:space="preserve">questions that have been dealt with by the Expert Group over the course of recent years14</w:t>
      </w:r>
      <w:r>
        <w:t xml:space="preserve"> </w:t>
      </w:r>
      <w:r>
        <w:t xml:space="preserve">The new BTC framework proposes the set-up of a SoHO Coordination Group to include a</w:t>
      </w:r>
      <w:r>
        <w:t xml:space="preserve"> </w:t>
      </w:r>
      <w:r>
        <w:t xml:space="preserve">dedicated working group that will advise on this issue in a more efficient way, providing</w:t>
      </w:r>
      <w:r>
        <w:t xml:space="preserve"> </w:t>
      </w:r>
      <w:r>
        <w:t xml:space="preserve">clarification to requests from competent authorities and professional societies. This working</w:t>
      </w:r>
      <w:r>
        <w:t xml:space="preserve"> </w:t>
      </w:r>
      <w:r>
        <w:t xml:space="preserve">group will facilitate consistent determination and advice on the applicable BTC legal</w:t>
      </w:r>
      <w:r>
        <w:t xml:space="preserve"> </w:t>
      </w:r>
      <w:r>
        <w:t xml:space="preserve">requirements. In cases where a consultation with committees established by other legal acts of</w:t>
      </w:r>
      <w:r>
        <w:t xml:space="preserve"> </w:t>
      </w:r>
      <w:r>
        <w:t xml:space="preserve">the Union on human health / in related fields is necessary to determine whether [and to which</w:t>
      </w:r>
      <w:r>
        <w:t xml:space="preserve"> </w:t>
      </w:r>
      <w:r>
        <w:t xml:space="preserve">extent] the substance, process or preparation falls within the definition of SoHO, the working</w:t>
      </w:r>
      <w:r>
        <w:t xml:space="preserve"> </w:t>
      </w:r>
      <w:r>
        <w:t xml:space="preserve">group shall consult with the equivalent borderlines advisory mechanisms of the appropriate</w:t>
      </w:r>
      <w:r>
        <w:t xml:space="preserve"> </w:t>
      </w:r>
      <w:r>
        <w:t xml:space="preserve">field. Related fields include, but are not limited to, medicinal products, medicinal devices and</w:t>
      </w:r>
      <w:r>
        <w:t xml:space="preserve"> </w:t>
      </w:r>
      <w:r>
        <w:t xml:space="preserve">food.</w:t>
      </w:r>
      <w:r>
        <w:br/>
      </w:r>
      <w:r>
        <w:t xml:space="preserve">Such cases can be expected to include situations where:</w:t>
      </w:r>
      <w:r>
        <w:t xml:space="preserve"> </w:t>
      </w:r>
      <w:r>
        <w:t xml:space="preserve">(a) there is a lack of legal clarity on the classification and applicable legal framework</w:t>
      </w:r>
      <w:r>
        <w:t xml:space="preserve"> </w:t>
      </w:r>
      <w:r>
        <w:t xml:space="preserve">of a therapy,</w:t>
      </w:r>
      <w:r>
        <w:br/>
      </w:r>
      <w:r>
        <w:t xml:space="preserve">(b) products combine components falling under different legal frameworks and</w:t>
      </w:r>
      <w:r>
        <w:br/>
      </w:r>
      <w:r>
        <w:t xml:space="preserve">(c) BTC become starting material for products that fall under other legal frameworks.</w:t>
      </w:r>
    </w:p>
    <w:p>
      <w:pPr>
        <w:pStyle w:val="BodyText"/>
      </w:pPr>
      <w:r>
        <w:t xml:space="preserve">Specific procedures shall be established for requests of such consultations, including the</w:t>
      </w:r>
      <w:r>
        <w:t xml:space="preserve"> </w:t>
      </w:r>
      <w:r>
        <w:t xml:space="preserve">eligibility criteria and mechanisms.</w:t>
      </w:r>
    </w:p>
    <w:p>
      <w:pPr>
        <w:pStyle w:val="BodyText"/>
      </w:pPr>
      <w:r>
        <w:t xml:space="preserve">The Committee on Advanced Therapies (CAT) is a well-established equivalent committee</w:t>
      </w:r>
      <w:r>
        <w:t xml:space="preserve"> </w:t>
      </w:r>
      <w:r>
        <w:t xml:space="preserve">working in the pharmaceutical framework. The CAT might not only need to be regularly</w:t>
      </w:r>
      <w:r>
        <w:t xml:space="preserve"> </w:t>
      </w:r>
      <w:r>
        <w:t xml:space="preserve">consulted on scientific aspects relevant to the borderlines between BTC and advanced therapy</w:t>
      </w:r>
      <w:r>
        <w:t xml:space="preserve"> </w:t>
      </w:r>
      <w:r>
        <w:t xml:space="preserve">medicinal products, but could also provide advice on procedural aspects of giving this kind of</w:t>
      </w:r>
      <w:r>
        <w:t xml:space="preserve"> </w:t>
      </w:r>
      <w:r>
        <w:t xml:space="preserve">advice, given their expertise. During preliminary exchanges with the CAT leadership they</w:t>
      </w:r>
      <w:r>
        <w:t xml:space="preserve"> </w:t>
      </w:r>
      <w:r>
        <w:t xml:space="preserve">underlined the need for proportionate and efficient coordination, with email exchanges being</w:t>
      </w:r>
      <w:r>
        <w:t xml:space="preserve"> </w:t>
      </w:r>
      <w:r>
        <w:t xml:space="preserve">sufficient for some cases, while meetings might be required to exchange views on other cases.</w:t>
      </w:r>
      <w:r>
        <w:t xml:space="preserve"> </w:t>
      </w:r>
      <w:r>
        <w:t xml:space="preserve">In an interview for the borderline case studies 15, the CAT members expressed openness for</w:t>
      </w:r>
    </w:p>
    <w:p>
      <w:pPr>
        <w:pStyle w:val="BodyText"/>
      </w:pPr>
      <w:r>
        <w:t xml:space="preserve">14 Evaluation {SWD (2019) 376 final} , Annex VIII, p127-179.</w:t>
      </w:r>
      <w:r>
        <w:br/>
      </w:r>
      <w:r>
        <w:t xml:space="preserve">15 Annex 11, section 11.12.</w:t>
      </w:r>
    </w:p>
    <w:p>
      <w:pPr>
        <w:pStyle w:val="BodyText"/>
      </w:pPr>
      <w:r>
        <w:t xml:space="preserve">310</w:t>
      </w:r>
    </w:p>
    <w:p>
      <w:pPr>
        <w:pStyle w:val="BodyText"/>
      </w:pPr>
      <w:r>
        <w:t xml:space="preserve">formal interactions, but underlined the need to avoid contradictions as it is important to</w:t>
      </w:r>
      <w:r>
        <w:t xml:space="preserve"> </w:t>
      </w:r>
      <w:r>
        <w:t xml:space="preserve">provide legal clarity to developers across the EU. CAT interviewees suggested ideas for</w:t>
      </w:r>
      <w:r>
        <w:t xml:space="preserve"> </w:t>
      </w:r>
      <w:r>
        <w:t xml:space="preserve">liaising including clear definitions of roles, responsibilities and consultation mechanisms, the</w:t>
      </w:r>
      <w:r>
        <w:t xml:space="preserve"> </w:t>
      </w:r>
      <w:r>
        <w:t xml:space="preserve">possibility of mutual representations in committees, as well as the idea of a pilot phase.</w:t>
      </w:r>
      <w:r>
        <w:br/>
      </w:r>
      <w:r>
        <w:t xml:space="preserve">Other committees to liaise with include the Borderline Classification Group, which is newly</w:t>
      </w:r>
      <w:r>
        <w:t xml:space="preserve"> </w:t>
      </w:r>
      <w:r>
        <w:t xml:space="preserve">established by the Heads of Medicines Agency to have informal expert exchanges on</w:t>
      </w:r>
      <w:r>
        <w:t xml:space="preserve"> </w:t>
      </w:r>
      <w:r>
        <w:t xml:space="preserve">therapies that have been classified differently in different Member States. This group also</w:t>
      </w:r>
      <w:r>
        <w:t xml:space="preserve"> </w:t>
      </w:r>
      <w:r>
        <w:t xml:space="preserve">reflects on mechanisms of interaction to improve EU wide collaboration. The group is closely</w:t>
      </w:r>
      <w:r>
        <w:t xml:space="preserve"> </w:t>
      </w:r>
      <w:r>
        <w:t xml:space="preserve">linked to EMA’s Innovation Task Force which provides regulatory/scientific advice to</w:t>
      </w:r>
      <w:r>
        <w:t xml:space="preserve"> </w:t>
      </w:r>
      <w:r>
        <w:t xml:space="preserve">developers on eligibility of EMA procedures, inherently requiring an advice on whether a</w:t>
      </w:r>
      <w:r>
        <w:t xml:space="preserve"> </w:t>
      </w:r>
      <w:r>
        <w:t xml:space="preserve">therapy is to be considered to fall under the EU pharma legislation.</w:t>
      </w:r>
      <w:r>
        <w:t xml:space="preserve"> </w:t>
      </w:r>
      <w:r>
        <w:t xml:space="preserve">The main liaison to be established with the field of medical devices is the Medical Device</w:t>
      </w:r>
      <w:r>
        <w:t xml:space="preserve"> </w:t>
      </w:r>
      <w:r>
        <w:t xml:space="preserve">Coordination Group. The BDCG includes a Borderline and Classification working group that</w:t>
      </w:r>
      <w:r>
        <w:t xml:space="preserve"> </w:t>
      </w:r>
      <w:r>
        <w:t xml:space="preserve">assists national authorities in classification and determination of regulatory status. The</w:t>
      </w:r>
      <w:r>
        <w:t xml:space="preserve"> </w:t>
      </w:r>
      <w:r>
        <w:t xml:space="preserve">manuals and terms of reference of this group can also provide valuable experiences for the</w:t>
      </w:r>
      <w:r>
        <w:t xml:space="preserve"> </w:t>
      </w:r>
      <w:r>
        <w:t xml:space="preserve">set-up of the equivalent BTC dedicated clarification body. The medical device set-up also</w:t>
      </w:r>
      <w:r>
        <w:t xml:space="preserve"> </w:t>
      </w:r>
      <w:r>
        <w:t xml:space="preserve">includes further elements to explore and build on including:</w:t>
      </w:r>
      <w:r>
        <w:t xml:space="preserve"> </w:t>
      </w:r>
      <w:r>
        <w:t xml:space="preserve">-</w:t>
      </w:r>
      <w:r>
        <w:t xml:space="preserve"> </w:t>
      </w:r>
      <w:r>
        <w:t xml:space="preserve">A legal provision in the MD Regulation that requires the Commission to ensure that</w:t>
      </w:r>
      <w:r>
        <w:t xml:space="preserve"> </w:t>
      </w:r>
      <w:r>
        <w:t xml:space="preserve">Member States share expertise on medicines, devices, diagnostics, tissues and cells,</w:t>
      </w:r>
      <w:r>
        <w:t xml:space="preserve"> </w:t>
      </w:r>
      <w:r>
        <w:t xml:space="preserve">food, … and consult appropriate agencies;</w:t>
      </w:r>
      <w:r>
        <w:br/>
      </w:r>
      <w:r>
        <w:t xml:space="preserve">-</w:t>
      </w:r>
      <w:r>
        <w:t xml:space="preserve"> </w:t>
      </w:r>
      <w:r>
        <w:t xml:space="preserve">Procedures to define lead responsibilities and consultation mechanisms for</w:t>
      </w:r>
      <w:r>
        <w:t xml:space="preserve"> </w:t>
      </w:r>
      <w:r>
        <w:t xml:space="preserve">combination products (both for MD/MP and MD/BTC combinations);</w:t>
      </w:r>
      <w:r>
        <w:t xml:space="preserve"> </w:t>
      </w:r>
      <w:r>
        <w:t xml:space="preserve">-</w:t>
      </w:r>
      <w:r>
        <w:t xml:space="preserve"> </w:t>
      </w:r>
      <w:r>
        <w:t xml:space="preserve">The so-called Helsinki procedure which allows for rapid collection of national views</w:t>
      </w:r>
      <w:r>
        <w:t xml:space="preserve"> </w:t>
      </w:r>
      <w:r>
        <w:t xml:space="preserve">on specific new devices.</w:t>
      </w:r>
    </w:p>
    <w:p>
      <w:pPr>
        <w:pStyle w:val="BodyText"/>
      </w:pPr>
      <w:r>
        <w:t xml:space="preserve">On several occasions, national authorities 16,17 and EMA 18 have proposed to go further by</w:t>
      </w:r>
      <w:r>
        <w:t xml:space="preserve"> </w:t>
      </w:r>
      <w:r>
        <w:t xml:space="preserve">channelling these interactions between sectors through one central multi-disciplinary process</w:t>
      </w:r>
      <w:r>
        <w:t xml:space="preserve"> </w:t>
      </w:r>
      <w:r>
        <w:t xml:space="preserve">or body that could provide advice to developers and help them obtain legal clarity on what</w:t>
      </w:r>
      <w:r>
        <w:t xml:space="preserve"> </w:t>
      </w:r>
      <w:r>
        <w:t xml:space="preserve">is/are the applicable EU legal framework(s) that should apply.</w:t>
      </w:r>
      <w:r>
        <w:t xml:space="preserve"> </w:t>
      </w:r>
      <w:r>
        <w:t xml:space="preserve">However, this approach would require changes to different frameworks and is beyond the</w:t>
      </w:r>
      <w:r>
        <w:t xml:space="preserve"> </w:t>
      </w:r>
      <w:r>
        <w:t xml:space="preserve">scope of the BTC revision. However, the set-up of a clarification subgroup under the SoHO</w:t>
      </w:r>
      <w:r>
        <w:t xml:space="preserve"> </w:t>
      </w:r>
      <w:r>
        <w:t xml:space="preserve">Coordination Group will be a useful starting point and serve as BTC counterpart to these</w:t>
      </w:r>
      <w:r>
        <w:t xml:space="preserve"> </w:t>
      </w:r>
      <w:r>
        <w:t xml:space="preserve">different bodies in other EU legal frameworks, regardless of the eventual mechanisms for</w:t>
      </w:r>
      <w:r>
        <w:t xml:space="preserve"> </w:t>
      </w:r>
      <w:r>
        <w:t xml:space="preserve">cross-sector consultation.</w:t>
      </w:r>
      <w:r>
        <w:t xml:space="preserve"> </w:t>
      </w:r>
      <w:r>
        <w:t xml:space="preserve">12.3 Summary</w:t>
      </w:r>
      <w:r>
        <w:t xml:space="preserve"> </w:t>
      </w:r>
      <w:r>
        <w:t xml:space="preserve">The creation of a dedicated framework to authorize incremental changes in the processing and</w:t>
      </w:r>
      <w:r>
        <w:t xml:space="preserve"> </w:t>
      </w:r>
      <w:r>
        <w:t xml:space="preserve">use of BTC and the creation of a BTC legal clarification mechanism are key measures to</w:t>
      </w:r>
      <w:r>
        <w:t xml:space="preserve"> </w:t>
      </w:r>
      <w:r>
        <w:t xml:space="preserve">significantly facilitate safe and beneficial innovation in the BTC sector. Both mechanisms</w:t>
      </w:r>
    </w:p>
    <w:p>
      <w:pPr>
        <w:pStyle w:val="BodyText"/>
      </w:pPr>
      <w:r>
        <w:t xml:space="preserve">16 Proposals for simplification of EU-legislation – prepared jointly by the Danish Ministry for Business, Industry</w:t>
      </w:r>
      <w:r>
        <w:t xml:space="preserve"> </w:t>
      </w:r>
      <w:r>
        <w:t xml:space="preserve">and Financial Affairs and the Danish Business Forum for Better regulation – March 2019</w:t>
      </w:r>
      <w:r>
        <w:t xml:space="preserve"> </w:t>
      </w:r>
      <w:r>
        <w:t xml:space="preserve">17 Position of the French Authorities - April 2021</w:t>
      </w:r>
      <w:r>
        <w:t xml:space="preserve"> </w:t>
      </w:r>
      <w:r>
        <w:t xml:space="preserve">18 EMA contribution to the EU pharmaceutical strategy – April 2021</w:t>
      </w:r>
    </w:p>
    <w:p>
      <w:pPr>
        <w:pStyle w:val="BodyText"/>
      </w:pPr>
      <w:r>
        <w:t xml:space="preserve">311</w:t>
      </w:r>
    </w:p>
    <w:p>
      <w:pPr>
        <w:pStyle w:val="BodyText"/>
      </w:pPr>
      <w:r>
        <w:t xml:space="preserve">have obtained wide support in the consultations for the BTC impact assessment. They have</w:t>
      </w:r>
      <w:r>
        <w:t xml:space="preserve"> </w:t>
      </w:r>
      <w:r>
        <w:t xml:space="preserve">also been the subject of dedicated exchanges in workshops, including actors and authorities of</w:t>
      </w:r>
      <w:r>
        <w:t xml:space="preserve"> </w:t>
      </w:r>
      <w:r>
        <w:t xml:space="preserve">the pharmaceutical/ATMP and medical device frameworks, who underlined their importance</w:t>
      </w:r>
      <w:r>
        <w:t xml:space="preserve"> </w:t>
      </w:r>
      <w:r>
        <w:t xml:space="preserve">and provided further ideas on their set-up. The costs associated with these measures are</w:t>
      </w:r>
      <w:r>
        <w:t xml:space="preserve"> </w:t>
      </w:r>
      <w:r>
        <w:t xml:space="preserve">relatively low and are assessed as fully justified by the benefits.</w:t>
      </w:r>
      <w:r>
        <w:t xml:space="preserve"> </w:t>
      </w:r>
      <w:r>
        <w:t xml:space="preserve">The BTC legal clarification mechanism will provide the missing channel of interaction that</w:t>
      </w:r>
      <w:r>
        <w:t xml:space="preserve"> </w:t>
      </w:r>
      <w:r>
        <w:t xml:space="preserve">will allow to provide innovators with legal clarity across the three main EU legal framework</w:t>
      </w:r>
      <w:r>
        <w:t xml:space="preserve"> </w:t>
      </w:r>
      <w:r>
        <w:t xml:space="preserve">for health biotechnologies. This will promote the regulation of innovative BTC and BTC-</w:t>
      </w:r>
      <w:r>
        <w:t xml:space="preserve"> </w:t>
      </w:r>
      <w:r>
        <w:t xml:space="preserve">based products under the best fitting legal requirements for each therapy, supporting safe</w:t>
      </w:r>
      <w:r>
        <w:t xml:space="preserve"> </w:t>
      </w:r>
      <w:r>
        <w:t xml:space="preserve">access to effective therapies for EU citizens.</w:t>
      </w:r>
    </w:p>
    <w:p>
      <w:pPr>
        <w:pStyle w:val="BodyText"/>
      </w:pPr>
      <w:r>
        <w:t xml:space="preserve">312</w:t>
      </w:r>
    </w:p>
    <w:p>
      <w:pPr>
        <w:pStyle w:val="BodyText"/>
      </w:pPr>
      <w:r>
        <w:t xml:space="preserve">ANNEX 13: PROBLEM TREE AND INTERVENTION LOGIC</w:t>
      </w:r>
    </w:p>
    <w:p>
      <w:pPr>
        <w:pStyle w:val="BodyText"/>
      </w:pPr>
      <w:r>
        <w:t xml:space="preserve">Figure 13.1: problem tree</w:t>
      </w:r>
    </w:p>
    <w:p>
      <w:pPr>
        <w:pStyle w:val="BodyText"/>
      </w:pPr>
      <w:r>
        <w:t xml:space="preserve">313</w:t>
      </w:r>
    </w:p>
    <w:p>
      <w:pPr>
        <w:pStyle w:val="BodyText"/>
      </w:pPr>
      <w:r>
        <w:t xml:space="preserve">Figure 13.2: intervention logic</w:t>
      </w:r>
    </w:p>
    <w:p>
      <w:pPr>
        <w:pStyle w:val="BodyText"/>
      </w:pPr>
      <w:r>
        <w:t xml:space="preserve">314</w:t>
      </w:r>
    </w:p>
    <w:p>
      <w:pPr>
        <w:pStyle w:val="BodyText"/>
      </w:pPr>
      <w:r>
        <w:t xml:space="preserve">ANNEX 14: COLLABORATION WITH COUNCIL OF EUROPE</w:t>
      </w:r>
      <w:r>
        <w:br/>
      </w:r>
      <w:r>
        <w:t xml:space="preserve">The work of the Council of Europe in the blood transfusion area started in the 1950s. The</w:t>
      </w:r>
      <w:r>
        <w:t xml:space="preserve"> </w:t>
      </w:r>
      <w:r>
        <w:t xml:space="preserve">relevant Committees are the European Committee on Blood Transfusion (Steering</w:t>
      </w:r>
      <w:r>
        <w:t xml:space="preserve"> </w:t>
      </w:r>
      <w:r>
        <w:t xml:space="preserve">Committee) (CD-P-TS); and the Committee on Quality Assurance in Blood Transfusion</w:t>
      </w:r>
      <w:r>
        <w:t xml:space="preserve"> </w:t>
      </w:r>
      <w:r>
        <w:t xml:space="preserve">Services (Expert Committee) (GTS) that drafts and updates (every 2-3 years) the Guide to the</w:t>
      </w:r>
      <w:r>
        <w:t xml:space="preserve"> </w:t>
      </w:r>
      <w:r>
        <w:t xml:space="preserve">Preparation, use and quality assurance of Blood Components 19, so called “ Blood Guide”</w:t>
      </w:r>
      <w:r>
        <w:t xml:space="preserve"> </w:t>
      </w:r>
      <w:r>
        <w:t xml:space="preserve">which is now in its 20th edition. The Department of Biological Standardisation, OMCL</w:t>
      </w:r>
      <w:r>
        <w:t xml:space="preserve"> </w:t>
      </w:r>
      <w:r>
        <w:t xml:space="preserve">Network &amp; HealthCare (DBO) is within the Council of Europe is the European Directorate</w:t>
      </w:r>
      <w:r>
        <w:t xml:space="preserve"> </w:t>
      </w:r>
      <w:r>
        <w:t xml:space="preserve">for Quality Management (EDQM). EDQM focuses on the ethical, legal and organisational</w:t>
      </w:r>
      <w:r>
        <w:t xml:space="preserve"> </w:t>
      </w:r>
      <w:r>
        <w:t xml:space="preserve">aspects of blood transfusion with a view to ensuring quality, increasing availability, avoiding</w:t>
      </w:r>
      <w:r>
        <w:t xml:space="preserve"> </w:t>
      </w:r>
      <w:r>
        <w:t xml:space="preserve">wastage, ensuring optimal use of blood supplies and analysing the possible ethical and</w:t>
      </w:r>
      <w:r>
        <w:t xml:space="preserve"> </w:t>
      </w:r>
      <w:r>
        <w:t xml:space="preserve">organisational impact of new scientific developments.</w:t>
      </w:r>
      <w:r>
        <w:br/>
      </w:r>
      <w:r>
        <w:t xml:space="preserve">One section 20 of the ‘Blood Guide’ is referenced in a blood Directive 2005/62/EC as</w:t>
      </w:r>
      <w:r>
        <w:t xml:space="preserve"> </w:t>
      </w:r>
      <w:r>
        <w:t xml:space="preserve">amended by Directive 2016/1214 and Member States are required to ensure compliance with</w:t>
      </w:r>
      <w:r>
        <w:t xml:space="preserve"> </w:t>
      </w:r>
      <w:r>
        <w:t xml:space="preserve">it. Otherwise, the EDQM guidance is non-binding.</w:t>
      </w:r>
    </w:p>
    <w:p>
      <w:pPr>
        <w:pStyle w:val="BodyText"/>
      </w:pPr>
      <w:r>
        <w:t xml:space="preserve">The work of the Council of Europe (EDQM) in the area of organ, tissue and cell</w:t>
      </w:r>
      <w:r>
        <w:t xml:space="preserve"> </w:t>
      </w:r>
      <w:r>
        <w:t xml:space="preserve">transplantation started in 1987. The relevant Committee is the European Committee on Organ</w:t>
      </w:r>
      <w:r>
        <w:t xml:space="preserve"> </w:t>
      </w:r>
      <w:r>
        <w:t xml:space="preserve">Transplantation (Partial Agreement) (CD-P-TO) and its Tissue and Cell Guide Drafting sub-</w:t>
      </w:r>
      <w:r>
        <w:t xml:space="preserve"> </w:t>
      </w:r>
      <w:r>
        <w:t xml:space="preserve">group 21. The principles guiding the work of the EDQM in this field are ensuring human</w:t>
      </w:r>
      <w:r>
        <w:t xml:space="preserve"> </w:t>
      </w:r>
      <w:r>
        <w:t xml:space="preserve">dignity, maintaining and fulfilling human rights and fundamental freedoms, non-</w:t>
      </w:r>
      <w:r>
        <w:t xml:space="preserve"> </w:t>
      </w:r>
      <w:r>
        <w:t xml:space="preserve">commercialisation of substances of human origin and protecting donors and recipients of</w:t>
      </w:r>
      <w:r>
        <w:t xml:space="preserve"> </w:t>
      </w:r>
      <w:r>
        <w:t xml:space="preserve">organs, tissues and cells.</w:t>
      </w:r>
      <w:r>
        <w:br/>
      </w:r>
      <w:r>
        <w:t xml:space="preserve">All EU Member States are represented in the committees responsible for the development</w:t>
      </w:r>
      <w:r>
        <w:t xml:space="preserve"> </w:t>
      </w:r>
      <w:r>
        <w:t xml:space="preserve">and adoption of EDQM guidelines and the guidelines are considered to represent best</w:t>
      </w:r>
      <w:r>
        <w:t xml:space="preserve"> </w:t>
      </w:r>
      <w:r>
        <w:t xml:space="preserve">practice, with many EU inspectors using them as a point of reference during establishment</w:t>
      </w:r>
      <w:r>
        <w:t xml:space="preserve"> </w:t>
      </w:r>
      <w:r>
        <w:t xml:space="preserve">inspections.</w:t>
      </w:r>
      <w:r>
        <w:br/>
      </w:r>
      <w:r>
        <w:t xml:space="preserve">Collaboration between DG SANTE and EDQM has a long history, with a formal first grant</w:t>
      </w:r>
      <w:r>
        <w:t xml:space="preserve"> </w:t>
      </w:r>
      <w:r>
        <w:t xml:space="preserve">agreement in 2010, which was presented and celebrated in a dedicated 2020 conference 22.</w:t>
      </w:r>
    </w:p>
    <w:p>
      <w:pPr>
        <w:pStyle w:val="BodyText"/>
      </w:pPr>
      <w:r>
        <w:t xml:space="preserve">The European Commission and EDQM concluded a third grant agreement (2019-2021) under</w:t>
      </w:r>
      <w:r>
        <w:t xml:space="preserve"> </w:t>
      </w:r>
      <w:r>
        <w:t xml:space="preserve">which EDQM committed to collaborate on the following topics:</w:t>
      </w:r>
      <w:r>
        <w:br/>
      </w:r>
      <w:r>
        <w:t xml:space="preserve"> Development and regular updating of technical SoHO guidance</w:t>
      </w:r>
      <w:r>
        <w:br/>
      </w:r>
      <w:r>
        <w:t xml:space="preserve"> A proficiency testing scheme for blood establishments</w:t>
      </w:r>
    </w:p>
    <w:p>
      <w:pPr>
        <w:pStyle w:val="BodyText"/>
      </w:pPr>
      <w:r>
        <w:t xml:space="preserve">19 EDQM Guide for Blood: EDQM Guide for https://www.edqm.eu/en/blood-guide.</w:t>
      </w:r>
      <w:r>
        <w:br/>
      </w:r>
      <w:r>
        <w:t xml:space="preserve">20 This section defines Good Practice Guidelines for blood establishments. It provides a framework for the</w:t>
      </w:r>
      <w:r>
        <w:t xml:space="preserve"> </w:t>
      </w:r>
      <w:r>
        <w:t xml:space="preserve">establishment of quality management in those establishments.</w:t>
      </w:r>
      <w:r>
        <w:t xml:space="preserve"> </w:t>
      </w:r>
      <w:r>
        <w:t xml:space="preserve">21 EDQM Guide for Tissues and Cells: EDQM Guide for https://www.edqm.eu/en/organs-tissues -and -cells-</w:t>
      </w:r>
      <w:r>
        <w:t xml:space="preserve"> </w:t>
      </w:r>
      <w:r>
        <w:t xml:space="preserve">technical-guides.</w:t>
      </w:r>
      <w:r>
        <w:t xml:space="preserve"> </w:t>
      </w:r>
      <w:r>
        <w:t xml:space="preserve">22 10 years of collaboration between the European Commission and the EDQM in the field of blood | EDQM -</w:t>
      </w:r>
      <w:r>
        <w:t xml:space="preserve"> </w:t>
      </w:r>
      <w:r>
        <w:t xml:space="preserve">European Directorate for the Quality of Medicines</w:t>
      </w:r>
    </w:p>
    <w:p>
      <w:pPr>
        <w:pStyle w:val="BodyText"/>
      </w:pPr>
      <w:r>
        <w:t xml:space="preserve">315</w:t>
      </w:r>
    </w:p>
    <w:p>
      <w:pPr>
        <w:pStyle w:val="BodyText"/>
      </w:pPr>
      <w:r>
        <w:t xml:space="preserve"> Quality management, auditing and training for blood establishments</w:t>
      </w:r>
      <w:r>
        <w:br/>
      </w:r>
      <w:r>
        <w:t xml:space="preserve"> Analysis of EU SARE data for blood, tissues and cells, annually</w:t>
      </w:r>
      <w:r>
        <w:br/>
      </w:r>
      <w:r>
        <w:t xml:space="preserve"> Standardisation of tissue and cell activity data reporting</w:t>
      </w:r>
      <w:r>
        <w:br/>
      </w:r>
      <w:r>
        <w:t xml:space="preserve"> Development of strategies for increasing plasma collection in Europe</w:t>
      </w:r>
      <w:r>
        <w:br/>
      </w:r>
      <w:r>
        <w:t xml:space="preserve"> Training of EU vigilance officers to improve SARE reporting</w:t>
      </w:r>
      <w:r>
        <w:br/>
      </w:r>
      <w:r>
        <w:t xml:space="preserve"> Support for assessment of BTC standards and practices in EU applicant and</w:t>
      </w:r>
      <w:r>
        <w:t xml:space="preserve"> </w:t>
      </w:r>
      <w:r>
        <w:t xml:space="preserve">neighbouring countries.</w:t>
      </w:r>
      <w:r>
        <w:br/>
      </w:r>
      <w:r>
        <w:t xml:space="preserve">Well-developed deliverables have been provided to DG SANTE from this work. These have</w:t>
      </w:r>
      <w:r>
        <w:t xml:space="preserve"> </w:t>
      </w:r>
      <w:r>
        <w:t xml:space="preserve">included published guidance documents, results of infectious disease proficiency testing</w:t>
      </w:r>
      <w:r>
        <w:t xml:space="preserve"> </w:t>
      </w:r>
      <w:r>
        <w:t xml:space="preserve">schemes, training courses held on SARE reporting and on quality management, SARE reports</w:t>
      </w:r>
      <w:r>
        <w:t xml:space="preserve"> </w:t>
      </w:r>
      <w:r>
        <w:t xml:space="preserve">published, data sets for activity data developed and published a major symposium organised</w:t>
      </w:r>
      <w:r>
        <w:t xml:space="preserve"> </w:t>
      </w:r>
      <w:r>
        <w:t xml:space="preserve">on plasma supply.</w:t>
      </w:r>
      <w:r>
        <w:t xml:space="preserve"> </w:t>
      </w:r>
      <w:r>
        <w:t xml:space="preserve">The preparation for the next grant agreement, covering the period 2022 to 2024, is ongoing.</w:t>
      </w:r>
    </w:p>
    <w:p>
      <w:pPr>
        <w:pStyle w:val="BodyText"/>
      </w:pPr>
      <w:r>
        <w:t xml:space="preserve">316</w:t>
      </w:r>
    </w:p>
    <w:p>
      <w:pPr>
        <w:pStyle w:val="BodyText"/>
      </w:pPr>
      <w:r>
        <w:t xml:space="preserve">ANNEX 15: CURRENT AND FUTURE SOHO TASKS OF ECDC</w:t>
      </w:r>
      <w:r>
        <w:t xml:space="preserve"> </w:t>
      </w:r>
      <w:r>
        <w:t xml:space="preserve">15.1 Current support for Substances of Human Origin Sector</w:t>
      </w:r>
      <w:r>
        <w:t xml:space="preserve"> </w:t>
      </w:r>
      <w:r>
        <w:t xml:space="preserve">The European Centre for Disease Prevention and Control (ECDC) is an EU agency aimed at</w:t>
      </w:r>
      <w:r>
        <w:t xml:space="preserve"> </w:t>
      </w:r>
      <w:r>
        <w:t xml:space="preserve">strengthening Europe’s defences against infectious diseases. ECDC works in three key</w:t>
      </w:r>
      <w:r>
        <w:t xml:space="preserve"> </w:t>
      </w:r>
      <w:r>
        <w:t xml:space="preserve">strategic areas: it provides evidence for effective and efficient decision-making, it strengthens</w:t>
      </w:r>
      <w:r>
        <w:t xml:space="preserve"> </w:t>
      </w:r>
      <w:r>
        <w:t xml:space="preserve">public health systems, and it supports the response to public health threats. In 2012, ECDC</w:t>
      </w:r>
      <w:r>
        <w:t xml:space="preserve"> </w:t>
      </w:r>
      <w:r>
        <w:t xml:space="preserve">appointed its first Senior Expert dedicated to vigilance of infectious safety of substances of</w:t>
      </w:r>
      <w:r>
        <w:t xml:space="preserve"> </w:t>
      </w:r>
      <w:r>
        <w:t xml:space="preserve">human origin (SoHO), based today within the Epidemic Intelligence and Response unit. The</w:t>
      </w:r>
      <w:r>
        <w:t xml:space="preserve"> </w:t>
      </w:r>
      <w:r>
        <w:t xml:space="preserve">work of ECDC on this topic underlines the important role of transfusion, transplantation and</w:t>
      </w:r>
      <w:r>
        <w:t xml:space="preserve"> </w:t>
      </w:r>
      <w:r>
        <w:t xml:space="preserve">medically assisted reproduction in the secondary spread of infectious diseases. Since the</w:t>
      </w:r>
      <w:r>
        <w:t xml:space="preserve"> </w:t>
      </w:r>
      <w:r>
        <w:t xml:space="preserve">appointment, there is continuous communication between DG SANTE and ECDC.</w:t>
      </w:r>
      <w:r>
        <w:t xml:space="preserve"> </w:t>
      </w:r>
      <w:r>
        <w:t xml:space="preserve">Between 2014 and 2018, ECDC conducted 57 rapid risk assessments, on the request of the</w:t>
      </w:r>
      <w:r>
        <w:t xml:space="preserve"> </w:t>
      </w:r>
      <w:r>
        <w:t xml:space="preserve">European Commission, regarding a range of communicable disease transmission risks of</w:t>
      </w:r>
      <w:r>
        <w:t xml:space="preserve"> </w:t>
      </w:r>
      <w:r>
        <w:t xml:space="preserve">relevance to SoHO. These risk assessments detailed optional public health measures that</w:t>
      </w:r>
      <w:r>
        <w:t xml:space="preserve"> </w:t>
      </w:r>
      <w:r>
        <w:t xml:space="preserve">Member States or operators could implement to reduce certain risks. In addition, ECDC</w:t>
      </w:r>
      <w:r>
        <w:t xml:space="preserve"> </w:t>
      </w:r>
      <w:r>
        <w:t xml:space="preserve">provided scientific advice for the sector on hepatitis B and C, on Ebola and SoHO, on a</w:t>
      </w:r>
      <w:r>
        <w:t xml:space="preserve"> </w:t>
      </w:r>
      <w:r>
        <w:t xml:space="preserve">screening algorithm for sperm donors, on syphilis testing and on the transmission of tick-</w:t>
      </w:r>
      <w:r>
        <w:t xml:space="preserve"> </w:t>
      </w:r>
      <w:r>
        <w:t xml:space="preserve">borne encephalitis by SoHO. In some cases, these risk assessments led to amendments to EU</w:t>
      </w:r>
      <w:r>
        <w:t xml:space="preserve"> </w:t>
      </w:r>
      <w:r>
        <w:t xml:space="preserve">implementing Acts for BTC.</w:t>
      </w:r>
      <w:r>
        <w:br/>
      </w:r>
      <w:r>
        <w:t xml:space="preserve">As new communicable diseases took hold in the EU, ECDC published guides for SoHO</w:t>
      </w:r>
      <w:r>
        <w:t xml:space="preserve"> </w:t>
      </w:r>
      <w:r>
        <w:t xml:space="preserve">preparedness plans for West Nile Virus and Zika. The centre is routinely represented at</w:t>
      </w:r>
      <w:r>
        <w:t xml:space="preserve"> </w:t>
      </w:r>
      <w:r>
        <w:t xml:space="preserve">meetings of Member State SoHO competent authorities, where updates are provided by them</w:t>
      </w:r>
      <w:r>
        <w:t xml:space="preserve"> </w:t>
      </w:r>
      <w:r>
        <w:t xml:space="preserve">on global issues of relevance to the safety of SoHO from a communicable disease threat</w:t>
      </w:r>
      <w:r>
        <w:t xml:space="preserve"> </w:t>
      </w:r>
      <w:r>
        <w:t xml:space="preserve">perspective.</w:t>
      </w:r>
      <w:r>
        <w:t xml:space="preserve"> </w:t>
      </w:r>
      <w:r>
        <w:t xml:space="preserve">15.2 The COVID-19 pandemic and the proposal for an extended role for ECDC</w:t>
      </w:r>
      <w:r>
        <w:t xml:space="preserve"> </w:t>
      </w:r>
      <w:r>
        <w:t xml:space="preserve">Support to the SoHO sector was heightened during the COVID-19 pandemic with guidance</w:t>
      </w:r>
      <w:r>
        <w:t xml:space="preserve"> </w:t>
      </w:r>
      <w:r>
        <w:t xml:space="preserve">for the sector published first in March of 2020 and updated twice during the subsequent year</w:t>
      </w:r>
      <w:r>
        <w:t xml:space="preserve"> </w:t>
      </w:r>
      <w:r>
        <w:t xml:space="preserve">(see Annex 9). In addition, ECDC supported the Member State competent authorities and DG</w:t>
      </w:r>
      <w:r>
        <w:t xml:space="preserve"> </w:t>
      </w:r>
      <w:r>
        <w:t xml:space="preserve">SANTE in the development of a common approach to the collection and use of plasma from</w:t>
      </w:r>
      <w:r>
        <w:t xml:space="preserve"> </w:t>
      </w:r>
      <w:r>
        <w:t xml:space="preserve">convalescent donors for the potential treatment of COVID-19 patients.</w:t>
      </w:r>
      <w:r>
        <w:br/>
      </w:r>
      <w:r>
        <w:t xml:space="preserve">In a broader sense, the role of ECDC during the pandemic was essential to the EU response.</w:t>
      </w:r>
      <w:r>
        <w:t xml:space="preserve"> </w:t>
      </w:r>
      <w:r>
        <w:t xml:space="preserve">Building on lessons learnt from the COVID-19 pandemic, and as part of the European Health</w:t>
      </w:r>
      <w:r>
        <w:t xml:space="preserve"> </w:t>
      </w:r>
      <w:r>
        <w:t xml:space="preserve">Union, in November 2020 the Commission proposed a set of proposals to reinforce EU</w:t>
      </w:r>
      <w:r>
        <w:t xml:space="preserve"> </w:t>
      </w:r>
      <w:r>
        <w:t xml:space="preserve">preparedness, surveillance, risk assessment and early warning and response, giving the EU</w:t>
      </w:r>
      <w:r>
        <w:t xml:space="preserve"> </w:t>
      </w:r>
      <w:r>
        <w:t xml:space="preserve">and Member States stronger tools to take quick, decisive and coordinated action together 23.</w:t>
      </w:r>
    </w:p>
    <w:p>
      <w:pPr>
        <w:pStyle w:val="BodyText"/>
      </w:pPr>
      <w:r>
        <w:t xml:space="preserve">23 Communication From The Commission To The European Parliament, The Council, The European Economic</w:t>
      </w:r>
      <w:r>
        <w:t xml:space="preserve"> </w:t>
      </w:r>
      <w:r>
        <w:t xml:space="preserve">And Social Committee And The Committee Of The Regions Building a European Health Union: Reinforcing</w:t>
      </w:r>
      <w:r>
        <w:t xml:space="preserve"> </w:t>
      </w:r>
      <w:r>
        <w:t xml:space="preserve">the EU’s resilience for cross-border health threats. COM/2020/724 final.</w:t>
      </w:r>
    </w:p>
    <w:p>
      <w:pPr>
        <w:pStyle w:val="BodyText"/>
      </w:pPr>
      <w:r>
        <w:t xml:space="preserve">317</w:t>
      </w:r>
    </w:p>
    <w:p>
      <w:pPr>
        <w:pStyle w:val="BodyText"/>
      </w:pPr>
      <w:r>
        <w:t xml:space="preserve">This was associated with a Proposal for a Regulation that would strengthen the mandate of</w:t>
      </w:r>
      <w:r>
        <w:t xml:space="preserve"> </w:t>
      </w:r>
      <w:r>
        <w:t xml:space="preserve">ECDC 24.</w:t>
      </w:r>
      <w:r>
        <w:br/>
      </w:r>
      <w:r>
        <w:t xml:space="preserve">That proposal defined new or reinforced tasks, in particular:</w:t>
      </w:r>
      <w:r>
        <w:t xml:space="preserve"> </w:t>
      </w:r>
      <w:r>
        <w:t xml:space="preserve"> epidemiological surveillance via integrated systems enabling real-time surveillance</w:t>
      </w:r>
      <w:r>
        <w:t xml:space="preserve"> </w:t>
      </w:r>
      <w:r>
        <w:t xml:space="preserve"> preparedness and response planning, reporting and auditing</w:t>
      </w:r>
      <w:r>
        <w:t xml:space="preserve"> </w:t>
      </w:r>
      <w:r>
        <w:t xml:space="preserve"> provision of non-binding recommendations and options for risk management, and</w:t>
      </w:r>
      <w:r>
        <w:t xml:space="preserve"> </w:t>
      </w:r>
      <w:r>
        <w:t xml:space="preserve"> building a network for substances of human origin.</w:t>
      </w:r>
      <w:r>
        <w:t xml:space="preserve"> </w:t>
      </w:r>
      <w:r>
        <w:t xml:space="preserve">The Proposal provides for the role of the network mentioned above. Article 5 (subject to final</w:t>
      </w:r>
      <w:r>
        <w:t xml:space="preserve"> </w:t>
      </w:r>
      <w:r>
        <w:t xml:space="preserve">approval in the trilogue discussions between Commission, EP and Council) describes that</w:t>
      </w:r>
      <w:r>
        <w:t xml:space="preserve"> </w:t>
      </w:r>
      <w:r>
        <w:t xml:space="preserve">ECDC, through the operation of the network for SoHO, will:</w:t>
      </w:r>
      <w:r>
        <w:t xml:space="preserve"> </w:t>
      </w:r>
      <w:r>
        <w:t xml:space="preserve"> detect, monitor and report on serious cross-border communicable disease threats to</w:t>
      </w:r>
      <w:r>
        <w:t xml:space="preserve"> </w:t>
      </w:r>
      <w:r>
        <w:t xml:space="preserve">health including a threat to substances of human origin (paragraph 4(b))</w:t>
      </w:r>
      <w:r>
        <w:t xml:space="preserve"> </w:t>
      </w:r>
      <w:r>
        <w:t xml:space="preserve"> allow for continuous and rapid access to sero-epidemiological data 25 via sero-</w:t>
      </w:r>
      <w:r>
        <w:t xml:space="preserve"> </w:t>
      </w:r>
      <w:r>
        <w:t xml:space="preserve">epidemiological surveys within the population, including assessment of donor</w:t>
      </w:r>
      <w:r>
        <w:t xml:space="preserve"> </w:t>
      </w:r>
      <w:r>
        <w:t xml:space="preserve">population exposure and immunity and support the Centre by monitoring disease</w:t>
      </w:r>
      <w:r>
        <w:t xml:space="preserve"> </w:t>
      </w:r>
      <w:r>
        <w:t xml:space="preserve">outbreaks that are relevant to substances of human origin and their supply to patients,</w:t>
      </w:r>
      <w:r>
        <w:t xml:space="preserve"> </w:t>
      </w:r>
      <w:r>
        <w:t xml:space="preserve">and with the development of guidelines for blood, tissues and cells safety and quality.</w:t>
      </w:r>
      <w:r>
        <w:t xml:space="preserve"> </w:t>
      </w:r>
      <w:r>
        <w:t xml:space="preserve">(Paragraph 8).</w:t>
      </w:r>
      <w:r>
        <w:t xml:space="preserve"> </w:t>
      </w:r>
      <w:r>
        <w:t xml:space="preserve">The network will include nominated experts from national blood and transplant services and</w:t>
      </w:r>
      <w:r>
        <w:t xml:space="preserve"> </w:t>
      </w:r>
      <w:r>
        <w:t xml:space="preserve">their authorities and will be established in line with similar networks already in place to</w:t>
      </w:r>
      <w:r>
        <w:t xml:space="preserve"> </w:t>
      </w:r>
      <w:r>
        <w:t xml:space="preserve">support the work of ECDC.</w:t>
      </w:r>
      <w:r>
        <w:br/>
      </w:r>
      <w:r>
        <w:t xml:space="preserve">These additional SoHO tasks, and the proposed network will require increased resources to</w:t>
      </w:r>
      <w:r>
        <w:t xml:space="preserve"> </w:t>
      </w:r>
      <w:r>
        <w:t xml:space="preserve">support the SoHO sector. ECDC is proceeding with plans to put this network, and a</w:t>
      </w:r>
      <w:r>
        <w:t xml:space="preserve"> </w:t>
      </w:r>
      <w:r>
        <w:t xml:space="preserve">supporting internal structure to support it, in place. At a BTC Impact Assessment Hearing,</w:t>
      </w:r>
      <w:r>
        <w:t xml:space="preserve"> </w:t>
      </w:r>
      <w:r>
        <w:t xml:space="preserve">hosted by DG SANTE 26, ECDC presented the plan for the network and its future</w:t>
      </w:r>
      <w:r>
        <w:t xml:space="preserve"> </w:t>
      </w:r>
      <w:r>
        <w:t xml:space="preserve">coordination as shown in Figure 15.1 below.</w:t>
      </w:r>
    </w:p>
    <w:p>
      <w:pPr>
        <w:pStyle w:val="BodyText"/>
      </w:pPr>
      <w:r>
        <w:t xml:space="preserve">24 Proposal for a Regulation Of The European Parliament And Of The Council amending Regulation (EC) No</w:t>
      </w:r>
      <w:r>
        <w:t xml:space="preserve"> </w:t>
      </w:r>
      <w:r>
        <w:t xml:space="preserve">851/2004 establishing a European Centre for disease prevention and control. COM/2020/726 final.</w:t>
      </w:r>
      <w:r>
        <w:br/>
      </w:r>
      <w:r>
        <w:t xml:space="preserve">25 Aggregated anonymised data indicating the rates of infection of a particular infectious disease marker in the</w:t>
      </w:r>
      <w:r>
        <w:t xml:space="preserve"> </w:t>
      </w:r>
      <w:r>
        <w:t xml:space="preserve">blood donor population. Such data can be a valuable indicator of community infection rates in general.</w:t>
      </w:r>
      <w:r>
        <w:t xml:space="preserve"> </w:t>
      </w:r>
      <w:r>
        <w:t xml:space="preserve">26 BTC Impact Assessment Hearing on Keeping Technical Rules Up-to-date</w:t>
      </w:r>
    </w:p>
    <w:p>
      <w:pPr>
        <w:pStyle w:val="BodyText"/>
      </w:pPr>
      <w:r>
        <w:t xml:space="preserve">318</w:t>
      </w:r>
    </w:p>
    <w:p>
      <w:pPr>
        <w:pStyle w:val="BodyText"/>
      </w:pPr>
      <w:r>
        <w:t xml:space="preserve">Figure 15.1: European Network for Substances of Human Origin – SoHONet</w:t>
      </w:r>
      <w:r>
        <w:t xml:space="preserve"> </w:t>
      </w:r>
      <w:r>
        <w:t xml:space="preserve">15.3 The ECDC role in the revised BTC framework</w:t>
      </w:r>
      <w:r>
        <w:t xml:space="preserve"> </w:t>
      </w:r>
      <w:r>
        <w:t xml:space="preserve">The policy options proposed for the revision of the BTC legislation have built on these</w:t>
      </w:r>
      <w:r>
        <w:t xml:space="preserve"> </w:t>
      </w:r>
      <w:r>
        <w:t xml:space="preserve">developments. Under policy Option 2, technical rules on donor eligibility and testing would</w:t>
      </w:r>
      <w:r>
        <w:t xml:space="preserve"> </w:t>
      </w:r>
      <w:r>
        <w:t xml:space="preserve">be removed from EU legislation and replaced by references to Technical Standards published</w:t>
      </w:r>
      <w:r>
        <w:t xml:space="preserve"> </w:t>
      </w:r>
      <w:r>
        <w:t xml:space="preserve">by expert bodies. For risks associated with communicable disease transmission by SoHO, the</w:t>
      </w:r>
      <w:r>
        <w:t xml:space="preserve"> </w:t>
      </w:r>
      <w:r>
        <w:t xml:space="preserve">expert body concerned would be ECDC.</w:t>
      </w:r>
      <w:r>
        <w:br/>
      </w:r>
      <w:r>
        <w:t xml:space="preserve">Policy option 2 proposals were strongly supported by Member State authorities and</w:t>
      </w:r>
      <w:r>
        <w:t xml:space="preserve"> </w:t>
      </w:r>
      <w:r>
        <w:t xml:space="preserve">professionals in the BTC field, both in the public consultations and in workshops on relevant</w:t>
      </w:r>
      <w:r>
        <w:t xml:space="preserve"> </w:t>
      </w:r>
      <w:r>
        <w:t xml:space="preserve">topics, in particular the Hearing hosted by the Commission to discuss keeping technical rules</w:t>
      </w:r>
      <w:r>
        <w:t xml:space="preserve"> </w:t>
      </w:r>
      <w:r>
        <w:t xml:space="preserve">up-to-date. At that Hearing, ECDC confirmed that the following topics are relevant to</w:t>
      </w:r>
      <w:r>
        <w:t xml:space="preserve"> </w:t>
      </w:r>
      <w:r>
        <w:t xml:space="preserve">communicable diseases and could be defined by ECDC, in line with the centre’s mandate:</w:t>
      </w:r>
      <w:r>
        <w:t xml:space="preserve"> </w:t>
      </w:r>
      <w:r>
        <w:t xml:space="preserve"> Rules for donor deferral/exclusion to prevent transmission of communicable diseases</w:t>
      </w:r>
      <w:r>
        <w:t xml:space="preserve"> </w:t>
      </w:r>
      <w:r>
        <w:t xml:space="preserve"> Requirements for donor selection questionnaires in relation to communicable disease</w:t>
      </w:r>
      <w:r>
        <w:t xml:space="preserve"> </w:t>
      </w:r>
      <w:r>
        <w:t xml:space="preserve">transmission risk</w:t>
      </w:r>
      <w:r>
        <w:t xml:space="preserve"> </w:t>
      </w:r>
      <w:r>
        <w:t xml:space="preserve"> Communicable diseases to be screened in donors routinely and in specific</w:t>
      </w:r>
      <w:r>
        <w:t xml:space="preserve"> </w:t>
      </w:r>
      <w:r>
        <w:t xml:space="preserve">circumstances</w:t>
      </w:r>
      <w:r>
        <w:t xml:space="preserve"> </w:t>
      </w:r>
      <w:r>
        <w:t xml:space="preserve"> Communicable disease testing methods to be applied (e.g. serology, NAT etc.)</w:t>
      </w:r>
      <w:r>
        <w:t xml:space="preserve"> </w:t>
      </w:r>
      <w:r>
        <w:t xml:space="preserve"> Rules on reporting of positive donor testing results to competent authorities or ECDC,</w:t>
      </w:r>
      <w:r>
        <w:t xml:space="preserve"> </w:t>
      </w:r>
      <w:r>
        <w:t xml:space="preserve">if required by legislation</w:t>
      </w:r>
      <w:r>
        <w:t xml:space="preserve"> </w:t>
      </w:r>
      <w:r>
        <w:t xml:space="preserve"> Rules on combining measures (donor questionnaires, testing, microbial inactivation)</w:t>
      </w:r>
      <w:r>
        <w:t xml:space="preserve"> </w:t>
      </w:r>
      <w:r>
        <w:t xml:space="preserve">to achieve required safety levels of BTC.</w:t>
      </w:r>
    </w:p>
    <w:p>
      <w:pPr>
        <w:pStyle w:val="BodyText"/>
      </w:pPr>
      <w:r>
        <w:t xml:space="preserve">319</w:t>
      </w:r>
    </w:p>
    <w:p>
      <w:pPr>
        <w:pStyle w:val="BodyText"/>
      </w:pPr>
      <w:r>
        <w:t xml:space="preserve">ANNEX 16: DETAILS OF THE MEASURES AND POLICY OPTIONS</w:t>
      </w:r>
    </w:p>
    <w:p>
      <w:pPr>
        <w:pStyle w:val="BodyText"/>
      </w:pPr>
      <w:r>
        <w:t xml:space="preserve">Option 1</w:t>
      </w:r>
      <w:r>
        <w:br/>
      </w:r>
      <w:r>
        <w:t xml:space="preserve">Option 2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Decentralised regulation</w:t>
      </w:r>
      <w:r>
        <w:t xml:space="preserve"> </w:t>
      </w:r>
      <w:r>
        <w:t xml:space="preserve">Joint regulation</w:t>
      </w:r>
      <w:r>
        <w:t xml:space="preserve"> </w:t>
      </w:r>
      <w:r>
        <w:t xml:space="preserve">Central Regulation</w:t>
      </w:r>
    </w:p>
    <w:p>
      <w:pPr>
        <w:pStyle w:val="BodyText"/>
      </w:pPr>
      <w:r>
        <w:t xml:space="preserve">Objectives 1 &amp;</w:t>
      </w:r>
      <w:r>
        <w:t xml:space="preserve"> </w:t>
      </w:r>
      <w:r>
        <w:t xml:space="preserve">2</w:t>
      </w:r>
      <w:r>
        <w:t xml:space="preserve"> </w:t>
      </w:r>
      <w:r>
        <w:t xml:space="preserve">Common measures (M1A, M2A):</w:t>
      </w:r>
      <w:r>
        <w:t xml:space="preserve"> </w:t>
      </w:r>
      <w:r>
        <w:t xml:space="preserve">o Define strong principles for protecting citizens and remove outdated specific technical provisions;</w:t>
      </w:r>
      <w:r>
        <w:t xml:space="preserve"> </w:t>
      </w:r>
      <w:r>
        <w:t xml:space="preserve">o Clarify the scope to include all SoHO applied to human persons for therapeutic or any other purpose with specific exceptions;</w:t>
      </w:r>
      <w:r>
        <w:br/>
      </w:r>
      <w:r>
        <w:t xml:space="preserve">o Implement improved reporting on serious adverse reactions and events (including self-reporting by BTC donors).</w:t>
      </w:r>
      <w:r>
        <w:t xml:space="preserve"> </w:t>
      </w:r>
      <w:r>
        <w:t xml:space="preserve">Provides blood and tissue establishments with the</w:t>
      </w:r>
      <w:r>
        <w:t xml:space="preserve"> </w:t>
      </w:r>
      <w:r>
        <w:t xml:space="preserve">freedom to make reference to a variety of national</w:t>
      </w:r>
      <w:r>
        <w:t xml:space="preserve"> </w:t>
      </w:r>
      <w:r>
        <w:t xml:space="preserve">and international guidance when conducting risk</w:t>
      </w:r>
      <w:r>
        <w:t xml:space="preserve"> </w:t>
      </w:r>
      <w:r>
        <w:t xml:space="preserve">assessments of their own activities with a view to</w:t>
      </w:r>
      <w:r>
        <w:t xml:space="preserve"> </w:t>
      </w:r>
      <w:r>
        <w:t xml:space="preserve">setting their internal technical standards to protect</w:t>
      </w:r>
      <w:r>
        <w:t xml:space="preserve"> </w:t>
      </w:r>
      <w:r>
        <w:t xml:space="preserve">citizens (M1B, M2B).</w:t>
      </w:r>
      <w:r>
        <w:t xml:space="preserve"> </w:t>
      </w:r>
      <w:r>
        <w:t xml:space="preserve">Requires blood and tissue establishments to follow the</w:t>
      </w:r>
      <w:r>
        <w:t xml:space="preserve"> </w:t>
      </w:r>
      <w:r>
        <w:t xml:space="preserve">technical standards for safety and quality, developed</w:t>
      </w:r>
      <w:r>
        <w:t xml:space="preserve"> </w:t>
      </w:r>
      <w:r>
        <w:t xml:space="preserve">and maintained by nominated expert bodies as</w:t>
      </w:r>
      <w:r>
        <w:t xml:space="preserve"> </w:t>
      </w:r>
      <w:r>
        <w:t xml:space="preserve">referred to in EU legislation.</w:t>
      </w:r>
      <w:r>
        <w:t xml:space="preserve"> </w:t>
      </w:r>
      <w:r>
        <w:t xml:space="preserve">Member States are required to publish more stringent</w:t>
      </w:r>
      <w:r>
        <w:t xml:space="preserve"> </w:t>
      </w:r>
      <w:r>
        <w:t xml:space="preserve">national rules in an accessible format (M1B, M2B).</w:t>
      </w:r>
      <w:r>
        <w:t xml:space="preserve"> </w:t>
      </w:r>
      <w:r>
        <w:t xml:space="preserve">Requires blood and tissue establishments to</w:t>
      </w:r>
      <w:r>
        <w:t xml:space="preserve"> </w:t>
      </w:r>
      <w:r>
        <w:t xml:space="preserve">follow the technical standards for safety and</w:t>
      </w:r>
      <w:r>
        <w:t xml:space="preserve"> </w:t>
      </w:r>
      <w:r>
        <w:t xml:space="preserve">quality defined in EU law.</w:t>
      </w:r>
      <w:r>
        <w:t xml:space="preserve"> </w:t>
      </w:r>
      <w:r>
        <w:t xml:space="preserve">Member States are required to publish more</w:t>
      </w:r>
      <w:r>
        <w:t xml:space="preserve"> </w:t>
      </w:r>
      <w:r>
        <w:t xml:space="preserve">stringent national rules in an accessible format</w:t>
      </w:r>
      <w:r>
        <w:t xml:space="preserve"> </w:t>
      </w:r>
      <w:r>
        <w:t xml:space="preserve">(M1B, M2B).</w:t>
      </w:r>
      <w:r>
        <w:t xml:space="preserve"> </w:t>
      </w:r>
      <w:r>
        <w:t xml:space="preserve">Objective 3</w:t>
      </w:r>
      <w:r>
        <w:t xml:space="preserve"> </w:t>
      </w:r>
      <w:r>
        <w:t xml:space="preserve">Common measures (M3A&amp;B):</w:t>
      </w:r>
      <w:r>
        <w:t xml:space="preserve"> </w:t>
      </w:r>
      <w:r>
        <w:t xml:space="preserve">o Define stronger principles (e.g. independence of inspectors);</w:t>
      </w:r>
      <w:r>
        <w:t xml:space="preserve"> </w:t>
      </w:r>
      <w:r>
        <w:t xml:space="preserve">o Implement a graded approach to oversight, proportionate to the risk level of the establishments/activities carried out;</w:t>
      </w:r>
      <w:r>
        <w:t xml:space="preserve"> </w:t>
      </w:r>
      <w:r>
        <w:t xml:space="preserve">o Provide a legal basis for EU audits;</w:t>
      </w:r>
      <w:r>
        <w:t xml:space="preserve"> </w:t>
      </w:r>
      <w:r>
        <w:t xml:space="preserve">o Provide a legal basis for joint inspections;</w:t>
      </w:r>
      <w:r>
        <w:t xml:space="preserve"> </w:t>
      </w:r>
      <w:r>
        <w:t xml:space="preserve">o Implement a scheme for voluntary mutual peer audits among the NCAs; provide training and guidance (by the Commission).</w:t>
      </w:r>
      <w:r>
        <w:t xml:space="preserve"> </w:t>
      </w:r>
      <w:r>
        <w:t xml:space="preserve">Regardless of the policy option, establishments are always inspected and authorised by their competent authority for BTC; SoHO entities are registered.</w:t>
      </w:r>
      <w:r>
        <w:t xml:space="preserve"> </w:t>
      </w:r>
      <w:r>
        <w:t xml:space="preserve">Objective 4</w:t>
      </w:r>
      <w:r>
        <w:t xml:space="preserve"> </w:t>
      </w:r>
      <w:r>
        <w:t xml:space="preserve">Common measures (M4A):</w:t>
      </w:r>
      <w:r>
        <w:t xml:space="preserve"> </w:t>
      </w:r>
      <w:r>
        <w:t xml:space="preserve">o A BTC advisory mechanism to provide advice and legal clarity to Member States on when and what BTC requirements are applicable to</w:t>
      </w:r>
      <w:r>
        <w:t xml:space="preserve"> </w:t>
      </w:r>
      <w:r>
        <w:t xml:space="preserve">BTC innovations processed or used in new ways;</w:t>
      </w:r>
      <w:r>
        <w:t xml:space="preserve"> </w:t>
      </w:r>
      <w:r>
        <w:t xml:space="preserve">o A risk-based authorisation by competent authorities for BTC processed or used in new ways, with proportionate requirements for clinical</w:t>
      </w:r>
      <w:r>
        <w:t xml:space="preserve"> </w:t>
      </w:r>
      <w:r>
        <w:t xml:space="preserve">data on the efficacy (benefits) provided by establishments; the three PO apply for conducting risk assessments of novel processes by</w:t>
      </w:r>
      <w:r>
        <w:t xml:space="preserve"> </w:t>
      </w:r>
      <w:r>
        <w:t xml:space="preserve">establishments:</w:t>
      </w:r>
      <w:r>
        <w:t xml:space="preserve"> </w:t>
      </w:r>
      <w:r>
        <w:t xml:space="preserve">Establishments have to design their risk</w:t>
      </w:r>
      <w:r>
        <w:t xml:space="preserve"> </w:t>
      </w:r>
      <w:r>
        <w:t xml:space="preserve">assessments on novel processes, which are</w:t>
      </w:r>
      <w:r>
        <w:t xml:space="preserve"> </w:t>
      </w:r>
      <w:r>
        <w:t xml:space="preserve">Establishments conduct risk assessments on novel</w:t>
      </w:r>
      <w:r>
        <w:t xml:space="preserve"> </w:t>
      </w:r>
      <w:r>
        <w:t xml:space="preserve">processes in compliance with technical guidance from</w:t>
      </w:r>
      <w:r>
        <w:t xml:space="preserve"> </w:t>
      </w:r>
      <w:r>
        <w:t xml:space="preserve">Establishments conduct risk assessments on</w:t>
      </w:r>
      <w:r>
        <w:t xml:space="preserve"> </w:t>
      </w:r>
      <w:r>
        <w:t xml:space="preserve">novel processes in compliance with technical</w:t>
      </w:r>
    </w:p>
    <w:p>
      <w:pPr>
        <w:pStyle w:val="BodyText"/>
      </w:pPr>
      <w:r>
        <w:t xml:space="preserve">320</w:t>
      </w:r>
    </w:p>
    <w:p>
      <w:pPr>
        <w:pStyle w:val="BodyText"/>
      </w:pPr>
      <w:r>
        <w:t xml:space="preserve">evaluated by the competent authority inspectors</w:t>
      </w:r>
      <w:r>
        <w:t xml:space="preserve"> </w:t>
      </w:r>
      <w:r>
        <w:t xml:space="preserve">(M4B).</w:t>
      </w:r>
      <w:r>
        <w:t xml:space="preserve"> </w:t>
      </w:r>
      <w:r>
        <w:t xml:space="preserve">expert bodies as referred to in EU legislation (M4B)</w:t>
      </w:r>
      <w:r>
        <w:t xml:space="preserve"> </w:t>
      </w:r>
      <w:r>
        <w:t xml:space="preserve">rules set in EU legislation (M4B)</w:t>
      </w:r>
      <w:r>
        <w:t xml:space="preserve"> </w:t>
      </w:r>
      <w:r>
        <w:t xml:space="preserve">Objective 5</w:t>
      </w:r>
      <w:r>
        <w:t xml:space="preserve"> </w:t>
      </w:r>
      <w:r>
        <w:t xml:space="preserve">Common measures (M5A):</w:t>
      </w:r>
      <w:r>
        <w:t xml:space="preserve"> </w:t>
      </w:r>
      <w:r>
        <w:t xml:space="preserve">o Implement measures for crisis preparedness: strengthened supply monitoring (reporting of activity data); the three PO apply</w:t>
      </w:r>
      <w:r>
        <w:t xml:space="preserve"> </w:t>
      </w:r>
      <w:r>
        <w:t xml:space="preserve">Implement measures for crisis management (emergency plans, notification in case of drop in supply) for critical BTC; the three PO apply</w:t>
      </w:r>
      <w:r>
        <w:t xml:space="preserve"> </w:t>
      </w:r>
      <w:r>
        <w:t xml:space="preserve">o Provisions in EU legislation to strengthen Member States ability to intervene to control and adjust supply, as necessary, under their</w:t>
      </w:r>
      <w:r>
        <w:t xml:space="preserve"> </w:t>
      </w:r>
      <w:r>
        <w:t xml:space="preserve">national competence, and allow evidence-based support action at EU level.</w:t>
      </w:r>
      <w:r>
        <w:br/>
      </w:r>
      <w:r>
        <w:t xml:space="preserve">Establishments have to develop monitoring and</w:t>
      </w:r>
      <w:r>
        <w:t xml:space="preserve"> </w:t>
      </w:r>
      <w:r>
        <w:t xml:space="preserve">notification systems and emergency plans. These</w:t>
      </w:r>
      <w:r>
        <w:t xml:space="preserve"> </w:t>
      </w:r>
      <w:r>
        <w:t xml:space="preserve">will be reviewed for adequacy by the authority</w:t>
      </w:r>
      <w:r>
        <w:t xml:space="preserve"> </w:t>
      </w:r>
      <w:r>
        <w:t xml:space="preserve">during inspection (M5B).</w:t>
      </w:r>
      <w:r>
        <w:t xml:space="preserve"> </w:t>
      </w:r>
      <w:r>
        <w:t xml:space="preserve">Establishments follow the guidance from expert</w:t>
      </w:r>
      <w:r>
        <w:t xml:space="preserve"> </w:t>
      </w:r>
      <w:r>
        <w:t xml:space="preserve">bodies, as referred to in EU legislation, for rules on</w:t>
      </w:r>
      <w:r>
        <w:t xml:space="preserve"> </w:t>
      </w:r>
      <w:r>
        <w:t xml:space="preserve">sufficiency data reporting (including monitoring and</w:t>
      </w:r>
      <w:r>
        <w:t xml:space="preserve"> </w:t>
      </w:r>
      <w:r>
        <w:t xml:space="preserve">notifications) and on emergency preparedness (M5B).</w:t>
      </w:r>
      <w:r>
        <w:t xml:space="preserve"> </w:t>
      </w:r>
      <w:r>
        <w:t xml:space="preserve">Establishments follow the rules set in EU</w:t>
      </w:r>
      <w:r>
        <w:t xml:space="preserve"> </w:t>
      </w:r>
      <w:r>
        <w:t xml:space="preserve">legislation on sufficiency data reporting</w:t>
      </w:r>
      <w:r>
        <w:t xml:space="preserve"> </w:t>
      </w:r>
      <w:r>
        <w:t xml:space="preserve">(including monitoring and notifications) and on</w:t>
      </w:r>
      <w:r>
        <w:t xml:space="preserve"> </w:t>
      </w:r>
      <w:r>
        <w:t xml:space="preserve">emergency preparedness (M5B).</w:t>
      </w:r>
      <w:r>
        <w:t xml:space="preserve"> </w:t>
      </w:r>
      <w:r>
        <w:t xml:space="preserve">Table 16.1: description of the policy options and common measures</w:t>
      </w:r>
      <w:r>
        <w:t xml:space="preserve"> </w:t>
      </w:r>
      <w:r>
        <w:t xml:space="preserve">* BTC advisory mechanism: to be an efficient and timely advisory mechanism, when questions can relate to other legal frameworks (borderlines,</w:t>
      </w:r>
      <w:r>
        <w:t xml:space="preserve"> </w:t>
      </w:r>
      <w:r>
        <w:t xml:space="preserve">starting materials, combination products), such BTC advisory mechanism will allow to build an interface that articulates with equivalent</w:t>
      </w:r>
      <w:r>
        <w:t xml:space="preserve"> </w:t>
      </w:r>
      <w:r>
        <w:t xml:space="preserve">advisory bodies in other EU legal frameworks (including Committee for Advanced Therapies (EMA), Innovation Task Force (EMA), Borderline</w:t>
      </w:r>
      <w:r>
        <w:t xml:space="preserve"> </w:t>
      </w:r>
      <w:r>
        <w:t xml:space="preserve">Classification Group (HMA), Medical Device Coordination Group (and its relevant sub-groups e.g. Borderline &amp; Classification Working</w:t>
      </w:r>
      <w:r>
        <w:t xml:space="preserve"> </w:t>
      </w:r>
      <w:r>
        <w:t xml:space="preserve">Group). Eventually, this will allow to come to more common EU-level advice and legal clarity for innovators of new BTC-based therapies,</w:t>
      </w:r>
      <w:r>
        <w:t xml:space="preserve"> </w:t>
      </w:r>
      <w:r>
        <w:t xml:space="preserve">across legal sectors. This is further explained in Annex 12.</w:t>
      </w:r>
    </w:p>
    <w:p>
      <w:pPr>
        <w:pStyle w:val="BodyText"/>
      </w:pPr>
      <w:r>
        <w:t xml:space="preserve">Simplification can be brought by an EU-wide data system in the SoHO sector to support the use of best available evidence and data for the</w:t>
      </w:r>
      <w:r>
        <w:t xml:space="preserve"> </w:t>
      </w:r>
      <w:r>
        <w:t xml:space="preserve">professionals, health providers, innovators, public authorities and other stakeholders through federated interoperable systems. The development</w:t>
      </w:r>
      <w:r>
        <w:t xml:space="preserve"> </w:t>
      </w:r>
      <w:r>
        <w:t xml:space="preserve">of such network of resilient, secure and trustworthy infrastructures and technologies provides the frame for a fit-for purpose, coherent</w:t>
      </w:r>
      <w:r>
        <w:t xml:space="preserve"> </w:t>
      </w:r>
      <w:r>
        <w:t xml:space="preserve">interoperable and technology-driven regulatory reporting.</w:t>
      </w:r>
      <w:r>
        <w:br/>
      </w:r>
      <w:r>
        <w:t xml:space="preserve">In the context of oversight, the extended scope (to include breast milk, FMT, processing at the bedside etc.) will bring additional</w:t>
      </w:r>
      <w:r>
        <w:t xml:space="preserve"> </w:t>
      </w:r>
      <w:r>
        <w:t xml:space="preserve">responsibilities and regulatory obligations for competent authorities. The burden will be simplified by the introduction of a graded approach to</w:t>
      </w:r>
      <w:r>
        <w:t xml:space="preserve"> </w:t>
      </w:r>
      <w:r>
        <w:t xml:space="preserve">define the extent of regulatory intervention.</w:t>
      </w:r>
      <w:r>
        <w:t xml:space="preserve"> </w:t>
      </w:r>
      <w:r>
        <w:t xml:space="preserve">Safety &amp; Quality</w:t>
      </w:r>
      <w:r>
        <w:t xml:space="preserve"> </w:t>
      </w:r>
      <w:r>
        <w:t xml:space="preserve">Examples</w:t>
      </w:r>
      <w:r>
        <w:br/>
      </w:r>
      <w:r>
        <w:t xml:space="preserve">Regulatory Intervention</w:t>
      </w:r>
    </w:p>
    <w:p>
      <w:pPr>
        <w:pStyle w:val="BodyText"/>
      </w:pPr>
      <w:r>
        <w:t xml:space="preserve">321</w:t>
      </w:r>
    </w:p>
    <w:p>
      <w:pPr>
        <w:pStyle w:val="BodyText"/>
      </w:pPr>
      <w:r>
        <w:t xml:space="preserve">Impact</w:t>
      </w:r>
      <w:r>
        <w:t xml:space="preserve"> </w:t>
      </w:r>
      <w:r>
        <w:t xml:space="preserve">All entities to be registered</w:t>
      </w:r>
      <w:r>
        <w:t xml:space="preserve"> </w:t>
      </w:r>
      <w:r>
        <w:t xml:space="preserve">High</w:t>
      </w:r>
      <w:r>
        <w:t xml:space="preserve"> </w:t>
      </w:r>
      <w:r>
        <w:t xml:space="preserve">Blood and Tissue Establishments</w:t>
      </w:r>
      <w:r>
        <w:t xml:space="preserve"> </w:t>
      </w:r>
      <w:r>
        <w:t xml:space="preserve">High: Establishment AUTHORISATION (risk-based inspections, full</w:t>
      </w:r>
      <w:r>
        <w:t xml:space="preserve"> </w:t>
      </w:r>
      <w:r>
        <w:t xml:space="preserve">requirements for quality management, facilities, personnel etc.)</w:t>
      </w:r>
      <w:r>
        <w:t xml:space="preserve"> </w:t>
      </w:r>
      <w:r>
        <w:t xml:space="preserve">+Preparation process authorisation for every process carried out</w:t>
      </w:r>
      <w:r>
        <w:t xml:space="preserve"> </w:t>
      </w:r>
      <w:r>
        <w:t xml:space="preserve">Medium</w:t>
      </w:r>
      <w:r>
        <w:t xml:space="preserve"> </w:t>
      </w:r>
      <w:r>
        <w:t xml:space="preserve">Entities that process SoHO with immediate use – autologous</w:t>
      </w:r>
      <w:r>
        <w:t xml:space="preserve"> </w:t>
      </w:r>
      <w:r>
        <w:t xml:space="preserve">bedside, in surgery, Intrauterine insemination (IUI) clinics</w:t>
      </w:r>
      <w:r>
        <w:t xml:space="preserve"> </w:t>
      </w:r>
      <w:r>
        <w:t xml:space="preserve">Medium: REGISTRATION with limited reporting obligations (annual activity</w:t>
      </w:r>
      <w:r>
        <w:t xml:space="preserve"> </w:t>
      </w:r>
      <w:r>
        <w:t xml:space="preserve">data and adverse outcome reports)</w:t>
      </w:r>
      <w:r>
        <w:t xml:space="preserve"> </w:t>
      </w:r>
      <w:r>
        <w:t xml:space="preserve">+ preparation process authorisation</w:t>
      </w:r>
      <w:r>
        <w:t xml:space="preserve"> </w:t>
      </w:r>
      <w:r>
        <w:t xml:space="preserve">Low</w:t>
      </w:r>
      <w:r>
        <w:t xml:space="preserve"> </w:t>
      </w:r>
      <w:r>
        <w:t xml:space="preserve">Other entities active in the SoHO field (but that do not process or</w:t>
      </w:r>
      <w:r>
        <w:t xml:space="preserve"> </w:t>
      </w:r>
      <w:r>
        <w:t xml:space="preserve">store BTC donations, e.g. donor registries, clinical users of SoHO,</w:t>
      </w:r>
      <w:r>
        <w:t xml:space="preserve"> </w:t>
      </w:r>
      <w:r>
        <w:t xml:space="preserve">distributors)</w:t>
      </w:r>
      <w:r>
        <w:t xml:space="preserve"> </w:t>
      </w:r>
      <w:r>
        <w:t xml:space="preserve">Low: REGISTRATION (with limited reporting obligations where relevant)</w:t>
      </w:r>
      <w:r>
        <w:t xml:space="preserve"> </w:t>
      </w:r>
      <w:r>
        <w:t xml:space="preserve">Table 16.2: Graded approach for efficient oversight</w:t>
      </w:r>
    </w:p>
    <w:p>
      <w:pPr>
        <w:pStyle w:val="BodyText"/>
      </w:pPr>
      <w:r>
        <w:t xml:space="preserve">322</w:t>
      </w:r>
    </w:p>
    <w:p>
      <w:pPr>
        <w:pStyle w:val="BodyText"/>
      </w:pPr>
      <w:r>
        <w:t xml:space="preserve">For improved readability and simplification, the measures were grouped according to their intended effect in achieving the five objectives. This</w:t>
      </w:r>
      <w:r>
        <w:t xml:space="preserve"> </w:t>
      </w:r>
      <w:r>
        <w:t xml:space="preserve">grouping is used to report on costs and expected impacts. When measures differ by option, the wording of option 2 is presented.</w:t>
      </w:r>
      <w:r>
        <w:br/>
      </w:r>
      <w:r>
        <w:t xml:space="preserve">Objective</w:t>
      </w:r>
      <w:r>
        <w:t xml:space="preserve"> </w:t>
      </w:r>
      <w:r>
        <w:t xml:space="preserve">Group</w:t>
      </w:r>
      <w:r>
        <w:t xml:space="preserve"> </w:t>
      </w:r>
      <w:r>
        <w:t xml:space="preserve">Measure – DG SANTE</w:t>
      </w:r>
      <w:r>
        <w:t xml:space="preserve"> </w:t>
      </w:r>
      <w:r>
        <w:t xml:space="preserve">Measure - ICF</w:t>
      </w:r>
      <w:r>
        <w:t xml:space="preserve"> </w:t>
      </w:r>
      <w:r>
        <w:t xml:space="preserve">Patient</w:t>
      </w:r>
      <w:r>
        <w:br/>
      </w:r>
      <w:r>
        <w:t xml:space="preserve">protection</w:t>
      </w:r>
      <w:r>
        <w:br/>
      </w:r>
      <w:r>
        <w:t xml:space="preserve">M1A – Fill regulatory gaps (e.g. FMT,</w:t>
      </w:r>
      <w:r>
        <w:t xml:space="preserve"> </w:t>
      </w:r>
      <w:r>
        <w:t xml:space="preserve">breast milk)</w:t>
      </w:r>
      <w:r>
        <w:t xml:space="preserve"> </w:t>
      </w:r>
      <w:r>
        <w:t xml:space="preserve">(common to all policy options)</w:t>
      </w:r>
      <w:r>
        <w:t xml:space="preserve"> </w:t>
      </w:r>
      <w:r>
        <w:t xml:space="preserve">M1.2: EU law incorporates definitions ensuring that safety</w:t>
      </w:r>
      <w:r>
        <w:t xml:space="preserve"> </w:t>
      </w:r>
      <w:r>
        <w:t xml:space="preserve">and quality provisions apply to all SOHO/BTC for which the</w:t>
      </w:r>
      <w:r>
        <w:t xml:space="preserve"> </w:t>
      </w:r>
      <w:r>
        <w:t xml:space="preserve">Treaty give competence to the EU.</w:t>
      </w:r>
      <w:r>
        <w:t xml:space="preserve"> </w:t>
      </w:r>
      <w:r>
        <w:t xml:space="preserve">M1.2: EU law is changed so that all SOHO/BTC</w:t>
      </w:r>
      <w:r>
        <w:t xml:space="preserve"> </w:t>
      </w:r>
      <w:r>
        <w:t xml:space="preserve">for which the EU has legal competence are</w:t>
      </w:r>
      <w:r>
        <w:t xml:space="preserve"> </w:t>
      </w:r>
      <w:r>
        <w:t xml:space="preserve">covered by EU safety and quality rules</w:t>
      </w:r>
      <w:r>
        <w:t xml:space="preserve"> </w:t>
      </w:r>
      <w:r>
        <w:t xml:space="preserve">(bringing breast milk, faecal microbial</w:t>
      </w:r>
      <w:r>
        <w:t xml:space="preserve"> </w:t>
      </w:r>
      <w:r>
        <w:t xml:space="preserve">transplants, etc. under EU law)</w:t>
      </w:r>
      <w:r>
        <w:t xml:space="preserve"> </w:t>
      </w:r>
      <w:r>
        <w:t xml:space="preserve">M1.9: “Same surgical procedure” exclusion for point of care</w:t>
      </w:r>
      <w:r>
        <w:t xml:space="preserve"> </w:t>
      </w:r>
      <w:r>
        <w:t xml:space="preserve">preparations is refined/removed – hospitals, healthcare</w:t>
      </w:r>
      <w:r>
        <w:t xml:space="preserve"> </w:t>
      </w:r>
      <w:r>
        <w:t xml:space="preserve">providers are required to register their activities and report.</w:t>
      </w:r>
      <w:r>
        <w:t xml:space="preserve"> </w:t>
      </w:r>
      <w:r>
        <w:t xml:space="preserve">M4.1: The “same surgical procedure”</w:t>
      </w:r>
      <w:r>
        <w:t xml:space="preserve"> </w:t>
      </w:r>
      <w:r>
        <w:t xml:space="preserve">exclusion for point of care preparations is</w:t>
      </w:r>
      <w:r>
        <w:t xml:space="preserve"> </w:t>
      </w:r>
      <w:r>
        <w:t xml:space="preserve">refined/removed.</w:t>
      </w:r>
      <w:r>
        <w:t xml:space="preserve"> </w:t>
      </w:r>
      <w:r>
        <w:t xml:space="preserve">M1B - Up-to-date technical rules</w:t>
      </w:r>
      <w:r>
        <w:t xml:space="preserve"> </w:t>
      </w:r>
      <w:r>
        <w:t xml:space="preserve">(differs by policy option)</w:t>
      </w:r>
    </w:p>
    <w:p>
      <w:pPr>
        <w:pStyle w:val="BodyText"/>
      </w:pPr>
      <w:r>
        <w:t xml:space="preserve">M1.3: EU law requires MS to publish more stringent rules in</w:t>
      </w:r>
      <w:r>
        <w:t xml:space="preserve"> </w:t>
      </w:r>
      <w:r>
        <w:t xml:space="preserve">an accessible format.</w:t>
      </w:r>
      <w:r>
        <w:t xml:space="preserve"> </w:t>
      </w:r>
      <w:r>
        <w:t xml:space="preserve">M1.3: EU law requires MS to publish more</w:t>
      </w:r>
      <w:r>
        <w:t xml:space="preserve"> </w:t>
      </w:r>
      <w:r>
        <w:t xml:space="preserve">stringent rules in an accessible format.</w:t>
      </w:r>
      <w:r>
        <w:t xml:space="preserve"> </w:t>
      </w:r>
      <w:r>
        <w:t xml:space="preserve">M1.4: EU development components of IT platform for quality</w:t>
      </w:r>
      <w:r>
        <w:t xml:space="preserve"> </w:t>
      </w:r>
      <w:r>
        <w:t xml:space="preserve">and safety requirements.</w:t>
      </w:r>
      <w:r>
        <w:t xml:space="preserve"> </w:t>
      </w:r>
      <w:r>
        <w:t xml:space="preserve">M1.4: The European Commission builds an IT</w:t>
      </w:r>
      <w:r>
        <w:t xml:space="preserve"> </w:t>
      </w:r>
      <w:r>
        <w:t xml:space="preserve">platform that provides information on quality</w:t>
      </w:r>
      <w:r>
        <w:t xml:space="preserve"> </w:t>
      </w:r>
      <w:r>
        <w:t xml:space="preserve">and safety requirements</w:t>
      </w:r>
      <w:r>
        <w:t xml:space="preserve"> </w:t>
      </w:r>
      <w:r>
        <w:t xml:space="preserve">M1.5+M1.6: EU law requires NCA inspectors to evaluate the</w:t>
      </w:r>
      <w:r>
        <w:t xml:space="preserve"> </w:t>
      </w:r>
      <w:r>
        <w:t xml:space="preserve">BTC establishments’ risk assessments ensure that they have</w:t>
      </w:r>
      <w:r>
        <w:t xml:space="preserve"> </w:t>
      </w:r>
      <w:r>
        <w:t xml:space="preserve">been conducted effectively and that the rules adequately</w:t>
      </w:r>
      <w:r>
        <w:t xml:space="preserve"> </w:t>
      </w:r>
      <w:r>
        <w:t xml:space="preserve">managed the identified risks</w:t>
      </w:r>
      <w:r>
        <w:br/>
      </w:r>
      <w:r>
        <w:t xml:space="preserve">AND EU law requires BTC establishments to assess risks</w:t>
      </w:r>
      <w:r>
        <w:t xml:space="preserve"> </w:t>
      </w:r>
      <w:r>
        <w:t xml:space="preserve">associated with their donor selection etc. procedures and to</w:t>
      </w:r>
      <w:r>
        <w:t xml:space="preserve"> </w:t>
      </w:r>
      <w:r>
        <w:t xml:space="preserve">set technical rules for safety and quality compliant with the</w:t>
      </w:r>
      <w:r>
        <w:t xml:space="preserve"> </w:t>
      </w:r>
      <w:r>
        <w:t xml:space="preserve">“high level principles” in EU legislation. They must base the</w:t>
      </w:r>
      <w:r>
        <w:t xml:space="preserve"> </w:t>
      </w:r>
      <w:r>
        <w:t xml:space="preserve">rules on risk assessment and scientific evidence, and update</w:t>
      </w:r>
      <w:r>
        <w:t xml:space="preserve"> </w:t>
      </w:r>
      <w:r>
        <w:t xml:space="preserve">whenever the need arises. BE/TEs can follow inter/national</w:t>
      </w:r>
      <w:r>
        <w:t xml:space="preserve"> </w:t>
      </w:r>
      <w:r>
        <w:t xml:space="preserve">M1.5+M1.6: National competent authority</w:t>
      </w:r>
      <w:r>
        <w:t xml:space="preserve"> </w:t>
      </w:r>
      <w:r>
        <w:t xml:space="preserve">inspectors have to evaluate blood and tissue</w:t>
      </w:r>
      <w:r>
        <w:t xml:space="preserve"> </w:t>
      </w:r>
      <w:r>
        <w:t xml:space="preserve">establishments’ risk assessments to ensure</w:t>
      </w:r>
      <w:r>
        <w:t xml:space="preserve"> </w:t>
      </w:r>
      <w:r>
        <w:t xml:space="preserve">that they have been conducted effectively and</w:t>
      </w:r>
      <w:r>
        <w:t xml:space="preserve"> </w:t>
      </w:r>
      <w:r>
        <w:t xml:space="preserve">that the rules set adequately manage the</w:t>
      </w:r>
      <w:r>
        <w:t xml:space="preserve"> </w:t>
      </w:r>
      <w:r>
        <w:t xml:space="preserve">identified risks.</w:t>
      </w:r>
      <w:r>
        <w:br/>
      </w:r>
      <w:r>
        <w:t xml:space="preserve">AND Blood and tissue establishments are</w:t>
      </w:r>
      <w:r>
        <w:t xml:space="preserve"> </w:t>
      </w:r>
      <w:r>
        <w:t xml:space="preserve">required to assess the risks associated with</w:t>
      </w:r>
      <w:r>
        <w:t xml:space="preserve"> </w:t>
      </w:r>
      <w:r>
        <w:t xml:space="preserve">their procedures, and to set technical rules for</w:t>
      </w:r>
      <w:r>
        <w:t xml:space="preserve"> </w:t>
      </w:r>
      <w:r>
        <w:t xml:space="preserve">safety and quality, compliant with the</w:t>
      </w:r>
    </w:p>
    <w:p>
      <w:pPr>
        <w:pStyle w:val="BodyText"/>
      </w:pPr>
      <w:r>
        <w:t xml:space="preserve">323</w:t>
      </w:r>
    </w:p>
    <w:p>
      <w:pPr>
        <w:pStyle w:val="BodyText"/>
      </w:pPr>
      <w:r>
        <w:t xml:space="preserve">guidance or standards from other bodies in setting their rules.</w:t>
      </w:r>
    </w:p>
    <w:p>
      <w:pPr>
        <w:pStyle w:val="BodyText"/>
      </w:pPr>
      <w:r>
        <w:t xml:space="preserve">OR M1.7: EU law requires establishments to take into account</w:t>
      </w:r>
      <w:r>
        <w:t xml:space="preserve"> </w:t>
      </w:r>
      <w:r>
        <w:t xml:space="preserve">ECDC/EDQM rules on quality &amp; safety requirements. EU law</w:t>
      </w:r>
      <w:r>
        <w:t xml:space="preserve"> </w:t>
      </w:r>
      <w:r>
        <w:t xml:space="preserve">require BE/TE to</w:t>
      </w:r>
      <w:r>
        <w:t xml:space="preserve"> </w:t>
      </w:r>
      <w:r>
        <w:t xml:space="preserve">‘take into account’</w:t>
      </w:r>
      <w:r>
        <w:t xml:space="preserve"> </w:t>
      </w:r>
      <w:r>
        <w:t xml:space="preserve">the rules issued by the</w:t>
      </w:r>
      <w:r>
        <w:t xml:space="preserve"> </w:t>
      </w:r>
      <w:r>
        <w:t xml:space="preserve">expert bodies.</w:t>
      </w:r>
    </w:p>
    <w:p>
      <w:pPr>
        <w:pStyle w:val="BodyText"/>
      </w:pPr>
      <w:r>
        <w:t xml:space="preserve">Or M1.8: EU law incorporates quality &amp; safety requirements</w:t>
      </w:r>
      <w:r>
        <w:t xml:space="preserve"> </w:t>
      </w:r>
      <w:r>
        <w:t xml:space="preserve">and contains a mechanism for regular updates to respond to</w:t>
      </w:r>
      <w:r>
        <w:t xml:space="preserve"> </w:t>
      </w:r>
      <w:r>
        <w:t xml:space="preserve">changing risks and technologies under Comitology rules.</w:t>
      </w:r>
      <w:r>
        <w:t xml:space="preserve"> </w:t>
      </w:r>
      <w:r>
        <w:t xml:space="preserve">principles defined in EU law. They must base</w:t>
      </w:r>
      <w:r>
        <w:t xml:space="preserve"> </w:t>
      </w:r>
      <w:r>
        <w:t xml:space="preserve">the rules on risk assessment and scientific</w:t>
      </w:r>
      <w:r>
        <w:t xml:space="preserve"> </w:t>
      </w:r>
      <w:r>
        <w:t xml:space="preserve">evidence, and update whenever the need</w:t>
      </w:r>
      <w:r>
        <w:t xml:space="preserve"> </w:t>
      </w:r>
      <w:r>
        <w:t xml:space="preserve">arises. They can follow inter/national guidance</w:t>
      </w:r>
      <w:r>
        <w:t xml:space="preserve"> </w:t>
      </w:r>
      <w:r>
        <w:t xml:space="preserve">or standards from other bodies in setting their</w:t>
      </w:r>
      <w:r>
        <w:t xml:space="preserve"> </w:t>
      </w:r>
      <w:r>
        <w:t xml:space="preserve">rules.</w:t>
      </w:r>
    </w:p>
    <w:p>
      <w:pPr>
        <w:pStyle w:val="BodyText"/>
      </w:pPr>
      <w:r>
        <w:t xml:space="preserve">OR M1.7: Blood and tissue establishments are</w:t>
      </w:r>
      <w:r>
        <w:t xml:space="preserve"> </w:t>
      </w:r>
      <w:r>
        <w:t xml:space="preserve">required to follow ECDC/EDQM technical rules</w:t>
      </w:r>
      <w:r>
        <w:t xml:space="preserve"> </w:t>
      </w:r>
      <w:r>
        <w:t xml:space="preserve">on quality &amp; safety requirements.</w:t>
      </w:r>
      <w:r>
        <w:br/>
      </w:r>
      <w:r>
        <w:t xml:space="preserve">EDQM/ECDC update their guidance as</w:t>
      </w:r>
      <w:r>
        <w:t xml:space="preserve"> </w:t>
      </w:r>
      <w:r>
        <w:t xml:space="preserve">required; MS expert group participates in the</w:t>
      </w:r>
      <w:r>
        <w:t xml:space="preserve"> </w:t>
      </w:r>
      <w:r>
        <w:t xml:space="preserve">EDQM drafting and review process.)</w:t>
      </w:r>
    </w:p>
    <w:p>
      <w:pPr>
        <w:pStyle w:val="BodyText"/>
      </w:pPr>
      <w:r>
        <w:t xml:space="preserve">OR M1.8: Blood and tissue establishments are</w:t>
      </w:r>
      <w:r>
        <w:t xml:space="preserve"> </w:t>
      </w:r>
      <w:r>
        <w:t xml:space="preserve">required to take into account quality and</w:t>
      </w:r>
      <w:r>
        <w:t xml:space="preserve"> </w:t>
      </w:r>
      <w:r>
        <w:t xml:space="preserve">safety requirements that are defined in EU</w:t>
      </w:r>
      <w:r>
        <w:t xml:space="preserve"> </w:t>
      </w:r>
      <w:r>
        <w:t xml:space="preserve">law. There is a mechanism to provide regular</w:t>
      </w:r>
      <w:r>
        <w:t xml:space="preserve"> </w:t>
      </w:r>
      <w:r>
        <w:t xml:space="preserve">updates in response to changing risks and</w:t>
      </w:r>
      <w:r>
        <w:t xml:space="preserve"> </w:t>
      </w:r>
      <w:r>
        <w:t xml:space="preserve">technologies (using Comitology rules).</w:t>
      </w:r>
      <w:r>
        <w:t xml:space="preserve"> </w:t>
      </w:r>
      <w:r>
        <w:t xml:space="preserve">Donor &amp;</w:t>
      </w:r>
      <w:r>
        <w:t xml:space="preserve"> </w:t>
      </w:r>
      <w:r>
        <w:t xml:space="preserve">offspring</w:t>
      </w:r>
      <w:r>
        <w:t xml:space="preserve"> </w:t>
      </w:r>
      <w:r>
        <w:t xml:space="preserve">protection</w:t>
      </w:r>
      <w:r>
        <w:br/>
      </w:r>
      <w:r>
        <w:t xml:space="preserve">M2A – Set donor and offspring</w:t>
      </w:r>
      <w:r>
        <w:t xml:space="preserve"> </w:t>
      </w:r>
      <w:r>
        <w:t xml:space="preserve">protection principles in law</w:t>
      </w:r>
      <w:r>
        <w:t xml:space="preserve"> </w:t>
      </w:r>
      <w:r>
        <w:t xml:space="preserve">(common to all policy options)</w:t>
      </w:r>
      <w:r>
        <w:t xml:space="preserve"> </w:t>
      </w:r>
      <w:r>
        <w:t xml:space="preserve">M2.1: EU law on donor and offspring safety amended to</w:t>
      </w:r>
      <w:r>
        <w:t xml:space="preserve"> </w:t>
      </w:r>
      <w:r>
        <w:t xml:space="preserve">ensure (a) reporting of SARE for donors and offspring and</w:t>
      </w:r>
      <w:r>
        <w:t xml:space="preserve"> </w:t>
      </w:r>
      <w:r>
        <w:t xml:space="preserve">(b) monitoring of those donors and offspring with specific</w:t>
      </w:r>
      <w:r>
        <w:t xml:space="preserve"> </w:t>
      </w:r>
      <w:r>
        <w:t xml:space="preserve">concerns.</w:t>
      </w:r>
      <w:r>
        <w:br/>
      </w:r>
      <w:r>
        <w:t xml:space="preserve">M3.1: EU law incorporates high level principles to</w:t>
      </w:r>
      <w:r>
        <w:t xml:space="preserve"> </w:t>
      </w:r>
      <w:r>
        <w:t xml:space="preserve">protect BTC donors, including reporting measures</w:t>
      </w:r>
      <w:r>
        <w:t xml:space="preserve"> </w:t>
      </w:r>
      <w:r>
        <w:t xml:space="preserve">(SARE/monitoring outcome), also self-reporting of</w:t>
      </w:r>
      <w:r>
        <w:t xml:space="preserve"> </w:t>
      </w:r>
      <w:r>
        <w:t xml:space="preserve">adverse events by donors</w:t>
      </w:r>
      <w:r>
        <w:t xml:space="preserve"> </w:t>
      </w:r>
      <w:r>
        <w:t xml:space="preserve">M2.2: EU law incorporate high level principles to protect</w:t>
      </w:r>
      <w:r>
        <w:t xml:space="preserve"> </w:t>
      </w:r>
      <w:r>
        <w:t xml:space="preserve">donors and offspring born from donated</w:t>
      </w:r>
      <w:r>
        <w:t xml:space="preserve"> </w:t>
      </w:r>
      <w:r>
        <w:t xml:space="preserve">gametes/embryos. That includes donor eligibility, data</w:t>
      </w:r>
      <w:r>
        <w:t xml:space="preserve"> </w:t>
      </w:r>
      <w:r>
        <w:t xml:space="preserve">protection, that children do not have genetic conditions</w:t>
      </w:r>
      <w:r>
        <w:t xml:space="preserve"> </w:t>
      </w:r>
      <w:r>
        <w:t xml:space="preserve">reasonably avoidable through selection and testing; that</w:t>
      </w:r>
      <w:r>
        <w:t xml:space="preserve"> </w:t>
      </w:r>
      <w:r>
        <w:t xml:space="preserve">M3.2: EU law incorporates high level principles to</w:t>
      </w:r>
      <w:r>
        <w:t xml:space="preserve"> </w:t>
      </w:r>
      <w:r>
        <w:t xml:space="preserve">protect offspring born from donated</w:t>
      </w:r>
      <w:r>
        <w:t xml:space="preserve"> </w:t>
      </w:r>
      <w:r>
        <w:t xml:space="preserve">gametes/embryos, including reporting measures</w:t>
      </w:r>
      <w:r>
        <w:t xml:space="preserve"> </w:t>
      </w:r>
      <w:r>
        <w:t xml:space="preserve">(SARE/monitoring outcome).</w:t>
      </w:r>
    </w:p>
    <w:p>
      <w:pPr>
        <w:pStyle w:val="BodyText"/>
      </w:pPr>
      <w:r>
        <w:t xml:space="preserve">324</w:t>
      </w:r>
    </w:p>
    <w:p>
      <w:pPr>
        <w:pStyle w:val="BodyText"/>
      </w:pPr>
      <w:r>
        <w:t xml:space="preserve">genetic conditions are reported and appropriate follow-up</w:t>
      </w:r>
      <w:r>
        <w:t xml:space="preserve"> </w:t>
      </w:r>
      <w:r>
        <w:t xml:space="preserve">actions taken.</w:t>
      </w:r>
      <w:r>
        <w:t xml:space="preserve"> </w:t>
      </w:r>
      <w:r>
        <w:t xml:space="preserve">M2.3: EU law incorporates new definitions.</w:t>
      </w:r>
      <w:r>
        <w:br/>
      </w:r>
      <w:r>
        <w:t xml:space="preserve">M3.3: EU law incorporates new definitions (e.g. to</w:t>
      </w:r>
      <w:r>
        <w:t xml:space="preserve"> </w:t>
      </w:r>
      <w:r>
        <w:t xml:space="preserve">include genetic disease transmission by medically</w:t>
      </w:r>
      <w:r>
        <w:t xml:space="preserve"> </w:t>
      </w:r>
      <w:r>
        <w:t xml:space="preserve">assisted reproduction using donor gametes or</w:t>
      </w:r>
      <w:r>
        <w:t xml:space="preserve"> </w:t>
      </w:r>
      <w:r>
        <w:t xml:space="preserve">embryos as an ‘adverse reaction’)</w:t>
      </w:r>
      <w:r>
        <w:t xml:space="preserve"> </w:t>
      </w:r>
      <w:r>
        <w:t xml:space="preserve">M2B – Up-to-date technical standards</w:t>
      </w:r>
      <w:r>
        <w:t xml:space="preserve"> </w:t>
      </w:r>
      <w:r>
        <w:t xml:space="preserve">for donor and offspring protection</w:t>
      </w:r>
      <w:r>
        <w:t xml:space="preserve"> </w:t>
      </w:r>
      <w:r>
        <w:t xml:space="preserve">(differs by policy option)</w:t>
      </w:r>
      <w:r>
        <w:t xml:space="preserve"> </w:t>
      </w:r>
      <w:r>
        <w:t xml:space="preserve">M2.4: EU law require BE/TEs to define detailed quality &amp;</w:t>
      </w:r>
      <w:r>
        <w:t xml:space="preserve"> </w:t>
      </w:r>
      <w:r>
        <w:t xml:space="preserve">safety requirements to protect donors and protect</w:t>
      </w:r>
      <w:r>
        <w:t xml:space="preserve"> </w:t>
      </w:r>
      <w:r>
        <w:t xml:space="preserve">children born from donated gametes or embryos.</w:t>
      </w:r>
    </w:p>
    <w:p>
      <w:pPr>
        <w:pStyle w:val="BodyText"/>
      </w:pPr>
      <w:r>
        <w:t xml:space="preserve">OR M2.5: EU law requires establishments to take into</w:t>
      </w:r>
      <w:r>
        <w:t xml:space="preserve"> </w:t>
      </w:r>
      <w:r>
        <w:t xml:space="preserve">account ECDC/EDQM rules on quality &amp; safety</w:t>
      </w:r>
      <w:r>
        <w:t xml:space="preserve"> </w:t>
      </w:r>
      <w:r>
        <w:t xml:space="preserve">requirement for donors and offspring from MAR.</w:t>
      </w:r>
    </w:p>
    <w:p>
      <w:pPr>
        <w:pStyle w:val="BodyText"/>
      </w:pPr>
      <w:r>
        <w:t xml:space="preserve">OR M2.6: EU law incorporates quality &amp; safety</w:t>
      </w:r>
      <w:r>
        <w:t xml:space="preserve"> </w:t>
      </w:r>
      <w:r>
        <w:t xml:space="preserve">requirements for donors and MAR offspring, and a</w:t>
      </w:r>
      <w:r>
        <w:t xml:space="preserve"> </w:t>
      </w:r>
      <w:r>
        <w:t xml:space="preserve">mechanism incorporated to update these as needed.</w:t>
      </w:r>
      <w:r>
        <w:br/>
      </w:r>
      <w:r>
        <w:t xml:space="preserve">M3.5: EU law requires establishments to define</w:t>
      </w:r>
      <w:r>
        <w:t xml:space="preserve"> </w:t>
      </w:r>
      <w:r>
        <w:t xml:space="preserve">detailed quality &amp; safety requirements to protect</w:t>
      </w:r>
      <w:r>
        <w:t xml:space="preserve"> </w:t>
      </w:r>
      <w:r>
        <w:t xml:space="preserve">donors and protect children born from donated</w:t>
      </w:r>
      <w:r>
        <w:t xml:space="preserve"> </w:t>
      </w:r>
      <w:r>
        <w:t xml:space="preserve">gametes or embryos.</w:t>
      </w:r>
    </w:p>
    <w:p>
      <w:pPr>
        <w:pStyle w:val="BodyText"/>
      </w:pPr>
      <w:r>
        <w:t xml:space="preserve">OR M3.6: EU law requires expert bodies to define</w:t>
      </w:r>
      <w:r>
        <w:t xml:space="preserve"> </w:t>
      </w:r>
      <w:r>
        <w:t xml:space="preserve">detailed quality &amp; safety requirements for donors</w:t>
      </w:r>
      <w:r>
        <w:t xml:space="preserve"> </w:t>
      </w:r>
      <w:r>
        <w:t xml:space="preserve">and offspring of medically assisted reproduction,</w:t>
      </w:r>
      <w:r>
        <w:t xml:space="preserve"> </w:t>
      </w:r>
      <w:r>
        <w:t xml:space="preserve">and requires establishments to follow the rules</w:t>
      </w:r>
      <w:r>
        <w:t xml:space="preserve"> </w:t>
      </w:r>
      <w:r>
        <w:t xml:space="preserve">issued by the expert bodies.</w:t>
      </w:r>
    </w:p>
    <w:p>
      <w:pPr>
        <w:pStyle w:val="BodyText"/>
      </w:pPr>
      <w:r>
        <w:t xml:space="preserve">OR M3.7: EU law incorporates quality and safety</w:t>
      </w:r>
      <w:r>
        <w:t xml:space="preserve"> </w:t>
      </w:r>
      <w:r>
        <w:t xml:space="preserve">requirements for donors and offspring of medically</w:t>
      </w:r>
      <w:r>
        <w:t xml:space="preserve"> </w:t>
      </w:r>
      <w:r>
        <w:t xml:space="preserve">assisted reproduction, and a mechanism to update</w:t>
      </w:r>
      <w:r>
        <w:t xml:space="preserve"> </w:t>
      </w:r>
      <w:r>
        <w:t xml:space="preserve">these as needed.</w:t>
      </w:r>
      <w:r>
        <w:t xml:space="preserve"> </w:t>
      </w:r>
      <w:r>
        <w:t xml:space="preserve">Oversight</w:t>
      </w:r>
      <w:r>
        <w:t xml:space="preserve"> </w:t>
      </w:r>
      <w:r>
        <w:t xml:space="preserve">M3A - Set principles for oversight in</w:t>
      </w:r>
      <w:r>
        <w:t xml:space="preserve"> </w:t>
      </w:r>
      <w:r>
        <w:t xml:space="preserve">legislation (e.g. independence of</w:t>
      </w:r>
      <w:r>
        <w:t xml:space="preserve"> </w:t>
      </w:r>
      <w:r>
        <w:t xml:space="preserve">authority, risk-based inspections)</w:t>
      </w:r>
      <w:r>
        <w:t xml:space="preserve"> </w:t>
      </w:r>
      <w:r>
        <w:t xml:space="preserve">(common to all policy options)</w:t>
      </w:r>
    </w:p>
    <w:p>
      <w:pPr>
        <w:pStyle w:val="BodyText"/>
      </w:pPr>
      <w:r>
        <w:t xml:space="preserve">M3.1: EU law incorporates oversight principles for the</w:t>
      </w:r>
      <w:r>
        <w:t xml:space="preserve"> </w:t>
      </w:r>
      <w:r>
        <w:t xml:space="preserve">organisation and for staff</w:t>
      </w:r>
      <w:r>
        <w:br/>
      </w:r>
      <w:r>
        <w:t xml:space="preserve">M2.1: EU law incorporates oversight principles for</w:t>
      </w:r>
      <w:r>
        <w:t xml:space="preserve"> </w:t>
      </w:r>
      <w:r>
        <w:t xml:space="preserve">the NCA and for staff</w:t>
      </w:r>
      <w:r>
        <w:br/>
      </w:r>
      <w:r>
        <w:t xml:space="preserve">M3.2: EU law obligates NCAs to base their inspection</w:t>
      </w:r>
      <w:r>
        <w:t xml:space="preserve"> </w:t>
      </w:r>
      <w:r>
        <w:t xml:space="preserve">regimes on a risk-based approach.</w:t>
      </w:r>
      <w:r>
        <w:t xml:space="preserve"> </w:t>
      </w:r>
      <w:r>
        <w:t xml:space="preserve">M2.2: EU law requires competent authorities to</w:t>
      </w:r>
      <w:r>
        <w:t xml:space="preserve"> </w:t>
      </w:r>
      <w:r>
        <w:t xml:space="preserve">base their inspection regimes on a risk-based</w:t>
      </w:r>
      <w:r>
        <w:t xml:space="preserve"> </w:t>
      </w:r>
      <w:r>
        <w:t xml:space="preserve">approach</w:t>
      </w:r>
      <w:r>
        <w:t xml:space="preserve"> </w:t>
      </w:r>
      <w:r>
        <w:t xml:space="preserve">M3.3 Commission develops and maintains common</w:t>
      </w:r>
      <w:r>
        <w:t xml:space="preserve"> </w:t>
      </w:r>
      <w:r>
        <w:t xml:space="preserve">M2.3: The European Commission will develop and</w:t>
      </w:r>
    </w:p>
    <w:p>
      <w:pPr>
        <w:pStyle w:val="BodyText"/>
      </w:pPr>
      <w:r>
        <w:t xml:space="preserve">325</w:t>
      </w:r>
    </w:p>
    <w:p>
      <w:pPr>
        <w:pStyle w:val="BodyText"/>
      </w:pPr>
      <w:r>
        <w:t xml:space="preserve">guidance on oversight</w:t>
      </w:r>
      <w:r>
        <w:t xml:space="preserve"> </w:t>
      </w:r>
      <w:r>
        <w:t xml:space="preserve">maintain common guidance on oversight</w:t>
      </w:r>
      <w:r>
        <w:t xml:space="preserve"> </w:t>
      </w:r>
      <w:r>
        <w:t xml:space="preserve">M3.5: EU law provides legal framework for Joint Member</w:t>
      </w:r>
      <w:r>
        <w:t xml:space="preserve"> </w:t>
      </w:r>
      <w:r>
        <w:t xml:space="preserve">State inspections of blood and tissue establishments</w:t>
      </w:r>
      <w:r>
        <w:br/>
      </w:r>
      <w:r>
        <w:t xml:space="preserve">M2.5: EU law is amended to implement a legal</w:t>
      </w:r>
      <w:r>
        <w:t xml:space="preserve"> </w:t>
      </w:r>
      <w:r>
        <w:t xml:space="preserve">framework for Joint Member State inspections of</w:t>
      </w:r>
      <w:r>
        <w:t xml:space="preserve"> </w:t>
      </w:r>
      <w:r>
        <w:t xml:space="preserve">blood and tissue establishments</w:t>
      </w:r>
    </w:p>
    <w:p>
      <w:pPr>
        <w:pStyle w:val="BodyText"/>
      </w:pPr>
      <w:r>
        <w:t xml:space="preserve">M3B - Provide EU support</w:t>
      </w:r>
      <w:r>
        <w:t xml:space="preserve"> </w:t>
      </w:r>
      <w:r>
        <w:t xml:space="preserve">(common to all policy options)</w:t>
      </w:r>
      <w:r>
        <w:t xml:space="preserve"> </w:t>
      </w:r>
      <w:r>
        <w:t xml:space="preserve">M3.4: Commission audits of national control</w:t>
      </w:r>
      <w:r>
        <w:t xml:space="preserve"> </w:t>
      </w:r>
      <w:r>
        <w:t xml:space="preserve">systems, accompanied by MS experts</w:t>
      </w:r>
      <w:r>
        <w:t xml:space="preserve"> </w:t>
      </w:r>
      <w:r>
        <w:t xml:space="preserve">M2.4: Commission audits of national control</w:t>
      </w:r>
      <w:r>
        <w:t xml:space="preserve"> </w:t>
      </w:r>
      <w:r>
        <w:t xml:space="preserve">systems, accompanied by MS experts</w:t>
      </w:r>
      <w:r>
        <w:t xml:space="preserve"> </w:t>
      </w:r>
      <w:r>
        <w:t xml:space="preserve">M3.6: EU Support for training &amp; IT</w:t>
      </w:r>
      <w:r>
        <w:t xml:space="preserve"> </w:t>
      </w:r>
      <w:r>
        <w:t xml:space="preserve">M2.6: The European Commission will develop the</w:t>
      </w:r>
      <w:r>
        <w:t xml:space="preserve"> </w:t>
      </w:r>
      <w:r>
        <w:t xml:space="preserve">relevant component of the IT platform for</w:t>
      </w:r>
      <w:r>
        <w:t xml:space="preserve"> </w:t>
      </w:r>
      <w:r>
        <w:t xml:space="preserve">oversight</w:t>
      </w:r>
      <w:r>
        <w:t xml:space="preserve"> </w:t>
      </w:r>
      <w:r>
        <w:t xml:space="preserve">Innovation</w:t>
      </w:r>
      <w:r>
        <w:t xml:space="preserve"> </w:t>
      </w:r>
      <w:r>
        <w:t xml:space="preserve">M4A - Create BTC mechanism to advise</w:t>
      </w:r>
      <w:r>
        <w:t xml:space="preserve"> </w:t>
      </w:r>
      <w:r>
        <w:t xml:space="preserve">on applicability of BTC legislation and</w:t>
      </w:r>
      <w:r>
        <w:br/>
      </w:r>
      <w:r>
        <w:t xml:space="preserve">liaise with equivalent MD and (AT)MP</w:t>
      </w:r>
      <w:r>
        <w:t xml:space="preserve"> </w:t>
      </w:r>
      <w:r>
        <w:t xml:space="preserve">mechanisms</w:t>
      </w:r>
      <w:r>
        <w:t xml:space="preserve"> </w:t>
      </w:r>
      <w:r>
        <w:t xml:space="preserve">(common to all policy options)</w:t>
      </w:r>
      <w:r>
        <w:t xml:space="preserve"> </w:t>
      </w:r>
      <w:r>
        <w:t xml:space="preserve">M4.1: Establishment of EU level advisory mechanism to</w:t>
      </w:r>
      <w:r>
        <w:t xml:space="preserve"> </w:t>
      </w:r>
      <w:r>
        <w:t xml:space="preserve">recommend/advise MS on when/what BTC requirements</w:t>
      </w:r>
      <w:r>
        <w:t xml:space="preserve"> </w:t>
      </w:r>
      <w:r>
        <w:t xml:space="preserve">should be applied in part or in full.</w:t>
      </w:r>
    </w:p>
    <w:p>
      <w:pPr>
        <w:pStyle w:val="BodyText"/>
      </w:pPr>
      <w:r>
        <w:t xml:space="preserve">M4.2: An EU level advisory mechanism is</w:t>
      </w:r>
      <w:r>
        <w:t xml:space="preserve"> </w:t>
      </w:r>
      <w:r>
        <w:t xml:space="preserve">established to recommend/advise MS on</w:t>
      </w:r>
      <w:r>
        <w:t xml:space="preserve"> </w:t>
      </w:r>
      <w:r>
        <w:t xml:space="preserve">when/what BTC requirements should be</w:t>
      </w:r>
      <w:r>
        <w:t xml:space="preserve"> </w:t>
      </w:r>
      <w:r>
        <w:t xml:space="preserve">applied in part or in full</w:t>
      </w:r>
      <w:r>
        <w:t xml:space="preserve"> </w:t>
      </w:r>
      <w:r>
        <w:t xml:space="preserve">M4.2: Interplay SoHO/pharma/MD: A mechanism is</w:t>
      </w:r>
      <w:r>
        <w:t xml:space="preserve"> </w:t>
      </w:r>
      <w:r>
        <w:t xml:space="preserve">introduced to prompt regulators of</w:t>
      </w:r>
      <w:r>
        <w:t xml:space="preserve"> </w:t>
      </w:r>
      <w:r>
        <w:t xml:space="preserve">‘adjacent’</w:t>
      </w:r>
      <w:r>
        <w:t xml:space="preserve"> </w:t>
      </w:r>
      <w:r>
        <w:t xml:space="preserve">legal</w:t>
      </w:r>
      <w:r>
        <w:t xml:space="preserve"> </w:t>
      </w:r>
      <w:r>
        <w:t xml:space="preserve">frameworks (SOHO/Pharma/Medical Devices) to better</w:t>
      </w:r>
      <w:r>
        <w:t xml:space="preserve"> </w:t>
      </w:r>
      <w:r>
        <w:t xml:space="preserve">coordinate their rules, especially in respect of substances that</w:t>
      </w:r>
      <w:r>
        <w:t xml:space="preserve"> </w:t>
      </w:r>
      <w:r>
        <w:t xml:space="preserve">are regulated under more than one legal framework.</w:t>
      </w:r>
      <w:r>
        <w:br/>
      </w:r>
      <w:r>
        <w:t xml:space="preserve">M4.3: A mechanism is introduced to prompt</w:t>
      </w:r>
      <w:r>
        <w:t xml:space="preserve"> </w:t>
      </w:r>
      <w:r>
        <w:t xml:space="preserve">regulators of</w:t>
      </w:r>
      <w:r>
        <w:t xml:space="preserve"> </w:t>
      </w:r>
      <w:r>
        <w:t xml:space="preserve">‘adjacent’</w:t>
      </w:r>
      <w:r>
        <w:t xml:space="preserve"> </w:t>
      </w:r>
      <w:r>
        <w:t xml:space="preserve">legal frameworks</w:t>
      </w:r>
      <w:r>
        <w:t xml:space="preserve"> </w:t>
      </w:r>
      <w:r>
        <w:t xml:space="preserve">(SOHO/Pharma/Medical Devices) to better</w:t>
      </w:r>
      <w:r>
        <w:t xml:space="preserve"> </w:t>
      </w:r>
      <w:r>
        <w:t xml:space="preserve">coordinate their rules, especially in respect of</w:t>
      </w:r>
      <w:r>
        <w:t xml:space="preserve"> </w:t>
      </w:r>
      <w:r>
        <w:t xml:space="preserve">substances that are regulated under more</w:t>
      </w:r>
      <w:r>
        <w:t xml:space="preserve"> </w:t>
      </w:r>
      <w:r>
        <w:t xml:space="preserve">than one legal framework.</w:t>
      </w:r>
      <w:r>
        <w:t xml:space="preserve"> </w:t>
      </w:r>
      <w:r>
        <w:t xml:space="preserve">M4.3: Classification advice: advice related to other legal</w:t>
      </w:r>
      <w:r>
        <w:t xml:space="preserve"> </w:t>
      </w:r>
      <w:r>
        <w:t xml:space="preserve">frameworks. EU level advisory mechanism will advise where</w:t>
      </w:r>
      <w:r>
        <w:t xml:space="preserve"> </w:t>
      </w:r>
      <w:r>
        <w:t xml:space="preserve">other frameworks (in particular medical devices and medicinal</w:t>
      </w:r>
      <w:r>
        <w:t xml:space="preserve"> </w:t>
      </w:r>
      <w:r>
        <w:t xml:space="preserve">products) might be applied for particular novel BTC.</w:t>
      </w:r>
      <w:r>
        <w:t xml:space="preserve"> </w:t>
      </w:r>
      <w:r>
        <w:t xml:space="preserve">Implementation might involve exchange/mutual consultation</w:t>
      </w:r>
      <w:r>
        <w:t xml:space="preserve"> </w:t>
      </w:r>
      <w:r>
        <w:t xml:space="preserve">with advisory bodies for MP (EMA innovation task force, EMA</w:t>
      </w:r>
      <w:r>
        <w:t xml:space="preserve"> </w:t>
      </w:r>
      <w:r>
        <w:t xml:space="preserve">CAT) and MD frameworks (Borderlines and Classification</w:t>
      </w:r>
      <w:r>
        <w:t xml:space="preserve"> </w:t>
      </w:r>
      <w:r>
        <w:t xml:space="preserve">Working Party).</w:t>
      </w:r>
      <w:r>
        <w:br/>
      </w:r>
      <w:r>
        <w:t xml:space="preserve">M4.4: An EU level advisory mechanism will</w:t>
      </w:r>
      <w:r>
        <w:t xml:space="preserve"> </w:t>
      </w:r>
      <w:r>
        <w:t xml:space="preserve">advise where other frameworks (in particular</w:t>
      </w:r>
      <w:r>
        <w:t xml:space="preserve"> </w:t>
      </w:r>
      <w:r>
        <w:t xml:space="preserve">medical devices and medicinal products) might</w:t>
      </w:r>
      <w:r>
        <w:t xml:space="preserve"> </w:t>
      </w:r>
      <w:r>
        <w:t xml:space="preserve">be applied for particular novel BTC.</w:t>
      </w:r>
      <w:r>
        <w:t xml:space="preserve"> </w:t>
      </w:r>
      <w:r>
        <w:t xml:space="preserve">Implementation might involve</w:t>
      </w:r>
      <w:r>
        <w:t xml:space="preserve"> </w:t>
      </w:r>
      <w:r>
        <w:t xml:space="preserve">exchange/mutual consultation with advisory</w:t>
      </w:r>
      <w:r>
        <w:t xml:space="preserve"> </w:t>
      </w:r>
      <w:r>
        <w:t xml:space="preserve">bodies for MP (EMA innovation task force,</w:t>
      </w:r>
      <w:r>
        <w:t xml:space="preserve"> </w:t>
      </w:r>
      <w:r>
        <w:t xml:space="preserve">EMA CAT) and MD frameworks (Borderlines</w:t>
      </w:r>
      <w:r>
        <w:t xml:space="preserve"> </w:t>
      </w:r>
      <w:r>
        <w:t xml:space="preserve">and Classification Working Party).</w:t>
      </w:r>
    </w:p>
    <w:p>
      <w:pPr>
        <w:pStyle w:val="BodyText"/>
      </w:pPr>
      <w:r>
        <w:t xml:space="preserve">326</w:t>
      </w:r>
    </w:p>
    <w:p>
      <w:pPr>
        <w:pStyle w:val="BodyText"/>
      </w:pPr>
      <w:r>
        <w:t xml:space="preserve">M4B - Risk-based authorisation BTC</w:t>
      </w:r>
      <w:r>
        <w:t xml:space="preserve"> </w:t>
      </w:r>
      <w:r>
        <w:t xml:space="preserve">processed or used in new ways,</w:t>
      </w:r>
      <w:r>
        <w:t xml:space="preserve"> </w:t>
      </w:r>
      <w:r>
        <w:t xml:space="preserve">including clinical data when justified,</w:t>
      </w:r>
      <w:r>
        <w:t xml:space="preserve"> </w:t>
      </w:r>
      <w:r>
        <w:t xml:space="preserve">with guidance</w:t>
      </w:r>
      <w:r>
        <w:t xml:space="preserve"> </w:t>
      </w:r>
      <w:r>
        <w:t xml:space="preserve">(differs by policy option)</w:t>
      </w:r>
      <w:r>
        <w:t xml:space="preserve"> </w:t>
      </w:r>
      <w:r>
        <w:t xml:space="preserve">M4.4: The EU legislation will set principles for authorisation</w:t>
      </w:r>
      <w:r>
        <w:t xml:space="preserve"> </w:t>
      </w:r>
      <w:r>
        <w:t xml:space="preserve">procedure (good practice for authorisation procedures</w:t>
      </w:r>
      <w:r>
        <w:t xml:space="preserve"> </w:t>
      </w:r>
      <w:r>
        <w:t xml:space="preserve">including validation of facilities, equipment and processing</w:t>
      </w:r>
      <w:r>
        <w:t xml:space="preserve"> </w:t>
      </w:r>
      <w:r>
        <w:t xml:space="preserve">and clinical data requirement according to level of risk and</w:t>
      </w:r>
      <w:r>
        <w:t xml:space="preserve"> </w:t>
      </w:r>
      <w:r>
        <w:t xml:space="preserve">novelty) to demonstrate safety and efficacy in patients.</w:t>
      </w:r>
    </w:p>
    <w:p>
      <w:pPr>
        <w:pStyle w:val="BodyText"/>
      </w:pPr>
      <w:r>
        <w:t xml:space="preserve">M4.5: EU law sets principles for authorisation</w:t>
      </w:r>
      <w:r>
        <w:t xml:space="preserve"> </w:t>
      </w:r>
      <w:r>
        <w:t xml:space="preserve">procedure (good practice for authorisation</w:t>
      </w:r>
      <w:r>
        <w:t xml:space="preserve"> </w:t>
      </w:r>
      <w:r>
        <w:t xml:space="preserve">procedures including validation of facilities,</w:t>
      </w:r>
      <w:r>
        <w:t xml:space="preserve"> </w:t>
      </w:r>
      <w:r>
        <w:t xml:space="preserve">equipment and processing and clinical data</w:t>
      </w:r>
      <w:r>
        <w:t xml:space="preserve"> </w:t>
      </w:r>
      <w:r>
        <w:t xml:space="preserve">requirement according to level of risk and</w:t>
      </w:r>
      <w:r>
        <w:t xml:space="preserve"> </w:t>
      </w:r>
      <w:r>
        <w:t xml:space="preserve">novelty) to demonstrate safety and efficacy in</w:t>
      </w:r>
      <w:r>
        <w:t xml:space="preserve"> </w:t>
      </w:r>
      <w:r>
        <w:t xml:space="preserve">patients.</w:t>
      </w:r>
      <w:r>
        <w:t xml:space="preserve"> </w:t>
      </w:r>
      <w:r>
        <w:t xml:space="preserve">M4.5: Strengthened Preparation Process Authorisation: EU</w:t>
      </w:r>
      <w:r>
        <w:t xml:space="preserve"> </w:t>
      </w:r>
      <w:r>
        <w:t xml:space="preserve">law modified so that, for major changes in the steps of</w:t>
      </w:r>
      <w:r>
        <w:t xml:space="preserve"> </w:t>
      </w:r>
      <w:r>
        <w:t xml:space="preserve">collection, processing and use of BTC, competent authorities</w:t>
      </w:r>
      <w:r>
        <w:t xml:space="preserve"> </w:t>
      </w:r>
      <w:r>
        <w:t xml:space="preserve">will have to grant prior authorisation based on data</w:t>
      </w:r>
      <w:r>
        <w:t xml:space="preserve"> </w:t>
      </w:r>
      <w:r>
        <w:t xml:space="preserve">demonstrating safety and benefit for patients that justifies</w:t>
      </w:r>
      <w:r>
        <w:t xml:space="preserve"> </w:t>
      </w:r>
      <w:r>
        <w:t xml:space="preserve">any risks associated with treatment with BTC prepared in</w:t>
      </w:r>
      <w:r>
        <w:t xml:space="preserve"> </w:t>
      </w:r>
      <w:r>
        <w:t xml:space="preserve">innovative ways.</w:t>
      </w:r>
    </w:p>
    <w:p>
      <w:pPr>
        <w:pStyle w:val="BodyText"/>
      </w:pPr>
      <w:r>
        <w:t xml:space="preserve">M4.6: EU law requires that, for major changes</w:t>
      </w:r>
      <w:r>
        <w:t xml:space="preserve"> </w:t>
      </w:r>
      <w:r>
        <w:t xml:space="preserve">in the steps of collection, processing and use</w:t>
      </w:r>
      <w:r>
        <w:t xml:space="preserve"> </w:t>
      </w:r>
      <w:r>
        <w:t xml:space="preserve">of BTC, competent authorities have to grant</w:t>
      </w:r>
      <w:r>
        <w:t xml:space="preserve"> </w:t>
      </w:r>
      <w:r>
        <w:t xml:space="preserve">prior authorisation based on data</w:t>
      </w:r>
      <w:r>
        <w:t xml:space="preserve"> </w:t>
      </w:r>
      <w:r>
        <w:t xml:space="preserve">demonstrating safety and benefit for patients</w:t>
      </w:r>
      <w:r>
        <w:t xml:space="preserve"> </w:t>
      </w:r>
      <w:r>
        <w:t xml:space="preserve">that justifies any risks associated with</w:t>
      </w:r>
      <w:r>
        <w:t xml:space="preserve"> </w:t>
      </w:r>
      <w:r>
        <w:t xml:space="preserve">treatment with BTC prepared in innovative</w:t>
      </w:r>
      <w:r>
        <w:t xml:space="preserve"> </w:t>
      </w:r>
      <w:r>
        <w:t xml:space="preserve">ways.</w:t>
      </w:r>
      <w:r>
        <w:br/>
      </w:r>
      <w:r>
        <w:t xml:space="preserve">M4.6: The EU legislation will set rules for implementing a</w:t>
      </w:r>
      <w:r>
        <w:t xml:space="preserve"> </w:t>
      </w:r>
      <w:r>
        <w:t xml:space="preserve">clinical trial for BTC (if high level of risks)</w:t>
      </w:r>
    </w:p>
    <w:p>
      <w:pPr>
        <w:pStyle w:val="BodyText"/>
      </w:pPr>
      <w:r>
        <w:t xml:space="preserve">M4.7: EU law sets rules for implementing a</w:t>
      </w:r>
      <w:r>
        <w:t xml:space="preserve"> </w:t>
      </w:r>
      <w:r>
        <w:t xml:space="preserve">clinical trial for BTC (if high level of risks).</w:t>
      </w:r>
      <w:r>
        <w:br/>
      </w:r>
      <w:r>
        <w:t xml:space="preserve">M4.7: EU will develop an exchange (IT) platform for NCAs to</w:t>
      </w:r>
      <w:r>
        <w:t xml:space="preserve"> </w:t>
      </w:r>
      <w:r>
        <w:t xml:space="preserve">exchange info regarding (novel) process authorisations (the</w:t>
      </w:r>
      <w:r>
        <w:t xml:space="preserve"> </w:t>
      </w:r>
      <w:r>
        <w:t xml:space="preserve">platform would be used for (voluntary) acceptance of</w:t>
      </w:r>
      <w:r>
        <w:t xml:space="preserve"> </w:t>
      </w:r>
      <w:r>
        <w:t xml:space="preserve">M4.8: The European Commission will develop</w:t>
      </w:r>
      <w:r>
        <w:t xml:space="preserve"> </w:t>
      </w:r>
      <w:r>
        <w:t xml:space="preserve">an exchange (IT) platform for competent</w:t>
      </w:r>
      <w:r>
        <w:t xml:space="preserve"> </w:t>
      </w:r>
      <w:r>
        <w:t xml:space="preserve">authorities to exchange info regarding (novel)</w:t>
      </w:r>
    </w:p>
    <w:p>
      <w:pPr>
        <w:pStyle w:val="BodyText"/>
      </w:pPr>
      <w:r>
        <w:t xml:space="preserve">327</w:t>
      </w:r>
    </w:p>
    <w:p>
      <w:pPr>
        <w:pStyle w:val="BodyText"/>
      </w:pPr>
      <w:r>
        <w:t xml:space="preserve">authorisations among MS). This includes clinical evidence</w:t>
      </w:r>
      <w:r>
        <w:t xml:space="preserve"> </w:t>
      </w:r>
      <w:r>
        <w:t xml:space="preserve">collected by clinicians with the support of learned societies.</w:t>
      </w:r>
    </w:p>
    <w:p>
      <w:pPr>
        <w:pStyle w:val="BodyText"/>
      </w:pPr>
      <w:r>
        <w:t xml:space="preserve">process authorisations (the platform would be</w:t>
      </w:r>
      <w:r>
        <w:t xml:space="preserve"> </w:t>
      </w:r>
      <w:r>
        <w:t xml:space="preserve">used for (voluntary) acceptance of</w:t>
      </w:r>
      <w:r>
        <w:t xml:space="preserve"> </w:t>
      </w:r>
      <w:r>
        <w:t xml:space="preserve">authorisations among MS). This includes</w:t>
      </w:r>
      <w:r>
        <w:t xml:space="preserve"> </w:t>
      </w:r>
      <w:r>
        <w:t xml:space="preserve">clinical evidence collected by clinicians with</w:t>
      </w:r>
      <w:r>
        <w:t xml:space="preserve"> </w:t>
      </w:r>
      <w:r>
        <w:t xml:space="preserve">the support of learned societies.</w:t>
      </w:r>
      <w:r>
        <w:br/>
      </w:r>
      <w:r>
        <w:t xml:space="preserve">M4.8: EU law obligates BE/TEs to conduct risk assessments on</w:t>
      </w:r>
      <w:r>
        <w:t xml:space="preserve"> </w:t>
      </w:r>
      <w:r>
        <w:t xml:space="preserve">novel processes. These are evaluated by the competent</w:t>
      </w:r>
      <w:r>
        <w:t xml:space="preserve"> </w:t>
      </w:r>
      <w:r>
        <w:t xml:space="preserve">authority inspectors.</w:t>
      </w:r>
    </w:p>
    <w:p>
      <w:pPr>
        <w:pStyle w:val="BodyText"/>
      </w:pPr>
      <w:r>
        <w:t xml:space="preserve">M4.9: EU law requires establishments to</w:t>
      </w:r>
      <w:r>
        <w:t xml:space="preserve"> </w:t>
      </w:r>
      <w:r>
        <w:t xml:space="preserve">conduct risk assessments on novel processes.</w:t>
      </w:r>
      <w:r>
        <w:t xml:space="preserve"> </w:t>
      </w:r>
      <w:r>
        <w:t xml:space="preserve">These are evaluated by the competent</w:t>
      </w:r>
      <w:r>
        <w:t xml:space="preserve"> </w:t>
      </w:r>
      <w:r>
        <w:t xml:space="preserve">authority inspectors.</w:t>
      </w:r>
      <w:r>
        <w:br/>
      </w:r>
      <w:r>
        <w:t xml:space="preserve">M4.9: EU law obligates BE/TEs to design the risk assessments</w:t>
      </w:r>
      <w:r>
        <w:t xml:space="preserve"> </w:t>
      </w:r>
      <w:r>
        <w:t xml:space="preserve">on novel processes following inter/national or standards from</w:t>
      </w:r>
      <w:r>
        <w:t xml:space="preserve"> </w:t>
      </w:r>
      <w:r>
        <w:t xml:space="preserve">other bodies.</w:t>
      </w:r>
    </w:p>
    <w:p>
      <w:pPr>
        <w:pStyle w:val="BodyText"/>
      </w:pPr>
      <w:r>
        <w:t xml:space="preserve">OR M4.10: EU law obligates BE/TEs to conduct risk</w:t>
      </w:r>
      <w:r>
        <w:t xml:space="preserve"> </w:t>
      </w:r>
      <w:r>
        <w:t xml:space="preserve">assessments on novel processes in compliance with technical</w:t>
      </w:r>
      <w:r>
        <w:t xml:space="preserve"> </w:t>
      </w:r>
      <w:r>
        <w:t xml:space="preserve">guidance from expert bodies as referred to in EU legislation</w:t>
      </w:r>
    </w:p>
    <w:p>
      <w:pPr>
        <w:pStyle w:val="BodyText"/>
      </w:pPr>
      <w:r>
        <w:t xml:space="preserve">OR M4.11: EU law obligates BE/TEs to conduct risk</w:t>
      </w:r>
      <w:r>
        <w:t xml:space="preserve"> </w:t>
      </w:r>
      <w:r>
        <w:t xml:space="preserve">assessments on novel processes in compliance with technical</w:t>
      </w:r>
      <w:r>
        <w:t xml:space="preserve"> </w:t>
      </w:r>
      <w:r>
        <w:t xml:space="preserve">rules set in EU legislation</w:t>
      </w:r>
    </w:p>
    <w:p>
      <w:pPr>
        <w:pStyle w:val="BodyText"/>
      </w:pPr>
      <w:r>
        <w:t xml:space="preserve">M4.10: EU law requires establishments to</w:t>
      </w:r>
      <w:r>
        <w:t xml:space="preserve"> </w:t>
      </w:r>
      <w:r>
        <w:t xml:space="preserve">design the risk assessments on novel</w:t>
      </w:r>
      <w:r>
        <w:t xml:space="preserve"> </w:t>
      </w:r>
      <w:r>
        <w:t xml:space="preserve">processes. Establishments could follow</w:t>
      </w:r>
      <w:r>
        <w:t xml:space="preserve"> </w:t>
      </w:r>
      <w:r>
        <w:t xml:space="preserve">inter/national or standards from other bodies.</w:t>
      </w:r>
    </w:p>
    <w:p>
      <w:pPr>
        <w:pStyle w:val="BodyText"/>
      </w:pPr>
      <w:r>
        <w:t xml:space="preserve">OR M4.11: EU law requires establishments to</w:t>
      </w:r>
      <w:r>
        <w:t xml:space="preserve"> </w:t>
      </w:r>
      <w:r>
        <w:t xml:space="preserve">conduct risk assessments on novel processes</w:t>
      </w:r>
      <w:r>
        <w:t xml:space="preserve"> </w:t>
      </w:r>
      <w:r>
        <w:t xml:space="preserve">in compliance with technical guidance from</w:t>
      </w:r>
      <w:r>
        <w:t xml:space="preserve"> </w:t>
      </w:r>
      <w:r>
        <w:t xml:space="preserve">expert bodies as referred to in EU legislation.</w:t>
      </w:r>
    </w:p>
    <w:p>
      <w:pPr>
        <w:pStyle w:val="BodyText"/>
      </w:pPr>
      <w:r>
        <w:t xml:space="preserve">OR M4.12: EU law requires establishments to</w:t>
      </w:r>
      <w:r>
        <w:t xml:space="preserve"> </w:t>
      </w:r>
      <w:r>
        <w:t xml:space="preserve">conduct risk assessments on novel processes</w:t>
      </w:r>
      <w:r>
        <w:t xml:space="preserve"> </w:t>
      </w:r>
      <w:r>
        <w:t xml:space="preserve">in compliance with technical rules set in EU</w:t>
      </w:r>
      <w:r>
        <w:t xml:space="preserve"> </w:t>
      </w:r>
      <w:r>
        <w:t xml:space="preserve">legislation.</w:t>
      </w:r>
      <w:r>
        <w:t xml:space="preserve"> </w:t>
      </w:r>
      <w:r>
        <w:t xml:space="preserve">Supply</w:t>
      </w:r>
      <w:r>
        <w:t xml:space="preserve"> </w:t>
      </w:r>
      <w:r>
        <w:t xml:space="preserve">monitoring</w:t>
      </w:r>
      <w:r>
        <w:br/>
      </w:r>
      <w:r>
        <w:t xml:space="preserve">M5A – introduce supply monitoring and</w:t>
      </w:r>
      <w:r>
        <w:t xml:space="preserve"> </w:t>
      </w:r>
      <w:r>
        <w:t xml:space="preserve">notification rules</w:t>
      </w:r>
      <w:r>
        <w:t xml:space="preserve"> </w:t>
      </w:r>
      <w:r>
        <w:t xml:space="preserve">(common to all policy options)</w:t>
      </w:r>
      <w:r>
        <w:t xml:space="preserve"> </w:t>
      </w:r>
      <w:r>
        <w:t xml:space="preserve">M5.1: EU law is amended to impose mandatory monitoring</w:t>
      </w:r>
      <w:r>
        <w:t xml:space="preserve"> </w:t>
      </w:r>
      <w:r>
        <w:t xml:space="preserve">obligations on blood and tissue establishment, including</w:t>
      </w:r>
      <w:r>
        <w:t xml:space="preserve"> </w:t>
      </w:r>
      <w:r>
        <w:t xml:space="preserve">activity report, export, imports and supplies, linked to existing</w:t>
      </w:r>
      <w:r>
        <w:t xml:space="preserve"> </w:t>
      </w:r>
      <w:r>
        <w:t xml:space="preserve">reports, such as SARE, as well as notifications.</w:t>
      </w:r>
      <w:r>
        <w:t xml:space="preserve"> </w:t>
      </w:r>
      <w:r>
        <w:t xml:space="preserve">M5.1: EU law is amended to impose</w:t>
      </w:r>
      <w:r>
        <w:t xml:space="preserve"> </w:t>
      </w:r>
      <w:r>
        <w:t xml:space="preserve">mandatory monitoring obligations (activity</w:t>
      </w:r>
      <w:r>
        <w:t xml:space="preserve"> </w:t>
      </w:r>
      <w:r>
        <w:t xml:space="preserve">data reporting) on blood and tissue</w:t>
      </w:r>
      <w:r>
        <w:t xml:space="preserve"> </w:t>
      </w:r>
      <w:r>
        <w:t xml:space="preserve">establishments.</w:t>
      </w:r>
    </w:p>
    <w:p>
      <w:pPr>
        <w:pStyle w:val="BodyText"/>
      </w:pPr>
      <w:r>
        <w:t xml:space="preserve">328</w:t>
      </w:r>
    </w:p>
    <w:p>
      <w:pPr>
        <w:pStyle w:val="BodyText"/>
      </w:pPr>
      <w:r>
        <w:t xml:space="preserve">M5.2: EU law is amended to require mandatory notification of</w:t>
      </w:r>
      <w:r>
        <w:t xml:space="preserve"> </w:t>
      </w:r>
      <w:r>
        <w:t xml:space="preserve">sufficiency data for certain critical BTC in case of</w:t>
      </w:r>
      <w:r>
        <w:t xml:space="preserve"> </w:t>
      </w:r>
      <w:r>
        <w:t xml:space="preserve">shortage/drop in supply (rapid notifications)</w:t>
      </w:r>
      <w:r>
        <w:t xml:space="preserve"> </w:t>
      </w:r>
      <w:r>
        <w:t xml:space="preserve">M5.2: EU law is amended to require</w:t>
      </w:r>
      <w:r>
        <w:t xml:space="preserve"> </w:t>
      </w:r>
      <w:r>
        <w:t xml:space="preserve">mandatory notification of sufficiency data for</w:t>
      </w:r>
      <w:r>
        <w:t xml:space="preserve"> </w:t>
      </w:r>
      <w:r>
        <w:t xml:space="preserve">critical BTC in case of shortage/drop in supply</w:t>
      </w:r>
      <w:r>
        <w:t xml:space="preserve"> </w:t>
      </w:r>
      <w:r>
        <w:t xml:space="preserve">(rapid notifications) by blood and tissue</w:t>
      </w:r>
      <w:r>
        <w:t xml:space="preserve"> </w:t>
      </w:r>
      <w:r>
        <w:t xml:space="preserve">establishments to their national competent</w:t>
      </w:r>
      <w:r>
        <w:t xml:space="preserve"> </w:t>
      </w:r>
      <w:r>
        <w:t xml:space="preserve">authorities (and from those to the</w:t>
      </w:r>
      <w:r>
        <w:t xml:space="preserve"> </w:t>
      </w:r>
      <w:r>
        <w:t xml:space="preserve">Commission).</w:t>
      </w:r>
      <w:r>
        <w:t xml:space="preserve"> </w:t>
      </w:r>
      <w:r>
        <w:t xml:space="preserve">M5.3: EU law is amended to require mandatory emergency</w:t>
      </w:r>
      <w:r>
        <w:t xml:space="preserve"> </w:t>
      </w:r>
      <w:r>
        <w:t xml:space="preserve">plans, for critical BTC, at the level of the blood and tissue</w:t>
      </w:r>
      <w:r>
        <w:t xml:space="preserve"> </w:t>
      </w:r>
      <w:r>
        <w:t xml:space="preserve">establishments, and national competent authorities.</w:t>
      </w:r>
      <w:r>
        <w:t xml:space="preserve"> </w:t>
      </w:r>
      <w:r>
        <w:t xml:space="preserve">M5.3: EU law is amended to require</w:t>
      </w:r>
      <w:r>
        <w:t xml:space="preserve"> </w:t>
      </w:r>
      <w:r>
        <w:t xml:space="preserve">mandatory emergency plans, for critical BTC,</w:t>
      </w:r>
      <w:r>
        <w:t xml:space="preserve"> </w:t>
      </w:r>
      <w:r>
        <w:t xml:space="preserve">at the level of the blood and tissue</w:t>
      </w:r>
      <w:r>
        <w:t xml:space="preserve"> </w:t>
      </w:r>
      <w:r>
        <w:t xml:space="preserve">establishments, and national competent</w:t>
      </w:r>
      <w:r>
        <w:t xml:space="preserve"> </w:t>
      </w:r>
      <w:r>
        <w:t xml:space="preserve">authorities.</w:t>
      </w:r>
      <w:r>
        <w:t xml:space="preserve"> </w:t>
      </w:r>
      <w:r>
        <w:t xml:space="preserve">M5.4: The European Commission will develop the relevant</w:t>
      </w:r>
      <w:r>
        <w:t xml:space="preserve"> </w:t>
      </w:r>
      <w:r>
        <w:t xml:space="preserve">component of the (IT) platform for exchange of information</w:t>
      </w:r>
      <w:r>
        <w:t xml:space="preserve"> </w:t>
      </w:r>
      <w:r>
        <w:t xml:space="preserve">on supply and activity.</w:t>
      </w:r>
      <w:r>
        <w:br/>
      </w:r>
      <w:r>
        <w:t xml:space="preserve">M5.4: The European Commission will develop</w:t>
      </w:r>
      <w:r>
        <w:t xml:space="preserve"> </w:t>
      </w:r>
      <w:r>
        <w:t xml:space="preserve">the relevant component of the IT platform for</w:t>
      </w:r>
      <w:r>
        <w:t xml:space="preserve"> </w:t>
      </w:r>
      <w:r>
        <w:t xml:space="preserve">exchange of information on supply and</w:t>
      </w:r>
      <w:r>
        <w:t xml:space="preserve"> </w:t>
      </w:r>
      <w:r>
        <w:t xml:space="preserve">activity.</w:t>
      </w:r>
    </w:p>
    <w:p>
      <w:pPr>
        <w:pStyle w:val="BodyText"/>
      </w:pPr>
      <w:r>
        <w:t xml:space="preserve">M5.5: Provisions in EU legislation to strengthen Member</w:t>
      </w:r>
      <w:r>
        <w:t xml:space="preserve"> </w:t>
      </w:r>
      <w:r>
        <w:t xml:space="preserve">States ability to intervene to control and adjust supply, as</w:t>
      </w:r>
      <w:r>
        <w:t xml:space="preserve"> </w:t>
      </w:r>
      <w:r>
        <w:t xml:space="preserve">necessary, under their national competence, and allow</w:t>
      </w:r>
      <w:r>
        <w:t xml:space="preserve"> </w:t>
      </w:r>
      <w:r>
        <w:t xml:space="preserve">evidence-based support action at EU level.</w:t>
      </w:r>
      <w:r>
        <w:t xml:space="preserve"> </w:t>
      </w:r>
      <w:r>
        <w:t xml:space="preserve">M5.5: EU law is amended to strengthen MS</w:t>
      </w:r>
      <w:r>
        <w:t xml:space="preserve"> </w:t>
      </w:r>
      <w:r>
        <w:t xml:space="preserve">ability to intervene to control and adjust</w:t>
      </w:r>
      <w:r>
        <w:t xml:space="preserve"> </w:t>
      </w:r>
      <w:r>
        <w:t xml:space="preserve">supply, as necessary, under their national</w:t>
      </w:r>
      <w:r>
        <w:t xml:space="preserve"> </w:t>
      </w:r>
      <w:r>
        <w:t xml:space="preserve">competence, and allow evidence-based</w:t>
      </w:r>
      <w:r>
        <w:t xml:space="preserve"> </w:t>
      </w:r>
      <w:r>
        <w:t xml:space="preserve">support action at EU level.</w:t>
      </w:r>
    </w:p>
    <w:p>
      <w:pPr>
        <w:pStyle w:val="BodyText"/>
      </w:pPr>
      <w:r>
        <w:t xml:space="preserve">M5B – Require emergency</w:t>
      </w:r>
      <w:r>
        <w:t xml:space="preserve"> </w:t>
      </w:r>
      <w:r>
        <w:t xml:space="preserve">preparedness plans with guidance</w:t>
      </w:r>
      <w:r>
        <w:t xml:space="preserve"> </w:t>
      </w:r>
      <w:r>
        <w:t xml:space="preserve">(differs by policy option)</w:t>
      </w:r>
      <w:r>
        <w:t xml:space="preserve"> </w:t>
      </w:r>
      <w:r>
        <w:t xml:space="preserve">M5.6: EU law is amended to obligate BE/TEs to develop</w:t>
      </w:r>
      <w:r>
        <w:t xml:space="preserve"> </w:t>
      </w:r>
      <w:r>
        <w:t xml:space="preserve">monitoring and notification systems and contingency</w:t>
      </w:r>
      <w:r>
        <w:t xml:space="preserve"> </w:t>
      </w:r>
      <w:r>
        <w:t xml:space="preserve">plans. These will be reviewed for adequacy by the</w:t>
      </w:r>
      <w:r>
        <w:t xml:space="preserve"> </w:t>
      </w:r>
      <w:r>
        <w:t xml:space="preserve">authority during inspection.</w:t>
      </w:r>
    </w:p>
    <w:p>
      <w:pPr>
        <w:pStyle w:val="BodyText"/>
      </w:pPr>
      <w:r>
        <w:t xml:space="preserve">OR M5.7: EU law is amended with references to guidance</w:t>
      </w:r>
      <w:r>
        <w:t xml:space="preserve"> </w:t>
      </w:r>
      <w:r>
        <w:t xml:space="preserve">from expert bodies for rules on sufficiency data reporting</w:t>
      </w:r>
      <w:r>
        <w:t xml:space="preserve"> </w:t>
      </w:r>
      <w:r>
        <w:t xml:space="preserve">(including monitoring and notifications) and on emergency</w:t>
      </w:r>
      <w:r>
        <w:t xml:space="preserve"> </w:t>
      </w:r>
      <w:r>
        <w:t xml:space="preserve">M5.6: EU law is amended to obligate BE/TEs to</w:t>
      </w:r>
      <w:r>
        <w:t xml:space="preserve"> </w:t>
      </w:r>
      <w:r>
        <w:t xml:space="preserve">develop monitoring and notification systems and</w:t>
      </w:r>
      <w:r>
        <w:t xml:space="preserve"> </w:t>
      </w:r>
      <w:r>
        <w:t xml:space="preserve">contingency plans. These will be reviewed for</w:t>
      </w:r>
      <w:r>
        <w:t xml:space="preserve"> </w:t>
      </w:r>
      <w:r>
        <w:t xml:space="preserve">adequacy by the authority during inspection.</w:t>
      </w:r>
    </w:p>
    <w:p>
      <w:pPr>
        <w:pStyle w:val="BodyText"/>
      </w:pPr>
      <w:r>
        <w:t xml:space="preserve">OR M5.7: EU law is amended with references to</w:t>
      </w:r>
      <w:r>
        <w:t xml:space="preserve"> </w:t>
      </w:r>
      <w:r>
        <w:t xml:space="preserve">guidance from expert bodies for rules on</w:t>
      </w:r>
      <w:r>
        <w:t xml:space="preserve"> </w:t>
      </w:r>
      <w:r>
        <w:t xml:space="preserve">sufficiency data reporting (including monitoring</w:t>
      </w:r>
    </w:p>
    <w:p>
      <w:pPr>
        <w:pStyle w:val="BodyText"/>
      </w:pPr>
      <w:r>
        <w:t xml:space="preserve">329</w:t>
      </w:r>
    </w:p>
    <w:p>
      <w:pPr>
        <w:pStyle w:val="BodyText"/>
      </w:pPr>
      <w:r>
        <w:t xml:space="preserve">preparedness/contingency.</w:t>
      </w:r>
    </w:p>
    <w:p>
      <w:pPr>
        <w:pStyle w:val="BodyText"/>
      </w:pPr>
      <w:r>
        <w:t xml:space="preserve">OR M5.8: EU law is amended to include rules on</w:t>
      </w:r>
      <w:r>
        <w:t xml:space="preserve"> </w:t>
      </w:r>
      <w:r>
        <w:t xml:space="preserve">sufficiency data reporting (including monitoring and</w:t>
      </w:r>
      <w:r>
        <w:t xml:space="preserve"> </w:t>
      </w:r>
      <w:r>
        <w:t xml:space="preserve">notifications) and on emergency preparedness</w:t>
      </w:r>
      <w:r>
        <w:t xml:space="preserve"> </w:t>
      </w:r>
      <w:r>
        <w:t xml:space="preserve">and notifications) and on emergency</w:t>
      </w:r>
      <w:r>
        <w:t xml:space="preserve"> </w:t>
      </w:r>
      <w:r>
        <w:t xml:space="preserve">preparedness/contingency.</w:t>
      </w:r>
    </w:p>
    <w:p>
      <w:pPr>
        <w:pStyle w:val="BodyText"/>
      </w:pPr>
      <w:r>
        <w:t xml:space="preserve">OR M5.8: EU law is amended to include rules on</w:t>
      </w:r>
      <w:r>
        <w:t xml:space="preserve"> </w:t>
      </w:r>
      <w:r>
        <w:t xml:space="preserve">sufficiency data reporting (incl. monitoring and</w:t>
      </w:r>
      <w:r>
        <w:t xml:space="preserve"> </w:t>
      </w:r>
      <w:r>
        <w:t xml:space="preserve">notifications) and on emergency preparedness</w:t>
      </w:r>
      <w:r>
        <w:t xml:space="preserve"> </w:t>
      </w:r>
      <w:r>
        <w:t xml:space="preserve">Table 16.3: grouping of measures</w:t>
      </w:r>
    </w:p>
    <w:p>
      <w:pPr>
        <w:pStyle w:val="BodyText"/>
      </w:pPr>
      <w:r>
        <w:t xml:space="preserve">330</w:t>
      </w:r>
    </w:p>
    <w:p>
      <w:pPr>
        <w:pStyle w:val="BodyText"/>
      </w:pPr>
      <w:r>
        <w:t xml:space="preserve">Objective 1: Ensure safety and quality for patients treated with BTC therapies and fully protect them from risks linked to BTC.</w:t>
      </w:r>
      <w:r>
        <w:t xml:space="preserve"> </w:t>
      </w:r>
      <w:r>
        <w:t xml:space="preserve">The measures proposed under Objective 1 aim to increase patient protection from avoidable risks, by keeping technical rules for safety and quality up to date.</w:t>
      </w:r>
      <w:r>
        <w:br/>
      </w:r>
      <w:r>
        <w:t xml:space="preserve">The options share many of the same components but differ in where the rules (which blood and tissue establishments need to follow when preparing their</w:t>
      </w:r>
      <w:r>
        <w:t xml:space="preserve"> </w:t>
      </w:r>
      <w:r>
        <w:t xml:space="preserve">risk assessments) are defined. The scope of European law on BTC is changed to fill in gaps and cover other substances of human origin Quality and safety</w:t>
      </w:r>
      <w:r>
        <w:t xml:space="preserve"> </w:t>
      </w:r>
      <w:r>
        <w:t xml:space="preserve">principles are set into the new law. Depending on the option, blood and tissue establishments have freedom to use available guidance from a much wider</w:t>
      </w:r>
      <w:r>
        <w:t xml:space="preserve"> </w:t>
      </w:r>
      <w:r>
        <w:t xml:space="preserve">range of sources when conduction risk assessments of their own activities with a view to setting their internal technical standards (option 1), or they have to</w:t>
      </w:r>
      <w:r>
        <w:t xml:space="preserve"> </w:t>
      </w:r>
      <w:r>
        <w:t xml:space="preserve">follow guidance provided by EU expert bodies (Option 2), or they have to follow rules set in EU law. Under all Options, the Commission will build an IT</w:t>
      </w:r>
      <w:r>
        <w:t xml:space="preserve"> </w:t>
      </w:r>
      <w:r>
        <w:t xml:space="preserve">platform to share safety/quality information. Under Options 2 and 3, Member States are required to publish more stringent national rules in an accessible</w:t>
      </w:r>
      <w:r>
        <w:t xml:space="preserve"> </w:t>
      </w:r>
      <w:r>
        <w:t xml:space="preserve">format.</w:t>
      </w:r>
      <w:r>
        <w:t xml:space="preserve"> </w:t>
      </w:r>
      <w:r>
        <w:t xml:space="preserve">Measures</w:t>
      </w:r>
      <w:r>
        <w:t xml:space="preserve"> </w:t>
      </w:r>
      <w:r>
        <w:t xml:space="preserve">1. Decentralised</w:t>
      </w:r>
      <w:r>
        <w:t xml:space="preserve"> </w:t>
      </w:r>
      <w:r>
        <w:t xml:space="preserve">regulation</w:t>
      </w:r>
      <w:r>
        <w:t xml:space="preserve"> </w:t>
      </w:r>
      <w:r>
        <w:t xml:space="preserve">2.</w:t>
      </w:r>
      <w:r>
        <w:t xml:space="preserve"> </w:t>
      </w:r>
      <w:r>
        <w:t xml:space="preserve">Joint</w:t>
      </w:r>
      <w:r>
        <w:t xml:space="preserve"> </w:t>
      </w:r>
      <w:r>
        <w:t xml:space="preserve">regulation</w:t>
      </w:r>
      <w:r>
        <w:t xml:space="preserve"> </w:t>
      </w:r>
      <w:r>
        <w:t xml:space="preserve">3.</w:t>
      </w:r>
      <w:r>
        <w:t xml:space="preserve"> </w:t>
      </w:r>
      <w:r>
        <w:t xml:space="preserve">Central</w:t>
      </w:r>
      <w:r>
        <w:t xml:space="preserve"> </w:t>
      </w:r>
      <w:r>
        <w:t xml:space="preserve">Regulation</w:t>
      </w:r>
      <w:r>
        <w:t xml:space="preserve"> </w:t>
      </w:r>
      <w:r>
        <w:t xml:space="preserve">M1.1 Principles for safety and quality principles in EU law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M1.2 EU law is changed so that all SOHO/BTC for which the EU has legal competence are covered by</w:t>
      </w:r>
      <w:r>
        <w:t xml:space="preserve"> </w:t>
      </w:r>
      <w:r>
        <w:t xml:space="preserve">EU safety and quality rules (bringing breast milk, faecal microbial transplants, etc. under EU law)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M1.3 Member States are required to publish more stringent BTC rules in an accessible format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M1.4 The European Commission builds an IT platform that provides information on quality and safety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M1.5 National competent authority inspectors have to evaluate blood and tissue establishments’ risk</w:t>
      </w:r>
      <w:r>
        <w:t xml:space="preserve"> </w:t>
      </w:r>
      <w:r>
        <w:t xml:space="preserve">assessments to ensure that they have been conducted effectively and that the rules set adequately</w:t>
      </w:r>
      <w:r>
        <w:t xml:space="preserve"> </w:t>
      </w:r>
      <w:r>
        <w:t xml:space="preserve">manage the identified risks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M1.6 Blood and tissue establishments are required to assess the risks associated with their procedures, and</w:t>
      </w:r>
      <w:r>
        <w:t xml:space="preserve"> </w:t>
      </w:r>
      <w:r>
        <w:t xml:space="preserve">to set technical rules for safety and quality, compliant with the principles defined in EU law. They</w:t>
      </w:r>
      <w:r>
        <w:t xml:space="preserve"> </w:t>
      </w:r>
      <w:r>
        <w:t xml:space="preserve">must base the rules on risk assessment and scientific evidence, and update whenever the need arises.</w:t>
      </w:r>
      <w:r>
        <w:t xml:space="preserve"> </w:t>
      </w:r>
      <w:r>
        <w:t xml:space="preserve">They can follow inter/national guidance or standards from other bodies in setting their rules.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M1.7 Blood and tissue establishments are required to follow ECDC/EDQM technical rules on quality &amp;</w:t>
      </w:r>
      <w:r>
        <w:t xml:space="preserve"> </w:t>
      </w:r>
      <w:r>
        <w:t xml:space="preserve">safety requirements. EDQM/ECDC update their guidance as required; MS expert group participates</w:t>
      </w:r>
      <w:r>
        <w:t xml:space="preserve"> </w:t>
      </w:r>
      <w:r>
        <w:t xml:space="preserve">in the EDQM drafting and review process.)</w:t>
      </w:r>
    </w:p>
    <w:p>
      <w:pPr>
        <w:pStyle w:val="BodyText"/>
      </w:pPr>
      <w:r>
        <w:t xml:space="preserve"></w:t>
      </w:r>
    </w:p>
    <w:p>
      <w:pPr>
        <w:pStyle w:val="BodyText"/>
      </w:pPr>
      <w:r>
        <w:t xml:space="preserve">M1.8 Blood and tissue establishments are required to take into account quality and safety requirements</w:t>
      </w:r>
    </w:p>
    <w:p>
      <w:pPr>
        <w:pStyle w:val="BodyText"/>
      </w:pPr>
      <w:r>
        <w:t xml:space="preserve"></w:t>
      </w:r>
    </w:p>
    <w:p>
      <w:pPr>
        <w:pStyle w:val="BodyText"/>
      </w:pPr>
      <w:r>
        <w:t xml:space="preserve">331</w:t>
      </w:r>
    </w:p>
    <w:p>
      <w:pPr>
        <w:pStyle w:val="BodyText"/>
      </w:pPr>
      <w:r>
        <w:t xml:space="preserve">that are defined in EU law. There is a mechanism to provide regular updates in response to changing</w:t>
      </w:r>
      <w:r>
        <w:t xml:space="preserve"> </w:t>
      </w:r>
      <w:r>
        <w:t xml:space="preserve">risks and technologies (using Comitology rules).</w:t>
      </w:r>
      <w:r>
        <w:t xml:space="preserve"> </w:t>
      </w:r>
      <w:r>
        <w:t xml:space="preserve">M1.9 The “same surgical procedure” exclusion for point of care preparations is refined/removed.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Objective 2: Ensure safety and quality for BTC donors and for children born from donated eggs, sperm or embryos</w:t>
      </w:r>
      <w:r>
        <w:br/>
      </w:r>
      <w:r>
        <w:t xml:space="preserve">The measures proposed under Objective 2 are intended to reduce the avoidable risks for BTC donors and for children born from donated eggs, sperm or</w:t>
      </w:r>
      <w:r>
        <w:t xml:space="preserve"> </w:t>
      </w:r>
      <w:r>
        <w:t xml:space="preserve">embryos. The intended outcome is they are protected from the risks that are specific to those groups, including exposure to hormonal treatment for egg and</w:t>
      </w:r>
      <w:r>
        <w:t xml:space="preserve"> </w:t>
      </w:r>
      <w:r>
        <w:t xml:space="preserve">stem cell donation and the risks of genetic disease transmission to children born from assisted reproduction.</w:t>
      </w:r>
      <w:r>
        <w:t xml:space="preserve"> </w:t>
      </w:r>
      <w:r>
        <w:t xml:space="preserve">Measures</w:t>
      </w:r>
      <w:r>
        <w:t xml:space="preserve"> </w:t>
      </w:r>
      <w:r>
        <w:t xml:space="preserve">1. Decentralised</w:t>
      </w:r>
      <w:r>
        <w:t xml:space="preserve"> </w:t>
      </w:r>
      <w:r>
        <w:t xml:space="preserve">regulation</w:t>
      </w:r>
      <w:r>
        <w:t xml:space="preserve"> </w:t>
      </w:r>
      <w:r>
        <w:t xml:space="preserve">2.</w:t>
      </w:r>
      <w:r>
        <w:t xml:space="preserve"> </w:t>
      </w:r>
      <w:r>
        <w:t xml:space="preserve">Joint</w:t>
      </w:r>
      <w:r>
        <w:t xml:space="preserve"> </w:t>
      </w:r>
      <w:r>
        <w:t xml:space="preserve">regulation</w:t>
      </w:r>
      <w:r>
        <w:t xml:space="preserve"> </w:t>
      </w:r>
      <w:r>
        <w:t xml:space="preserve">3.</w:t>
      </w:r>
      <w:r>
        <w:t xml:space="preserve"> </w:t>
      </w:r>
      <w:r>
        <w:t xml:space="preserve">Central</w:t>
      </w:r>
      <w:r>
        <w:t xml:space="preserve"> </w:t>
      </w:r>
      <w:r>
        <w:t xml:space="preserve">Regulation</w:t>
      </w:r>
      <w:r>
        <w:t xml:space="preserve"> </w:t>
      </w:r>
      <w:r>
        <w:t xml:space="preserve">M2.1 EU law incorporates high level principles to protect BTC donors, including reporting measures</w:t>
      </w:r>
      <w:r>
        <w:t xml:space="preserve"> </w:t>
      </w:r>
      <w:r>
        <w:t xml:space="preserve">(SARE/monitoring outcome), also self-reporting of adverse events by donors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M2.2 EU law incorporates high level principles to protect offspring born from donated gametes/embryos,</w:t>
      </w:r>
      <w:r>
        <w:t xml:space="preserve"> </w:t>
      </w:r>
      <w:r>
        <w:t xml:space="preserve">including reporting measures (SARE/monitoring outcome).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M2.3 EU law incorporates new definitions (e.g. to include genetic disease transmission by medically</w:t>
      </w:r>
      <w:r>
        <w:t xml:space="preserve"> </w:t>
      </w:r>
      <w:r>
        <w:t xml:space="preserve">assisted reproduction using donor gametes or embryos as an ‘adverse reaction’)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M2.4 The European Commission will develop the relevant component of an IT platform for quality and</w:t>
      </w:r>
      <w:r>
        <w:t xml:space="preserve"> </w:t>
      </w:r>
      <w:r>
        <w:t xml:space="preserve">safety requirements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M2.5 EU law requires establishments to define detailed quality &amp; safety requirements to protect donors</w:t>
      </w:r>
      <w:r>
        <w:t xml:space="preserve"> </w:t>
      </w:r>
      <w:r>
        <w:t xml:space="preserve">and protect children born from donated gametes or embryos</w:t>
      </w:r>
      <w:r>
        <w:br/>
      </w:r>
      <w:r>
        <w:t xml:space="preserve"></w:t>
      </w:r>
    </w:p>
    <w:p>
      <w:pPr>
        <w:pStyle w:val="BodyText"/>
      </w:pPr>
      <w:r>
        <w:t xml:space="preserve">M2.6 EU law requires expert bodies to define detailed quality &amp; safety requirements for donors and</w:t>
      </w:r>
      <w:r>
        <w:t xml:space="preserve"> </w:t>
      </w:r>
      <w:r>
        <w:t xml:space="preserve">offspring of medically assisted reproduction, and requires establishments to follow the rules issued</w:t>
      </w:r>
      <w:r>
        <w:t xml:space="preserve"> </w:t>
      </w:r>
      <w:r>
        <w:t xml:space="preserve">by the expert bodies.</w:t>
      </w:r>
    </w:p>
    <w:p>
      <w:pPr>
        <w:pStyle w:val="BodyText"/>
      </w:pPr>
      <w:r>
        <w:t xml:space="preserve"></w:t>
      </w:r>
    </w:p>
    <w:p>
      <w:pPr>
        <w:pStyle w:val="BodyText"/>
      </w:pPr>
      <w:r>
        <w:t xml:space="preserve">M2.7 EU law incorporates quality and safety requirements for donors and offspring of medically assisted</w:t>
      </w:r>
      <w:r>
        <w:t xml:space="preserve"> </w:t>
      </w:r>
      <w:r>
        <w:t xml:space="preserve">reproduction, and a mechanism to update these as needed</w:t>
      </w:r>
    </w:p>
    <w:p>
      <w:pPr>
        <w:pStyle w:val="BodyText"/>
      </w:pPr>
      <w:r>
        <w:t xml:space="preserve"></w:t>
      </w:r>
    </w:p>
    <w:p>
      <w:pPr>
        <w:pStyle w:val="BodyText"/>
      </w:pPr>
      <w:r>
        <w:t xml:space="preserve">332</w:t>
      </w:r>
    </w:p>
    <w:p>
      <w:pPr>
        <w:pStyle w:val="BodyText"/>
      </w:pPr>
      <w:r>
        <w:t xml:space="preserve">Objective 3: Strengthen and allow for harmonisation of oversight practices among Member States</w:t>
      </w:r>
      <w:r>
        <w:t xml:space="preserve"> </w:t>
      </w:r>
      <w:r>
        <w:t xml:space="preserve">There is a single package, built up from six distinct measures that are together intended to tackle the problem of divergent approaches to oversight. These</w:t>
      </w:r>
      <w:r>
        <w:t xml:space="preserve"> </w:t>
      </w:r>
      <w:r>
        <w:t xml:space="preserve">measures are expected to lead to the strengthening and harmonisation of oversight among Member States and ensure trusted, effective and independent</w:t>
      </w:r>
      <w:r>
        <w:t xml:space="preserve"> </w:t>
      </w:r>
      <w:r>
        <w:t xml:space="preserve">oversight of BTC activities. They should help to secure equal protection of citizens, and facilitation of exchange of BTC among MS.</w:t>
      </w:r>
      <w:r>
        <w:t xml:space="preserve"> </w:t>
      </w:r>
      <w:r>
        <w:t xml:space="preserve">Measures</w:t>
      </w:r>
      <w:r>
        <w:t xml:space="preserve"> </w:t>
      </w:r>
      <w:r>
        <w:t xml:space="preserve">Options 1-2-3</w:t>
      </w:r>
      <w:r>
        <w:t xml:space="preserve"> </w:t>
      </w:r>
      <w:r>
        <w:t xml:space="preserve">M3.1 EU law incorporates oversight principles for the NCA and for staff</w:t>
      </w:r>
      <w:r>
        <w:br/>
      </w:r>
      <w:r>
        <w:t xml:space="preserve"></w:t>
      </w:r>
      <w:r>
        <w:t xml:space="preserve"> </w:t>
      </w:r>
      <w:r>
        <w:t xml:space="preserve">M3.2 EU law requires competent authorities to base their inspection regimes on a risk-based approach</w:t>
      </w:r>
      <w:r>
        <w:t xml:space="preserve"> </w:t>
      </w:r>
      <w:r>
        <w:t xml:space="preserve"></w:t>
      </w:r>
      <w:r>
        <w:t xml:space="preserve"> </w:t>
      </w:r>
      <w:r>
        <w:t xml:space="preserve">M3.3 The European Commission will develop and maintain common guidance on oversight</w:t>
      </w:r>
      <w:r>
        <w:br/>
      </w:r>
      <w:r>
        <w:t xml:space="preserve"></w:t>
      </w:r>
      <w:r>
        <w:t xml:space="preserve"> </w:t>
      </w:r>
      <w:r>
        <w:t xml:space="preserve">M3.4 Commission audits of national control systems, accompanied by MS experts</w:t>
      </w:r>
      <w:r>
        <w:t xml:space="preserve"> </w:t>
      </w:r>
      <w:r>
        <w:t xml:space="preserve"></w:t>
      </w:r>
      <w:r>
        <w:t xml:space="preserve"> </w:t>
      </w:r>
      <w:r>
        <w:t xml:space="preserve">M3.5 EU law is amended to implement a legal framework for Joint Member State inspections of blood and</w:t>
      </w:r>
      <w:r>
        <w:t xml:space="preserve"> </w:t>
      </w:r>
      <w:r>
        <w:t xml:space="preserve">tissue establishments</w:t>
      </w:r>
      <w:r>
        <w:br/>
      </w:r>
      <w:r>
        <w:t xml:space="preserve"></w:t>
      </w:r>
      <w:r>
        <w:t xml:space="preserve"> </w:t>
      </w:r>
      <w:r>
        <w:t xml:space="preserve">M3.6 The European Commission will develop the relevant component of the IT platform for oversight</w:t>
      </w:r>
      <w:r>
        <w:t xml:space="preserve"> </w:t>
      </w:r>
      <w:r>
        <w:t xml:space="preserve"></w:t>
      </w:r>
      <w:r>
        <w:t xml:space="preserve"> </w:t>
      </w:r>
      <w:r>
        <w:t xml:space="preserve">Objective 4: Ensure the framework is future-proof and facilitates the development of safe and effective innovative BTC therapies</w:t>
      </w:r>
      <w:r>
        <w:t xml:space="preserve"> </w:t>
      </w:r>
      <w:r>
        <w:t xml:space="preserve">The measures proposed under Objective 4 intend to tackle the problem that the scale and pace of innovation in the BTC sector is reduced by features of the</w:t>
      </w:r>
      <w:r>
        <w:t xml:space="preserve"> </w:t>
      </w:r>
      <w:r>
        <w:t xml:space="preserve">existing framework, including insufficient provision for authorisation of novel BTC, insufficient provisions for proof of clinical value of BTC and unclear</w:t>
      </w:r>
      <w:r>
        <w:t xml:space="preserve"> </w:t>
      </w:r>
      <w:r>
        <w:t xml:space="preserve">borderlines between the BTC framework and those for medicinal products, medical devices, etc.. There is no forum that can classify BTC-based therapies and</w:t>
      </w:r>
      <w:r>
        <w:t xml:space="preserve"> </w:t>
      </w:r>
      <w:r>
        <w:t xml:space="preserve">technologies at the interface of other EU legal frameworks. The aim is to facilitate innovation of safe BTC therapies. Most of the Objective 4 measures appear</w:t>
      </w:r>
      <w:r>
        <w:t xml:space="preserve"> </w:t>
      </w:r>
      <w:r>
        <w:t xml:space="preserve">in all options. The options differ in what rules the establishments are required to use when conducting their risk assessments.</w:t>
      </w:r>
      <w:r>
        <w:t xml:space="preserve"> </w:t>
      </w:r>
      <w:r>
        <w:t xml:space="preserve">Measures</w:t>
      </w:r>
      <w:r>
        <w:t xml:space="preserve"> </w:t>
      </w:r>
      <w:r>
        <w:t xml:space="preserve">1.</w:t>
      </w:r>
      <w:r>
        <w:t xml:space="preserve"> </w:t>
      </w:r>
      <w:r>
        <w:t xml:space="preserve">Decentralised</w:t>
      </w:r>
      <w:r>
        <w:t xml:space="preserve"> </w:t>
      </w:r>
      <w:r>
        <w:t xml:space="preserve">regulation</w:t>
      </w:r>
      <w:r>
        <w:t xml:space="preserve"> </w:t>
      </w:r>
      <w:r>
        <w:t xml:space="preserve">2.</w:t>
      </w:r>
      <w:r>
        <w:t xml:space="preserve"> </w:t>
      </w:r>
      <w:r>
        <w:t xml:space="preserve">Joint</w:t>
      </w:r>
      <w:r>
        <w:t xml:space="preserve"> </w:t>
      </w:r>
      <w:r>
        <w:t xml:space="preserve">regulation</w:t>
      </w:r>
      <w:r>
        <w:t xml:space="preserve"> </w:t>
      </w:r>
      <w:r>
        <w:t xml:space="preserve">3. Central</w:t>
      </w:r>
      <w:r>
        <w:t xml:space="preserve"> </w:t>
      </w:r>
      <w:r>
        <w:t xml:space="preserve">Regulation</w:t>
      </w:r>
      <w:r>
        <w:t xml:space="preserve"> </w:t>
      </w:r>
      <w:r>
        <w:t xml:space="preserve">M4.1</w:t>
      </w:r>
      <w:r>
        <w:t xml:space="preserve"> </w:t>
      </w:r>
      <w:r>
        <w:t xml:space="preserve">An EU level advisory mechanism is established to recommend/advise MS on when/what BTC</w:t>
      </w:r>
      <w:r>
        <w:t xml:space="preserve"> </w:t>
      </w:r>
      <w:r>
        <w:t xml:space="preserve">requirements should be applied in part or in full</w:t>
      </w:r>
      <w:r>
        <w:br/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M4.2</w:t>
      </w:r>
      <w:r>
        <w:t xml:space="preserve"> </w:t>
      </w:r>
      <w:r>
        <w:t xml:space="preserve">A</w:t>
      </w:r>
      <w:r>
        <w:t xml:space="preserve"> </w:t>
      </w:r>
      <w:r>
        <w:t xml:space="preserve">mechanism</w:t>
      </w:r>
      <w:r>
        <w:t xml:space="preserve"> </w:t>
      </w:r>
      <w:r>
        <w:t xml:space="preserve">is</w:t>
      </w:r>
      <w:r>
        <w:t xml:space="preserve"> </w:t>
      </w:r>
      <w:r>
        <w:t xml:space="preserve">introduced</w:t>
      </w:r>
      <w:r>
        <w:t xml:space="preserve"> </w:t>
      </w:r>
      <w:r>
        <w:t xml:space="preserve">to</w:t>
      </w:r>
      <w:r>
        <w:t xml:space="preserve"> </w:t>
      </w:r>
      <w:r>
        <w:t xml:space="preserve">prompt</w:t>
      </w:r>
      <w:r>
        <w:t xml:space="preserve"> </w:t>
      </w:r>
      <w:r>
        <w:t xml:space="preserve">regulators</w:t>
      </w:r>
      <w:r>
        <w:t xml:space="preserve"> </w:t>
      </w:r>
      <w:r>
        <w:t xml:space="preserve">of</w:t>
      </w:r>
      <w:r>
        <w:t xml:space="preserve"> </w:t>
      </w:r>
      <w:r>
        <w:t xml:space="preserve">‘adjacent’</w:t>
      </w:r>
      <w:r>
        <w:t xml:space="preserve"> </w:t>
      </w:r>
      <w:r>
        <w:t xml:space="preserve">legal</w:t>
      </w:r>
      <w:r>
        <w:t xml:space="preserve"> </w:t>
      </w:r>
      <w:r>
        <w:t xml:space="preserve">frameworks 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333</w:t>
      </w:r>
    </w:p>
    <w:p>
      <w:pPr>
        <w:pStyle w:val="BodyText"/>
      </w:pPr>
      <w:r>
        <w:t xml:space="preserve">(SOHO/Pharma/Medical Devices) to better coordinate their rules, especially in respect of substances</w:t>
      </w:r>
      <w:r>
        <w:t xml:space="preserve"> </w:t>
      </w:r>
      <w:r>
        <w:t xml:space="preserve">that are regulated under more than one legal framework.</w:t>
      </w:r>
      <w:r>
        <w:t xml:space="preserve"> </w:t>
      </w:r>
      <w:r>
        <w:t xml:space="preserve">M4.3</w:t>
      </w:r>
      <w:r>
        <w:t xml:space="preserve"> </w:t>
      </w:r>
      <w:r>
        <w:t xml:space="preserve">An EU level advisory mechanism will advise where other frameworks (in particular medical devices</w:t>
      </w:r>
      <w:r>
        <w:t xml:space="preserve"> </w:t>
      </w:r>
      <w:r>
        <w:t xml:space="preserve">and medicinal products) might be applied for particular novel BTC. Implementation might involve</w:t>
      </w:r>
      <w:r>
        <w:t xml:space="preserve"> </w:t>
      </w:r>
      <w:r>
        <w:t xml:space="preserve">exchange/mutual consultation with advisory bodies for MP (EMA innovation task force, EMA CAT)</w:t>
      </w:r>
      <w:r>
        <w:t xml:space="preserve"> </w:t>
      </w:r>
      <w:r>
        <w:t xml:space="preserve">and MD frameworks (Borderlines and Classification Working Party).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M4.4</w:t>
      </w:r>
      <w:r>
        <w:t xml:space="preserve"> </w:t>
      </w:r>
      <w:r>
        <w:t xml:space="preserve">EU law sets principles for authorisation procedure (good practice for authorisation procedures</w:t>
      </w:r>
      <w:r>
        <w:t xml:space="preserve"> </w:t>
      </w:r>
      <w:r>
        <w:t xml:space="preserve">including validation of facilities, equipment and processing and clinical data requirement according to</w:t>
      </w:r>
      <w:r>
        <w:t xml:space="preserve"> </w:t>
      </w:r>
      <w:r>
        <w:t xml:space="preserve">level of risk and novelty) to demonstrate safety and efficacy in patients.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M4.5</w:t>
      </w:r>
      <w:r>
        <w:t xml:space="preserve"> </w:t>
      </w:r>
      <w:r>
        <w:t xml:space="preserve">EU law requires that, for major changes in the steps of collection, processing and use of BTC,</w:t>
      </w:r>
      <w:r>
        <w:t xml:space="preserve"> </w:t>
      </w:r>
      <w:r>
        <w:t xml:space="preserve">competent authorities have to grant prior authorisation based on data demonstrating safety and benefit</w:t>
      </w:r>
      <w:r>
        <w:t xml:space="preserve"> </w:t>
      </w:r>
      <w:r>
        <w:t xml:space="preserve">for patients that justifies any risks associated with treatment with BTC prepared in innovative ways.</w:t>
      </w:r>
      <w:r>
        <w:br/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M4.6</w:t>
      </w:r>
      <w:r>
        <w:t xml:space="preserve"> </w:t>
      </w:r>
      <w:r>
        <w:t xml:space="preserve">EU law sets rules for implementing a clinical trial for BTC (if high level of risks).</w:t>
      </w:r>
      <w:r>
        <w:br/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M4.7</w:t>
      </w:r>
      <w:r>
        <w:t xml:space="preserve"> </w:t>
      </w:r>
      <w:r>
        <w:t xml:space="preserve">The European Commission will develop an exchange (IT) platform for competent authorities to</w:t>
      </w:r>
      <w:r>
        <w:t xml:space="preserve"> </w:t>
      </w:r>
      <w:r>
        <w:t xml:space="preserve">exchange info regarding (novel) process authorisations (the platform would be used for (voluntary)</w:t>
      </w:r>
      <w:r>
        <w:t xml:space="preserve"> </w:t>
      </w:r>
      <w:r>
        <w:t xml:space="preserve">acceptance of authorisations among MS). This includes clinical evidence collected by clinicians with</w:t>
      </w:r>
      <w:r>
        <w:t xml:space="preserve"> </w:t>
      </w:r>
      <w:r>
        <w:t xml:space="preserve">the support of learned societies.</w:t>
      </w:r>
      <w:r>
        <w:br/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M4.8</w:t>
      </w:r>
      <w:r>
        <w:t xml:space="preserve"> </w:t>
      </w:r>
      <w:r>
        <w:t xml:space="preserve">EU law requires establishments to conduct risk assessments on novel processes. These are evaluated by</w:t>
      </w:r>
      <w:r>
        <w:t xml:space="preserve"> </w:t>
      </w:r>
      <w:r>
        <w:t xml:space="preserve">the competent authority inspectors.</w:t>
      </w:r>
      <w:r>
        <w:br/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M4.9</w:t>
      </w:r>
      <w:r>
        <w:t xml:space="preserve"> </w:t>
      </w:r>
      <w:r>
        <w:t xml:space="preserve">EU law requires establishments to design the risk assessments on novel processes. Establishments</w:t>
      </w:r>
      <w:r>
        <w:t xml:space="preserve"> </w:t>
      </w:r>
      <w:r>
        <w:t xml:space="preserve">could follow inter/national or standards from other bodies.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M4.10</w:t>
      </w:r>
      <w:r>
        <w:t xml:space="preserve"> </w:t>
      </w:r>
      <w:r>
        <w:t xml:space="preserve">EU law requires establishments to conduct risk assessments on novel processes in compliance with</w:t>
      </w:r>
      <w:r>
        <w:t xml:space="preserve"> </w:t>
      </w:r>
      <w:r>
        <w:t xml:space="preserve">technical guidance from expert bodies as referred to in EU legislation.</w:t>
      </w:r>
    </w:p>
    <w:p>
      <w:pPr>
        <w:pStyle w:val="BodyText"/>
      </w:pPr>
      <w:r>
        <w:t xml:space="preserve"></w:t>
      </w:r>
    </w:p>
    <w:p>
      <w:pPr>
        <w:pStyle w:val="BodyText"/>
      </w:pPr>
      <w:r>
        <w:t xml:space="preserve">M4.11</w:t>
      </w:r>
      <w:r>
        <w:t xml:space="preserve"> </w:t>
      </w:r>
      <w:r>
        <w:t xml:space="preserve">EU law requires establishments to conduct risk assessments on novel processes in compliance with</w:t>
      </w:r>
      <w:r>
        <w:t xml:space="preserve"> </w:t>
      </w:r>
      <w:r>
        <w:t xml:space="preserve">technical rules set in EU legislation.</w:t>
      </w:r>
    </w:p>
    <w:p>
      <w:pPr>
        <w:pStyle w:val="BodyText"/>
      </w:pPr>
      <w:r>
        <w:t xml:space="preserve"></w:t>
      </w:r>
    </w:p>
    <w:p>
      <w:pPr>
        <w:pStyle w:val="BodyText"/>
      </w:pPr>
      <w:r>
        <w:t xml:space="preserve">334</w:t>
      </w:r>
    </w:p>
    <w:p>
      <w:pPr>
        <w:pStyle w:val="BodyText"/>
      </w:pPr>
      <w:r>
        <w:t xml:space="preserve">Objective 5: Improve the resilience of the sector, mitigating risk of shortages.</w:t>
      </w:r>
      <w:r>
        <w:t xml:space="preserve"> </w:t>
      </w:r>
      <w:r>
        <w:t xml:space="preserve">These measures are intended to reduce the risk of shortages due to insufficient or unreliable BTC supply by establishing system to monitor donations and</w:t>
      </w:r>
      <w:r>
        <w:t xml:space="preserve"> </w:t>
      </w:r>
      <w:r>
        <w:t xml:space="preserve">supply and to support pre-emptive and/or corrective action in case of disruptive epidemiological outbreaks, or similar events. There are eight measures, most</w:t>
      </w:r>
      <w:r>
        <w:t xml:space="preserve"> </w:t>
      </w:r>
      <w:r>
        <w:t xml:space="preserve">are common to all options. The options differ in what rules the establishments are required to use for supply monitoring and preparing emergency plans.</w:t>
      </w:r>
      <w:r>
        <w:br/>
      </w:r>
      <w:r>
        <w:t xml:space="preserve">Measures</w:t>
      </w:r>
      <w:r>
        <w:t xml:space="preserve"> </w:t>
      </w:r>
      <w:r>
        <w:t xml:space="preserve">1.</w:t>
      </w:r>
      <w:r>
        <w:t xml:space="preserve"> </w:t>
      </w:r>
      <w:r>
        <w:t xml:space="preserve">Decentralised</w:t>
      </w:r>
      <w:r>
        <w:t xml:space="preserve"> </w:t>
      </w:r>
      <w:r>
        <w:t xml:space="preserve">regulation</w:t>
      </w:r>
      <w:r>
        <w:t xml:space="preserve"> </w:t>
      </w:r>
      <w:r>
        <w:t xml:space="preserve">2.</w:t>
      </w:r>
      <w:r>
        <w:t xml:space="preserve"> </w:t>
      </w:r>
      <w:r>
        <w:t xml:space="preserve">Joint</w:t>
      </w:r>
      <w:r>
        <w:t xml:space="preserve"> </w:t>
      </w:r>
      <w:r>
        <w:t xml:space="preserve">regulation</w:t>
      </w:r>
      <w:r>
        <w:t xml:space="preserve"> </w:t>
      </w:r>
      <w:r>
        <w:t xml:space="preserve">3.</w:t>
      </w:r>
      <w:r>
        <w:t xml:space="preserve"> </w:t>
      </w:r>
      <w:r>
        <w:t xml:space="preserve">Central</w:t>
      </w:r>
      <w:r>
        <w:t xml:space="preserve"> </w:t>
      </w:r>
      <w:r>
        <w:t xml:space="preserve">Regulation</w:t>
      </w:r>
      <w:r>
        <w:t xml:space="preserve"> </w:t>
      </w:r>
      <w:r>
        <w:t xml:space="preserve">M5.1 EU law is amended to impose mandatory monitoring obligations (activity data reporting) on blood and</w:t>
      </w:r>
      <w:r>
        <w:t xml:space="preserve"> </w:t>
      </w:r>
      <w:r>
        <w:t xml:space="preserve">tissue establishments.</w:t>
      </w:r>
      <w:r>
        <w:br/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M5.2 EU law is amended to require mandatory notification of sufficiency data for critical BTC in case of</w:t>
      </w:r>
      <w:r>
        <w:t xml:space="preserve"> </w:t>
      </w:r>
      <w:r>
        <w:t xml:space="preserve">shortage/drop in supply (rapid notifications) by blood and tissue establishments to their national</w:t>
      </w:r>
      <w:r>
        <w:t xml:space="preserve"> </w:t>
      </w:r>
      <w:r>
        <w:t xml:space="preserve">competent authorities (and from those to the Commission).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M5.3 EU law is amended to require mandatory emergency plans, for critical BTC, at the level of the blood</w:t>
      </w:r>
      <w:r>
        <w:t xml:space="preserve"> </w:t>
      </w:r>
      <w:r>
        <w:t xml:space="preserve">and tissue establishments, and national competent authorities.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M5.4 The European Commission will develop the relevant component of the IT platform for exchange of</w:t>
      </w:r>
      <w:r>
        <w:t xml:space="preserve"> </w:t>
      </w:r>
      <w:r>
        <w:t xml:space="preserve">information on supply and activity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M5.5 EU law is amended to strengthen MS ability to intervene to control and adjust supply, as necessary,</w:t>
      </w:r>
      <w:r>
        <w:t xml:space="preserve"> </w:t>
      </w:r>
      <w:r>
        <w:t xml:space="preserve">under their national competence, and allow evidence-based support action at EU level.</w:t>
      </w:r>
      <w:r>
        <w:br/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M5.6 EU law is amended to obligate BE/TEs to develop monitoring and notification systems and contingency</w:t>
      </w:r>
      <w:r>
        <w:t xml:space="preserve"> </w:t>
      </w:r>
      <w:r>
        <w:t xml:space="preserve">plans. These will be reviewed for adequacy by the authority during inspection.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M5.7 EU law is amended with references to guidance from expert bodies for rules on sufficiency data</w:t>
      </w:r>
      <w:r>
        <w:t xml:space="preserve"> </w:t>
      </w:r>
      <w:r>
        <w:t xml:space="preserve">reporting (incl monitoring and notifications) and on emergency preparedness/contingency.</w:t>
      </w:r>
    </w:p>
    <w:p>
      <w:pPr>
        <w:pStyle w:val="BodyText"/>
      </w:pPr>
      <w:r>
        <w:t xml:space="preserve"></w:t>
      </w:r>
    </w:p>
    <w:p>
      <w:pPr>
        <w:pStyle w:val="BodyText"/>
      </w:pPr>
      <w:r>
        <w:t xml:space="preserve">M5.8 EU law is amended to include rules on sufficiency data reporting (incl. monitoring and notifications)</w:t>
      </w:r>
      <w:r>
        <w:t xml:space="preserve"> </w:t>
      </w:r>
      <w:r>
        <w:t xml:space="preserve">and on emergency preparedness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Table 16.4: Details of measures for each objective.</w:t>
      </w:r>
    </w:p>
    <w:p>
      <w:pPr>
        <w:pStyle w:val="BodyText"/>
      </w:pPr>
      <w:r>
        <w:t xml:space="preserve">335</w:t>
      </w:r>
    </w:p>
    <w:p>
      <w:pPr>
        <w:pStyle w:val="BodyText"/>
      </w:pPr>
      <w:r>
        <w:t xml:space="preserve">ANNEX 17: EU MEASURES THAT CAN OFFSET THE COSTS FOR PUBLIC AUTHORITIES AND</w:t>
      </w:r>
      <w:r>
        <w:t xml:space="preserve"> </w:t>
      </w:r>
      <w:r>
        <w:t xml:space="preserve">ESTABLISHMENTS</w:t>
      </w:r>
      <w:r>
        <w:t xml:space="preserve"> </w:t>
      </w:r>
      <w:r>
        <w:t xml:space="preserve">For Member States, technical assistance is foreseen to adjust to the new regulatory</w:t>
      </w:r>
      <w:r>
        <w:t xml:space="preserve"> </w:t>
      </w:r>
      <w:r>
        <w:t xml:space="preserve">requirements (e.g. reporting on more stringent national measures; implementation of</w:t>
      </w:r>
      <w:r>
        <w:t xml:space="preserve"> </w:t>
      </w:r>
      <w:r>
        <w:t xml:space="preserve">authorisation processes) using an established technical assistance instrument. In the EU</w:t>
      </w:r>
      <w:r>
        <w:t xml:space="preserve"> </w:t>
      </w:r>
      <w:r>
        <w:t xml:space="preserve">budget, EUR 9.6 m is foreseen to offset for such one-off costs – this is mainly relevant</w:t>
      </w:r>
      <w:r>
        <w:t xml:space="preserve"> </w:t>
      </w:r>
      <w:r>
        <w:t xml:space="preserve">for MS which do not yet implement some of the proposed measures – typically the</w:t>
      </w:r>
      <w:r>
        <w:t xml:space="preserve"> </w:t>
      </w:r>
      <w:r>
        <w:t xml:space="preserve">smaller ones or Central and Eastern European countries. A continued administrative</w:t>
      </w:r>
      <w:r>
        <w:t xml:space="preserve"> </w:t>
      </w:r>
      <w:r>
        <w:t xml:space="preserve">support of EUR 2.7 m is foreseen for continued support annually (as from 2026).</w:t>
      </w:r>
      <w:r>
        <w:t xml:space="preserve"> </w:t>
      </w:r>
      <w:r>
        <w:t xml:space="preserve">For professionals, financial and technical support is foreseen to facilitate adjustment to</w:t>
      </w:r>
      <w:r>
        <w:t xml:space="preserve"> </w:t>
      </w:r>
      <w:r>
        <w:t xml:space="preserve">the new regulatory requirements, in particular for digitalisation to connect local data</w:t>
      </w:r>
      <w:r>
        <w:t xml:space="preserve"> </w:t>
      </w:r>
      <w:r>
        <w:t xml:space="preserve">systems to the central network to allow automated reporting on SARE, activity data,</w:t>
      </w:r>
      <w:r>
        <w:t xml:space="preserve"> </w:t>
      </w:r>
      <w:r>
        <w:t xml:space="preserve">clinical data on efficacy and supply sufficiency. This adjustment support is foreseen for</w:t>
      </w:r>
      <w:r>
        <w:t xml:space="preserve"> </w:t>
      </w:r>
      <w:r>
        <w:t xml:space="preserve">establishments (BE/TE – EUR 10 m), for clinical societies (EUR 4.4 m) and for</w:t>
      </w:r>
      <w:r>
        <w:t xml:space="preserve"> </w:t>
      </w:r>
      <w:r>
        <w:t xml:space="preserve">registered entities in hospitals (EUR 2 m). A continued administrative support is also</w:t>
      </w:r>
      <w:r>
        <w:t xml:space="preserve"> </w:t>
      </w:r>
      <w:r>
        <w:t xml:space="preserve">foreseen for clinical societies who are expected to play an important role in the digital</w:t>
      </w:r>
      <w:r>
        <w:t xml:space="preserve"> </w:t>
      </w:r>
      <w:r>
        <w:t xml:space="preserve">aspects (EUR 1.5 m) and for hospital/entities for whom some light new reporting</w:t>
      </w:r>
      <w:r>
        <w:t xml:space="preserve"> </w:t>
      </w:r>
      <w:r>
        <w:t xml:space="preserve">requirements are created (EUR 2 m).</w:t>
      </w:r>
      <w:r>
        <w:br/>
      </w:r>
      <w:r>
        <w:t xml:space="preserve">Different EU budgets can be explored for this additional technical and financial support</w:t>
      </w:r>
      <w:r>
        <w:t xml:space="preserve"> </w:t>
      </w:r>
      <w:r>
        <w:t xml:space="preserve">to offset the costs of adjustment on the local/national level (including EU4Health,</w:t>
      </w:r>
      <w:r>
        <w:t xml:space="preserve"> </w:t>
      </w:r>
      <w:r>
        <w:t xml:space="preserve">European Health Data Space, or support for structural reforms).</w:t>
      </w:r>
    </w:p>
    <w:p>
      <w:pPr>
        <w:pStyle w:val="BodyText"/>
      </w:pP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 +</w:t>
      </w:r>
    </w:p>
    <w:p>
      <w:pPr>
        <w:pStyle w:val="BodyText"/>
      </w:pPr>
      <w:r>
        <w:t xml:space="preserve">Costs of offsetting measures,</w:t>
      </w:r>
      <w:r>
        <w:t xml:space="preserve"> </w:t>
      </w:r>
      <w:r>
        <w:t xml:space="preserve">expressed in EUR 1000</w:t>
      </w:r>
      <w:r>
        <w:t xml:space="preserve"> </w:t>
      </w:r>
      <w:r>
        <w:t xml:space="preserve">negotiation/</w:t>
      </w:r>
      <w:r>
        <w:t xml:space="preserve"> </w:t>
      </w:r>
      <w:r>
        <w:t xml:space="preserve">adoption</w:t>
      </w:r>
    </w:p>
    <w:p>
      <w:pPr>
        <w:pStyle w:val="BodyText"/>
      </w:pPr>
      <w:r>
        <w:t xml:space="preserve">phased in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running</w:t>
      </w:r>
      <w:r>
        <w:t xml:space="preserve"> </w:t>
      </w:r>
      <w:r>
        <w:t xml:space="preserve">costs</w:t>
      </w:r>
      <w:r>
        <w:br/>
      </w:r>
      <w:r>
        <w:t xml:space="preserve">NPV</w:t>
      </w:r>
      <w:r>
        <w:t xml:space="preserve"> </w:t>
      </w:r>
      <w:r>
        <w:t xml:space="preserve">technical assistance to sector</w:t>
      </w:r>
      <w:r>
        <w:t xml:space="preserve"> </w:t>
      </w:r>
      <w:r>
        <w:t xml:space="preserve">3 500</w:t>
      </w:r>
      <w:r>
        <w:t xml:space="preserve"> </w:t>
      </w:r>
      <w:r>
        <w:t xml:space="preserve">4 900</w:t>
      </w:r>
      <w:r>
        <w:t xml:space="preserve"> </w:t>
      </w:r>
      <w:r>
        <w:t xml:space="preserve">12 700</w:t>
      </w:r>
      <w:r>
        <w:t xml:space="preserve"> </w:t>
      </w:r>
      <w:r>
        <w:t xml:space="preserve">4.900</w:t>
      </w:r>
      <w:r>
        <w:t xml:space="preserve"> </w:t>
      </w:r>
      <w:r>
        <w:t xml:space="preserve">6.200</w:t>
      </w:r>
      <w:r>
        <w:t xml:space="preserve"> </w:t>
      </w:r>
      <w:r>
        <w:t xml:space="preserve">5 797</w:t>
      </w:r>
      <w:r>
        <w:t xml:space="preserve"> </w:t>
      </w:r>
      <w:r>
        <w:t xml:space="preserve">technical assistance to MS to support</w:t>
      </w:r>
      <w:r>
        <w:t xml:space="preserve"> </w:t>
      </w:r>
      <w:r>
        <w:t xml:space="preserve">adjustment</w:t>
      </w:r>
      <w:r>
        <w:t xml:space="preserve"> </w:t>
      </w:r>
      <w:r>
        <w:t xml:space="preserve">1 500</w:t>
      </w:r>
      <w:r>
        <w:t xml:space="preserve"> </w:t>
      </w:r>
      <w:r>
        <w:t xml:space="preserve">2 700</w:t>
      </w:r>
      <w:r>
        <w:t xml:space="preserve"> </w:t>
      </w:r>
      <w:r>
        <w:t xml:space="preserve">2 700</w:t>
      </w:r>
      <w:r>
        <w:t xml:space="preserve"> </w:t>
      </w:r>
      <w:r>
        <w:t xml:space="preserve">2 700</w:t>
      </w:r>
      <w:r>
        <w:t xml:space="preserve"> </w:t>
      </w:r>
      <w:r>
        <w:t xml:space="preserve">2 700</w:t>
      </w:r>
      <w:r>
        <w:t xml:space="preserve"> </w:t>
      </w:r>
      <w:r>
        <w:t xml:space="preserve">2 303</w:t>
      </w:r>
      <w:r>
        <w:t xml:space="preserve"> </w:t>
      </w:r>
      <w:r>
        <w:t xml:space="preserve">technical assistance to BE/TE to</w:t>
      </w:r>
      <w:r>
        <w:t xml:space="preserve"> </w:t>
      </w:r>
      <w:r>
        <w:t xml:space="preserve">support adjustment</w:t>
      </w:r>
    </w:p>
    <w:p>
      <w:pPr>
        <w:pStyle w:val="BodyText"/>
      </w:pPr>
      <w:r>
        <w:t xml:space="preserve">10 000</w:t>
      </w:r>
    </w:p>
    <w:p>
      <w:pPr>
        <w:pStyle w:val="BodyText"/>
      </w:pPr>
      <w:r>
        <w:t xml:space="preserve">971</w:t>
      </w:r>
      <w:r>
        <w:t xml:space="preserve"> </w:t>
      </w:r>
      <w:r>
        <w:t xml:space="preserve">technical assistance to clinical</w:t>
      </w:r>
      <w:r>
        <w:t xml:space="preserve"> </w:t>
      </w:r>
      <w:r>
        <w:t xml:space="preserve">societies to support adjustment incl. </w:t>
      </w:r>
      <w:r>
        <w:t xml:space="preserve"> </w:t>
      </w:r>
      <w:r>
        <w:t xml:space="preserve">support to BE/TE and hospitals</w:t>
      </w:r>
    </w:p>
    <w:p>
      <w:pPr>
        <w:pStyle w:val="BodyText"/>
      </w:pPr>
      <w:r>
        <w:t xml:space="preserve">2 200</w:t>
      </w:r>
    </w:p>
    <w:p>
      <w:pPr>
        <w:pStyle w:val="BodyText"/>
      </w:pPr>
      <w:r>
        <w:t xml:space="preserve">2 200</w:t>
      </w:r>
      <w:r>
        <w:t xml:space="preserve"> </w:t>
      </w:r>
      <w:r>
        <w:t xml:space="preserve">1 500</w:t>
      </w:r>
      <w:r>
        <w:t xml:space="preserve"> </w:t>
      </w:r>
      <w:r>
        <w:t xml:space="preserve">1 236</w:t>
      </w:r>
      <w:r>
        <w:t xml:space="preserve"> </w:t>
      </w:r>
      <w:r>
        <w:t xml:space="preserve">technical assistance to</w:t>
      </w:r>
      <w:r>
        <w:t xml:space="preserve"> </w:t>
      </w:r>
      <w:r>
        <w:t xml:space="preserve">hospitals/registering entities to</w:t>
      </w:r>
      <w:r>
        <w:t xml:space="preserve"> </w:t>
      </w:r>
      <w:r>
        <w:t xml:space="preserve">support registering and clinical data</w:t>
      </w:r>
      <w:r>
        <w:t xml:space="preserve"> </w:t>
      </w:r>
      <w:r>
        <w:t xml:space="preserve">reporting</w:t>
      </w:r>
      <w:r>
        <w:t xml:space="preserve"> </w:t>
      </w:r>
      <w:r>
        <w:t xml:space="preserve">2 000</w:t>
      </w:r>
    </w:p>
    <w:p>
      <w:pPr>
        <w:pStyle w:val="BodyText"/>
      </w:pPr>
      <w:r>
        <w:t xml:space="preserve">2 000</w:t>
      </w:r>
      <w:r>
        <w:t xml:space="preserve"> </w:t>
      </w:r>
      <w:r>
        <w:t xml:space="preserve">1 404</w:t>
      </w:r>
      <w:r>
        <w:t xml:space="preserve"> </w:t>
      </w:r>
      <w:r>
        <w:t xml:space="preserve">Table 17.1: summary of measures to off-set costs for BTC establishments and national authorities</w:t>
      </w:r>
    </w:p>
    <w:p>
      <w:pPr>
        <w:pStyle w:val="BodyText"/>
      </w:pPr>
      <w:r>
        <w:t xml:space="preserve">336</w:t>
      </w:r>
    </w:p>
    <w:p>
      <w:pPr>
        <w:pStyle w:val="BodyText"/>
      </w:pPr>
      <w:r>
        <w:t xml:space="preserve">ANNEX 18: SUMMARY OF THE ONLINE CONSULTATIONS</w:t>
      </w:r>
      <w:r>
        <w:t xml:space="preserve"> </w:t>
      </w:r>
      <w:r>
        <w:t xml:space="preserve">18.1 Introduction</w:t>
      </w:r>
      <w:r>
        <w:t xml:space="preserve"> </w:t>
      </w:r>
      <w:r>
        <w:t xml:space="preserve">This document presents a summary of the results of the Public and Targeted</w:t>
      </w:r>
      <w:r>
        <w:t xml:space="preserve"> </w:t>
      </w:r>
      <w:r>
        <w:t xml:space="preserve">Consultations carried out between 21 January 2021 and 15 April 2021 in the context of</w:t>
      </w:r>
      <w:r>
        <w:t xml:space="preserve"> </w:t>
      </w:r>
      <w:r>
        <w:t xml:space="preserve">the revision of the EU legal frameworks on blood, tissues and cells. As such, it expands</w:t>
      </w:r>
      <w:r>
        <w:t xml:space="preserve"> </w:t>
      </w:r>
      <w:r>
        <w:t xml:space="preserve">the Summary Report of the Public Consultation 27 by adding the conclusions of the</w:t>
      </w:r>
      <w:r>
        <w:t xml:space="preserve"> </w:t>
      </w:r>
      <w:r>
        <w:t xml:space="preserve">Targeted Consultation. It supplements the Stakeholder Consultation, which is part of the</w:t>
      </w:r>
      <w:r>
        <w:t xml:space="preserve"> </w:t>
      </w:r>
      <w:r>
        <w:t xml:space="preserve">Impact Assessment.</w:t>
      </w:r>
      <w:r>
        <w:t xml:space="preserve"> </w:t>
      </w:r>
      <w:r>
        <w:t xml:space="preserve">The aim of the Consultation was to collect stakeholders’ views on the validity of the</w:t>
      </w:r>
      <w:r>
        <w:t xml:space="preserve"> </w:t>
      </w:r>
      <w:r>
        <w:t xml:space="preserve">findings of the evaluation of the BTC legislation, in particular in light of the COVID-19</w:t>
      </w:r>
      <w:r>
        <w:t xml:space="preserve"> </w:t>
      </w:r>
      <w:r>
        <w:t xml:space="preserve">crisis, and their opinions on the policy options, and measures, proposed in the Inception</w:t>
      </w:r>
      <w:r>
        <w:t xml:space="preserve"> </w:t>
      </w:r>
      <w:r>
        <w:t xml:space="preserve">Impact Assessment 28 to address the shortcomings identified in the evaluation. Both</w:t>
      </w:r>
      <w:r>
        <w:t xml:space="preserve"> </w:t>
      </w:r>
      <w:r>
        <w:t xml:space="preserve">questionnaires, that for the Public and for the Targeted Consultation, were structured</w:t>
      </w:r>
      <w:r>
        <w:t xml:space="preserve"> </w:t>
      </w:r>
      <w:r>
        <w:t xml:space="preserve">according to the 5 key problems identified in relation to the current legislation:</w:t>
      </w:r>
      <w:r>
        <w:br/>
      </w:r>
      <w:r>
        <w:t xml:space="preserve">1) Patients are not fully protected from avoidable risks;</w:t>
      </w:r>
      <w:r>
        <w:t xml:space="preserve"> </w:t>
      </w:r>
      <w:r>
        <w:t xml:space="preserve">2) There are avoidable risks for BTC donors and for children born from donated</w:t>
      </w:r>
      <w:r>
        <w:t xml:space="preserve"> </w:t>
      </w:r>
      <w:r>
        <w:t xml:space="preserve">gametes;</w:t>
      </w:r>
      <w:r>
        <w:t xml:space="preserve"> </w:t>
      </w:r>
      <w:r>
        <w:t xml:space="preserve">3) Divergent approaches to oversight cause unequal levels of safety and quality and</w:t>
      </w:r>
      <w:r>
        <w:t xml:space="preserve"> </w:t>
      </w:r>
      <w:r>
        <w:t xml:space="preserve">barriers to exchange of BTC across the EU;</w:t>
      </w:r>
      <w:r>
        <w:t xml:space="preserve"> </w:t>
      </w:r>
      <w:r>
        <w:t xml:space="preserve">4) BTC legislation lags behind innovation;</w:t>
      </w:r>
      <w:r>
        <w:t xml:space="preserve"> </w:t>
      </w:r>
      <w:r>
        <w:t xml:space="preserve">5) The EU is vulnerable to interruptions in supply of some BTC.</w:t>
      </w:r>
      <w:r>
        <w:t xml:space="preserve"> </w:t>
      </w:r>
      <w:r>
        <w:t xml:space="preserve">Specific issues explored included the level at which technical rules for the protection of</w:t>
      </w:r>
      <w:r>
        <w:t xml:space="preserve"> </w:t>
      </w:r>
      <w:r>
        <w:t xml:space="preserve">BTC donors and recipients should be defined, especially considering the comparative</w:t>
      </w:r>
      <w:r>
        <w:t xml:space="preserve"> </w:t>
      </w:r>
      <w:r>
        <w:t xml:space="preserve">cost-effectiveness of different approaches, secondly the effectiveness of proposed</w:t>
      </w:r>
      <w:r>
        <w:t xml:space="preserve"> </w:t>
      </w:r>
      <w:r>
        <w:t xml:space="preserve">measures to improve oversight of BTC activities, thirdly the impact of measures</w:t>
      </w:r>
      <w:r>
        <w:t xml:space="preserve"> </w:t>
      </w:r>
      <w:r>
        <w:t xml:space="preserve">proposed to support BTC innovation for patient benefit and finally the effectiveness of</w:t>
      </w:r>
      <w:r>
        <w:t xml:space="preserve"> </w:t>
      </w:r>
      <w:r>
        <w:t xml:space="preserve">measures proposed to support a sustainable supply of BTC. Where this was considered</w:t>
      </w:r>
      <w:r>
        <w:t xml:space="preserve"> </w:t>
      </w:r>
      <w:r>
        <w:t xml:space="preserve">necessary, the consultations also gathered data and experiences to further consolidate the</w:t>
      </w:r>
      <w:r>
        <w:t xml:space="preserve"> </w:t>
      </w:r>
      <w:r>
        <w:t xml:space="preserve">understanding of the presented problems.</w:t>
      </w:r>
      <w:r>
        <w:t xml:space="preserve"> </w:t>
      </w:r>
      <w:r>
        <w:t xml:space="preserve">This report provides an overview of the responses received from both consultations,</w:t>
      </w:r>
      <w:r>
        <w:t xml:space="preserve"> </w:t>
      </w:r>
      <w:r>
        <w:t xml:space="preserve">grouping them by stakeholder category, where relevant. A summary of stakeholder</w:t>
      </w:r>
      <w:r>
        <w:t xml:space="preserve"> </w:t>
      </w:r>
      <w:r>
        <w:t xml:space="preserve">opinions on the options proposed to address the problems are presented under the</w:t>
      </w:r>
      <w:r>
        <w:t xml:space="preserve"> </w:t>
      </w:r>
      <w:r>
        <w:t xml:space="preserve">headings of the five problems. Stakeholders’ responses are published together with this</w:t>
      </w:r>
      <w:r>
        <w:t xml:space="preserve"> </w:t>
      </w:r>
      <w:r>
        <w:t xml:space="preserve">report and in line with the Commission’s applicable rules.</w:t>
      </w:r>
      <w:r>
        <w:br/>
      </w:r>
      <w:r>
        <w:t xml:space="preserve">18.2 Respondents</w:t>
      </w:r>
      <w:r>
        <w:t xml:space="preserve"> </w:t>
      </w:r>
      <w:r>
        <w:t xml:space="preserve">Two online questionnaires were used: One directed at the general public (Public</w:t>
      </w:r>
      <w:r>
        <w:t xml:space="preserve"> </w:t>
      </w:r>
      <w:r>
        <w:t xml:space="preserve">Consultation) and one directed at stakeholders directly impacted by the legal revision</w:t>
      </w:r>
    </w:p>
    <w:p>
      <w:pPr>
        <w:pStyle w:val="BodyText"/>
      </w:pPr>
      <w:r>
        <w:t xml:space="preserve">27https://ec.europa.eu/info/law/better-regulation/have-your-say/initiatives/12734-Blood-tissues-and-cells-</w:t>
      </w:r>
      <w:r>
        <w:t xml:space="preserve"> </w:t>
      </w:r>
      <w:r>
        <w:t xml:space="preserve">for-medical-treatments-&amp;-therapies-revised-EU-rules/public-consultation_en</w:t>
      </w:r>
      <w:r>
        <w:br/>
      </w:r>
      <w:r>
        <w:t xml:space="preserve">28https://ec.europa.eu/info/law/better-regulation/have-your-say/initiatives/12734-Blood-tissues-and-cells-</w:t>
      </w:r>
      <w:r>
        <w:t xml:space="preserve"> </w:t>
      </w:r>
      <w:r>
        <w:t xml:space="preserve">for-medical-treatments-&amp;-therapies-revised-EU-rules_en</w:t>
      </w:r>
    </w:p>
    <w:p>
      <w:pPr>
        <w:pStyle w:val="BodyText"/>
      </w:pPr>
      <w:r>
        <w:t xml:space="preserve">337</w:t>
      </w:r>
    </w:p>
    <w:p>
      <w:pPr>
        <w:pStyle w:val="BodyText"/>
      </w:pPr>
      <w:r>
        <w:t xml:space="preserve">(Targeted Consultation). To respond to the Targeted Consultation, participants had to be</w:t>
      </w:r>
      <w:r>
        <w:t xml:space="preserve"> </w:t>
      </w:r>
      <w:r>
        <w:t xml:space="preserve">affiliated with an organisation active in the BTC field. Those eligible to respond to the</w:t>
      </w:r>
      <w:r>
        <w:t xml:space="preserve"> </w:t>
      </w:r>
      <w:r>
        <w:t xml:space="preserve">Targeted consultation were encouraged to also reply to the Public Consultation, and to</w:t>
      </w:r>
      <w:r>
        <w:t xml:space="preserve"> </w:t>
      </w:r>
      <w:r>
        <w:t xml:space="preserve">keep their responses to the Targeted Consultation to the fields in which they had</w:t>
      </w:r>
      <w:r>
        <w:t xml:space="preserve"> </w:t>
      </w:r>
      <w:r>
        <w:t xml:space="preserve">experience. Of the respondents to both questionnaires, 32% stated that their organisation</w:t>
      </w:r>
      <w:r>
        <w:t xml:space="preserve"> </w:t>
      </w:r>
      <w:r>
        <w:t xml:space="preserve">is registered in the Transparency Register.</w:t>
      </w:r>
      <w:r>
        <w:br/>
      </w:r>
      <w:r>
        <w:t xml:space="preserve">The Public Consultation gathered a total of 214 replies, including 19 from</w:t>
      </w:r>
      <w:r>
        <w:t xml:space="preserve"> </w:t>
      </w:r>
      <w:r>
        <w:t xml:space="preserve">individuals/citizens (9%) and 195 from non-individual respondents (91%). This group</w:t>
      </w:r>
      <w:r>
        <w:t xml:space="preserve"> </w:t>
      </w:r>
      <w:r>
        <w:t xml:space="preserve">was largely made up of company/business stakeholders (61; 29%) and non-governmental</w:t>
      </w:r>
      <w:r>
        <w:t xml:space="preserve"> </w:t>
      </w:r>
      <w:r>
        <w:t xml:space="preserve">organisations (44; 21%). It also included 35 public authorities (16%) as well as 24</w:t>
      </w:r>
      <w:r>
        <w:t xml:space="preserve"> </w:t>
      </w:r>
      <w:r>
        <w:t xml:space="preserve">academic/research institutions (11%), 17 business associations (8%), 1 consumer</w:t>
      </w:r>
      <w:r>
        <w:t xml:space="preserve"> </w:t>
      </w:r>
      <w:r>
        <w:t xml:space="preserve">organisation and 13 other non-individual respondents.</w:t>
      </w:r>
      <w:r>
        <w:br/>
      </w:r>
      <w:r>
        <w:t xml:space="preserve">The responses of the Public Consultation were screened for duplicates and</w:t>
      </w:r>
      <w:r>
        <w:t xml:space="preserve"> </w:t>
      </w:r>
      <w:r>
        <w:t xml:space="preserve">‘coordinated/campaign responses’ (same content/free text submitted by more than 10</w:t>
      </w:r>
      <w:r>
        <w:t xml:space="preserve"> </w:t>
      </w:r>
      <w:r>
        <w:t xml:space="preserve">respondents) using PowerBI. This analysis detected 15 coordinated responses,</w:t>
      </w:r>
      <w:r>
        <w:t xml:space="preserve"> </w:t>
      </w:r>
      <w:r>
        <w:t xml:space="preserve">representing views of the cord blood bank sector.</w:t>
      </w:r>
      <w:r>
        <w:t xml:space="preserve"> </w:t>
      </w:r>
      <w:r>
        <w:t xml:space="preserve">A total of 159 responses were received for the Targeted Consultation. Here, respondents</w:t>
      </w:r>
      <w:r>
        <w:t xml:space="preserve"> </w:t>
      </w:r>
      <w:r>
        <w:t xml:space="preserve">were asked on a more granular level to select the description best suited to their role in</w:t>
      </w:r>
      <w:r>
        <w:t xml:space="preserve"> </w:t>
      </w:r>
      <w:r>
        <w:t xml:space="preserve">the sector, the responses to which were then categorized. The group of respondents</w:t>
      </w:r>
      <w:r>
        <w:t xml:space="preserve"> </w:t>
      </w:r>
      <w:r>
        <w:t xml:space="preserve">included blood and tissue establishments (48; 35%), public administration (27; 20%),</w:t>
      </w:r>
      <w:r>
        <w:t xml:space="preserve"> </w:t>
      </w:r>
      <w:r>
        <w:t xml:space="preserve">healthcare providers (13; 9%) manufacturers (9; 7%) and academia (5; 4%) as well as 35</w:t>
      </w:r>
      <w:r>
        <w:t xml:space="preserve"> </w:t>
      </w:r>
      <w:r>
        <w:t xml:space="preserve">other non-individual respondents (Figure 18.1)29.</w:t>
      </w:r>
      <w:r>
        <w:t xml:space="preserve"> </w:t>
      </w:r>
      <w:r>
        <w:t xml:space="preserve">Across both surveys, the breakdown of the respondents by activities indicates that the</w:t>
      </w:r>
      <w:r>
        <w:t xml:space="preserve"> </w:t>
      </w:r>
      <w:r>
        <w:t xml:space="preserve">different groups of targeted stakeholders were satisfactorily addressed30, reflecting</w:t>
      </w:r>
      <w:r>
        <w:t xml:space="preserve"> </w:t>
      </w:r>
      <w:r>
        <w:t xml:space="preserve">especially the key role of BTC establishments in the sector, as well as the role of</w:t>
      </w:r>
      <w:r>
        <w:t xml:space="preserve"> </w:t>
      </w:r>
      <w:r>
        <w:t xml:space="preserve">healthcare providers and academia. Member State competent authorities, ministries and</w:t>
      </w:r>
      <w:r>
        <w:t xml:space="preserve"> </w:t>
      </w:r>
      <w:r>
        <w:t xml:space="preserve">other public administration bodies were also well represented among the respondents.</w:t>
      </w:r>
      <w:r>
        <w:t xml:space="preserve"> </w:t>
      </w:r>
      <w:r>
        <w:t xml:space="preserve">Non-governmental organisations representing donors and patients and ethics bodies also</w:t>
      </w:r>
      <w:r>
        <w:t xml:space="preserve"> </w:t>
      </w:r>
      <w:r>
        <w:t xml:space="preserve">responded, as well as private industry (manufacturers of products based on blood, tissues</w:t>
      </w:r>
      <w:r>
        <w:t xml:space="preserve"> </w:t>
      </w:r>
      <w:r>
        <w:t xml:space="preserve">or cells as well as manufacturers of the devices needed in the processing of BTC).</w:t>
      </w:r>
    </w:p>
    <w:p>
      <w:pPr>
        <w:pStyle w:val="BodyText"/>
      </w:pPr>
      <w:r>
        <w:t xml:space="preserve">Figure 18.1. Activities of respondents to both Consultations. For Public Consultation: non-individual respondents only;</w:t>
      </w:r>
      <w:r>
        <w:t xml:space="preserve"> </w:t>
      </w:r>
      <w:r>
        <w:t xml:space="preserve">multiple answers possible. For Targeted Consultation: all respondents; one answer possible. (Public Consultation, n=</w:t>
      </w:r>
      <w:r>
        <w:t xml:space="preserve"> </w:t>
      </w:r>
      <w:r>
        <w:t xml:space="preserve">214; Targeted Consultation, n= 159)</w:t>
      </w:r>
    </w:p>
    <w:p>
      <w:pPr>
        <w:pStyle w:val="BodyText"/>
      </w:pPr>
      <w:r>
        <w:t xml:space="preserve">29 Stakeholders describing themselves as “others” were prompted to give a free-text explanation. This</w:t>
      </w:r>
      <w:r>
        <w:t xml:space="preserve"> </w:t>
      </w:r>
      <w:r>
        <w:t xml:space="preserve">group included mainly respondents that considered themselves belonging to multiple of the suggested</w:t>
      </w:r>
      <w:r>
        <w:t xml:space="preserve"> </w:t>
      </w:r>
      <w:r>
        <w:t xml:space="preserve">categories, as for example some professional representations, innovators, regulators and authorities.</w:t>
      </w:r>
      <w:r>
        <w:t xml:space="preserve"> </w:t>
      </w:r>
      <w:r>
        <w:t xml:space="preserve">30 The list of stakeholders to be consulted can be seen in the consultation strategy published in the Inception</w:t>
      </w:r>
      <w:r>
        <w:t xml:space="preserve"> </w:t>
      </w:r>
      <w:r>
        <w:t xml:space="preserve">Impact Assessment in 2020: https://ec.europa.eu/info/law/better-regulation/</w:t>
      </w:r>
    </w:p>
    <w:p>
      <w:pPr>
        <w:pStyle w:val="BodyText"/>
      </w:pPr>
      <w:r>
        <w:t xml:space="preserve">338</w:t>
      </w:r>
    </w:p>
    <w:p>
      <w:pPr>
        <w:pStyle w:val="BodyText"/>
      </w:pPr>
      <w:r>
        <w:t xml:space="preserve">The majority of the organisations responding to either survey work both in the blood and</w:t>
      </w:r>
      <w:r>
        <w:t xml:space="preserve"> </w:t>
      </w:r>
      <w:r>
        <w:t xml:space="preserve">the tissues &amp; cells sector (126), while 19 indicated to be active exclusively in the blood</w:t>
      </w:r>
      <w:r>
        <w:t xml:space="preserve"> </w:t>
      </w:r>
      <w:r>
        <w:t xml:space="preserve">sector and 22 exclusively in the tissues &amp; cells sector (Figure 18.2).</w:t>
      </w:r>
      <w:r>
        <w:br/>
      </w:r>
      <w:r>
        <w:t xml:space="preserve">Figure 18.2: Stakeholders active in the Blood Sector and the Tissues and Cells Sector.</w:t>
      </w:r>
    </w:p>
    <w:p>
      <w:pPr>
        <w:pStyle w:val="BodyText"/>
      </w:pPr>
      <w:r>
        <w:t xml:space="preserve">As regards the geographical distribution of respondents (Figure 18.3), the highest number</w:t>
      </w:r>
      <w:r>
        <w:t xml:space="preserve"> </w:t>
      </w:r>
      <w:r>
        <w:t xml:space="preserve">of replies came from Belgium, including from several EU advocacy/umbrella</w:t>
      </w:r>
      <w:r>
        <w:t xml:space="preserve"> </w:t>
      </w:r>
      <w:r>
        <w:t xml:space="preserve">organisations, followed by Germany, France, and the Netherlands. In the Targeted</w:t>
      </w:r>
      <w:r>
        <w:t xml:space="preserve"> </w:t>
      </w:r>
      <w:r>
        <w:t xml:space="preserve">Consultation, there were respondents from almost every EU Member State, and from</w:t>
      </w:r>
      <w:r>
        <w:t xml:space="preserve"> </w:t>
      </w:r>
      <w:r>
        <w:t xml:space="preserve">several non-EU countries.</w:t>
      </w:r>
    </w:p>
    <w:p>
      <w:pPr>
        <w:pStyle w:val="BodyText"/>
      </w:pPr>
      <w:r>
        <w:t xml:space="preserve">339</w:t>
      </w:r>
    </w:p>
    <w:p>
      <w:pPr>
        <w:pStyle w:val="BodyText"/>
      </w:pPr>
      <w:r>
        <w:t xml:space="preserve">Figure 18.3. Geographic coverage of respondents to both Public Consultations (Size of blue circles proportional to</w:t>
      </w:r>
      <w:r>
        <w:t xml:space="preserve"> </w:t>
      </w:r>
      <w:r>
        <w:t xml:space="preserve">number of respondents based in this country). (Public Consultation, n= 214; Targeted Consultation, n= 159)</w:t>
      </w:r>
    </w:p>
    <w:p>
      <w:pPr>
        <w:pStyle w:val="BodyText"/>
      </w:pPr>
      <w:r>
        <w:t xml:space="preserve">In addition to the answers given to both questionnaires, 39 different additional</w:t>
      </w:r>
      <w:r>
        <w:t xml:space="preserve"> </w:t>
      </w:r>
      <w:r>
        <w:t xml:space="preserve">documents were annexed by respondents, including a number of position statements of</w:t>
      </w:r>
      <w:r>
        <w:t xml:space="preserve"> </w:t>
      </w:r>
      <w:r>
        <w:t xml:space="preserve">relevance to future policy.</w:t>
      </w:r>
      <w:r>
        <w:br/>
      </w:r>
      <w:r>
        <w:t xml:space="preserve">18.3 Summary of Responses</w:t>
      </w:r>
      <w:r>
        <w:br/>
      </w:r>
      <w:r>
        <w:t xml:space="preserve">18.3.1 Validity of the Evaluation Findings</w:t>
      </w:r>
      <w:r>
        <w:t xml:space="preserve"> </w:t>
      </w:r>
      <w:r>
        <w:t xml:space="preserve">The findings of the 2019 evaluation were largely confirmed by the respondents to the</w:t>
      </w:r>
      <w:r>
        <w:t xml:space="preserve"> </w:t>
      </w:r>
      <w:r>
        <w:t xml:space="preserve">Public Consultation as still valid in 2021 (Figure 18.4) and in the light of the COVID-19</w:t>
      </w:r>
      <w:r>
        <w:t xml:space="preserve"> </w:t>
      </w:r>
      <w:r>
        <w:t xml:space="preserve">crisis (Figure 18.5). Throughout, issues relevant to a limited sub-set of stakeholder</w:t>
      </w:r>
      <w:r>
        <w:t xml:space="preserve"> </w:t>
      </w:r>
      <w:r>
        <w:t xml:space="preserve">groups tended to receive a higher number of ‘no answer’ responses and thus lower rates</w:t>
      </w:r>
      <w:r>
        <w:t xml:space="preserve"> </w:t>
      </w:r>
      <w:r>
        <w:t xml:space="preserve">of complete agreement (this applied in particular to questions related to specific</w:t>
      </w:r>
      <w:r>
        <w:t xml:space="preserve"> </w:t>
      </w:r>
      <w:r>
        <w:t xml:space="preserve">disciplines such as medically assisted reproduction).</w:t>
      </w:r>
    </w:p>
    <w:p>
      <w:pPr>
        <w:pStyle w:val="BodyText"/>
      </w:pPr>
      <w:r>
        <w:t xml:space="preserve">PUBLIC CONSULTATION</w:t>
      </w:r>
      <w:r>
        <w:t xml:space="preserve"> </w:t>
      </w:r>
      <w:r>
        <w:t xml:space="preserve">TARGETED CONSULTATION</w:t>
      </w:r>
    </w:p>
    <w:p>
      <w:pPr>
        <w:pStyle w:val="BodyText"/>
      </w:pPr>
      <w:r>
        <w:t xml:space="preserve">340</w:t>
      </w:r>
    </w:p>
    <w:p>
      <w:pPr>
        <w:pStyle w:val="BodyText"/>
      </w:pPr>
      <w:r>
        <w:t xml:space="preserve">Figure 18.4. To what extent are the findings of the evaluation still valid one year since the publication of the</w:t>
      </w:r>
      <w:r>
        <w:t xml:space="preserve"> </w:t>
      </w:r>
      <w:r>
        <w:t xml:space="preserve">evaluation? (Public Consultation, n = 214).</w:t>
      </w:r>
    </w:p>
    <w:p>
      <w:pPr>
        <w:pStyle w:val="BodyText"/>
      </w:pPr>
      <w:r>
        <w:t xml:space="preserve">341</w:t>
      </w:r>
    </w:p>
    <w:p>
      <w:pPr>
        <w:pStyle w:val="BodyText"/>
      </w:pPr>
      <w:r>
        <w:t xml:space="preserve">When asked about the impact of the ongoing COVID-19 crisis specifically, participants</w:t>
      </w:r>
      <w:r>
        <w:t xml:space="preserve"> </w:t>
      </w:r>
      <w:r>
        <w:t xml:space="preserve">in the Public Consultation agreed that the shortcomings identified in the evaluation</w:t>
      </w:r>
      <w:r>
        <w:t xml:space="preserve"> </w:t>
      </w:r>
      <w:r>
        <w:t xml:space="preserve">retained their validity and were not weakened (Figure 18.5). Especially in regards to</w:t>
      </w:r>
      <w:r>
        <w:t xml:space="preserve"> </w:t>
      </w:r>
      <w:r>
        <w:t xml:space="preserve">shortages and sudden supply disruption, and to a slightly weaker extent in regards to</w:t>
      </w:r>
      <w:r>
        <w:t xml:space="preserve"> </w:t>
      </w:r>
      <w:r>
        <w:t xml:space="preserve">technical requirements and lacking harmonization in oversight, large groups of</w:t>
      </w:r>
      <w:r>
        <w:t xml:space="preserve"> </w:t>
      </w:r>
      <w:r>
        <w:t xml:space="preserve">respondents agreed that the pandemic had even exacerbated the problem. In the other</w:t>
      </w:r>
      <w:r>
        <w:t xml:space="preserve"> </w:t>
      </w:r>
      <w:r>
        <w:t xml:space="preserve">categories, most respondents indicated that the findings of the evaluation were</w:t>
      </w:r>
      <w:r>
        <w:t xml:space="preserve"> </w:t>
      </w:r>
      <w:r>
        <w:t xml:space="preserve">unchanged.</w:t>
      </w:r>
      <w:r>
        <w:br/>
      </w:r>
      <w:r>
        <w:t xml:space="preserve">Figure 18.5. How did the COVID-19 pandemic influence the evaluation conclusions? (Public Consultation, n = 214)</w:t>
      </w:r>
    </w:p>
    <w:p>
      <w:pPr>
        <w:pStyle w:val="BodyText"/>
      </w:pPr>
      <w:r>
        <w:t xml:space="preserve">342</w:t>
      </w:r>
    </w:p>
    <w:p>
      <w:pPr>
        <w:pStyle w:val="BodyText"/>
      </w:pPr>
      <w:r>
        <w:t xml:space="preserve">In the Public Consultation, respondents were also asked to share, in free text form, any</w:t>
      </w:r>
      <w:r>
        <w:t xml:space="preserve"> </w:t>
      </w:r>
      <w:r>
        <w:t xml:space="preserve">lessons learnt from the COVID-19 pandemic that could be of relevance to the revision</w:t>
      </w:r>
      <w:r>
        <w:t xml:space="preserve"> </w:t>
      </w:r>
      <w:r>
        <w:t xml:space="preserve">process. A total of 111 responses were received, many of which highlighted the increased</w:t>
      </w:r>
      <w:r>
        <w:t xml:space="preserve"> </w:t>
      </w:r>
      <w:r>
        <w:t xml:space="preserve">importance of measures already under consideration in the revision process. In particular,</w:t>
      </w:r>
      <w:r>
        <w:t xml:space="preserve"> </w:t>
      </w:r>
      <w:r>
        <w:t xml:space="preserve">the need to maintain transport and supply chains in the BTC sector (22 mentions), the</w:t>
      </w:r>
      <w:r>
        <w:t xml:space="preserve"> </w:t>
      </w:r>
      <w:r>
        <w:t xml:space="preserve">added value of preparedness or contingency plans (17 mentions) as well as a</w:t>
      </w:r>
      <w:r>
        <w:t xml:space="preserve"> </w:t>
      </w:r>
      <w:r>
        <w:t xml:space="preserve">strengthened role for ECDC (15 mentions), and the benefits of harmonization (14</w:t>
      </w:r>
      <w:r>
        <w:t xml:space="preserve"> </w:t>
      </w:r>
      <w:r>
        <w:t xml:space="preserve">mentions) were agreed upon by many respondents. References were also made to rule</w:t>
      </w:r>
      <w:r>
        <w:t xml:space="preserve"> </w:t>
      </w:r>
      <w:r>
        <w:t xml:space="preserve">setting in the EU, highlighting the need for more speed and regulatory flexibility, for</w:t>
      </w:r>
      <w:r>
        <w:t xml:space="preserve"> </w:t>
      </w:r>
      <w:r>
        <w:t xml:space="preserve">example as regards the Plasma Master File (8 mentions each). Notably, public authorities</w:t>
      </w:r>
      <w:r>
        <w:t xml:space="preserve"> </w:t>
      </w:r>
      <w:r>
        <w:t xml:space="preserve">were more likely to reference a strengthened role of ECDC while answers on</w:t>
      </w:r>
      <w:r>
        <w:t xml:space="preserve"> </w:t>
      </w:r>
      <w:r>
        <w:t xml:space="preserve">harmonization or flexibility were more likely to come from blood/tissue establishments,</w:t>
      </w:r>
      <w:r>
        <w:t xml:space="preserve"> </w:t>
      </w:r>
      <w:r>
        <w:t xml:space="preserve">healthcare providers or professional representations. The need to maintain transport and</w:t>
      </w:r>
      <w:r>
        <w:t xml:space="preserve"> </w:t>
      </w:r>
      <w:r>
        <w:t xml:space="preserve">supply chains was mainly underlined by blood and tissue establishments, while</w:t>
      </w:r>
      <w:r>
        <w:t xml:space="preserve"> </w:t>
      </w:r>
      <w:r>
        <w:t xml:space="preserve">comments highlighting the importance of preparedness/contingency plans were relatively</w:t>
      </w:r>
      <w:r>
        <w:t xml:space="preserve"> </w:t>
      </w:r>
      <w:r>
        <w:t xml:space="preserve">widely distributed.</w:t>
      </w:r>
      <w:r>
        <w:t xml:space="preserve"> </w:t>
      </w:r>
      <w:r>
        <w:t xml:space="preserve">18.3.2 Objective 1: Patient protection</w:t>
      </w:r>
      <w:r>
        <w:t xml:space="preserve"> </w:t>
      </w:r>
      <w:r>
        <w:t xml:space="preserve">To ensure optimal patient protection, technical rules for the collection, processing,</w:t>
      </w:r>
      <w:r>
        <w:t xml:space="preserve"> </w:t>
      </w:r>
      <w:r>
        <w:t xml:space="preserve">storage and distribution of BTC need to be kept up to date with scientific evidence. Three</w:t>
      </w:r>
      <w:r>
        <w:t xml:space="preserve"> </w:t>
      </w:r>
      <w:r>
        <w:t xml:space="preserve">key options have been proposed to address this need in the revised legal framework:</w:t>
      </w:r>
      <w:r>
        <w:br/>
      </w:r>
      <w:r>
        <w:t xml:space="preserve">1) technical rules are set by professionals themselves;</w:t>
      </w:r>
      <w:r>
        <w:br/>
      </w:r>
      <w:r>
        <w:t xml:space="preserve">2) technical rules are set by expert bodies such as the ECDC and EDQM (Council of</w:t>
      </w:r>
      <w:r>
        <w:t xml:space="preserve"> </w:t>
      </w:r>
      <w:r>
        <w:t xml:space="preserve">Europe);</w:t>
      </w:r>
      <w:r>
        <w:br/>
      </w:r>
      <w:r>
        <w:t xml:space="preserve">3) technical rules are set in EU law.</w:t>
      </w:r>
      <w:r>
        <w:br/>
      </w:r>
      <w:r>
        <w:t xml:space="preserve">Stakeholders were presented with all three of these options and asked to express their</w:t>
      </w:r>
      <w:r>
        <w:t xml:space="preserve"> </w:t>
      </w:r>
      <w:r>
        <w:t xml:space="preserve">preference, considering particular areas of technical rule setting (Figure 18.6).</w:t>
      </w:r>
      <w:r>
        <w:br/>
      </w:r>
      <w:r>
        <w:t xml:space="preserve">Across all stakeholder categories, the majority of respondents to the Public Consultation</w:t>
      </w:r>
      <w:r>
        <w:t xml:space="preserve"> </w:t>
      </w:r>
      <w:r>
        <w:t xml:space="preserve">indicated that expert bodies (such as ECDC or EDQM) would be their preferred option</w:t>
      </w:r>
      <w:r>
        <w:t xml:space="preserve"> </w:t>
      </w:r>
      <w:r>
        <w:t xml:space="preserve">for setting technical rules to effectively achieve safety and quality for patient protection.</w:t>
      </w:r>
      <w:r>
        <w:t xml:space="preserve"> </w:t>
      </w:r>
      <w:r>
        <w:t xml:space="preserve">However, it is noted that the sub-group of BTC establishments also frequently selected</w:t>
      </w:r>
      <w:r>
        <w:t xml:space="preserve"> </w:t>
      </w:r>
      <w:r>
        <w:t xml:space="preserve">‘professionals’ for this role, e.g. when asked about setting the rules on the technical</w:t>
      </w:r>
      <w:r>
        <w:t xml:space="preserve"> </w:t>
      </w:r>
      <w:r>
        <w:t xml:space="preserve">characteristics of BTC that will be provided to patients (49 establishments selected expert</w:t>
      </w:r>
      <w:r>
        <w:t xml:space="preserve"> </w:t>
      </w:r>
      <w:r>
        <w:t xml:space="preserve">bodies, while 45 selected professionals in their answers). It also needs to be noted that,</w:t>
      </w:r>
      <w:r>
        <w:t xml:space="preserve"> </w:t>
      </w:r>
      <w:r>
        <w:t xml:space="preserve">when asked about elements that relate to oversight, e.g. criteria/templates to report</w:t>
      </w:r>
      <w:r>
        <w:t xml:space="preserve"> </w:t>
      </w:r>
      <w:r>
        <w:t xml:space="preserve">Serious Adverse Reactions and Events, many respondents believe these should partly be</w:t>
      </w:r>
      <w:r>
        <w:t xml:space="preserve"> </w:t>
      </w:r>
      <w:r>
        <w:t xml:space="preserve">set in EU law.</w:t>
      </w:r>
    </w:p>
    <w:p>
      <w:pPr>
        <w:pStyle w:val="BodyText"/>
      </w:pPr>
      <w:r>
        <w:t xml:space="preserve">343</w:t>
      </w:r>
    </w:p>
    <w:p>
      <w:pPr>
        <w:pStyle w:val="BodyText"/>
      </w:pPr>
      <w:r>
        <w:t xml:space="preserve">Figure 18.6. Who should set technical rules to effectively achieve up-to-date safety and quality rules to protect</w:t>
      </w:r>
      <w:r>
        <w:t xml:space="preserve"> </w:t>
      </w:r>
      <w:r>
        <w:t xml:space="preserve">patients? (Public Consultation, n = 214).</w:t>
      </w:r>
    </w:p>
    <w:p>
      <w:pPr>
        <w:pStyle w:val="BodyText"/>
      </w:pPr>
      <w:r>
        <w:t xml:space="preserve">To further explore the feasibility of all three options for setting technical rules,</w:t>
      </w:r>
      <w:r>
        <w:t xml:space="preserve"> </w:t>
      </w:r>
      <w:r>
        <w:t xml:space="preserve">respondents were asked to specifically assess the expected cost-effectiveness of each.</w:t>
      </w:r>
      <w:r>
        <w:t xml:space="preserve"> </w:t>
      </w:r>
      <w:r>
        <w:t xml:space="preserve">Answers reflected the preferences expressed previously. Thus, rule setting by expert</w:t>
      </w:r>
      <w:r>
        <w:t xml:space="preserve"> </w:t>
      </w:r>
      <w:r>
        <w:t xml:space="preserve">bodies was considered to be most cost-effective (123 responses of very or quite cost-</w:t>
      </w:r>
      <w:r>
        <w:t xml:space="preserve"> </w:t>
      </w:r>
      <w:r>
        <w:t xml:space="preserve">effective), closely followed by updates by professionals (109 responses of very or quite).</w:t>
      </w:r>
      <w:r>
        <w:t xml:space="preserve"> </w:t>
      </w:r>
      <w:r>
        <w:t xml:space="preserve">Technical rule setting in EU law was considered the least cost-effective (76 responses of</w:t>
      </w:r>
      <w:r>
        <w:t xml:space="preserve"> </w:t>
      </w:r>
      <w:r>
        <w:t xml:space="preserve">very or quite) (Figure 18.7). Analysis by stakeholder groups showed some differences of</w:t>
      </w:r>
      <w:r>
        <w:t xml:space="preserve"> </w:t>
      </w:r>
      <w:r>
        <w:t xml:space="preserve">opinion amongst these groups. Notably, slightly more respondents of blood/tissue</w:t>
      </w:r>
      <w:r>
        <w:t xml:space="preserve"> </w:t>
      </w:r>
      <w:r>
        <w:t xml:space="preserve">establishments considered rule setting by professionals (66 responses) to be (very or</w:t>
      </w:r>
      <w:r>
        <w:t xml:space="preserve"> </w:t>
      </w:r>
      <w:r>
        <w:t xml:space="preserve">quite) cost effective compared to expert bodies (59 responses). National competent</w:t>
      </w:r>
      <w:r>
        <w:t xml:space="preserve"> </w:t>
      </w:r>
      <w:r>
        <w:t xml:space="preserve">authorities with oversight responsibility indicated that expert bodies would be cost-</w:t>
      </w:r>
      <w:r>
        <w:t xml:space="preserve"> </w:t>
      </w:r>
      <w:r>
        <w:t xml:space="preserve">effective.</w:t>
      </w:r>
      <w:r>
        <w:br/>
      </w:r>
      <w:r>
        <w:t xml:space="preserve">Figure 18.7. Which of the options would overall be most cost-effective to set technical rules? (Public Consultation, n =</w:t>
      </w:r>
      <w:r>
        <w:t xml:space="preserve"> </w:t>
      </w:r>
      <w:r>
        <w:t xml:space="preserve">214).</w:t>
      </w:r>
    </w:p>
    <w:p>
      <w:pPr>
        <w:pStyle w:val="BodyText"/>
      </w:pPr>
      <w:r>
        <w:t xml:space="preserve">344</w:t>
      </w:r>
    </w:p>
    <w:p>
      <w:pPr>
        <w:pStyle w:val="BodyText"/>
      </w:pPr>
      <w:r>
        <w:t xml:space="preserve">18.3.3 Objective 2: Donor and offspring protection</w:t>
      </w:r>
      <w:r>
        <w:t xml:space="preserve"> </w:t>
      </w:r>
      <w:r>
        <w:t xml:space="preserve">In addition to patient protection, donor and offspring protection also requires the setting</w:t>
      </w:r>
      <w:r>
        <w:t xml:space="preserve"> </w:t>
      </w:r>
      <w:r>
        <w:t xml:space="preserve">of technical rules. Rules for donor and offspring protection could similarly be set by</w:t>
      </w:r>
      <w:r>
        <w:t xml:space="preserve"> </w:t>
      </w:r>
      <w:r>
        <w:t xml:space="preserve">professionals themselves, by expert bodies, or by EU law. Again, the majority of</w:t>
      </w:r>
      <w:r>
        <w:t xml:space="preserve"> </w:t>
      </w:r>
      <w:r>
        <w:t xml:space="preserve">respondents in the Public Consultation indicated that expert bodies (such as ECDC or</w:t>
      </w:r>
      <w:r>
        <w:t xml:space="preserve"> </w:t>
      </w:r>
      <w:r>
        <w:t xml:space="preserve">EDQM) would be the most appropriate for this role (Figure 18.8). However, when</w:t>
      </w:r>
      <w:r>
        <w:t xml:space="preserve"> </w:t>
      </w:r>
      <w:r>
        <w:t xml:space="preserve">comparing these responses to those for technical rules for patient protection, a more</w:t>
      </w:r>
      <w:r>
        <w:t xml:space="preserve"> </w:t>
      </w:r>
      <w:r>
        <w:t xml:space="preserve">significant role was indicated for EU law than for professionals.</w:t>
      </w:r>
      <w:r>
        <w:br/>
      </w:r>
      <w:r>
        <w:t xml:space="preserve">Figure 18.8. Who should set out these technical rules [for donor protection] to effectively achieve up-to-date safety</w:t>
      </w:r>
      <w:r>
        <w:t xml:space="preserve"> </w:t>
      </w:r>
      <w:r>
        <w:t xml:space="preserve">and quality rules, based on good science? (Public Consultation; n = 214).</w:t>
      </w:r>
    </w:p>
    <w:p>
      <w:pPr>
        <w:pStyle w:val="BodyText"/>
      </w:pPr>
      <w:r>
        <w:t xml:space="preserve">Interestingly, the Targeted Consultation indicated a slight preference that rules on donor</w:t>
      </w:r>
      <w:r>
        <w:t xml:space="preserve"> </w:t>
      </w:r>
      <w:r>
        <w:t xml:space="preserve">protection and follow-up should be set in EU legislation (63 responses) rather than by</w:t>
      </w:r>
      <w:r>
        <w:t xml:space="preserve"> </w:t>
      </w:r>
      <w:r>
        <w:t xml:space="preserve">Expert Bodies (52 respondents) (Figure 18.9). The same tendency was reported on</w:t>
      </w:r>
      <w:r>
        <w:t xml:space="preserve"> </w:t>
      </w:r>
      <w:r>
        <w:t xml:space="preserve">donor/donor family consent rules (73 responses for EU legislation, 29 responses for</w:t>
      </w:r>
      <w:r>
        <w:t xml:space="preserve"> </w:t>
      </w:r>
      <w:r>
        <w:t xml:space="preserve">expert bodies). Preference for Expert Bodies was however reflected by the answers</w:t>
      </w:r>
      <w:r>
        <w:t xml:space="preserve"> </w:t>
      </w:r>
      <w:r>
        <w:t xml:space="preserve">regarding donor age limit rules and donor medical/behavioural history screening (70 and</w:t>
      </w:r>
      <w:r>
        <w:t xml:space="preserve"> </w:t>
      </w:r>
      <w:r>
        <w:t xml:space="preserve">100 responses for expert bodies, respectively).</w:t>
      </w:r>
      <w:r>
        <w:br/>
      </w:r>
      <w:r>
        <w:t xml:space="preserve">Figure 18.9. Who should set out these technical rules (for donor protection) to effectively achieve up-to-date safety</w:t>
      </w:r>
      <w:r>
        <w:t xml:space="preserve"> </w:t>
      </w:r>
      <w:r>
        <w:t xml:space="preserve">and quality rules, based on good science? (Targeted Consultation; n= 148-150)</w:t>
      </w:r>
    </w:p>
    <w:p>
      <w:pPr>
        <w:pStyle w:val="BodyText"/>
      </w:pPr>
      <w:r>
        <w:t xml:space="preserve">345</w:t>
      </w:r>
    </w:p>
    <w:p>
      <w:pPr>
        <w:pStyle w:val="BodyText"/>
      </w:pPr>
      <w:r>
        <w:t xml:space="preserve">18.3.4 Procedural details on Technical Rules</w:t>
      </w:r>
      <w:r>
        <w:t xml:space="preserve"> </w:t>
      </w:r>
      <w:r>
        <w:t xml:space="preserve">To ensure that revised technical rules could protect all relevant patients and donors,</w:t>
      </w:r>
      <w:r>
        <w:t xml:space="preserve"> </w:t>
      </w:r>
      <w:r>
        <w:t xml:space="preserve">consideration was also given to the need to apply the future framework to any SoHO</w:t>
      </w:r>
      <w:r>
        <w:t xml:space="preserve"> </w:t>
      </w:r>
      <w:r>
        <w:t xml:space="preserve">currently not covered. Of particular relevance here might be novel substances of human</w:t>
      </w:r>
      <w:r>
        <w:t xml:space="preserve"> </w:t>
      </w:r>
      <w:r>
        <w:t xml:space="preserve">origins, such as faecal microbiota transplants or human donor milk. In the Targeted</w:t>
      </w:r>
      <w:r>
        <w:t xml:space="preserve"> </w:t>
      </w:r>
      <w:r>
        <w:t xml:space="preserve">Consultation, around half of the respondents indicated agreement with such an extension</w:t>
      </w:r>
      <w:r>
        <w:t xml:space="preserve"> </w:t>
      </w:r>
      <w:r>
        <w:t xml:space="preserve">of the scope (Figure 18.10). This agreement was generally shared across all stakeholder</w:t>
      </w:r>
      <w:r>
        <w:t xml:space="preserve"> </w:t>
      </w:r>
      <w:r>
        <w:t xml:space="preserve">categories.</w:t>
      </w:r>
      <w:r>
        <w:br/>
      </w:r>
      <w:r>
        <w:t xml:space="preserve">Figure 18.10. Should the legislation include in its scope substances of human origin that do not meet the definitions of</w:t>
      </w:r>
      <w:r>
        <w:t xml:space="preserve"> </w:t>
      </w:r>
      <w:r>
        <w:t xml:space="preserve">blood, tissues or cells (e.g. breast milk or intestinal microbiota) but are applied to patients? (Targeted Consultation, n</w:t>
      </w:r>
      <w:r>
        <w:t xml:space="preserve"> </w:t>
      </w:r>
      <w:r>
        <w:t xml:space="preserve">= 155)</w:t>
      </w:r>
    </w:p>
    <w:p>
      <w:pPr>
        <w:pStyle w:val="BodyText"/>
      </w:pPr>
      <w:r>
        <w:t xml:space="preserve">Respondents were moreover asked to provide free-text comments on the inclusion of</w:t>
      </w:r>
      <w:r>
        <w:t xml:space="preserve"> </w:t>
      </w:r>
      <w:r>
        <w:t xml:space="preserve">substances not currently included in the BTC framework. Of the 66 answers received,</w:t>
      </w:r>
      <w:r>
        <w:t xml:space="preserve"> </w:t>
      </w:r>
      <w:r>
        <w:t xml:space="preserve">most considered an extension to all SoHO (10 mentions) or all SoHO intended for human</w:t>
      </w:r>
      <w:r>
        <w:t xml:space="preserve"> </w:t>
      </w:r>
      <w:r>
        <w:t xml:space="preserve">application (9 mentions) to be the best option, while 3 responses indicated that any</w:t>
      </w:r>
      <w:r>
        <w:t xml:space="preserve"> </w:t>
      </w:r>
      <w:r>
        <w:t xml:space="preserve">extension of the scope would be inappropriate. Some of the respondents used the</w:t>
      </w:r>
      <w:r>
        <w:t xml:space="preserve"> </w:t>
      </w:r>
      <w:r>
        <w:t xml:space="preserve">opportunity to propose criteria for the decision of in- and exclusion in the future</w:t>
      </w:r>
      <w:r>
        <w:t xml:space="preserve"> </w:t>
      </w:r>
      <w:r>
        <w:t xml:space="preserve">framework and suggested safety and ethical considerations (3 mentions) or risk</w:t>
      </w:r>
      <w:r>
        <w:t xml:space="preserve"> </w:t>
      </w:r>
      <w:r>
        <w:t xml:space="preserve">assessments (4 mentions).</w:t>
      </w:r>
      <w:r>
        <w:br/>
      </w:r>
      <w:r>
        <w:t xml:space="preserve">Both the Public and the Targeted Consultation asked respondents for further comments</w:t>
      </w:r>
      <w:r>
        <w:t xml:space="preserve"> </w:t>
      </w:r>
      <w:r>
        <w:t xml:space="preserve">regarding the procedures for rule setting. In the Public Consultation, 105 comments were</w:t>
      </w:r>
      <w:r>
        <w:t xml:space="preserve"> </w:t>
      </w:r>
      <w:r>
        <w:t xml:space="preserve">received. Nineteen of these expressed support for policy option 2 while 2 expressed</w:t>
      </w:r>
      <w:r>
        <w:t xml:space="preserve"> </w:t>
      </w:r>
      <w:r>
        <w:t xml:space="preserve">concerns; for policy option 3, support and concern were expressed by 3 responses each.</w:t>
      </w:r>
      <w:r>
        <w:t xml:space="preserve"> </w:t>
      </w:r>
      <w:r>
        <w:t xml:space="preserve">In addition, these comments highlighted the importance of international harmonization (7</w:t>
      </w:r>
      <w:r>
        <w:t xml:space="preserve"> </w:t>
      </w:r>
      <w:r>
        <w:t xml:space="preserve">mentions), and the inclusion of GAPP/EUROGTPII into any rule-setting considerations</w:t>
      </w:r>
      <w:r>
        <w:t xml:space="preserve"> </w:t>
      </w:r>
      <w:r>
        <w:t xml:space="preserve">(4 mentions). A significant group of respondents also used this opportunity to call for</w:t>
      </w:r>
      <w:r>
        <w:t xml:space="preserve"> </w:t>
      </w:r>
      <w:r>
        <w:t xml:space="preserve">specific sets of technical rules for individual subsectors (medical assisted reproduction</w:t>
      </w:r>
      <w:r>
        <w:t xml:space="preserve"> </w:t>
      </w:r>
      <w:r>
        <w:t xml:space="preserve">(12 mentions), cord blood (12 mentions), and faecal microbial transplants (5 mentions)).</w:t>
      </w:r>
      <w:r>
        <w:br/>
      </w:r>
      <w:r>
        <w:t xml:space="preserve">Responses received to two relevant questions in the Targeted Consultation (96 and 52</w:t>
      </w:r>
      <w:r>
        <w:t xml:space="preserve"> </w:t>
      </w:r>
      <w:r>
        <w:t xml:space="preserve">responses, respectively) gave some additional insights into the priorities of stakeholders</w:t>
      </w:r>
    </w:p>
    <w:p>
      <w:pPr>
        <w:pStyle w:val="BodyText"/>
      </w:pPr>
      <w:r>
        <w:t xml:space="preserve">346</w:t>
      </w:r>
    </w:p>
    <w:p>
      <w:pPr>
        <w:pStyle w:val="BodyText"/>
      </w:pPr>
      <w:r>
        <w:t xml:space="preserve">regarding the process for rule setting under policy option 2. Participants highlighted the</w:t>
      </w:r>
      <w:r>
        <w:t xml:space="preserve"> </w:t>
      </w:r>
      <w:r>
        <w:t xml:space="preserve">fundamental importance of transparency (29 mentions), clear references to the evidence</w:t>
      </w:r>
      <w:r>
        <w:t xml:space="preserve"> </w:t>
      </w:r>
      <w:r>
        <w:t xml:space="preserve">base (24 mentions), and opportunities for stakeholder consultations (21 mentions) as key</w:t>
      </w:r>
      <w:r>
        <w:t xml:space="preserve"> </w:t>
      </w:r>
      <w:r>
        <w:t xml:space="preserve">success factors. Interestingly, responses were split on the importance of geographical</w:t>
      </w:r>
      <w:r>
        <w:t xml:space="preserve"> </w:t>
      </w:r>
      <w:r>
        <w:t xml:space="preserve">representation: While six responses indicated that a balance between Member States</w:t>
      </w:r>
      <w:r>
        <w:t xml:space="preserve"> </w:t>
      </w:r>
      <w:r>
        <w:t xml:space="preserve">would need to be ensured, five responses preferred participation in rule-setting to be</w:t>
      </w:r>
      <w:r>
        <w:t xml:space="preserve"> </w:t>
      </w:r>
      <w:r>
        <w:t xml:space="preserve">based on technical expertise rather than Member State representation. On a separate note,</w:t>
      </w:r>
      <w:r>
        <w:t xml:space="preserve"> </w:t>
      </w:r>
      <w:r>
        <w:t xml:space="preserve">respondents expressed some levels of concern regarding the status of EDQM as a</w:t>
      </w:r>
      <w:r>
        <w:t xml:space="preserve"> </w:t>
      </w:r>
      <w:r>
        <w:t xml:space="preserve">European expert body, highlighting that the scope of Member States was not the same as</w:t>
      </w:r>
      <w:r>
        <w:t xml:space="preserve"> </w:t>
      </w:r>
      <w:r>
        <w:t xml:space="preserve">the EU (8 mentions) and that its current working methods were not sufficiently</w:t>
      </w:r>
      <w:r>
        <w:t xml:space="preserve"> </w:t>
      </w:r>
      <w:r>
        <w:t xml:space="preserve">transparent (4 mentions). Stratifications showed that concerns regarding membership</w:t>
      </w:r>
      <w:r>
        <w:t xml:space="preserve"> </w:t>
      </w:r>
      <w:r>
        <w:t xml:space="preserve">scope came from manufacturers, patient representations, and oversight authorities, while</w:t>
      </w:r>
      <w:r>
        <w:t xml:space="preserve"> </w:t>
      </w:r>
      <w:r>
        <w:t xml:space="preserve">concerns regarding working methods of EDQM came from manufacturers and</w:t>
      </w:r>
      <w:r>
        <w:t xml:space="preserve"> </w:t>
      </w:r>
      <w:r>
        <w:t xml:space="preserve">researchers.</w:t>
      </w:r>
      <w:r>
        <w:br/>
      </w:r>
      <w:r>
        <w:t xml:space="preserve">18.3.5 Objective 3: Oversight</w:t>
      </w:r>
      <w:r>
        <w:br/>
      </w:r>
      <w:r>
        <w:t xml:space="preserve">To address the problems resulting from divergent national approaches to oversight,</w:t>
      </w:r>
      <w:r>
        <w:t xml:space="preserve"> </w:t>
      </w:r>
      <w:r>
        <w:t xml:space="preserve">various measures were proposed in the Inception Impact Assessment. In the Public</w:t>
      </w:r>
      <w:r>
        <w:t xml:space="preserve"> </w:t>
      </w:r>
      <w:r>
        <w:t xml:space="preserve">Consultation, respondents were asked to assess the expected impact of introducing</w:t>
      </w:r>
      <w:r>
        <w:t xml:space="preserve"> </w:t>
      </w:r>
      <w:r>
        <w:t xml:space="preserve">oversight principles (meaning that EU law would mandate certain requirements for</w:t>
      </w:r>
      <w:r>
        <w:t xml:space="preserve"> </w:t>
      </w:r>
      <w:r>
        <w:t xml:space="preserve">competence or independence of authorities), European Commission audits of National</w:t>
      </w:r>
      <w:r>
        <w:t xml:space="preserve"> </w:t>
      </w:r>
      <w:r>
        <w:t xml:space="preserve">Competent Authorities, greater collaboration between Member States and a training</w:t>
      </w:r>
      <w:r>
        <w:t xml:space="preserve"> </w:t>
      </w:r>
      <w:r>
        <w:t xml:space="preserve">programme (Figure 18.11). Overall, respondents considered that the proposed measures</w:t>
      </w:r>
      <w:r>
        <w:t xml:space="preserve"> </w:t>
      </w:r>
      <w:r>
        <w:t xml:space="preserve">to strengthen oversight would have positive impacts – average response being 7 on the</w:t>
      </w:r>
      <w:r>
        <w:t xml:space="preserve"> </w:t>
      </w:r>
      <w:r>
        <w:t xml:space="preserve">scale of 1-10 (negative to positive, default value 5).</w:t>
      </w:r>
      <w:r>
        <w:br/>
      </w:r>
      <w:r>
        <w:t xml:space="preserve">Figure 18.11. Overview of expected impact of strengthened oversight measures (1 to 10 – negative to positive). (Public</w:t>
      </w:r>
      <w:r>
        <w:t xml:space="preserve"> </w:t>
      </w:r>
      <w:r>
        <w:t xml:space="preserve">Consultation; n = 214).</w:t>
      </w:r>
    </w:p>
    <w:p>
      <w:pPr>
        <w:pStyle w:val="BodyText"/>
      </w:pPr>
      <w:r>
        <w:t xml:space="preserve">Average</w:t>
      </w:r>
      <w:r>
        <w:t xml:space="preserve"> </w:t>
      </w:r>
      <w:r>
        <w:t xml:space="preserve">Median</w:t>
      </w:r>
      <w:r>
        <w:t xml:space="preserve"> </w:t>
      </w:r>
      <w:r>
        <w:t xml:space="preserve">Standard</w:t>
      </w:r>
      <w:r>
        <w:t xml:space="preserve"> </w:t>
      </w:r>
      <w:r>
        <w:t xml:space="preserve">deviation</w:t>
      </w:r>
      <w:r>
        <w:t xml:space="preserve"> </w:t>
      </w:r>
      <w:r>
        <w:t xml:space="preserve">Introducing oversight principles for authorities in EU legislation. The</w:t>
      </w:r>
      <w:r>
        <w:t xml:space="preserve"> </w:t>
      </w:r>
      <w:r>
        <w:t xml:space="preserve">principles might address independence of inspectors, conflicts of</w:t>
      </w:r>
      <w:r>
        <w:t xml:space="preserve"> </w:t>
      </w:r>
      <w:r>
        <w:t xml:space="preserve">interest, and competency requirements for staff in authorities.</w:t>
      </w:r>
      <w:r>
        <w:t xml:space="preserve"> </w:t>
      </w:r>
      <w:r>
        <w:t xml:space="preserve">7.17</w:t>
      </w:r>
      <w:r>
        <w:t xml:space="preserve"> </w:t>
      </w:r>
      <w:r>
        <w:t xml:space="preserve">7</w:t>
      </w:r>
      <w:r>
        <w:t xml:space="preserve"> </w:t>
      </w:r>
      <w:r>
        <w:t xml:space="preserve">1.8</w:t>
      </w:r>
      <w:r>
        <w:t xml:space="preserve"> </w:t>
      </w:r>
      <w:r>
        <w:t xml:space="preserve">Audits by the European Commission of Member State competent</w:t>
      </w:r>
      <w:r>
        <w:t xml:space="preserve"> </w:t>
      </w:r>
      <w:r>
        <w:t xml:space="preserve">authority control systems (inspection, vigilance, reporting).</w:t>
      </w:r>
      <w:r>
        <w:t xml:space="preserve"> </w:t>
      </w:r>
      <w:r>
        <w:t xml:space="preserve">6.87</w:t>
      </w:r>
      <w:r>
        <w:t xml:space="preserve"> </w:t>
      </w:r>
      <w:r>
        <w:t xml:space="preserve">7</w:t>
      </w:r>
      <w:r>
        <w:t xml:space="preserve"> </w:t>
      </w:r>
      <w:r>
        <w:t xml:space="preserve">2.0</w:t>
      </w:r>
      <w:r>
        <w:t xml:space="preserve"> </w:t>
      </w:r>
      <w:r>
        <w:t xml:space="preserve">Greater collaboration between Member State competent authorities (e.g. </w:t>
      </w:r>
      <w:r>
        <w:t xml:space="preserve"> </w:t>
      </w:r>
      <w:r>
        <w:t xml:space="preserve">joint inspections, peer audits of inspections)</w:t>
      </w:r>
      <w:r>
        <w:t xml:space="preserve"> </w:t>
      </w:r>
      <w:r>
        <w:t xml:space="preserve">6.99</w:t>
      </w:r>
      <w:r>
        <w:t xml:space="preserve"> </w:t>
      </w:r>
      <w:r>
        <w:t xml:space="preserve">7</w:t>
      </w:r>
      <w:r>
        <w:t xml:space="preserve"> </w:t>
      </w:r>
      <w:r>
        <w:t xml:space="preserve">2.17</w:t>
      </w:r>
      <w:r>
        <w:t xml:space="preserve"> </w:t>
      </w:r>
      <w:r>
        <w:t xml:space="preserve">EU programme of training of staff in national/regional authorities to</w:t>
      </w:r>
      <w:r>
        <w:t xml:space="preserve"> </w:t>
      </w:r>
      <w:r>
        <w:t xml:space="preserve">agreed guidelines</w:t>
      </w:r>
      <w:r>
        <w:t xml:space="preserve"> </w:t>
      </w:r>
      <w:r>
        <w:t xml:space="preserve">7.3</w:t>
      </w:r>
      <w:r>
        <w:t xml:space="preserve"> </w:t>
      </w:r>
      <w:r>
        <w:t xml:space="preserve">8</w:t>
      </w:r>
      <w:r>
        <w:t xml:space="preserve"> </w:t>
      </w:r>
      <w:r>
        <w:t xml:space="preserve">2.06</w:t>
      </w:r>
    </w:p>
    <w:p>
      <w:pPr>
        <w:pStyle w:val="BodyText"/>
      </w:pPr>
      <w:r>
        <w:t xml:space="preserve">In the Targeted Consultation, some further measures were proposed to participants. In</w:t>
      </w:r>
      <w:r>
        <w:t xml:space="preserve"> </w:t>
      </w:r>
      <w:r>
        <w:t xml:space="preserve">most cases, the majority of respondents agreed that some consideration should be given</w:t>
      </w:r>
      <w:r>
        <w:t xml:space="preserve"> </w:t>
      </w:r>
      <w:r>
        <w:t xml:space="preserve">to these proposals as well, although authorisations by a multi-country inspection team for</w:t>
      </w:r>
      <w:r>
        <w:t xml:space="preserve"> </w:t>
      </w:r>
      <w:r>
        <w:t xml:space="preserve">BTC distribution outside of the Member State were rejected by a large group of</w:t>
      </w:r>
      <w:r>
        <w:t xml:space="preserve"> </w:t>
      </w:r>
      <w:r>
        <w:t xml:space="preserve">respondents (Figure 18.12).</w:t>
      </w:r>
    </w:p>
    <w:p>
      <w:pPr>
        <w:pStyle w:val="BodyText"/>
      </w:pPr>
      <w:r>
        <w:t xml:space="preserve">347</w:t>
      </w:r>
    </w:p>
    <w:p>
      <w:pPr>
        <w:pStyle w:val="BodyText"/>
      </w:pPr>
      <w:r>
        <w:t xml:space="preserve">Figure 18.12. Which of the following [proposed measures for an improvement of the key requirements for</w:t>
      </w:r>
      <w:r>
        <w:t xml:space="preserve"> </w:t>
      </w:r>
      <w:r>
        <w:t xml:space="preserve">authorisation of blood and tissue establishments] should be considered in legislation? (Targeted Consultation; n= 143-</w:t>
      </w:r>
      <w:r>
        <w:t xml:space="preserve"> </w:t>
      </w:r>
      <w:r>
        <w:t xml:space="preserve">146).</w:t>
      </w:r>
    </w:p>
    <w:p>
      <w:pPr>
        <w:pStyle w:val="BodyText"/>
      </w:pPr>
      <w:r>
        <w:t xml:space="preserve">Participants in the Targeted Consultation also indicated a preference that requirements</w:t>
      </w:r>
      <w:r>
        <w:t xml:space="preserve"> </w:t>
      </w:r>
      <w:r>
        <w:t xml:space="preserve">for national authorities be defined and updated by Expert Bodies. When asked about the</w:t>
      </w:r>
      <w:r>
        <w:t xml:space="preserve"> </w:t>
      </w:r>
      <w:r>
        <w:t xml:space="preserve">inclusion of oversight principles in EU legislation, the largest group indicated that ‘skill</w:t>
      </w:r>
      <w:r>
        <w:t xml:space="preserve"> </w:t>
      </w:r>
      <w:r>
        <w:t xml:space="preserve">and competence of inspectors and other authority officials’ as well as ‘lack of personal</w:t>
      </w:r>
      <w:r>
        <w:t xml:space="preserve"> </w:t>
      </w:r>
      <w:r>
        <w:t xml:space="preserve">conflicts of interest of inspectors at each inspection’ would increase confidence in</w:t>
      </w:r>
      <w:r>
        <w:t xml:space="preserve"> </w:t>
      </w:r>
      <w:r>
        <w:t xml:space="preserve">oversight practice (122 and 108 respondents, respectively). ‘Transparency to citizens’</w:t>
      </w:r>
    </w:p>
    <w:p>
      <w:pPr>
        <w:pStyle w:val="BodyText"/>
      </w:pPr>
      <w:r>
        <w:t xml:space="preserve">348</w:t>
      </w:r>
    </w:p>
    <w:p>
      <w:pPr>
        <w:pStyle w:val="BodyText"/>
      </w:pPr>
      <w:r>
        <w:t xml:space="preserve">and ‘adequate administrative capacity’ were also well-received (93 and 91 respondents,</w:t>
      </w:r>
      <w:r>
        <w:t xml:space="preserve"> </w:t>
      </w:r>
      <w:r>
        <w:t xml:space="preserve">respectively) while ‘independence from the regulated sector’ as well as ‘legal mandates</w:t>
      </w:r>
      <w:r>
        <w:t xml:space="preserve"> </w:t>
      </w:r>
      <w:r>
        <w:t xml:space="preserve">to inspectors’ seemed to be slightly less important (76 and 60 respondents, respectively).</w:t>
      </w:r>
      <w:r>
        <w:br/>
      </w:r>
      <w:r>
        <w:t xml:space="preserve">To gain a better understanding of the concerns regarding strengthened oversight</w:t>
      </w:r>
      <w:r>
        <w:t xml:space="preserve"> </w:t>
      </w:r>
      <w:r>
        <w:t xml:space="preserve">measures, the Public Consultation asked participants to provide free-text explanations.</w:t>
      </w:r>
      <w:r>
        <w:t xml:space="preserve"> </w:t>
      </w:r>
      <w:r>
        <w:t xml:space="preserve">The 87 answers showed that respondents anticipated an increase in costs (14 mentions),</w:t>
      </w:r>
      <w:r>
        <w:t xml:space="preserve"> </w:t>
      </w:r>
      <w:r>
        <w:t xml:space="preserve">administrative burden (13 mentions), complexity (4 mentions), resource usage and</w:t>
      </w:r>
      <w:r>
        <w:t xml:space="preserve"> </w:t>
      </w:r>
      <w:r>
        <w:t xml:space="preserve">workload (3 mentions respectively). Further concerns were expressed regarding a</w:t>
      </w:r>
      <w:r>
        <w:t xml:space="preserve"> </w:t>
      </w:r>
      <w:r>
        <w:t xml:space="preserve">possible detrimental effect on existing cross-border collaborations within the EU (3</w:t>
      </w:r>
      <w:r>
        <w:t xml:space="preserve"> </w:t>
      </w:r>
      <w:r>
        <w:t xml:space="preserve">mentions) or with 3rd countries (3 mentions). Finally, the importance of harmonization</w:t>
      </w:r>
      <w:r>
        <w:t xml:space="preserve"> </w:t>
      </w:r>
      <w:r>
        <w:t xml:space="preserve">and coordination was underlined (3 mentions), and a preference was expressed to keep</w:t>
      </w:r>
      <w:r>
        <w:t xml:space="preserve"> </w:t>
      </w:r>
      <w:r>
        <w:t xml:space="preserve">ATMP products under the pharma framework (3 mentions).</w:t>
      </w:r>
      <w:r>
        <w:br/>
      </w:r>
      <w:r>
        <w:t xml:space="preserve">Commenting on the new proposed approach for oversight more generally, a total of 93</w:t>
      </w:r>
      <w:r>
        <w:t xml:space="preserve"> </w:t>
      </w:r>
      <w:r>
        <w:t xml:space="preserve">free-text comments was received in the Public Consultation. Support was expressed for</w:t>
      </w:r>
      <w:r>
        <w:t xml:space="preserve"> </w:t>
      </w:r>
      <w:r>
        <w:t xml:space="preserve">mutual recognition of inspections (8 mentions) and for the inclusion of general principles</w:t>
      </w:r>
      <w:r>
        <w:t xml:space="preserve"> </w:t>
      </w:r>
      <w:r>
        <w:t xml:space="preserve">in EU law (5 mentions); these supportive comments came largely from public authorities</w:t>
      </w:r>
      <w:r>
        <w:t xml:space="preserve"> </w:t>
      </w:r>
      <w:r>
        <w:t xml:space="preserve">and industry. Large groups of respondents highlighted the importance of special</w:t>
      </w:r>
      <w:r>
        <w:t xml:space="preserve"> </w:t>
      </w:r>
      <w:r>
        <w:t xml:space="preserve">consideration for some subsectors, regarding for example clear criteria for inspectors,</w:t>
      </w:r>
      <w:r>
        <w:t xml:space="preserve"> </w:t>
      </w:r>
      <w:r>
        <w:t xml:space="preserve">training, and financial support in the medically assisted reproduction sector (12</w:t>
      </w:r>
      <w:r>
        <w:t xml:space="preserve"> </w:t>
      </w:r>
      <w:r>
        <w:t xml:space="preserve">mentions), separate legal categories for perinatal tissues (21 mentions) and faecal</w:t>
      </w:r>
      <w:r>
        <w:t xml:space="preserve"> </w:t>
      </w:r>
      <w:r>
        <w:t xml:space="preserve">microbial transplants (4 mentions). Respondents also remarked that new oversight</w:t>
      </w:r>
      <w:r>
        <w:t xml:space="preserve"> </w:t>
      </w:r>
      <w:r>
        <w:t xml:space="preserve">measures should be flexible enough to allow for risk-based approaches (6 mentions) and</w:t>
      </w:r>
      <w:r>
        <w:t xml:space="preserve"> </w:t>
      </w:r>
      <w:r>
        <w:t xml:space="preserve">ensure coordination between EU level and local inspections (4 mentions).</w:t>
      </w:r>
      <w:r>
        <w:br/>
      </w:r>
      <w:r>
        <w:t xml:space="preserve">18.3.6 Objective 4: Innovation</w:t>
      </w:r>
      <w:r>
        <w:t xml:space="preserve"> </w:t>
      </w:r>
      <w:r>
        <w:t xml:space="preserve">To allow for high levels of innovation with patient benefit, a clear understanding of</w:t>
      </w:r>
      <w:r>
        <w:t xml:space="preserve"> </w:t>
      </w:r>
      <w:r>
        <w:t xml:space="preserve">potential barriers faced by innovators in the sector is needed. Previously identified</w:t>
      </w:r>
      <w:r>
        <w:t xml:space="preserve"> </w:t>
      </w:r>
      <w:r>
        <w:t xml:space="preserve">challenges related to unclear regulatory classifications of substances were confirmed as</w:t>
      </w:r>
      <w:r>
        <w:t xml:space="preserve"> </w:t>
      </w:r>
      <w:r>
        <w:t xml:space="preserve">almost half of the respondents (48%) in the Public Consultation, including a high number</w:t>
      </w:r>
      <w:r>
        <w:t xml:space="preserve"> </w:t>
      </w:r>
      <w:r>
        <w:t xml:space="preserve">of National Competent Authority respondents, indicated that they are aware of cases</w:t>
      </w:r>
      <w:r>
        <w:t xml:space="preserve"> </w:t>
      </w:r>
      <w:r>
        <w:t xml:space="preserve">where the regulatory classification of a substance of human origin is unclear (BTC</w:t>
      </w:r>
      <w:r>
        <w:t xml:space="preserve"> </w:t>
      </w:r>
      <w:r>
        <w:t xml:space="preserve">establishments 48%; manufacturers of products based on BTC 53%; National Competent</w:t>
      </w:r>
      <w:r>
        <w:t xml:space="preserve"> </w:t>
      </w:r>
      <w:r>
        <w:t xml:space="preserve">Authorities 62%).</w:t>
      </w:r>
      <w:r>
        <w:br/>
      </w:r>
      <w:r>
        <w:t xml:space="preserve">Approximately a quarter of the respondents to the Public Consultation considered that</w:t>
      </w:r>
      <w:r>
        <w:t xml:space="preserve"> </w:t>
      </w:r>
      <w:r>
        <w:t xml:space="preserve">there are substances/products being regulated under one legal framework that would be</w:t>
      </w:r>
      <w:r>
        <w:t xml:space="preserve"> </w:t>
      </w:r>
      <w:r>
        <w:t xml:space="preserve">better regulated under another (Figure 18.13). There were slight variations between</w:t>
      </w:r>
      <w:r>
        <w:t xml:space="preserve"> </w:t>
      </w:r>
      <w:r>
        <w:t xml:space="preserve">categories of respondents; notably, almost 40% of respondents from academia or patient</w:t>
      </w:r>
      <w:r>
        <w:t xml:space="preserve"> </w:t>
      </w:r>
      <w:r>
        <w:t xml:space="preserve">organisations reported problems of this nature.</w:t>
      </w:r>
      <w:r>
        <w:br/>
      </w:r>
      <w:r>
        <w:t xml:space="preserve">Figure 18.13. Clarity and application of regulatory classifications (Public Consultation, n= 214).</w:t>
      </w:r>
    </w:p>
    <w:p>
      <w:pPr>
        <w:pStyle w:val="BodyText"/>
      </w:pPr>
      <w:r>
        <w:t xml:space="preserve">349</w:t>
      </w:r>
    </w:p>
    <w:p>
      <w:pPr>
        <w:pStyle w:val="BodyText"/>
      </w:pPr>
      <w:r>
        <w:t xml:space="preserve">In the Targeted Consultation, respondents were moreover asked to specify whether they</w:t>
      </w:r>
      <w:r>
        <w:t xml:space="preserve"> </w:t>
      </w:r>
      <w:r>
        <w:t xml:space="preserve">had experience developing treatments at the borderline of frameworks. 49% (72</w:t>
      </w:r>
      <w:r>
        <w:t xml:space="preserve"> </w:t>
      </w:r>
      <w:r>
        <w:t xml:space="preserve">respondents) indicated that they did and were prompted to give further information</w:t>
      </w:r>
      <w:r>
        <w:t xml:space="preserve"> </w:t>
      </w:r>
      <w:r>
        <w:t xml:space="preserve">(Figure 18.14). This indicated significant complexities in understanding which</w:t>
      </w:r>
      <w:r>
        <w:t xml:space="preserve"> </w:t>
      </w:r>
      <w:r>
        <w:t xml:space="preserve">frameworks were applicable, obtaining guidance or confirmation thereof, and obtaining</w:t>
      </w:r>
      <w:r>
        <w:t xml:space="preserve"> </w:t>
      </w:r>
      <w:r>
        <w:t xml:space="preserve">acceptance from other Member States.</w:t>
      </w:r>
      <w:r>
        <w:br/>
      </w:r>
      <w:r>
        <w:t xml:space="preserve">Figure 18.14. How easy have the following aspects been when developing therapies that are at the borderlines with</w:t>
      </w:r>
      <w:r>
        <w:t xml:space="preserve"> </w:t>
      </w:r>
      <w:r>
        <w:t xml:space="preserve">other EU regulated frameworks? (Targeted Consultation, n= 58-71).</w:t>
      </w:r>
    </w:p>
    <w:p>
      <w:pPr>
        <w:pStyle w:val="BodyText"/>
      </w:pPr>
      <w:r>
        <w:t xml:space="preserve">When considering different measures to address the problem highlighted in Figures 18.13</w:t>
      </w:r>
      <w:r>
        <w:t xml:space="preserve"> </w:t>
      </w:r>
      <w:r>
        <w:t xml:space="preserve">and 18.14, respondents to the Public Consultation tended to agree that the set-up of an</w:t>
      </w:r>
      <w:r>
        <w:t xml:space="preserve"> </w:t>
      </w:r>
      <w:r>
        <w:t xml:space="preserve">EU-level structure or committee to advise Members States on whether a substance falls</w:t>
      </w:r>
      <w:r>
        <w:t xml:space="preserve"> </w:t>
      </w:r>
      <w:r>
        <w:t xml:space="preserve">under the BTC legislation would have positive impacts, the average response being 7 on</w:t>
      </w:r>
      <w:r>
        <w:t xml:space="preserve"> </w:t>
      </w:r>
      <w:r>
        <w:t xml:space="preserve">the scale of 1-10. There were slight variations across the categories of stakeholders, but</w:t>
      </w:r>
      <w:r>
        <w:t xml:space="preserve"> </w:t>
      </w:r>
      <w:r>
        <w:t xml:space="preserve">considering the number of respondents the difference is not meaningful 31.</w:t>
      </w:r>
      <w:r>
        <w:br/>
      </w:r>
      <w:r>
        <w:t xml:space="preserve">Furthermore, the overwhelming majority of respondents to the Public Consultation</w:t>
      </w:r>
      <w:r>
        <w:t xml:space="preserve"> </w:t>
      </w:r>
      <w:r>
        <w:t xml:space="preserve">indicated that such an EU-level structure or committee, if established, should co-ordinate</w:t>
      </w:r>
      <w:r>
        <w:t xml:space="preserve"> </w:t>
      </w:r>
      <w:r>
        <w:t xml:space="preserve">decisions with the equivalent committees in the medicinal product and medical device</w:t>
      </w:r>
      <w:r>
        <w:t xml:space="preserve"> </w:t>
      </w:r>
      <w:r>
        <w:t xml:space="preserve">frameworks (Figure 18.15).</w:t>
      </w:r>
    </w:p>
    <w:p>
      <w:pPr>
        <w:pStyle w:val="BodyText"/>
      </w:pPr>
      <w:r>
        <w:t xml:space="preserve">31 Total average is 7.02; average response of NCA 7.24; BE/TE and healthcare providers 6.99; patients</w:t>
      </w:r>
      <w:r>
        <w:t xml:space="preserve"> </w:t>
      </w:r>
      <w:r>
        <w:t xml:space="preserve">6.95; manufacturers 6.88.</w:t>
      </w:r>
    </w:p>
    <w:p>
      <w:pPr>
        <w:pStyle w:val="BodyText"/>
      </w:pPr>
      <w:r>
        <w:t xml:space="preserve">350</w:t>
      </w:r>
    </w:p>
    <w:p>
      <w:pPr>
        <w:pStyle w:val="BodyText"/>
      </w:pPr>
      <w:r>
        <w:t xml:space="preserve">Figure 18.15. If an EU level structure or committee were established, do you consider that it should co-ordinate decisions with the</w:t>
      </w:r>
      <w:r>
        <w:t xml:space="preserve"> </w:t>
      </w:r>
      <w:r>
        <w:t xml:space="preserve">equivalent committees in the medicinal product and medical device frameworks? (Public Consultation, n= 214).</w:t>
      </w:r>
    </w:p>
    <w:p>
      <w:pPr>
        <w:pStyle w:val="BodyText"/>
      </w:pPr>
      <w:r>
        <w:t xml:space="preserve">In the Targeted Consultation, more specific proposals were made and strong majorities</w:t>
      </w:r>
      <w:r>
        <w:t xml:space="preserve"> </w:t>
      </w:r>
      <w:r>
        <w:t xml:space="preserve">supported that such a mechanism should advise whether a substance or product should be</w:t>
      </w:r>
      <w:r>
        <w:t xml:space="preserve"> </w:t>
      </w:r>
      <w:r>
        <w:t xml:space="preserve">subject to all or certain provisions of the BTC legislation, that it should work based on</w:t>
      </w:r>
      <w:r>
        <w:t xml:space="preserve"> </w:t>
      </w:r>
      <w:r>
        <w:t xml:space="preserve">criteria defined in the BTC legislation, and that it should publish its advice. Respondents</w:t>
      </w:r>
      <w:r>
        <w:t xml:space="preserve"> </w:t>
      </w:r>
      <w:r>
        <w:t xml:space="preserve">were more divided and overall less supportive that the same mechanism should advise on</w:t>
      </w:r>
      <w:r>
        <w:t xml:space="preserve"> </w:t>
      </w:r>
      <w:r>
        <w:t xml:space="preserve">the appropriate legal framework when the BTC framework is not considered relevant</w:t>
      </w:r>
      <w:r>
        <w:t xml:space="preserve"> </w:t>
      </w:r>
      <w:r>
        <w:t xml:space="preserve">(Figure 18.16).</w:t>
      </w:r>
      <w:r>
        <w:t xml:space="preserve"> </w:t>
      </w:r>
      <w:r>
        <w:t xml:space="preserve">Figure 18.16. If an EU mechanism were introduced to advise on whether, and if so which, BTC requirements should</w:t>
      </w:r>
      <w:r>
        <w:t xml:space="preserve"> </w:t>
      </w:r>
      <w:r>
        <w:t xml:space="preserve">apply to a substance/product, what is your view on the following statements regarding its possible role? (Targeted</w:t>
      </w:r>
      <w:r>
        <w:t xml:space="preserve"> </w:t>
      </w:r>
      <w:r>
        <w:t xml:space="preserve">Consultation, n= 147-151).</w:t>
      </w:r>
    </w:p>
    <w:p>
      <w:pPr>
        <w:pStyle w:val="BodyText"/>
      </w:pPr>
      <w:r>
        <w:t xml:space="preserve">Further remarks made on such a mechanism were largely positive, focussing on increased</w:t>
      </w:r>
      <w:r>
        <w:t xml:space="preserve"> </w:t>
      </w:r>
      <w:r>
        <w:t xml:space="preserve">harmonization with its added benefit in facilitating exchange between Member States and</w:t>
      </w:r>
      <w:r>
        <w:t xml:space="preserve"> </w:t>
      </w:r>
      <w:r>
        <w:t xml:space="preserve">improved guidance for local authorities. Some concerns were expressed, highlighting that</w:t>
      </w:r>
      <w:r>
        <w:t xml:space="preserve"> </w:t>
      </w:r>
      <w:r>
        <w:t xml:space="preserve">advice should be set up to prevent “shopping” for advice and to maintain global</w:t>
      </w:r>
      <w:r>
        <w:t xml:space="preserve"> </w:t>
      </w:r>
      <w:r>
        <w:t xml:space="preserve">harmonization of criteria for ATMP.</w:t>
      </w:r>
      <w:r>
        <w:br/>
      </w:r>
      <w:r>
        <w:t xml:space="preserve">To effectively regulate innovation in the BTC field, respondents agreed that legal</w:t>
      </w:r>
      <w:r>
        <w:t xml:space="preserve"> </w:t>
      </w:r>
      <w:r>
        <w:t xml:space="preserve">requirements should be introduced in EU legislation for demonstrating safety, quality,</w:t>
      </w:r>
      <w:r>
        <w:t xml:space="preserve"> </w:t>
      </w:r>
      <w:r>
        <w:t xml:space="preserve">and efficacy when BTC are prepared or used in new ways (Figure 18.17). Support for</w:t>
      </w:r>
      <w:r>
        <w:t xml:space="preserve"> </w:t>
      </w:r>
      <w:r>
        <w:t xml:space="preserve">such requirements was expressed by the majority of respondents across different types of</w:t>
      </w:r>
      <w:r>
        <w:t xml:space="preserve"> </w:t>
      </w:r>
      <w:r>
        <w:t xml:space="preserve">organisations, including public authorities (85%), citizen/patient organisations (80%),</w:t>
      </w:r>
      <w:r>
        <w:t xml:space="preserve"> </w:t>
      </w:r>
      <w:r>
        <w:t xml:space="preserve">academic/research organisations (71%) as well as companies/business associations</w:t>
      </w:r>
      <w:r>
        <w:t xml:space="preserve"> </w:t>
      </w:r>
      <w:r>
        <w:t xml:space="preserve">(60%). Breaking down the responses by sector, the support is strongest in the blood</w:t>
      </w:r>
      <w:r>
        <w:t xml:space="preserve"> </w:t>
      </w:r>
      <w:r>
        <w:t xml:space="preserve">sector (81%), followed by tissues &amp; cells (77%). A slightly weaker majority of the</w:t>
      </w:r>
      <w:r>
        <w:t xml:space="preserve"> </w:t>
      </w:r>
      <w:r>
        <w:t xml:space="preserve">respondents in the pharmaceuticals sector (57%) also support this approach.</w:t>
      </w:r>
    </w:p>
    <w:p>
      <w:pPr>
        <w:pStyle w:val="BodyText"/>
      </w:pPr>
      <w:r>
        <w:t xml:space="preserve">351</w:t>
      </w:r>
    </w:p>
    <w:p>
      <w:pPr>
        <w:pStyle w:val="BodyText"/>
      </w:pPr>
      <w:r>
        <w:t xml:space="preserve">Figure 18.17. Should legal requirements be introduced in EU legislation for demonstrating safety, quality and efficacy</w:t>
      </w:r>
      <w:r>
        <w:t xml:space="preserve"> </w:t>
      </w:r>
      <w:r>
        <w:t xml:space="preserve">when blood, tissues and cells are prepared or used in new ways? (Public Consultation, n= 214).</w:t>
      </w:r>
      <w:r>
        <w:t xml:space="preserve"> </w:t>
      </w:r>
      <w:r>
        <w:t xml:space="preserve">Those who indicated that such authorisation requirements would not be necessary were</w:t>
      </w:r>
      <w:r>
        <w:t xml:space="preserve"> </w:t>
      </w:r>
      <w:r>
        <w:t xml:space="preserve">prompted to explain their reasoning, and indicated mainly that overlaps with the existent</w:t>
      </w:r>
      <w:r>
        <w:t xml:space="preserve"> </w:t>
      </w:r>
      <w:r>
        <w:t xml:space="preserve">frameworks on Medicinal Products or Medical Devices should be avoided. In the</w:t>
      </w:r>
      <w:r>
        <w:t xml:space="preserve"> </w:t>
      </w:r>
      <w:r>
        <w:t xml:space="preserve">Targeted Consultation, these views were reflected once again. Here, participants were</w:t>
      </w:r>
      <w:r>
        <w:t xml:space="preserve"> </w:t>
      </w:r>
      <w:r>
        <w:t xml:space="preserve">also asked to estimate the potential financial and administrative burden on a scale of 1 to</w:t>
      </w:r>
      <w:r>
        <w:t xml:space="preserve"> </w:t>
      </w:r>
      <w:r>
        <w:t xml:space="preserve">10. On average, this burden was estimated at 6.2 for blood and tissue establishments and</w:t>
      </w:r>
      <w:r>
        <w:t xml:space="preserve"> </w:t>
      </w:r>
      <w:r>
        <w:t xml:space="preserve">5.7 for competent authorities and clinical users.</w:t>
      </w:r>
      <w:r>
        <w:t xml:space="preserve"> </w:t>
      </w:r>
      <w:r>
        <w:t xml:space="preserve">The targeted consultation made some specific suggestions as to what these authorisation</w:t>
      </w:r>
      <w:r>
        <w:t xml:space="preserve"> </w:t>
      </w:r>
      <w:r>
        <w:t xml:space="preserve">practices could look like. Participants indicated agreement that these should be risk-</w:t>
      </w:r>
      <w:r>
        <w:t xml:space="preserve"> </w:t>
      </w:r>
      <w:r>
        <w:t xml:space="preserve">proportionate (104 fully agree, 10 partially agree), conditional on clinical evidence (86</w:t>
      </w:r>
      <w:r>
        <w:t xml:space="preserve"> </w:t>
      </w:r>
      <w:r>
        <w:t xml:space="preserve">fully agree, 19 partially agree), and that clinical outcome registries could be included in</w:t>
      </w:r>
      <w:r>
        <w:t xml:space="preserve"> </w:t>
      </w:r>
      <w:r>
        <w:t xml:space="preserve">this (70 fully agree, 40 partially agree). They further indicated that preparation process</w:t>
      </w:r>
      <w:r>
        <w:t xml:space="preserve"> </w:t>
      </w:r>
      <w:r>
        <w:t xml:space="preserve">authorisations should be publicly registered (64 fully agree, 41 partially agree) and</w:t>
      </w:r>
      <w:r>
        <w:t xml:space="preserve"> </w:t>
      </w:r>
      <w:r>
        <w:t xml:space="preserve">shared and mutually recognized between Member States (53 fully agree, 52 partially</w:t>
      </w:r>
      <w:r>
        <w:t xml:space="preserve"> </w:t>
      </w:r>
      <w:r>
        <w:t xml:space="preserve">agree). Their application should be specific to intended clinical applications (60 fully</w:t>
      </w:r>
      <w:r>
        <w:t xml:space="preserve"> </w:t>
      </w:r>
      <w:r>
        <w:t xml:space="preserve">agree, 37 partially agree). When asked whether such authorisations should be applied if</w:t>
      </w:r>
      <w:r>
        <w:t xml:space="preserve"> </w:t>
      </w:r>
      <w:r>
        <w:t xml:space="preserve">changes applied only to the mode of clinical application, participants were largely in</w:t>
      </w:r>
      <w:r>
        <w:t xml:space="preserve"> </w:t>
      </w:r>
      <w:r>
        <w:t xml:space="preserve">disagreement (10 fully agree, 38 partially agree).</w:t>
      </w:r>
      <w:r>
        <w:br/>
      </w:r>
      <w:r>
        <w:t xml:space="preserve">18.3.7 Objective 5: Supply</w:t>
      </w:r>
      <w:r>
        <w:br/>
      </w:r>
      <w:r>
        <w:t xml:space="preserve">On the topic of sustainability of the supply of BTC, stakeholders were asked to assess the</w:t>
      </w:r>
      <w:r>
        <w:t xml:space="preserve"> </w:t>
      </w:r>
      <w:r>
        <w:t xml:space="preserve">expected impact of proposed measures. Overall, respondents considered that the</w:t>
      </w:r>
      <w:r>
        <w:t xml:space="preserve"> </w:t>
      </w:r>
      <w:r>
        <w:t xml:space="preserve">establishment of mandatory EU monitoring and routine reporting of sufficiency data</w:t>
      </w:r>
      <w:r>
        <w:t xml:space="preserve"> </w:t>
      </w:r>
      <w:r>
        <w:t xml:space="preserve">(including rapid notifications in case of sudden significant supply drops) would have</w:t>
      </w:r>
      <w:r>
        <w:t xml:space="preserve"> </w:t>
      </w:r>
      <w:r>
        <w:t xml:space="preserve">positive impacts. The average responses for the measures are 7 on the scale of 1-10 (1</w:t>
      </w:r>
      <w:r>
        <w:t xml:space="preserve"> </w:t>
      </w:r>
      <w:r>
        <w:t xml:space="preserve">being no impact and 10 being a significant positive impact). Respondents also indicated</w:t>
      </w:r>
      <w:r>
        <w:t xml:space="preserve"> </w:t>
      </w:r>
      <w:r>
        <w:t xml:space="preserve">an increase of administrative burden and costs for such measures (with an average</w:t>
      </w:r>
      <w:r>
        <w:t xml:space="preserve"> </w:t>
      </w:r>
      <w:r>
        <w:t xml:space="preserve">response of 6 on a scale of 1 to 10 in both cases, where 1 indicated low burden or cost</w:t>
      </w:r>
      <w:r>
        <w:t xml:space="preserve"> </w:t>
      </w:r>
      <w:r>
        <w:t xml:space="preserve">and 10 a very significant burden or cost). The answers given to the Targeted Consultation</w:t>
      </w:r>
      <w:r>
        <w:t xml:space="preserve"> </w:t>
      </w:r>
      <w:r>
        <w:t xml:space="preserve">generally mirrored these assessments. Other measures selected as helpful to address a</w:t>
      </w:r>
      <w:r>
        <w:t xml:space="preserve"> </w:t>
      </w:r>
      <w:r>
        <w:t xml:space="preserve">sudden drop in supply (crisis) were co-operation amongst BTC establishments (selected</w:t>
      </w:r>
      <w:r>
        <w:t xml:space="preserve"> </w:t>
      </w:r>
      <w:r>
        <w:t xml:space="preserve">by 117 respondents), notification to the EU level with collective response co-ordination</w:t>
      </w:r>
      <w:r>
        <w:t xml:space="preserve"> </w:t>
      </w:r>
      <w:r>
        <w:t xml:space="preserve">(93) and notification to the National Competent Authority with a national response (72).</w:t>
      </w:r>
    </w:p>
    <w:p>
      <w:pPr>
        <w:pStyle w:val="BodyText"/>
      </w:pPr>
      <w:r>
        <w:t xml:space="preserve">352</w:t>
      </w:r>
    </w:p>
    <w:p>
      <w:pPr>
        <w:pStyle w:val="BodyText"/>
      </w:pPr>
      <w:r>
        <w:t xml:space="preserve">To allow for further suggestions on measures to address sudden drops in supply,</w:t>
      </w:r>
      <w:r>
        <w:t xml:space="preserve"> </w:t>
      </w:r>
      <w:r>
        <w:t xml:space="preserve">participants in the Public Consultation were asked for free-text comments. The 26</w:t>
      </w:r>
      <w:r>
        <w:t xml:space="preserve"> </w:t>
      </w:r>
      <w:r>
        <w:t xml:space="preserve">comments received included some suggestions repeated by multiple respondents, mainly</w:t>
      </w:r>
      <w:r>
        <w:t xml:space="preserve"> </w:t>
      </w:r>
      <w:r>
        <w:t xml:space="preserve">EU support for exchange of substances between Member States (5 mentions) and a</w:t>
      </w:r>
      <w:r>
        <w:t xml:space="preserve"> </w:t>
      </w:r>
      <w:r>
        <w:t xml:space="preserve">reference to the conclusions drawn by the EMA task force on supply (4 mentions). In</w:t>
      </w:r>
      <w:r>
        <w:t xml:space="preserve"> </w:t>
      </w:r>
      <w:r>
        <w:t xml:space="preserve">addition, the creation of ECDC standards for Patient Blood Management was advocated</w:t>
      </w:r>
      <w:r>
        <w:t xml:space="preserve"> </w:t>
      </w:r>
      <w:r>
        <w:t xml:space="preserve">(3 mentions). References to the EMA Task Force came mostly from manufacturers and</w:t>
      </w:r>
      <w:r>
        <w:t xml:space="preserve"> </w:t>
      </w:r>
      <w:r>
        <w:t xml:space="preserve">stakeholders involved in plasma-derived medicinal products.</w:t>
      </w:r>
      <w:r>
        <w:br/>
      </w:r>
      <w:r>
        <w:t xml:space="preserve">Around 65% of respondents indicated that mandatory preparedness/contingency plans</w:t>
      </w:r>
      <w:r>
        <w:t xml:space="preserve"> </w:t>
      </w:r>
      <w:r>
        <w:t xml:space="preserve">would bring some, or many, improvements, with around 20% of respondents not</w:t>
      </w:r>
      <w:r>
        <w:t xml:space="preserve"> </w:t>
      </w:r>
      <w:r>
        <w:t xml:space="preserve">responding to this question. This support was strongest among National Competent</w:t>
      </w:r>
      <w:r>
        <w:t xml:space="preserve"> </w:t>
      </w:r>
      <w:r>
        <w:t xml:space="preserve">Authorities, of which around 80% indicated that they would expect some or many</w:t>
      </w:r>
      <w:r>
        <w:t xml:space="preserve"> </w:t>
      </w:r>
      <w:r>
        <w:t xml:space="preserve">improvements, followed by BTC establishments and healthcare providers (around 60%)</w:t>
      </w:r>
      <w:r>
        <w:t xml:space="preserve"> </w:t>
      </w:r>
      <w:r>
        <w:t xml:space="preserve">and manufacturers (around 40%).</w:t>
      </w:r>
      <w:r>
        <w:br/>
      </w:r>
      <w:r>
        <w:t xml:space="preserve">Some concerns on the topic of preparedness/contingency plans were specified in the</w:t>
      </w:r>
      <w:r>
        <w:t xml:space="preserve"> </w:t>
      </w:r>
      <w:r>
        <w:t xml:space="preserve">provided free-text answers, these centred mostly on potential harmful effects on the intra-</w:t>
      </w:r>
      <w:r>
        <w:t xml:space="preserve"> </w:t>
      </w:r>
      <w:r>
        <w:t xml:space="preserve">EU flow of plasma or concerns regarding over-prescription. These concerns came from</w:t>
      </w:r>
      <w:r>
        <w:t xml:space="preserve"> </w:t>
      </w:r>
      <w:r>
        <w:t xml:space="preserve">manufacturers or representations of professionals in the pharmaceutical sector.</w:t>
      </w:r>
      <w:r>
        <w:t xml:space="preserve"> </w:t>
      </w:r>
      <w:r>
        <w:t xml:space="preserve">Additional proposed measures tended to receive significant support, with the exception</w:t>
      </w:r>
      <w:r>
        <w:t xml:space="preserve"> </w:t>
      </w:r>
      <w:r>
        <w:t xml:space="preserve">of provisions allowing export bans. However, participants also tended to agree that these</w:t>
      </w:r>
      <w:r>
        <w:t xml:space="preserve"> </w:t>
      </w:r>
      <w:r>
        <w:t xml:space="preserve">additional measures would be associated with financial and administrative burdens for</w:t>
      </w:r>
      <w:r>
        <w:t xml:space="preserve"> </w:t>
      </w:r>
      <w:r>
        <w:t xml:space="preserve">stakeholders and authorities (Figure 18.18).</w:t>
      </w:r>
      <w:r>
        <w:br/>
      </w:r>
      <w:r>
        <w:t xml:space="preserve">Figure 18.18. Overview of agreement with and expected burden of proposed measures to ensure sufficiency of BTC</w:t>
      </w:r>
      <w:r>
        <w:t xml:space="preserve"> </w:t>
      </w:r>
      <w:r>
        <w:t xml:space="preserve">supply in EU countries. (Targeted Consultation, n= 141-144). Suggestions ordered (top to bottom) by percentage</w:t>
      </w:r>
      <w:r>
        <w:t xml:space="preserve"> </w:t>
      </w:r>
      <w:r>
        <w:t xml:space="preserve">agreement with appropriateness.</w:t>
      </w:r>
    </w:p>
    <w:p>
      <w:pPr>
        <w:pStyle w:val="BodyText"/>
      </w:pPr>
      <w:r>
        <w:t xml:space="preserve">Appropriateness</w:t>
      </w:r>
      <w:r>
        <w:t xml:space="preserve"> </w:t>
      </w:r>
      <w:r>
        <w:t xml:space="preserve">Financial/Administrative burden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answer</w:t>
      </w:r>
      <w:r>
        <w:t xml:space="preserve"> </w:t>
      </w:r>
      <w:r>
        <w:t xml:space="preserve">Low</w:t>
      </w:r>
      <w:r>
        <w:t xml:space="preserve"> </w:t>
      </w:r>
      <w:r>
        <w:t xml:space="preserve">Significant</w:t>
      </w:r>
      <w:r>
        <w:t xml:space="preserve"> </w:t>
      </w:r>
      <w:r>
        <w:t xml:space="preserve">High</w:t>
      </w:r>
      <w:r>
        <w:t xml:space="preserve"> </w:t>
      </w:r>
      <w:r>
        <w:t xml:space="preserve">No answer</w:t>
      </w:r>
      <w:r>
        <w:t xml:space="preserve"> </w:t>
      </w:r>
      <w:r>
        <w:t xml:space="preserve">Promotional</w:t>
      </w:r>
      <w:r>
        <w:t xml:space="preserve"> </w:t>
      </w:r>
      <w:r>
        <w:t xml:space="preserve">donation</w:t>
      </w:r>
      <w:r>
        <w:t xml:space="preserve"> </w:t>
      </w:r>
      <w:r>
        <w:t xml:space="preserve">campaigns</w:t>
      </w:r>
      <w:r>
        <w:t xml:space="preserve"> </w:t>
      </w:r>
      <w:r>
        <w:t xml:space="preserve">115</w:t>
      </w:r>
      <w:r>
        <w:t xml:space="preserve"> </w:t>
      </w:r>
      <w:r>
        <w:t xml:space="preserve">2</w:t>
      </w:r>
      <w:r>
        <w:t xml:space="preserve"> </w:t>
      </w:r>
      <w:r>
        <w:t xml:space="preserve">26</w:t>
      </w:r>
      <w:r>
        <w:t xml:space="preserve"> </w:t>
      </w:r>
      <w:r>
        <w:t xml:space="preserve">19</w:t>
      </w:r>
      <w:r>
        <w:t xml:space="preserve"> </w:t>
      </w:r>
      <w:r>
        <w:t xml:space="preserve">69</w:t>
      </w:r>
      <w:r>
        <w:t xml:space="preserve"> </w:t>
      </w:r>
      <w:r>
        <w:t xml:space="preserve">11</w:t>
      </w:r>
      <w:r>
        <w:t xml:space="preserve"> </w:t>
      </w:r>
      <w:r>
        <w:t xml:space="preserve">44</w:t>
      </w:r>
      <w:r>
        <w:t xml:space="preserve"> </w:t>
      </w:r>
      <w:r>
        <w:t xml:space="preserve">More trust, collaboration and</w:t>
      </w:r>
      <w:r>
        <w:t xml:space="preserve"> </w:t>
      </w:r>
      <w:r>
        <w:t xml:space="preserve">exchanges between Member</w:t>
      </w:r>
      <w:r>
        <w:t xml:space="preserve"> </w:t>
      </w:r>
      <w:r>
        <w:t xml:space="preserve">States</w:t>
      </w:r>
      <w:r>
        <w:t xml:space="preserve"> </w:t>
      </w:r>
      <w:r>
        <w:t xml:space="preserve">97</w:t>
      </w:r>
      <w:r>
        <w:t xml:space="preserve"> </w:t>
      </w:r>
      <w:r>
        <w:t xml:space="preserve">2</w:t>
      </w:r>
      <w:r>
        <w:t xml:space="preserve"> </w:t>
      </w:r>
      <w:r>
        <w:t xml:space="preserve">44</w:t>
      </w:r>
      <w:r>
        <w:t xml:space="preserve"> </w:t>
      </w:r>
      <w:r>
        <w:t xml:space="preserve">45</w:t>
      </w:r>
      <w:r>
        <w:t xml:space="preserve"> </w:t>
      </w:r>
      <w:r>
        <w:t xml:space="preserve">38</w:t>
      </w:r>
      <w:r>
        <w:t xml:space="preserve"> </w:t>
      </w:r>
      <w:r>
        <w:t xml:space="preserve">8</w:t>
      </w:r>
      <w:r>
        <w:t xml:space="preserve"> </w:t>
      </w:r>
      <w:r>
        <w:t xml:space="preserve">52</w:t>
      </w:r>
      <w:r>
        <w:t xml:space="preserve"> </w:t>
      </w:r>
      <w:r>
        <w:t xml:space="preserve">Investment in establishment</w:t>
      </w:r>
      <w:r>
        <w:t xml:space="preserve"> </w:t>
      </w:r>
      <w:r>
        <w:t xml:space="preserve">equipment and staff</w:t>
      </w:r>
      <w:r>
        <w:t xml:space="preserve"> </w:t>
      </w:r>
      <w:r>
        <w:t xml:space="preserve">95</w:t>
      </w:r>
      <w:r>
        <w:t xml:space="preserve"> </w:t>
      </w:r>
      <w:r>
        <w:t xml:space="preserve">11</w:t>
      </w:r>
      <w:r>
        <w:t xml:space="preserve"> </w:t>
      </w:r>
      <w:r>
        <w:t xml:space="preserve">36</w:t>
      </w:r>
      <w:r>
        <w:t xml:space="preserve"> </w:t>
      </w:r>
      <w:r>
        <w:t xml:space="preserve">2</w:t>
      </w:r>
      <w:r>
        <w:t xml:space="preserve"> </w:t>
      </w:r>
      <w:r>
        <w:t xml:space="preserve">33</w:t>
      </w:r>
      <w:r>
        <w:t xml:space="preserve"> </w:t>
      </w:r>
      <w:r>
        <w:t xml:space="preserve">61</w:t>
      </w:r>
      <w:r>
        <w:t xml:space="preserve"> </w:t>
      </w:r>
      <w:r>
        <w:t xml:space="preserve">47</w:t>
      </w:r>
      <w:r>
        <w:t xml:space="preserve"> </w:t>
      </w:r>
      <w:r>
        <w:t xml:space="preserve">EU</w:t>
      </w:r>
      <w:r>
        <w:t xml:space="preserve"> </w:t>
      </w:r>
      <w:r>
        <w:t xml:space="preserve">platforms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exchange of BTC between</w:t>
      </w:r>
      <w:r>
        <w:t xml:space="preserve"> </w:t>
      </w:r>
      <w:r>
        <w:t xml:space="preserve">Member State establishments</w:t>
      </w:r>
      <w:r>
        <w:t xml:space="preserve"> </w:t>
      </w:r>
      <w:r>
        <w:t xml:space="preserve">81</w:t>
      </w:r>
      <w:r>
        <w:t xml:space="preserve"> </w:t>
      </w:r>
      <w:r>
        <w:t xml:space="preserve">17</w:t>
      </w:r>
      <w:r>
        <w:t xml:space="preserve"> </w:t>
      </w:r>
      <w:r>
        <w:t xml:space="preserve">44</w:t>
      </w:r>
      <w:r>
        <w:t xml:space="preserve"> </w:t>
      </w:r>
      <w:r>
        <w:t xml:space="preserve">14</w:t>
      </w:r>
      <w:r>
        <w:t xml:space="preserve"> </w:t>
      </w:r>
      <w:r>
        <w:t xml:space="preserve">45</w:t>
      </w:r>
      <w:r>
        <w:t xml:space="preserve"> </w:t>
      </w:r>
      <w:r>
        <w:t xml:space="preserve">31</w:t>
      </w:r>
      <w:r>
        <w:t xml:space="preserve"> </w:t>
      </w:r>
      <w:r>
        <w:t xml:space="preserve">52</w:t>
      </w:r>
      <w:r>
        <w:t xml:space="preserve"> </w:t>
      </w:r>
      <w:r>
        <w:t xml:space="preserve">Reduced wastage</w:t>
      </w:r>
      <w:r>
        <w:t xml:space="preserve"> </w:t>
      </w:r>
      <w:r>
        <w:t xml:space="preserve">76</w:t>
      </w:r>
      <w:r>
        <w:t xml:space="preserve"> </w:t>
      </w:r>
      <w:r>
        <w:t xml:space="preserve">20</w:t>
      </w:r>
      <w:r>
        <w:t xml:space="preserve"> </w:t>
      </w:r>
      <w:r>
        <w:t xml:space="preserve">48</w:t>
      </w:r>
      <w:r>
        <w:t xml:space="preserve"> </w:t>
      </w:r>
      <w:r>
        <w:t xml:space="preserve">56</w:t>
      </w:r>
      <w:r>
        <w:t xml:space="preserve"> </w:t>
      </w:r>
      <w:r>
        <w:t xml:space="preserve">19</w:t>
      </w:r>
      <w:r>
        <w:t xml:space="preserve"> </w:t>
      </w:r>
      <w:r>
        <w:t xml:space="preserve">6</w:t>
      </w:r>
      <w:r>
        <w:t xml:space="preserve"> </w:t>
      </w:r>
      <w:r>
        <w:t xml:space="preserve">62</w:t>
      </w:r>
      <w:r>
        <w:t xml:space="preserve"> </w:t>
      </w:r>
      <w:r>
        <w:t xml:space="preserve">More appropriate policies for</w:t>
      </w:r>
      <w:r>
        <w:t xml:space="preserve"> </w:t>
      </w:r>
      <w:r>
        <w:t xml:space="preserve">use in clinical settings</w:t>
      </w:r>
      <w:r>
        <w:t xml:space="preserve"> </w:t>
      </w:r>
      <w:r>
        <w:t xml:space="preserve">66</w:t>
      </w:r>
      <w:r>
        <w:t xml:space="preserve"> </w:t>
      </w:r>
      <w:r>
        <w:t xml:space="preserve">14</w:t>
      </w:r>
      <w:r>
        <w:t xml:space="preserve"> </w:t>
      </w:r>
      <w:r>
        <w:t xml:space="preserve">60</w:t>
      </w:r>
      <w:r>
        <w:t xml:space="preserve"> </w:t>
      </w:r>
      <w:r>
        <w:t xml:space="preserve">31</w:t>
      </w:r>
      <w:r>
        <w:t xml:space="preserve"> </w:t>
      </w:r>
      <w:r>
        <w:t xml:space="preserve">41</w:t>
      </w:r>
      <w:r>
        <w:t xml:space="preserve"> </w:t>
      </w:r>
      <w:r>
        <w:t xml:space="preserve">6</w:t>
      </w:r>
      <w:r>
        <w:t xml:space="preserve"> </w:t>
      </w:r>
      <w:r>
        <w:t xml:space="preserve">64</w:t>
      </w:r>
      <w:r>
        <w:t xml:space="preserve"> </w:t>
      </w:r>
      <w:r>
        <w:t xml:space="preserve">Supply</w:t>
      </w:r>
      <w:r>
        <w:t xml:space="preserve"> </w:t>
      </w:r>
      <w:r>
        <w:t xml:space="preserve">planning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regional, national or EU level</w:t>
      </w:r>
      <w:r>
        <w:t xml:space="preserve"> </w:t>
      </w:r>
      <w:r>
        <w:t xml:space="preserve">64</w:t>
      </w:r>
      <w:r>
        <w:t xml:space="preserve"> </w:t>
      </w:r>
      <w:r>
        <w:t xml:space="preserve">46</w:t>
      </w:r>
      <w:r>
        <w:t xml:space="preserve"> </w:t>
      </w:r>
      <w:r>
        <w:t xml:space="preserve">30</w:t>
      </w:r>
      <w:r>
        <w:t xml:space="preserve"> </w:t>
      </w:r>
      <w:r>
        <w:t xml:space="preserve">12</w:t>
      </w:r>
      <w:r>
        <w:t xml:space="preserve"> </w:t>
      </w:r>
      <w:r>
        <w:t xml:space="preserve">55</w:t>
      </w:r>
      <w:r>
        <w:t xml:space="preserve"> </w:t>
      </w:r>
      <w:r>
        <w:t xml:space="preserve">14</w:t>
      </w:r>
      <w:r>
        <w:t xml:space="preserve"> </w:t>
      </w:r>
      <w:r>
        <w:t xml:space="preserve">61</w:t>
      </w:r>
      <w:r>
        <w:t xml:space="preserve"> </w:t>
      </w:r>
      <w:r>
        <w:t xml:space="preserve">Provisions to allow export</w:t>
      </w:r>
      <w:r>
        <w:t xml:space="preserve"> </w:t>
      </w:r>
      <w:r>
        <w:t xml:space="preserve">bans</w:t>
      </w:r>
      <w:r>
        <w:t xml:space="preserve"> </w:t>
      </w:r>
      <w:r>
        <w:t xml:space="preserve">32</w:t>
      </w:r>
      <w:r>
        <w:t xml:space="preserve"> </w:t>
      </w:r>
      <w:r>
        <w:t xml:space="preserve">52</w:t>
      </w:r>
      <w:r>
        <w:t xml:space="preserve"> </w:t>
      </w:r>
      <w:r>
        <w:t xml:space="preserve">56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18</w:t>
      </w:r>
      <w:r>
        <w:t xml:space="preserve"> </w:t>
      </w:r>
      <w:r>
        <w:t xml:space="preserve">92</w:t>
      </w:r>
    </w:p>
    <w:p>
      <w:pPr>
        <w:pStyle w:val="BodyText"/>
      </w:pPr>
      <w:r>
        <w:t xml:space="preserve">353</w:t>
      </w:r>
    </w:p>
    <w:p>
      <w:pPr>
        <w:pStyle w:val="BodyText"/>
      </w:pPr>
      <w:r>
        <w:t xml:space="preserve">Stratification of respondents revealed some further insights in this case. For example,</w:t>
      </w:r>
      <w:r>
        <w:t xml:space="preserve"> </w:t>
      </w:r>
      <w:r>
        <w:t xml:space="preserve">Blood and Tissue Establishments were more likely to anticipate a high burden associated</w:t>
      </w:r>
      <w:r>
        <w:t xml:space="preserve"> </w:t>
      </w:r>
      <w:r>
        <w:t xml:space="preserve">with EU platforms for improved exchange of substances between Member States while</w:t>
      </w:r>
      <w:r>
        <w:t xml:space="preserve"> </w:t>
      </w:r>
      <w:r>
        <w:t xml:space="preserve">manufacturers tended to expect a low burden associated with promotional donation</w:t>
      </w:r>
      <w:r>
        <w:t xml:space="preserve"> </w:t>
      </w:r>
      <w:r>
        <w:t xml:space="preserve">campaigns.</w:t>
      </w:r>
      <w:r>
        <w:br/>
      </w:r>
      <w:r>
        <w:t xml:space="preserve">Participants were also questioned specifically on their attitudes to allocation of BTC</w:t>
      </w:r>
      <w:r>
        <w:t xml:space="preserve"> </w:t>
      </w:r>
      <w:r>
        <w:t xml:space="preserve">according to clinical need. On this point, the widest support was expressed for leaving</w:t>
      </w:r>
      <w:r>
        <w:t xml:space="preserve"> </w:t>
      </w:r>
      <w:r>
        <w:t xml:space="preserve">establishments to collect and provide BTC according to demand (42 of 88 answers) or</w:t>
      </w:r>
      <w:r>
        <w:t xml:space="preserve"> </w:t>
      </w:r>
      <w:r>
        <w:t xml:space="preserve">creating requirements at national level under the guidance of clinicians (37 of 88</w:t>
      </w:r>
      <w:r>
        <w:t xml:space="preserve"> </w:t>
      </w:r>
      <w:r>
        <w:t xml:space="preserve">answers).</w:t>
      </w:r>
      <w:r>
        <w:br/>
      </w:r>
      <w:r>
        <w:t xml:space="preserve">In the 93 concluding comments on supply sufficiency received in the Public</w:t>
      </w:r>
      <w:r>
        <w:t xml:space="preserve"> </w:t>
      </w:r>
      <w:r>
        <w:t xml:space="preserve">Consultation, considerable support was expressed regarding EU measures to help</w:t>
      </w:r>
      <w:r>
        <w:t xml:space="preserve"> </w:t>
      </w:r>
      <w:r>
        <w:t xml:space="preserve">exchange between Member States (7 mentions) as well as beneficial effects of updated</w:t>
      </w:r>
      <w:r>
        <w:t xml:space="preserve"> </w:t>
      </w:r>
      <w:r>
        <w:t xml:space="preserve">and harmonized technical rules (6 mentions). Stratification showed that especially public</w:t>
      </w:r>
      <w:r>
        <w:t xml:space="preserve"> </w:t>
      </w:r>
      <w:r>
        <w:t xml:space="preserve">authorities seemed supportive of improved exchanges between Member States. On the</w:t>
      </w:r>
      <w:r>
        <w:t xml:space="preserve"> </w:t>
      </w:r>
      <w:r>
        <w:t xml:space="preserve">other hand, concerns were raised regarding the effectiveness of contingency planning (4</w:t>
      </w:r>
      <w:r>
        <w:t xml:space="preserve"> </w:t>
      </w:r>
      <w:r>
        <w:t xml:space="preserve">mentions). A significant group of respondents expressed concern that supply of tissues in</w:t>
      </w:r>
      <w:r>
        <w:t xml:space="preserve"> </w:t>
      </w:r>
      <w:r>
        <w:t xml:space="preserve">medically assisted reproduction may be threatened if donor testing rules were made too</w:t>
      </w:r>
      <w:r>
        <w:t xml:space="preserve"> </w:t>
      </w:r>
      <w:r>
        <w:t xml:space="preserve">complex (12 mentions). Again, national Patient Blood Management plans based on</w:t>
      </w:r>
      <w:r>
        <w:t xml:space="preserve"> </w:t>
      </w:r>
      <w:r>
        <w:t xml:space="preserve">ECDC standards were raised as an additional opportunity to benefit supplies (5</w:t>
      </w:r>
      <w:r>
        <w:t xml:space="preserve"> </w:t>
      </w:r>
      <w:r>
        <w:t xml:space="preserve">mentions), as well as removing disincentives for donors (4 mentions) and limiting waste</w:t>
      </w:r>
      <w:r>
        <w:t xml:space="preserve"> </w:t>
      </w:r>
      <w:r>
        <w:t xml:space="preserve">of any substances of human origins (3 mentions) 32.</w:t>
      </w:r>
    </w:p>
    <w:p>
      <w:pPr>
        <w:pStyle w:val="BodyText"/>
      </w:pPr>
      <w:r>
        <w:t xml:space="preserve">32 The responses to this question also included a coordinated response on cord blood and perinatal tissues,</w:t>
      </w:r>
      <w:r>
        <w:t xml:space="preserve"> </w:t>
      </w:r>
      <w:r>
        <w:t xml:space="preserve">recommending harmonization and relaxation of rules applicable to cord blood (19 mentions).</w:t>
      </w:r>
    </w:p>
    <w:p>
      <w:pPr>
        <w:pStyle w:val="BodyText"/>
      </w:pPr>
      <w:r>
        <w:t xml:space="preserve">354</w:t>
      </w:r>
    </w:p>
    <w:p>
      <w:pPr>
        <w:pStyle w:val="BodyText"/>
      </w:pPr>
      <w:r>
        <w:t xml:space="preserve">ANNEX 19: SOHO-X – DIGITAL PLATFORM</w:t>
      </w:r>
      <w:r>
        <w:t xml:space="preserve"> </w:t>
      </w:r>
      <w:r>
        <w:t xml:space="preserve">19.1 Introduction</w:t>
      </w:r>
      <w:r>
        <w:br/>
      </w:r>
      <w:r>
        <w:t xml:space="preserve">This annex on the Digital Systems in the sector of Blood, Tissues and Cells (SoHO-X)</w:t>
      </w:r>
      <w:r>
        <w:t xml:space="preserve"> </w:t>
      </w:r>
      <w:r>
        <w:t xml:space="preserve">informs and complement the impact assessment on the costs and impacts of the proposed</w:t>
      </w:r>
      <w:r>
        <w:t xml:space="preserve"> </w:t>
      </w:r>
      <w:r>
        <w:t xml:space="preserve">three digital sub-options.</w:t>
      </w:r>
    </w:p>
    <w:p>
      <w:pPr>
        <w:pStyle w:val="BodyText"/>
      </w:pPr>
      <w:r>
        <w:t xml:space="preserve">19.2 Digital Check</w:t>
      </w:r>
      <w:r>
        <w:br/>
      </w:r>
      <w:r>
        <w:t xml:space="preserve">The digital check tool was used to identify the precise digital aspects or ICT needs of the</w:t>
      </w:r>
      <w:r>
        <w:t xml:space="preserve"> </w:t>
      </w:r>
      <w:r>
        <w:t xml:space="preserve">BTC revision.</w:t>
      </w:r>
    </w:p>
    <w:p>
      <w:pPr>
        <w:pStyle w:val="BodyText"/>
      </w:pPr>
      <w:r>
        <w:t xml:space="preserve">DIGITAL CHECK</w:t>
      </w:r>
      <w:r>
        <w:br/>
      </w:r>
      <w:r>
        <w:t xml:space="preserve">Are the expected evolution of the problem</w:t>
      </w:r>
      <w:r>
        <w:t xml:space="preserve"> </w:t>
      </w:r>
      <w:r>
        <w:t xml:space="preserve">and the baseline significantly influenced by</w:t>
      </w:r>
      <w:r>
        <w:t xml:space="preserve"> </w:t>
      </w:r>
      <w:r>
        <w:t xml:space="preserve">digital technologies?</w:t>
      </w:r>
      <w:r>
        <w:br/>
      </w:r>
      <w:r>
        <w:t xml:space="preserve">Yes.</w:t>
      </w:r>
      <w:r>
        <w:br/>
      </w:r>
      <w:r>
        <w:t xml:space="preserve"> Digital technologies play an increasing role in</w:t>
      </w:r>
      <w:r>
        <w:t xml:space="preserve"> </w:t>
      </w:r>
      <w:r>
        <w:t xml:space="preserve">the innovation in the sector – many such</w:t>
      </w:r>
      <w:r>
        <w:t xml:space="preserve"> </w:t>
      </w:r>
      <w:r>
        <w:t xml:space="preserve">technologies are on the border with other</w:t>
      </w:r>
      <w:r>
        <w:t xml:space="preserve"> </w:t>
      </w:r>
      <w:r>
        <w:t xml:space="preserve">regulatory frameworks, in particular medical</w:t>
      </w:r>
      <w:r>
        <w:t xml:space="preserve"> </w:t>
      </w:r>
      <w:r>
        <w:t xml:space="preserve">devices</w:t>
      </w:r>
      <w:r>
        <w:br/>
      </w:r>
      <w:r>
        <w:t xml:space="preserve"> Information necessary for timely and efficient</w:t>
      </w:r>
      <w:r>
        <w:t xml:space="preserve"> </w:t>
      </w:r>
      <w:r>
        <w:t xml:space="preserve">crisis management is limited due to lack</w:t>
      </w:r>
      <w:r>
        <w:t xml:space="preserve"> </w:t>
      </w:r>
      <w:r>
        <w:t xml:space="preserve">of interoperable data reporting requirements</w:t>
      </w:r>
      <w:r>
        <w:br/>
      </w:r>
      <w:r>
        <w:t xml:space="preserve">Does a particular policy option respond to</w:t>
      </w:r>
      <w:r>
        <w:t xml:space="preserve"> </w:t>
      </w:r>
      <w:r>
        <w:t xml:space="preserve">problems only in the physical world (and</w:t>
      </w:r>
      <w:r>
        <w:t xml:space="preserve"> </w:t>
      </w:r>
      <w:r>
        <w:t xml:space="preserve">not in the digital world)?</w:t>
      </w:r>
      <w:r>
        <w:br/>
      </w:r>
      <w:r>
        <w:t xml:space="preserve">No. </w:t>
      </w:r>
      <w:r>
        <w:t xml:space="preserve"> </w:t>
      </w:r>
      <w:r>
        <w:t xml:space="preserve">All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include</w:t>
      </w:r>
      <w:r>
        <w:t xml:space="preserve"> </w:t>
      </w:r>
      <w:r>
        <w:t xml:space="preserve">a</w:t>
      </w:r>
      <w:r>
        <w:t xml:space="preserve"> </w:t>
      </w:r>
      <w:r>
        <w:t xml:space="preserve">digital</w:t>
      </w:r>
      <w:r>
        <w:t xml:space="preserve"> </w:t>
      </w:r>
      <w:r>
        <w:t xml:space="preserve">component.</w:t>
      </w:r>
      <w:r>
        <w:br/>
      </w:r>
      <w:r>
        <w:t xml:space="preserve">Might the option considered be incoherent</w:t>
      </w:r>
      <w:r>
        <w:t xml:space="preserve"> </w:t>
      </w:r>
      <w:r>
        <w:t xml:space="preserve">with the EU’s digital policies currently in</w:t>
      </w:r>
      <w:r>
        <w:t xml:space="preserve"> </w:t>
      </w:r>
      <w:r>
        <w:t xml:space="preserve">place (such as eGovernment action plan247,</w:t>
      </w:r>
      <w:r>
        <w:t xml:space="preserve"> </w:t>
      </w:r>
      <w:r>
        <w:t xml:space="preserve">reuse of existing solutions for electronic</w:t>
      </w:r>
      <w:r>
        <w:t xml:space="preserve"> </w:t>
      </w:r>
      <w:r>
        <w:t xml:space="preserve">identification,</w:t>
      </w:r>
      <w:r>
        <w:t xml:space="preserve"> </w:t>
      </w:r>
      <w:r>
        <w:t xml:space="preserve">signature,</w:t>
      </w:r>
      <w:r>
        <w:t xml:space="preserve"> </w:t>
      </w:r>
      <w:r>
        <w:t xml:space="preserve">delivery</w:t>
      </w:r>
      <w:r>
        <w:t xml:space="preserve"> </w:t>
      </w:r>
      <w:r>
        <w:t xml:space="preserve">and</w:t>
      </w:r>
      <w:r>
        <w:t xml:space="preserve"> </w:t>
      </w:r>
      <w:r>
        <w:t xml:space="preserve">invoicing), under development or revision,</w:t>
      </w:r>
      <w:r>
        <w:t xml:space="preserve"> </w:t>
      </w:r>
      <w:r>
        <w:t xml:space="preserve">and might the option have an impact on</w:t>
      </w:r>
      <w:r>
        <w:t xml:space="preserve"> </w:t>
      </w:r>
      <w:r>
        <w:t xml:space="preserve">digital infrastructures/service levels (see</w:t>
      </w:r>
      <w:r>
        <w:t xml:space="preserve"> </w:t>
      </w:r>
      <w:r>
        <w:t xml:space="preserve">sub-section 19.5.3 below)?</w:t>
      </w:r>
      <w:r>
        <w:br/>
      </w:r>
      <w:r>
        <w:t xml:space="preserve">No, because all the proposed options for possible</w:t>
      </w:r>
      <w:r>
        <w:t xml:space="preserve"> </w:t>
      </w:r>
      <w:r>
        <w:t xml:space="preserve">future platforms would represent an evolution of</w:t>
      </w:r>
      <w:r>
        <w:t xml:space="preserve"> </w:t>
      </w:r>
      <w:r>
        <w:t xml:space="preserve">part of the solutions currently active, taking a</w:t>
      </w:r>
      <w:r>
        <w:t xml:space="preserve"> </w:t>
      </w:r>
      <w:r>
        <w:t xml:space="preserve">specific place in the IT ecosystem and bringing</w:t>
      </w:r>
      <w:r>
        <w:t xml:space="preserve"> </w:t>
      </w:r>
      <w:r>
        <w:t xml:space="preserve">additional features and enhancement to the services</w:t>
      </w:r>
      <w:r>
        <w:t xml:space="preserve"> </w:t>
      </w:r>
      <w:r>
        <w:t xml:space="preserve">currently provided.</w:t>
      </w:r>
    </w:p>
    <w:p>
      <w:pPr>
        <w:pStyle w:val="BodyText"/>
      </w:pPr>
      <w:r>
        <w:t xml:space="preserve">ICT systems / solutions</w:t>
      </w:r>
      <w:r>
        <w:br/>
      </w:r>
      <w:r>
        <w:t xml:space="preserve">Is there a need to support the initiative by</w:t>
      </w:r>
      <w:r>
        <w:t xml:space="preserve"> </w:t>
      </w:r>
      <w:r>
        <w:t xml:space="preserve">establishing new or revising existing ICT</w:t>
      </w:r>
      <w:r>
        <w:t xml:space="preserve"> </w:t>
      </w:r>
      <w:r>
        <w:t xml:space="preserve">solutions? Is there a need to develop,</w:t>
      </w:r>
      <w:r>
        <w:t xml:space="preserve"> </w:t>
      </w:r>
      <w:r>
        <w:t xml:space="preserve">migrate and/or operate any kind of new or</w:t>
      </w:r>
      <w:r>
        <w:t xml:space="preserve"> </w:t>
      </w:r>
      <w:r>
        <w:t xml:space="preserve">existing IT system, network or service over</w:t>
      </w:r>
      <w:r>
        <w:t xml:space="preserve"> </w:t>
      </w:r>
      <w:r>
        <w:t xml:space="preserve">the internet or private networks. It could be</w:t>
      </w:r>
      <w:r>
        <w:t xml:space="preserve"> </w:t>
      </w:r>
      <w:r>
        <w:t xml:space="preserve">that ICT is in the core of the legislation or a</w:t>
      </w:r>
      <w:r>
        <w:t xml:space="preserve"> </w:t>
      </w:r>
      <w:r>
        <w:t xml:space="preserve">supporting driver of it.</w:t>
      </w:r>
      <w:r>
        <w:br/>
      </w:r>
      <w:r>
        <w:t xml:space="preserve">Yes, the possible future ICT solution would need to</w:t>
      </w:r>
      <w:r>
        <w:t xml:space="preserve"> </w:t>
      </w:r>
      <w:r>
        <w:t xml:space="preserve">meet additional needs – on particular in terms of</w:t>
      </w:r>
      <w:r>
        <w:t xml:space="preserve"> </w:t>
      </w:r>
      <w:r>
        <w:t xml:space="preserve">collecting</w:t>
      </w:r>
      <w:r>
        <w:t xml:space="preserve"> </w:t>
      </w:r>
      <w:r>
        <w:t xml:space="preserve">data,</w:t>
      </w:r>
      <w:r>
        <w:t xml:space="preserve"> </w:t>
      </w:r>
      <w:r>
        <w:t xml:space="preserve">reporting and/or</w:t>
      </w:r>
      <w:r>
        <w:t xml:space="preserve"> </w:t>
      </w:r>
      <w:r>
        <w:t xml:space="preserve">establishing</w:t>
      </w:r>
      <w:r>
        <w:t xml:space="preserve"> </w:t>
      </w:r>
      <w:r>
        <w:t xml:space="preserve">connection to existing platforms with interfaces for</w:t>
      </w:r>
      <w:r>
        <w:t xml:space="preserve"> </w:t>
      </w:r>
      <w:r>
        <w:t xml:space="preserve">data exchange.</w:t>
      </w:r>
      <w:r>
        <w:br/>
      </w:r>
      <w:r>
        <w:t xml:space="preserve">The solution would also implement data analytics</w:t>
      </w:r>
      <w:r>
        <w:t xml:space="preserve"> </w:t>
      </w:r>
      <w:r>
        <w:t xml:space="preserve">features and would provide all the tools to monitor</w:t>
      </w:r>
      <w:r>
        <w:t xml:space="preserve"> </w:t>
      </w:r>
      <w:r>
        <w:t xml:space="preserve">the data, such as reports and dashboards.</w:t>
      </w:r>
      <w:r>
        <w:br/>
      </w:r>
      <w:r>
        <w:t xml:space="preserve">Is there a need to establish new or change</w:t>
      </w:r>
      <w:r>
        <w:t xml:space="preserve"> </w:t>
      </w:r>
      <w:r>
        <w:t xml:space="preserve">existing business processes that handle</w:t>
      </w:r>
      <w:r>
        <w:t xml:space="preserve"> </w:t>
      </w:r>
      <w:r>
        <w:t xml:space="preserve">information/data in an electronic/automated</w:t>
      </w:r>
      <w:r>
        <w:t xml:space="preserve"> </w:t>
      </w:r>
      <w:r>
        <w:t xml:space="preserve">manner?</w:t>
      </w:r>
      <w:r>
        <w:t xml:space="preserve"> </w:t>
      </w:r>
      <w:r>
        <w:t xml:space="preserve">“Business process”</w:t>
      </w:r>
      <w:r>
        <w:t xml:space="preserve"> </w:t>
      </w:r>
      <w:r>
        <w:t xml:space="preserve">means a</w:t>
      </w:r>
      <w:r>
        <w:t xml:space="preserve"> </w:t>
      </w:r>
      <w:r>
        <w:t xml:space="preserve">sequence of activities to produce a specific</w:t>
      </w:r>
      <w:r>
        <w:t xml:space="preserve"> </w:t>
      </w:r>
      <w:r>
        <w:t xml:space="preserve">result. Today, most of those activities can</w:t>
      </w:r>
      <w:r>
        <w:t xml:space="preserve"> </w:t>
      </w:r>
      <w:r>
        <w:t xml:space="preserve">Yes, for all objectives</w:t>
      </w:r>
      <w:r>
        <w:br/>
      </w:r>
      <w:r>
        <w:t xml:space="preserve"> Manage technical requirements for safety and</w:t>
      </w:r>
      <w:r>
        <w:t xml:space="preserve"> </w:t>
      </w:r>
      <w:r>
        <w:t xml:space="preserve">quality</w:t>
      </w:r>
      <w:r>
        <w:br/>
      </w:r>
      <w:r>
        <w:t xml:space="preserve"> Reporting on activities, safety, quality, efficacy,</w:t>
      </w:r>
      <w:r>
        <w:t xml:space="preserve"> </w:t>
      </w:r>
      <w:r>
        <w:t xml:space="preserve">supply (from health providers as well as blood</w:t>
      </w:r>
      <w:r>
        <w:t xml:space="preserve"> </w:t>
      </w:r>
      <w:r>
        <w:t xml:space="preserve">and tissue establishments, clinical societies,</w:t>
      </w:r>
    </w:p>
    <w:p>
      <w:pPr>
        <w:pStyle w:val="BodyText"/>
      </w:pPr>
      <w:r>
        <w:t xml:space="preserve">355</w:t>
      </w:r>
    </w:p>
    <w:p>
      <w:pPr>
        <w:pStyle w:val="BodyText"/>
      </w:pPr>
      <w:r>
        <w:t xml:space="preserve">be automated by IT systems and tools and</w:t>
      </w:r>
      <w:r>
        <w:t xml:space="preserve"> </w:t>
      </w:r>
      <w:r>
        <w:t xml:space="preserve">executed through electronic workflows that</w:t>
      </w:r>
      <w:r>
        <w:t xml:space="preserve"> </w:t>
      </w:r>
      <w:r>
        <w:t xml:space="preserve">collect, store, retrieve, consult, filter,</w:t>
      </w:r>
      <w:r>
        <w:t xml:space="preserve"> </w:t>
      </w:r>
      <w:r>
        <w:t xml:space="preserve">exchange, report data (text, image, or</w:t>
      </w:r>
      <w:r>
        <w:t xml:space="preserve"> </w:t>
      </w:r>
      <w:r>
        <w:t xml:space="preserve">video)</w:t>
      </w:r>
      <w:r>
        <w:br/>
      </w:r>
      <w:r>
        <w:t xml:space="preserve">possibly directly patients/donors)</w:t>
      </w:r>
      <w:r>
        <w:br/>
      </w:r>
      <w:r>
        <w:t xml:space="preserve"> Information sharing and reports related to</w:t>
      </w:r>
      <w:r>
        <w:t xml:space="preserve"> </w:t>
      </w:r>
      <w:r>
        <w:t xml:space="preserve">oversight</w:t>
      </w:r>
      <w:r>
        <w:br/>
      </w:r>
      <w:r>
        <w:t xml:space="preserve"> This could be also a good opportunity to review</w:t>
      </w:r>
      <w:r>
        <w:t xml:space="preserve"> </w:t>
      </w:r>
      <w:r>
        <w:t xml:space="preserve">the existing business processes in order to</w:t>
      </w:r>
      <w:r>
        <w:t xml:space="preserve"> </w:t>
      </w:r>
      <w:r>
        <w:t xml:space="preserve">optimize them and, as consequence, improving</w:t>
      </w:r>
      <w:r>
        <w:t xml:space="preserve"> </w:t>
      </w:r>
      <w:r>
        <w:t xml:space="preserve">the overall performance of the system.</w:t>
      </w:r>
      <w:r>
        <w:br/>
      </w:r>
      <w:r>
        <w:t xml:space="preserve"> Most of the recent IT solutions provide the</w:t>
      </w:r>
      <w:r>
        <w:t xml:space="preserve"> </w:t>
      </w:r>
      <w:r>
        <w:t xml:space="preserve">possibility to design and implement automatic</w:t>
      </w:r>
      <w:r>
        <w:t xml:space="preserve"> </w:t>
      </w:r>
      <w:r>
        <w:t xml:space="preserve">workflows, which would reduce both the time</w:t>
      </w:r>
      <w:r>
        <w:t xml:space="preserve"> </w:t>
      </w:r>
      <w:r>
        <w:t xml:space="preserve">needed to complete a process and the likelihood</w:t>
      </w:r>
      <w:r>
        <w:t xml:space="preserve"> </w:t>
      </w:r>
      <w:r>
        <w:t xml:space="preserve">to have human errors.</w:t>
      </w:r>
      <w:r>
        <w:br/>
      </w:r>
      <w:r>
        <w:t xml:space="preserve">Is there a need for managing information</w:t>
      </w:r>
      <w:r>
        <w:t xml:space="preserve"> </w:t>
      </w:r>
      <w:r>
        <w:t xml:space="preserve">electronically in a secure manner or with</w:t>
      </w:r>
      <w:r>
        <w:t xml:space="preserve"> </w:t>
      </w:r>
      <w:r>
        <w:t xml:space="preserve">respect to data protection regulation that</w:t>
      </w:r>
      <w:r>
        <w:t xml:space="preserve"> </w:t>
      </w:r>
      <w:r>
        <w:t xml:space="preserve">would mandate specific ICT measures?</w:t>
      </w:r>
      <w:r>
        <w:t xml:space="preserve"> </w:t>
      </w:r>
      <w:r>
        <w:t xml:space="preserve">Sensitive data must be treated with care. If</w:t>
      </w:r>
      <w:r>
        <w:t xml:space="preserve"> </w:t>
      </w:r>
      <w:r>
        <w:t xml:space="preserve">any option refers to such a need, it is highly</w:t>
      </w:r>
      <w:r>
        <w:t xml:space="preserve"> </w:t>
      </w:r>
      <w:r>
        <w:t xml:space="preserve">possible that special IT security measures</w:t>
      </w:r>
      <w:r>
        <w:t xml:space="preserve"> </w:t>
      </w:r>
      <w:r>
        <w:t xml:space="preserve">should be taken to ensure exchange,</w:t>
      </w:r>
      <w:r>
        <w:t xml:space="preserve"> </w:t>
      </w:r>
      <w:r>
        <w:t xml:space="preserve">integrity and confidentiality of this data,</w:t>
      </w:r>
      <w:r>
        <w:t xml:space="preserve"> </w:t>
      </w:r>
      <w:r>
        <w:t xml:space="preserve">such as encryption, secure hosting, limited</w:t>
      </w:r>
      <w:r>
        <w:t xml:space="preserve"> </w:t>
      </w:r>
      <w:r>
        <w:t xml:space="preserve">access, etc.</w:t>
      </w:r>
      <w:r>
        <w:br/>
      </w:r>
      <w:r>
        <w:t xml:space="preserve">Yes, the data managed refers to health information</w:t>
      </w:r>
      <w:r>
        <w:t xml:space="preserve"> </w:t>
      </w:r>
      <w:r>
        <w:t xml:space="preserve">and must be considered sensitive data; personal-</w:t>
      </w:r>
      <w:r>
        <w:t xml:space="preserve"> </w:t>
      </w:r>
      <w:r>
        <w:t xml:space="preserve">level health data is needed to assess the safety,</w:t>
      </w:r>
      <w:r>
        <w:t xml:space="preserve"> </w:t>
      </w:r>
      <w:r>
        <w:t xml:space="preserve">quality and efficacy of BTC procedures.</w:t>
      </w:r>
    </w:p>
    <w:p>
      <w:pPr>
        <w:pStyle w:val="BodyText"/>
      </w:pPr>
      <w:r>
        <w:t xml:space="preserve">Would business processes require secure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and</w:t>
      </w:r>
      <w:r>
        <w:t xml:space="preserve"> </w:t>
      </w:r>
      <w:r>
        <w:t xml:space="preserve">authentication</w:t>
      </w:r>
      <w:r>
        <w:t xml:space="preserve"> </w:t>
      </w:r>
      <w:r>
        <w:t xml:space="preserve">mechanisms or electronic trust services</w:t>
      </w:r>
      <w:r>
        <w:t xml:space="preserve"> </w:t>
      </w:r>
      <w:r>
        <w:t xml:space="preserve">(c.f. eIDAS Regulation)</w:t>
      </w:r>
      <w:r>
        <w:br/>
      </w:r>
      <w:r>
        <w:t xml:space="preserve">Yes, the access to the platform must be granted</w:t>
      </w:r>
      <w:r>
        <w:t xml:space="preserve"> </w:t>
      </w:r>
      <w:r>
        <w:t xml:space="preserve">after a registration process. Only registered users</w:t>
      </w:r>
      <w:r>
        <w:t xml:space="preserve"> </w:t>
      </w:r>
      <w:r>
        <w:t xml:space="preserve">will be able to perform specific business processes</w:t>
      </w:r>
      <w:r>
        <w:t xml:space="preserve"> </w:t>
      </w:r>
      <w:r>
        <w:t xml:space="preserve">such as data upload process or data export process,</w:t>
      </w:r>
      <w:r>
        <w:t xml:space="preserve"> </w:t>
      </w:r>
      <w:r>
        <w:t xml:space="preserve">especially those that include personal health data.</w:t>
      </w:r>
      <w:r>
        <w:br/>
      </w:r>
      <w:r>
        <w:t xml:space="preserve">Further authorization and data visibility could be</w:t>
      </w:r>
      <w:r>
        <w:t xml:space="preserve"> </w:t>
      </w:r>
      <w:r>
        <w:t xml:space="preserve">granted according to specific roles that would be</w:t>
      </w:r>
      <w:r>
        <w:t xml:space="preserve"> </w:t>
      </w:r>
      <w:r>
        <w:t xml:space="preserve">assigned to specific users.</w:t>
      </w:r>
      <w:r>
        <w:br/>
      </w:r>
      <w:r>
        <w:t xml:space="preserve">Table 19.1: Digital check.</w:t>
      </w:r>
    </w:p>
    <w:p>
      <w:pPr>
        <w:pStyle w:val="BodyText"/>
      </w:pPr>
      <w:r>
        <w:t xml:space="preserve">19.3 Impact Assessment</w:t>
      </w:r>
      <w:r>
        <w:br/>
      </w:r>
      <w:r>
        <w:t xml:space="preserve">The Impact Assessment proposes specific measures related to IT/digitalisation for each</w:t>
      </w:r>
      <w:r>
        <w:t xml:space="preserve"> </w:t>
      </w:r>
      <w:r>
        <w:t xml:space="preserve">of the policy options and each of the 5 gaps identified.</w:t>
      </w:r>
    </w:p>
    <w:p>
      <w:pPr>
        <w:pStyle w:val="BodyText"/>
      </w:pPr>
      <w:r>
        <w:t xml:space="preserve">The following figure and table show the existing systems and map them in relation to the</w:t>
      </w:r>
      <w:r>
        <w:t xml:space="preserve"> </w:t>
      </w:r>
      <w:r>
        <w:t xml:space="preserve">policy options/measures.</w:t>
      </w:r>
    </w:p>
    <w:p>
      <w:pPr>
        <w:pStyle w:val="BodyText"/>
      </w:pPr>
      <w:r>
        <w:t xml:space="preserve">356</w:t>
      </w:r>
    </w:p>
    <w:p>
      <w:pPr>
        <w:pStyle w:val="BodyText"/>
      </w:pPr>
      <w:r>
        <w:t xml:space="preserve">Figure 19.1: Mapping data usage in the SoHO Sector.</w:t>
      </w:r>
      <w:r>
        <w:br/>
      </w:r>
      <w:r>
        <w:t xml:space="preserve">Specific</w:t>
      </w:r>
      <w:r>
        <w:br/>
      </w:r>
      <w:r>
        <w:t xml:space="preserve">Objective</w:t>
      </w:r>
      <w:r>
        <w:br/>
      </w:r>
      <w:r>
        <w:t xml:space="preserve">Measure</w:t>
      </w:r>
      <w:r>
        <w:br/>
      </w:r>
      <w:r>
        <w:t xml:space="preserve">Existing systems</w:t>
      </w:r>
      <w:r>
        <w:br/>
      </w:r>
      <w:r>
        <w:t xml:space="preserve">1. Increase patient</w:t>
      </w:r>
      <w:r>
        <w:t xml:space="preserve"> </w:t>
      </w:r>
      <w:r>
        <w:t xml:space="preserve">protection from all</w:t>
      </w:r>
      <w:r>
        <w:t xml:space="preserve"> </w:t>
      </w:r>
      <w:r>
        <w:t xml:space="preserve">avoidable risks </w:t>
      </w:r>
      <w:r>
        <w:br/>
      </w:r>
      <w:r>
        <w:t xml:space="preserve">M1.4</w:t>
      </w:r>
      <w:r>
        <w:br/>
      </w:r>
      <w:r>
        <w:t xml:space="preserve">EU development</w:t>
      </w:r>
      <w:r>
        <w:t xml:space="preserve"> </w:t>
      </w:r>
      <w:r>
        <w:t xml:space="preserve">components of IT</w:t>
      </w:r>
      <w:r>
        <w:t xml:space="preserve"> </w:t>
      </w:r>
      <w:r>
        <w:t xml:space="preserve">platform for quality and</w:t>
      </w:r>
      <w:r>
        <w:t xml:space="preserve"> </w:t>
      </w:r>
      <w:r>
        <w:t xml:space="preserve">safety requirements</w:t>
      </w:r>
      <w:r>
        <w:br/>
      </w:r>
      <w:r>
        <w:t xml:space="preserve">EBMT</w:t>
      </w:r>
      <w:r>
        <w:br/>
      </w:r>
      <w:r>
        <w:t xml:space="preserve"> The purpose of the Registry is to provide a pool</w:t>
      </w:r>
      <w:r>
        <w:t xml:space="preserve"> </w:t>
      </w:r>
      <w:r>
        <w:t xml:space="preserve">of data to EBMT members to perform studies,</w:t>
      </w:r>
      <w:r>
        <w:t xml:space="preserve"> </w:t>
      </w:r>
      <w:r>
        <w:t xml:space="preserve">assess epidemiological trends, and ultimately</w:t>
      </w:r>
      <w:r>
        <w:t xml:space="preserve"> </w:t>
      </w:r>
      <w:r>
        <w:t xml:space="preserve">improve patients’ lives.</w:t>
      </w:r>
      <w:r>
        <w:br/>
      </w:r>
      <w:r>
        <w:t xml:space="preserve"> Save and improve lives of patients with blood-</w:t>
      </w:r>
      <w:r>
        <w:t xml:space="preserve"> </w:t>
      </w:r>
      <w:r>
        <w:t xml:space="preserve">related disorders through innovation, research</w:t>
      </w:r>
      <w:r>
        <w:t xml:space="preserve"> </w:t>
      </w:r>
      <w:r>
        <w:t xml:space="preserve">and the advancement of cellular and stem cell-</w:t>
      </w:r>
      <w:r>
        <w:t xml:space="preserve"> </w:t>
      </w:r>
      <w:r>
        <w:t xml:space="preserve">based therapies.</w:t>
      </w:r>
    </w:p>
    <w:p>
      <w:pPr>
        <w:pStyle w:val="BodyText"/>
      </w:pPr>
      <w:r>
        <w:t xml:space="preserve">EuroGTP II</w:t>
      </w:r>
      <w:r>
        <w:br/>
      </w:r>
      <w:r>
        <w:t xml:space="preserve"> Intends to provide practical tools which will</w:t>
      </w:r>
      <w:r>
        <w:t xml:space="preserve"> </w:t>
      </w:r>
      <w:r>
        <w:t xml:space="preserve">assist Tissue Establishments and Organisations</w:t>
      </w:r>
      <w:r>
        <w:t xml:space="preserve"> </w:t>
      </w:r>
      <w:r>
        <w:t xml:space="preserve">Responsible for Human Application, to assess</w:t>
      </w:r>
      <w:r>
        <w:t xml:space="preserve"> </w:t>
      </w:r>
      <w:r>
        <w:t xml:space="preserve">the risk of BTC for the implementation of</w:t>
      </w:r>
      <w:r>
        <w:t xml:space="preserve"> </w:t>
      </w:r>
      <w:r>
        <w:t xml:space="preserve">technical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defined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assessment and verification of the quality, safety</w:t>
      </w:r>
      <w:r>
        <w:t xml:space="preserve"> </w:t>
      </w:r>
      <w:r>
        <w:t xml:space="preserve">and efficacy of therapies with human T&amp;C.</w:t>
      </w:r>
    </w:p>
    <w:p>
      <w:pPr>
        <w:pStyle w:val="BodyText"/>
      </w:pPr>
      <w:r>
        <w:t xml:space="preserve">RAB / RATC</w:t>
      </w:r>
      <w:r>
        <w:br/>
      </w:r>
      <w:r>
        <w:t xml:space="preserve"> The rapid alert platforms for blood (RAB) and</w:t>
      </w:r>
      <w:r>
        <w:t xml:space="preserve"> </w:t>
      </w:r>
      <w:r>
        <w:t xml:space="preserve">for tissues and cells (RATC) give to Member</w:t>
      </w:r>
      <w:r>
        <w:t xml:space="preserve"> </w:t>
      </w:r>
      <w:r>
        <w:t xml:space="preserve">States’ competent authorities the possibility to</w:t>
      </w:r>
      <w:r>
        <w:t xml:space="preserve"> </w:t>
      </w:r>
      <w:r>
        <w:t xml:space="preserve">effectively launch alerts to each other and/or to</w:t>
      </w:r>
      <w:r>
        <w:t xml:space="preserve"> </w:t>
      </w:r>
      <w:r>
        <w:t xml:space="preserve">request information in case of an alert or crisis.</w:t>
      </w:r>
    </w:p>
    <w:p>
      <w:pPr>
        <w:pStyle w:val="BodyText"/>
      </w:pPr>
      <w:r>
        <w:t xml:space="preserve">357</w:t>
      </w:r>
    </w:p>
    <w:p>
      <w:pPr>
        <w:pStyle w:val="Compact"/>
        <w:numPr>
          <w:ilvl w:val="0"/>
          <w:numId w:val="1003"/>
        </w:numPr>
      </w:pPr>
      <w:r>
        <w:t xml:space="preserve">Increase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BTC</w:t>
      </w:r>
      <w:r>
        <w:t xml:space="preserve"> </w:t>
      </w:r>
      <w:r>
        <w:t xml:space="preserve">donors,</w:t>
      </w:r>
      <w:r>
        <w:t xml:space="preserve"> </w:t>
      </w:r>
      <w:r>
        <w:t xml:space="preserve">and</w:t>
      </w:r>
      <w:r>
        <w:t xml:space="preserve"> </w:t>
      </w:r>
      <w:r>
        <w:t xml:space="preserve">children</w:t>
      </w:r>
      <w:r>
        <w:t xml:space="preserve"> </w:t>
      </w:r>
      <w:r>
        <w:t xml:space="preserve">born</w:t>
      </w:r>
      <w:r>
        <w:t xml:space="preserve"> </w:t>
      </w:r>
      <w:r>
        <w:t xml:space="preserve">from</w:t>
      </w:r>
      <w:r>
        <w:t xml:space="preserve"> </w:t>
      </w:r>
      <w:r>
        <w:t xml:space="preserve">donated sperm,</w:t>
      </w:r>
      <w:r>
        <w:t xml:space="preserve"> </w:t>
      </w:r>
      <w:r>
        <w:t xml:space="preserve">eggs</w:t>
      </w:r>
      <w:r>
        <w:t xml:space="preserve"> </w:t>
      </w:r>
      <w:r>
        <w:t xml:space="preserve">or</w:t>
      </w:r>
      <w:r>
        <w:t xml:space="preserve"> </w:t>
      </w:r>
      <w:r>
        <w:t xml:space="preserve">embryos, from</w:t>
      </w:r>
      <w:r>
        <w:t xml:space="preserve"> </w:t>
      </w:r>
      <w:r>
        <w:t xml:space="preserve">specific risks </w:t>
      </w:r>
      <w:r>
        <w:t xml:space="preserve"> </w:t>
      </w:r>
      <w:r>
        <w:t xml:space="preserve">M2.4 </w:t>
      </w:r>
      <w:r>
        <w:br/>
      </w:r>
      <w:r>
        <w:t xml:space="preserve">The European</w:t>
      </w:r>
      <w:r>
        <w:t xml:space="preserve"> </w:t>
      </w:r>
      <w:r>
        <w:t xml:space="preserve">Commission will</w:t>
      </w:r>
      <w:r>
        <w:t xml:space="preserve"> </w:t>
      </w:r>
      <w:r>
        <w:t xml:space="preserve">develop the relevant</w:t>
      </w:r>
      <w:r>
        <w:t xml:space="preserve"> </w:t>
      </w:r>
      <w:r>
        <w:t xml:space="preserve">component of an IT</w:t>
      </w:r>
      <w:r>
        <w:t xml:space="preserve"> </w:t>
      </w:r>
      <w:r>
        <w:t xml:space="preserve">platform for quality and</w:t>
      </w:r>
      <w:r>
        <w:t xml:space="preserve"> </w:t>
      </w:r>
      <w:r>
        <w:t xml:space="preserve">safety requirements</w:t>
      </w:r>
      <w:r>
        <w:t xml:space="preserve"> </w:t>
      </w:r>
      <w:r>
        <w:t xml:space="preserve">ESHRE (GDPR)</w:t>
      </w:r>
      <w:r>
        <w:br/>
      </w:r>
      <w:r>
        <w:t xml:space="preserve"> Registry on medically assisted reproduction.</w:t>
      </w:r>
      <w:r>
        <w:t xml:space="preserve"> </w:t>
      </w:r>
      <w:r>
        <w:t xml:space="preserve">Anonymisation of patient: in order to overcome</w:t>
      </w:r>
      <w:r>
        <w:t xml:space="preserve"> </w:t>
      </w:r>
      <w:r>
        <w:t xml:space="preserve">the</w:t>
      </w:r>
      <w:r>
        <w:t xml:space="preserve"> </w:t>
      </w:r>
      <w:r>
        <w:t xml:space="preserve">identity</w:t>
      </w:r>
      <w:r>
        <w:t xml:space="preserve"> </w:t>
      </w:r>
      <w:r>
        <w:t xml:space="preserve">problem,</w:t>
      </w:r>
      <w:r>
        <w:t xml:space="preserve"> </w:t>
      </w:r>
      <w:r>
        <w:t xml:space="preserve">clinical centres identified the treatment rather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individual,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way</w:t>
      </w:r>
      <w:r>
        <w:t xml:space="preserve"> </w:t>
      </w:r>
      <w:r>
        <w:t xml:space="preserve">you</w:t>
      </w:r>
      <w:r>
        <w:t xml:space="preserve"> </w:t>
      </w:r>
      <w:r>
        <w:t xml:space="preserve">can anonymise the data and the ID attached</w:t>
      </w:r>
      <w:r>
        <w:t xml:space="preserve"> </w:t>
      </w:r>
      <w:r>
        <w:t xml:space="preserve">stands for a treatment rather than a patient.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Strengthening</w:t>
      </w:r>
      <w:r>
        <w:t xml:space="preserve"> </w:t>
      </w:r>
      <w:r>
        <w:t xml:space="preserve">and</w:t>
      </w:r>
      <w:r>
        <w:t xml:space="preserve"> </w:t>
      </w:r>
      <w:r>
        <w:t xml:space="preserve">harmonisation </w:t>
      </w:r>
      <w:r>
        <w:t xml:space="preserve"> </w:t>
      </w:r>
      <w:r>
        <w:t xml:space="preserve">of</w:t>
      </w:r>
      <w:r>
        <w:t xml:space="preserve"> </w:t>
      </w:r>
      <w:r>
        <w:t xml:space="preserve">oversight</w:t>
      </w:r>
      <w:r>
        <w:t xml:space="preserve"> </w:t>
      </w:r>
      <w:r>
        <w:t xml:space="preserve">among MS</w:t>
      </w:r>
      <w:r>
        <w:t xml:space="preserve"> </w:t>
      </w:r>
      <w:r>
        <w:t xml:space="preserve">M3.6</w:t>
      </w:r>
      <w:r>
        <w:br/>
      </w:r>
      <w:r>
        <w:t xml:space="preserve">EU development</w:t>
      </w:r>
      <w:r>
        <w:t xml:space="preserve"> </w:t>
      </w:r>
      <w:r>
        <w:t xml:space="preserve">components of IT</w:t>
      </w:r>
      <w:r>
        <w:t xml:space="preserve"> </w:t>
      </w:r>
      <w:r>
        <w:t xml:space="preserve">platform for oversight</w:t>
      </w:r>
      <w:r>
        <w:br/>
      </w:r>
      <w:r>
        <w:t xml:space="preserve">EDQM</w:t>
      </w:r>
      <w:r>
        <w:br/>
      </w:r>
      <w:r>
        <w:t xml:space="preserve"> Development of standards and guidance</w:t>
      </w:r>
      <w:r>
        <w:br/>
      </w:r>
      <w:r>
        <w:t xml:space="preserve"> Harmonising data collection exercises in the</w:t>
      </w:r>
      <w:r>
        <w:t xml:space="preserve"> </w:t>
      </w:r>
      <w:r>
        <w:t xml:space="preserve">field of tissue and cells in Europe.</w:t>
      </w:r>
    </w:p>
    <w:p>
      <w:pPr>
        <w:pStyle w:val="FirstParagraph"/>
      </w:pPr>
      <w:r>
        <w:t xml:space="preserve">EU Coding Platform / Compendia</w:t>
      </w:r>
      <w:r>
        <w:br/>
      </w:r>
      <w:r>
        <w:t xml:space="preserve"> EU Coding Platform provides the Single</w:t>
      </w:r>
      <w:r>
        <w:t xml:space="preserve"> </w:t>
      </w:r>
      <w:r>
        <w:t xml:space="preserve">European</w:t>
      </w:r>
      <w:r>
        <w:t xml:space="preserve"> </w:t>
      </w:r>
      <w:r>
        <w:t xml:space="preserve">Code</w:t>
      </w:r>
      <w:r>
        <w:t xml:space="preserve"> </w:t>
      </w:r>
      <w:r>
        <w:t xml:space="preserve">(SEC)</w:t>
      </w:r>
      <w:r>
        <w:t xml:space="preserve"> </w:t>
      </w:r>
      <w:r>
        <w:t xml:space="preserve">tool</w:t>
      </w:r>
      <w:r>
        <w:t xml:space="preserve"> </w:t>
      </w:r>
      <w:r>
        <w:t xml:space="preserve">to standardise information concerning Donation</w:t>
      </w:r>
      <w:r>
        <w:t xml:space="preserve"> </w:t>
      </w:r>
      <w:r>
        <w:t xml:space="preserve">Identification Sequence and tissue/cell products</w:t>
      </w:r>
      <w:r>
        <w:t xml:space="preserve"> </w:t>
      </w:r>
      <w:r>
        <w:t xml:space="preserve">(Product Identification Sequence) using a</w:t>
      </w:r>
      <w:r>
        <w:t xml:space="preserve"> </w:t>
      </w:r>
      <w:r>
        <w:t xml:space="preserve">standard fixed length alphanumeric code.</w:t>
      </w:r>
      <w:r>
        <w:br/>
      </w:r>
      <w:r>
        <w:t xml:space="preserve"> EU Coding Platform contains two compendia:</w:t>
      </w:r>
      <w:r>
        <w:br/>
      </w:r>
      <w:r>
        <w:t xml:space="preserve">-</w:t>
      </w:r>
      <w:r>
        <w:t xml:space="preserve"> </w:t>
      </w:r>
      <w:r>
        <w:t xml:space="preserve">EU Tissue Establishment Compendium:</w:t>
      </w:r>
      <w:r>
        <w:t xml:space="preserve"> </w:t>
      </w:r>
      <w:r>
        <w:t xml:space="preserve">the register of all tissue establishments</w:t>
      </w:r>
      <w:r>
        <w:t xml:space="preserve"> </w:t>
      </w:r>
      <w:r>
        <w:t xml:space="preserve">which are authorised, licensed, designated</w:t>
      </w:r>
      <w:r>
        <w:t xml:space="preserve"> </w:t>
      </w:r>
      <w:r>
        <w:t xml:space="preserve">or accredited by the Member States’</w:t>
      </w:r>
      <w:r>
        <w:t xml:space="preserve"> </w:t>
      </w:r>
      <w:r>
        <w:t xml:space="preserve">competent authority.</w:t>
      </w:r>
      <w:r>
        <w:br/>
      </w:r>
      <w:r>
        <w:t xml:space="preserve">-</w:t>
      </w:r>
      <w:r>
        <w:t xml:space="preserve"> </w:t>
      </w:r>
      <w:r>
        <w:t xml:space="preserve">EU Tissue and Cell Product Compendium:</w:t>
      </w:r>
      <w:r>
        <w:t xml:space="preserve"> </w:t>
      </w:r>
      <w:r>
        <w:t xml:space="preserve">it is a non-exhaustive list of (product codes</w:t>
      </w:r>
      <w:r>
        <w:t xml:space="preserve"> </w:t>
      </w:r>
      <w:r>
        <w:t xml:space="preserve">for) substances of human origin which fall</w:t>
      </w:r>
      <w:r>
        <w:t xml:space="preserve"> </w:t>
      </w:r>
      <w:r>
        <w:t xml:space="preserve">within the definition of either ‘tissue’ or</w:t>
      </w:r>
      <w:r>
        <w:t xml:space="preserve"> </w:t>
      </w:r>
      <w:r>
        <w:t xml:space="preserve">‘cells’.</w:t>
      </w:r>
      <w:r>
        <w:br/>
      </w:r>
      <w:r>
        <w:t xml:space="preserve">4. Facilitate the</w:t>
      </w:r>
      <w:r>
        <w:t xml:space="preserve"> </w:t>
      </w:r>
      <w:r>
        <w:t xml:space="preserve">development of</w:t>
      </w:r>
      <w:r>
        <w:t xml:space="preserve"> </w:t>
      </w:r>
      <w:r>
        <w:t xml:space="preserve">safe and effective</w:t>
      </w:r>
      <w:r>
        <w:t xml:space="preserve"> </w:t>
      </w:r>
      <w:r>
        <w:t xml:space="preserve">innovative BTC</w:t>
      </w:r>
      <w:r>
        <w:t xml:space="preserve"> </w:t>
      </w:r>
      <w:r>
        <w:t xml:space="preserve">therapies</w:t>
      </w:r>
      <w:r>
        <w:br/>
      </w:r>
      <w:r>
        <w:t xml:space="preserve">M4.7</w:t>
      </w:r>
      <w:r>
        <w:t xml:space="preserve"> </w:t>
      </w:r>
      <w:r>
        <w:t xml:space="preserve">EU will develop an</w:t>
      </w:r>
      <w:r>
        <w:t xml:space="preserve"> </w:t>
      </w:r>
      <w:r>
        <w:t xml:space="preserve">exchange (IT) platform</w:t>
      </w:r>
      <w:r>
        <w:t xml:space="preserve"> </w:t>
      </w:r>
      <w:r>
        <w:t xml:space="preserve">for NCAs to exchange</w:t>
      </w:r>
      <w:r>
        <w:t xml:space="preserve"> </w:t>
      </w:r>
      <w:r>
        <w:t xml:space="preserve">info regarding (novel)</w:t>
      </w:r>
      <w:r>
        <w:t xml:space="preserve"> </w:t>
      </w:r>
      <w:r>
        <w:t xml:space="preserve">process authorisations</w:t>
      </w:r>
      <w:r>
        <w:t xml:space="preserve"> </w:t>
      </w:r>
      <w:r>
        <w:t xml:space="preserve">(the platform would be</w:t>
      </w:r>
      <w:r>
        <w:t xml:space="preserve"> </w:t>
      </w:r>
      <w:r>
        <w:t xml:space="preserve">used for (voluntary)</w:t>
      </w:r>
      <w:r>
        <w:t xml:space="preserve"> </w:t>
      </w:r>
      <w:r>
        <w:t xml:space="preserve">acceptance of</w:t>
      </w:r>
      <w:r>
        <w:t xml:space="preserve"> </w:t>
      </w:r>
      <w:r>
        <w:t xml:space="preserve">authorisations among</w:t>
      </w:r>
      <w:r>
        <w:t xml:space="preserve"> </w:t>
      </w:r>
      <w:r>
        <w:t xml:space="preserve">MS) This includes</w:t>
      </w:r>
      <w:r>
        <w:t xml:space="preserve"> </w:t>
      </w:r>
      <w:r>
        <w:t xml:space="preserve">clinical evidence</w:t>
      </w:r>
      <w:r>
        <w:t xml:space="preserve"> </w:t>
      </w:r>
      <w:r>
        <w:t xml:space="preserve">collected by clinicians</w:t>
      </w:r>
      <w:r>
        <w:t xml:space="preserve"> </w:t>
      </w:r>
      <w:r>
        <w:t xml:space="preserve">with the support of</w:t>
      </w:r>
      <w:r>
        <w:t xml:space="preserve"> </w:t>
      </w:r>
      <w:r>
        <w:t xml:space="preserve">learned societies</w:t>
      </w:r>
      <w:r>
        <w:br/>
      </w:r>
      <w:r>
        <w:t xml:space="preserve">EuroGTP II</w:t>
      </w:r>
      <w:r>
        <w:br/>
      </w:r>
      <w:r>
        <w:t xml:space="preserve"> Interactive assessment tool to compute the level</w:t>
      </w:r>
      <w:r>
        <w:t xml:space="preserve"> </w:t>
      </w:r>
      <w:r>
        <w:t xml:space="preserve">of risk of data uploading through an algorithm.</w:t>
      </w:r>
    </w:p>
    <w:p>
      <w:pPr>
        <w:pStyle w:val="BodyText"/>
      </w:pPr>
      <w:r>
        <w:t xml:space="preserve">GAPP</w:t>
      </w:r>
      <w:r>
        <w:br/>
      </w:r>
      <w:r>
        <w:t xml:space="preserve"> Development of tools able to facilitate the work</w:t>
      </w:r>
      <w:r>
        <w:t xml:space="preserve"> </w:t>
      </w:r>
      <w:r>
        <w:t xml:space="preserve">of authorization of blood, tissue and cells</w:t>
      </w:r>
      <w:r>
        <w:t xml:space="preserve"> </w:t>
      </w:r>
      <w:r>
        <w:t xml:space="preserve">establishments.</w:t>
      </w:r>
      <w:r>
        <w:br/>
      </w:r>
      <w:r>
        <w:t xml:space="preserve"> Provide a structure that can be used by</w:t>
      </w:r>
      <w:r>
        <w:t xml:space="preserve"> </w:t>
      </w:r>
      <w:r>
        <w:t xml:space="preserve">competent authorities for assessment purposes</w:t>
      </w:r>
      <w:r>
        <w:t xml:space="preserve"> </w:t>
      </w:r>
      <w:r>
        <w:t xml:space="preserve">independently from any national or international</w:t>
      </w:r>
      <w:r>
        <w:t xml:space="preserve"> </w:t>
      </w:r>
      <w:r>
        <w:t xml:space="preserve">framework.</w:t>
      </w:r>
    </w:p>
    <w:p>
      <w:pPr>
        <w:pStyle w:val="BodyText"/>
      </w:pPr>
      <w:r>
        <w:t xml:space="preserve">EBMT</w:t>
      </w:r>
      <w:r>
        <w:br/>
      </w:r>
      <w:r>
        <w:t xml:space="preserve"> The EBMT registry collects data for research</w:t>
      </w:r>
      <w:r>
        <w:t xml:space="preserve"> </w:t>
      </w:r>
      <w:r>
        <w:t xml:space="preserve">and development of new and improved</w:t>
      </w:r>
      <w:r>
        <w:t xml:space="preserve"> </w:t>
      </w:r>
      <w:r>
        <w:t xml:space="preserve">transplant, cell therapy and immunosuppression</w:t>
      </w:r>
      <w:r>
        <w:t xml:space="preserve"> </w:t>
      </w:r>
      <w:r>
        <w:t xml:space="preserve">procedures, and to improve the quality of these</w:t>
      </w:r>
    </w:p>
    <w:p>
      <w:pPr>
        <w:pStyle w:val="BodyText"/>
      </w:pPr>
      <w:r>
        <w:t xml:space="preserve">358</w:t>
      </w:r>
    </w:p>
    <w:p>
      <w:pPr>
        <w:pStyle w:val="BodyText"/>
      </w:pPr>
      <w:r>
        <w:t xml:space="preserve">procedures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accreditation</w:t>
      </w:r>
      <w:r>
        <w:t xml:space="preserve"> </w:t>
      </w:r>
      <w:r>
        <w:t xml:space="preserve">of</w:t>
      </w:r>
      <w:r>
        <w:t xml:space="preserve"> </w:t>
      </w:r>
      <w:r>
        <w:t xml:space="preserve">treatment units.</w:t>
      </w:r>
    </w:p>
    <w:p>
      <w:pPr>
        <w:pStyle w:val="Compact"/>
        <w:numPr>
          <w:ilvl w:val="0"/>
          <w:numId w:val="1004"/>
        </w:numPr>
      </w:pPr>
      <w:r>
        <w:t xml:space="preserve">Improve the</w:t>
      </w:r>
      <w:r>
        <w:t xml:space="preserve"> </w:t>
      </w:r>
      <w:r>
        <w:t xml:space="preserve">resilience of the</w:t>
      </w:r>
      <w:r>
        <w:t xml:space="preserve"> </w:t>
      </w:r>
      <w:r>
        <w:t xml:space="preserve">sector, mitigating</w:t>
      </w:r>
      <w:r>
        <w:t xml:space="preserve"> </w:t>
      </w:r>
      <w:r>
        <w:t xml:space="preserve">risk of shortages of</w:t>
      </w:r>
      <w:r>
        <w:t xml:space="preserve"> </w:t>
      </w:r>
      <w:r>
        <w:t xml:space="preserve">critical BTC</w:t>
      </w:r>
      <w:r>
        <w:t xml:space="preserve"> </w:t>
      </w:r>
      <w:r>
        <w:t xml:space="preserve">therapies</w:t>
      </w:r>
      <w:r>
        <w:br/>
      </w:r>
      <w:r>
        <w:t xml:space="preserve">M5.4 </w:t>
      </w:r>
      <w:r>
        <w:br/>
      </w:r>
      <w:r>
        <w:t xml:space="preserve">The European</w:t>
      </w:r>
      <w:r>
        <w:t xml:space="preserve"> </w:t>
      </w:r>
      <w:r>
        <w:t xml:space="preserve">Commission will</w:t>
      </w:r>
      <w:r>
        <w:t xml:space="preserve"> </w:t>
      </w:r>
      <w:r>
        <w:t xml:space="preserve">develop the relevant</w:t>
      </w:r>
      <w:r>
        <w:t xml:space="preserve"> </w:t>
      </w:r>
      <w:r>
        <w:t xml:space="preserve">component of the (IT)</w:t>
      </w:r>
      <w:r>
        <w:t xml:space="preserve"> </w:t>
      </w:r>
      <w:r>
        <w:t xml:space="preserve">platform for</w:t>
      </w:r>
      <w:r>
        <w:t xml:space="preserve"> </w:t>
      </w:r>
      <w:r>
        <w:t xml:space="preserve">exchange of</w:t>
      </w:r>
      <w:r>
        <w:t xml:space="preserve"> </w:t>
      </w:r>
      <w:r>
        <w:t xml:space="preserve">information</w:t>
      </w:r>
      <w:r>
        <w:t xml:space="preserve"> </w:t>
      </w:r>
      <w:r>
        <w:t xml:space="preserve">on supply and activity</w:t>
      </w:r>
      <w:r>
        <w:br/>
      </w:r>
      <w:r>
        <w:t xml:space="preserve">EUCCP</w:t>
      </w:r>
      <w:r>
        <w:br/>
      </w:r>
      <w:r>
        <w:t xml:space="preserve"> Gather</w:t>
      </w:r>
      <w:r>
        <w:t xml:space="preserve"> </w:t>
      </w:r>
      <w:r>
        <w:t xml:space="preserve">information across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about blood plasma with Covid antibodies to</w:t>
      </w:r>
      <w:r>
        <w:t xml:space="preserve"> </w:t>
      </w:r>
      <w:r>
        <w:t xml:space="preserve">support a study on the effectiveness of plasma</w:t>
      </w:r>
      <w:r>
        <w:t xml:space="preserve"> </w:t>
      </w:r>
      <w:r>
        <w:t xml:space="preserve">as Covid therapy.</w:t>
      </w:r>
      <w:r>
        <w:br/>
      </w:r>
      <w:r>
        <w:t xml:space="preserve"> Gather information about blood plasma with</w:t>
      </w:r>
      <w:r>
        <w:t xml:space="preserve"> </w:t>
      </w:r>
      <w:r>
        <w:t xml:space="preserve">Covid</w:t>
      </w:r>
      <w:r>
        <w:t xml:space="preserve"> </w:t>
      </w:r>
      <w:r>
        <w:t xml:space="preserve">antibodies in</w:t>
      </w:r>
      <w:r>
        <w:t xml:space="preserve"> </w:t>
      </w:r>
      <w:r>
        <w:t xml:space="preserve">order</w:t>
      </w:r>
      <w:r>
        <w:t xml:space="preserve"> </w:t>
      </w:r>
      <w:r>
        <w:t xml:space="preserve">to help distribution of the plasma itself.</w:t>
      </w:r>
    </w:p>
    <w:p>
      <w:pPr>
        <w:pStyle w:val="FirstParagraph"/>
      </w:pPr>
      <w:r>
        <w:t xml:space="preserve">EBMT</w:t>
      </w:r>
      <w:r>
        <w:br/>
      </w:r>
      <w:r>
        <w:t xml:space="preserve"> Share all knowledge associated with the</w:t>
      </w:r>
      <w:r>
        <w:t xml:space="preserve"> </w:t>
      </w:r>
      <w:r>
        <w:t xml:space="preserve">transplantation of haematopoietic stem cells</w:t>
      </w:r>
      <w:r>
        <w:t xml:space="preserve"> </w:t>
      </w:r>
      <w:r>
        <w:t xml:space="preserve">from all donor sources and donor types</w:t>
      </w:r>
      <w:r>
        <w:t xml:space="preserve"> </w:t>
      </w:r>
      <w:r>
        <w:t xml:space="preserve">including basic and clinical research, education,</w:t>
      </w:r>
      <w:r>
        <w:t xml:space="preserve"> </w:t>
      </w:r>
      <w:r>
        <w:t xml:space="preserve">standardisation,</w:t>
      </w:r>
      <w:r>
        <w:t xml:space="preserve"> </w:t>
      </w:r>
      <w:r>
        <w:t xml:space="preserve">quality</w:t>
      </w:r>
      <w:r>
        <w:t xml:space="preserve"> </w:t>
      </w:r>
      <w:r>
        <w:t xml:space="preserve">control,</w:t>
      </w:r>
      <w:r>
        <w:t xml:space="preserve"> </w:t>
      </w:r>
      <w:r>
        <w:t xml:space="preserve">and</w:t>
      </w:r>
      <w:r>
        <w:t xml:space="preserve"> </w:t>
      </w:r>
      <w:r>
        <w:t xml:space="preserve">accreditation for transplant procedures.</w:t>
      </w:r>
    </w:p>
    <w:p>
      <w:pPr>
        <w:pStyle w:val="BodyText"/>
      </w:pPr>
      <w:r>
        <w:t xml:space="preserve">ESHRE</w:t>
      </w:r>
      <w:r>
        <w:br/>
      </w:r>
      <w:r>
        <w:t xml:space="preserve"> ESHRE provides guidance that enhances safety</w:t>
      </w:r>
      <w:r>
        <w:t xml:space="preserve"> </w:t>
      </w:r>
      <w:r>
        <w:t xml:space="preserve">and quality assurance in clinical and laboratory</w:t>
      </w:r>
      <w:r>
        <w:t xml:space="preserve"> </w:t>
      </w:r>
      <w:r>
        <w:t xml:space="preserve">procedures.</w:t>
      </w:r>
    </w:p>
    <w:p>
      <w:pPr>
        <w:pStyle w:val="BodyText"/>
      </w:pPr>
      <w:r>
        <w:t xml:space="preserve">Table 19.2: Existing systems relevant to the achievement of each objective.</w:t>
      </w:r>
      <w:r>
        <w:br/>
      </w:r>
      <w:r>
        <w:t xml:space="preserve">19.4 Implementation</w:t>
      </w:r>
    </w:p>
    <w:p>
      <w:pPr>
        <w:pStyle w:val="BodyText"/>
      </w:pPr>
      <w:r>
        <w:t xml:space="preserve">In the implementation of the measures above, the following three sub-options have been</w:t>
      </w:r>
      <w:r>
        <w:t xml:space="preserve"> </w:t>
      </w:r>
      <w:r>
        <w:t xml:space="preserve">identified:</w:t>
      </w:r>
    </w:p>
    <w:p>
      <w:pPr>
        <w:pStyle w:val="Compact"/>
        <w:numPr>
          <w:ilvl w:val="0"/>
          <w:numId w:val="1005"/>
        </w:numPr>
      </w:pPr>
      <w:r>
        <w:t xml:space="preserve">Upgrade (M6A)</w:t>
      </w:r>
      <w:r>
        <w:br/>
      </w:r>
      <w:r>
        <w:t xml:space="preserve">Add missing elements to the existing systems as individual components – no</w:t>
      </w:r>
      <w:r>
        <w:t xml:space="preserve"> </w:t>
      </w:r>
      <w:r>
        <w:t xml:space="preserve">links/ no interoperability.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Upgrade and connect (M6B)</w:t>
      </w:r>
      <w:r>
        <w:br/>
      </w:r>
      <w:r>
        <w:t xml:space="preserve">Add missing elements to the existing systems as individual components – plus an</w:t>
      </w:r>
      <w:r>
        <w:t xml:space="preserve"> </w:t>
      </w:r>
      <w:r>
        <w:t xml:space="preserve">additional layer to extract, link and analyse the data.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New single system (M6C)</w:t>
      </w:r>
      <w:r>
        <w:br/>
      </w:r>
      <w:r>
        <w:t xml:space="preserve">Create a new unified system – which includes a revamp of the existing elements</w:t>
      </w:r>
      <w:r>
        <w:t xml:space="preserve"> </w:t>
      </w:r>
      <w:r>
        <w:t xml:space="preserve">as well as the addition of the new elements.</w:t>
      </w:r>
    </w:p>
    <w:p>
      <w:pPr>
        <w:pStyle w:val="FirstParagraph"/>
      </w:pPr>
      <w:r>
        <w:t xml:space="preserve">Focusing on the mentioned options, there are some considerations that can be reported</w:t>
      </w:r>
      <w:r>
        <w:t xml:space="preserve"> </w:t>
      </w:r>
      <w:r>
        <w:t xml:space="preserve">here.</w:t>
      </w:r>
      <w:r>
        <w:br/>
      </w:r>
      <w:r>
        <w:t xml:space="preserve">The option M6A would upgrade each platform implementing features of data analytics or</w:t>
      </w:r>
      <w:r>
        <w:t xml:space="preserve"> </w:t>
      </w:r>
      <w:r>
        <w:t xml:space="preserve">other features according to what is actually needed. Option M6A would not include</w:t>
      </w:r>
      <w:r>
        <w:t xml:space="preserve"> </w:t>
      </w:r>
      <w:r>
        <w:t xml:space="preserve">features allowing data exchange and aggregated analysis.</w:t>
      </w:r>
      <w:r>
        <w:br/>
      </w:r>
      <w:r>
        <w:t xml:space="preserve">Unlike option M6A, Option M6B would imply that each existing system has to be</w:t>
      </w:r>
      <w:r>
        <w:t xml:space="preserve"> </w:t>
      </w:r>
      <w:r>
        <w:t xml:space="preserve">evolved both regarding their own features and in relation to their ability to exchange data</w:t>
      </w:r>
    </w:p>
    <w:p>
      <w:pPr>
        <w:pStyle w:val="BodyText"/>
      </w:pPr>
      <w:r>
        <w:t xml:space="preserve">359</w:t>
      </w:r>
    </w:p>
    <w:p>
      <w:pPr>
        <w:pStyle w:val="BodyText"/>
      </w:pPr>
      <w:r>
        <w:t xml:space="preserve">with other systems belonging to the same area (SoHO). This kind of “distributed</w:t>
      </w:r>
      <w:r>
        <w:t xml:space="preserve"> </w:t>
      </w:r>
      <w:r>
        <w:t xml:space="preserve">evolution” requires high levels of coordination among all the platforms in order to get the</w:t>
      </w:r>
      <w:r>
        <w:t xml:space="preserve"> </w:t>
      </w:r>
      <w:r>
        <w:t xml:space="preserve">needed standardization so that data could be exchanged keeping its semantic meaning</w:t>
      </w:r>
      <w:r>
        <w:t xml:space="preserve"> </w:t>
      </w:r>
      <w:r>
        <w:t xml:space="preserve">and being consistent across all the systems. Even if the specific upgrade required for each</w:t>
      </w:r>
      <w:r>
        <w:t xml:space="preserve"> </w:t>
      </w:r>
      <w:r>
        <w:t xml:space="preserve">system (interfaces, layers for data integration and analysis) would not be very</w:t>
      </w:r>
      <w:r>
        <w:t xml:space="preserve"> </w:t>
      </w:r>
      <w:r>
        <w:t xml:space="preserve">challenging, a relevant effort will be required by the definition and the implementation of</w:t>
      </w:r>
      <w:r>
        <w:t xml:space="preserve"> </w:t>
      </w:r>
      <w:r>
        <w:t xml:space="preserve">a shared mechanism that would allow data analytics features. In fact, performing data</w:t>
      </w:r>
      <w:r>
        <w:t xml:space="preserve"> </w:t>
      </w:r>
      <w:r>
        <w:t xml:space="preserve">analysis on such distributed system could be not easy due to possible integration and</w:t>
      </w:r>
      <w:r>
        <w:t xml:space="preserve"> </w:t>
      </w:r>
      <w:r>
        <w:t xml:space="preserve">alignment issues.</w:t>
      </w:r>
    </w:p>
    <w:p>
      <w:pPr>
        <w:pStyle w:val="BodyText"/>
      </w:pPr>
      <w:r>
        <w:t xml:space="preserve">Figure 19.2 Graphic representation of Option M6B. Boxes with dotted lines are the additional components to upgrade</w:t>
      </w:r>
      <w:r>
        <w:t xml:space="preserve"> </w:t>
      </w:r>
      <w:r>
        <w:t xml:space="preserve">the existing platforms.</w:t>
      </w:r>
    </w:p>
    <w:p>
      <w:pPr>
        <w:pStyle w:val="BodyText"/>
      </w:pPr>
      <w:r>
        <w:t xml:space="preserve">On the other hand, option M6C would provide “by design” a common place where data</w:t>
      </w:r>
      <w:r>
        <w:t xml:space="preserve"> </w:t>
      </w:r>
      <w:r>
        <w:t xml:space="preserve">could be collected and “harmonized” before being used for the intended purposes. A</w:t>
      </w:r>
      <w:r>
        <w:t xml:space="preserve"> </w:t>
      </w:r>
      <w:r>
        <w:t xml:space="preserve">centralized solution would also make easier the management of topics like security and</w:t>
      </w:r>
      <w:r>
        <w:t xml:space="preserve"> </w:t>
      </w:r>
      <w:r>
        <w:t xml:space="preserve">performance. In some cases, a source platform could be also replaced by the single</w:t>
      </w:r>
      <w:r>
        <w:t xml:space="preserve"> </w:t>
      </w:r>
      <w:r>
        <w:t xml:space="preserve">system itself, allowing the direct input of data from a specific source (health authority,</w:t>
      </w:r>
      <w:r>
        <w:t xml:space="preserve"> </w:t>
      </w:r>
      <w:r>
        <w:t xml:space="preserve">clinician, etc.) and skipping the intermediary role of a dedicated platform. This would be</w:t>
      </w:r>
      <w:r>
        <w:t xml:space="preserve"> </w:t>
      </w:r>
      <w:r>
        <w:t xml:space="preserve">a hybrid approach, meaning that the single platform would act both as collector of data</w:t>
      </w:r>
      <w:r>
        <w:t xml:space="preserve"> </w:t>
      </w:r>
      <w:r>
        <w:t xml:space="preserve">coming from external registries and as point of data input.</w:t>
      </w:r>
      <w:r>
        <w:br/>
      </w:r>
      <w:r>
        <w:t xml:space="preserve">Option M6C would also solve the problem of keeping the final solution aligned to the</w:t>
      </w:r>
      <w:r>
        <w:t xml:space="preserve"> </w:t>
      </w:r>
      <w:r>
        <w:t xml:space="preserve">most recent technologies: since there will be a single system which gathers all the data</w:t>
      </w:r>
      <w:r>
        <w:t xml:space="preserve"> </w:t>
      </w:r>
      <w:r>
        <w:t xml:space="preserve">from different platforms, it will be sufficient to evolve only this system to have the latest</w:t>
      </w:r>
      <w:r>
        <w:t xml:space="preserve"> </w:t>
      </w:r>
      <w:r>
        <w:t xml:space="preserve">technology available.</w:t>
      </w:r>
      <w:r>
        <w:br/>
      </w:r>
      <w:r>
        <w:t xml:space="preserve">Please refer to the next paragraph for a more detailed analysis of the benefits coming</w:t>
      </w:r>
      <w:r>
        <w:t xml:space="preserve"> </w:t>
      </w:r>
      <w:r>
        <w:t xml:space="preserve">from the implementation of a single platform.</w:t>
      </w:r>
    </w:p>
    <w:p>
      <w:pPr>
        <w:pStyle w:val="BodyText"/>
      </w:pPr>
      <w:r>
        <w:t xml:space="preserve">360</w:t>
      </w:r>
    </w:p>
    <w:p>
      <w:pPr>
        <w:pStyle w:val="BodyText"/>
      </w:pPr>
      <w:r>
        <w:t xml:space="preserve">Figure 19.3: High-level single system architecture for Option M6C</w:t>
      </w:r>
    </w:p>
    <w:p>
      <w:pPr>
        <w:pStyle w:val="BodyText"/>
      </w:pPr>
      <w:r>
        <w:t xml:space="preserve">The choice of moving to a new single system brings other relevant choices about the</w:t>
      </w:r>
      <w:r>
        <w:t xml:space="preserve"> </w:t>
      </w:r>
      <w:r>
        <w:t xml:space="preserve">nature of the future solution. For example:</w:t>
      </w:r>
      <w:r>
        <w:br/>
      </w:r>
      <w:r>
        <w:t xml:space="preserve"></w:t>
      </w:r>
      <w:r>
        <w:t xml:space="preserve"> </w:t>
      </w:r>
      <w:r>
        <w:t xml:space="preserve">On-premise or Cloud</w:t>
      </w:r>
      <w:r>
        <w:br/>
      </w:r>
      <w:r>
        <w:t xml:space="preserve">A first critical decision would be related to the hosting of the IT infrastructure,</w:t>
      </w:r>
      <w:r>
        <w:t xml:space="preserve"> </w:t>
      </w:r>
      <w:r>
        <w:t xml:space="preserve">which could be kept onsite and managed directly or through a third-party. A</w:t>
      </w:r>
      <w:r>
        <w:t xml:space="preserve"> </w:t>
      </w:r>
      <w:r>
        <w:t xml:space="preserve">different approach would be going for a Cloud solution, meaning that the</w:t>
      </w:r>
      <w:r>
        <w:t xml:space="preserve"> </w:t>
      </w:r>
      <w:r>
        <w:t xml:space="preserve">IT infrastructure will</w:t>
      </w:r>
      <w:r>
        <w:t xml:space="preserve"> </w:t>
      </w:r>
      <w:r>
        <w:t xml:space="preserve">be housed</w:t>
      </w:r>
      <w:r>
        <w:t xml:space="preserve"> </w:t>
      </w:r>
      <w:r>
        <w:t xml:space="preserve">offsite,</w:t>
      </w:r>
      <w:r>
        <w:t xml:space="preserve"> </w:t>
      </w:r>
      <w:r>
        <w:t xml:space="preserve">delegating</w:t>
      </w:r>
      <w:r>
        <w:t xml:space="preserve"> </w:t>
      </w:r>
      <w:r>
        <w:t xml:space="preserve">the monitoring</w:t>
      </w:r>
      <w:r>
        <w:t xml:space="preserve"> </w:t>
      </w:r>
      <w:r>
        <w:t xml:space="preserve">and</w:t>
      </w:r>
      <w:r>
        <w:t xml:space="preserve"> </w:t>
      </w:r>
      <w:r>
        <w:t xml:space="preserve">maintaining activities to an external entity.</w:t>
      </w:r>
      <w:r>
        <w:br/>
      </w:r>
      <w:r>
        <w:t xml:space="preserve"></w:t>
      </w:r>
      <w:r>
        <w:t xml:space="preserve"> </w:t>
      </w:r>
      <w:r>
        <w:t xml:space="preserve">Make or buy</w:t>
      </w:r>
      <w:r>
        <w:br/>
      </w:r>
      <w:r>
        <w:t xml:space="preserve">The technology to create the future solution may come from a traditional</w:t>
      </w:r>
      <w:r>
        <w:t xml:space="preserve"> </w:t>
      </w:r>
      <w:r>
        <w:t xml:space="preserve">development environment or from a platform that would provide an ecosystem of</w:t>
      </w:r>
      <w:r>
        <w:t xml:space="preserve"> </w:t>
      </w:r>
      <w:r>
        <w:t xml:space="preserve">modules and services to be adapted to the requested needs. In the first case the</w:t>
      </w:r>
      <w:r>
        <w:t xml:space="preserve"> </w:t>
      </w:r>
      <w:r>
        <w:t xml:space="preserve">future solution would be developed from scratch (make), requiring high effort in</w:t>
      </w:r>
      <w:r>
        <w:t xml:space="preserve"> </w:t>
      </w:r>
      <w:r>
        <w:t xml:space="preserve">the first phase. In the second case the solution would be created</w:t>
      </w:r>
      <w:r>
        <w:t xml:space="preserve"> </w:t>
      </w:r>
      <w:r>
        <w:t xml:space="preserve">configuring specific modules and using the infrastructure provided (buy). This</w:t>
      </w:r>
      <w:r>
        <w:t xml:space="preserve"> </w:t>
      </w:r>
      <w:r>
        <w:t xml:space="preserve">option would reduce the initial effort required to set up the new system,</w:t>
      </w:r>
      <w:r>
        <w:t xml:space="preserve"> </w:t>
      </w:r>
      <w:r>
        <w:t xml:space="preserve">but implies higher running costs (licenses).</w:t>
      </w:r>
    </w:p>
    <w:p>
      <w:pPr>
        <w:pStyle w:val="BodyText"/>
      </w:pPr>
      <w:r>
        <w:t xml:space="preserve">19.5 Impacts of the three options for platform SoHO-X</w:t>
      </w:r>
    </w:p>
    <w:p>
      <w:pPr>
        <w:pStyle w:val="BodyText"/>
      </w:pPr>
      <w:r>
        <w:t xml:space="preserve">19.5.1 Interoperability</w:t>
      </w:r>
    </w:p>
    <w:p>
      <w:pPr>
        <w:pStyle w:val="BodyText"/>
      </w:pPr>
      <w:r>
        <w:t xml:space="preserve">Option M6A</w:t>
      </w:r>
    </w:p>
    <w:p>
      <w:pPr>
        <w:pStyle w:val="BodyText"/>
      </w:pPr>
      <w:r>
        <w:t xml:space="preserve">Due to the non-existence of links between the systems, option M6A would</w:t>
      </w:r>
      <w:r>
        <w:t xml:space="preserve"> </w:t>
      </w:r>
      <w:r>
        <w:t xml:space="preserve">not improve interoperability and would not allow the implementation of best practices for</w:t>
      </w:r>
      <w:r>
        <w:t xml:space="preserve"> </w:t>
      </w:r>
      <w:r>
        <w:t xml:space="preserve">systems architectures, data management and semantic definition of data.</w:t>
      </w:r>
    </w:p>
    <w:p>
      <w:pPr>
        <w:pStyle w:val="BodyText"/>
      </w:pPr>
      <w:r>
        <w:t xml:space="preserve">361</w:t>
      </w:r>
    </w:p>
    <w:p>
      <w:pPr>
        <w:pStyle w:val="BodyText"/>
      </w:pPr>
      <w:r>
        <w:t xml:space="preserve">Option M6B</w:t>
      </w:r>
    </w:p>
    <w:p>
      <w:pPr>
        <w:pStyle w:val="BodyText"/>
      </w:pPr>
      <w:r>
        <w:t xml:space="preserve">The solution depicted in Option M6B makes possible the communication among the</w:t>
      </w:r>
      <w:r>
        <w:t xml:space="preserve"> </w:t>
      </w:r>
      <w:r>
        <w:t xml:space="preserve">existing platforms, but only in a reading mode. This would not achieve an</w:t>
      </w:r>
      <w:r>
        <w:t xml:space="preserve"> </w:t>
      </w:r>
      <w:r>
        <w:t xml:space="preserve">interoperability among systems, because from a specific platform it would possible only</w:t>
      </w:r>
      <w:r>
        <w:t xml:space="preserve"> </w:t>
      </w:r>
      <w:r>
        <w:t xml:space="preserve">to get data from another platform without being able to integrate that information in a</w:t>
      </w:r>
      <w:r>
        <w:t xml:space="preserve"> </w:t>
      </w:r>
      <w:r>
        <w:t xml:space="preserve">broader view. Also, being a single-way link, there will be no way to share back relevant</w:t>
      </w:r>
      <w:r>
        <w:t xml:space="preserve"> </w:t>
      </w:r>
      <w:r>
        <w:t xml:space="preserve">information belonging to the same context.</w:t>
      </w:r>
    </w:p>
    <w:p>
      <w:pPr>
        <w:pStyle w:val="BodyText"/>
      </w:pPr>
      <w:r>
        <w:t xml:space="preserve">Option M6C</w:t>
      </w:r>
    </w:p>
    <w:p>
      <w:pPr>
        <w:pStyle w:val="BodyText"/>
      </w:pPr>
      <w:r>
        <w:t xml:space="preserve">A single platform would standardize all the different formats of data coming from</w:t>
      </w:r>
      <w:r>
        <w:t xml:space="preserve"> </w:t>
      </w:r>
      <w:r>
        <w:t xml:space="preserve">external systems, allowing a consistent and integrated view of all the relevant data.</w:t>
      </w:r>
      <w:r>
        <w:br/>
      </w:r>
      <w:r>
        <w:t xml:space="preserve">Also, keeping all the SoHO platforms connected to a single systems means making</w:t>
      </w:r>
      <w:r>
        <w:t xml:space="preserve"> </w:t>
      </w:r>
      <w:r>
        <w:t xml:space="preserve">viable a direct access to relevant information from a single point, which is the best way</w:t>
      </w:r>
      <w:r>
        <w:t xml:space="preserve"> </w:t>
      </w:r>
      <w:r>
        <w:t xml:space="preserve">for healthcare systems to improve patient safety and security, to be always updated about</w:t>
      </w:r>
      <w:r>
        <w:t xml:space="preserve"> </w:t>
      </w:r>
      <w:r>
        <w:t xml:space="preserve">any possible emergency, to respond quickly and effectively to new issues.</w:t>
      </w:r>
      <w:r>
        <w:br/>
      </w:r>
      <w:r>
        <w:t xml:space="preserve">Sharing information on oversight activities would also increase transparency and mutual</w:t>
      </w:r>
      <w:r>
        <w:t xml:space="preserve"> </w:t>
      </w:r>
      <w:r>
        <w:t xml:space="preserve">trust across Member States.</w:t>
      </w:r>
    </w:p>
    <w:p>
      <w:pPr>
        <w:pStyle w:val="BodyText"/>
      </w:pPr>
      <w:r>
        <w:t xml:space="preserve">19.5.2 Data analytics</w:t>
      </w:r>
    </w:p>
    <w:p>
      <w:pPr>
        <w:pStyle w:val="BodyText"/>
      </w:pPr>
      <w:r>
        <w:t xml:space="preserve">Option M6A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M6A</w:t>
      </w:r>
      <w:r>
        <w:t xml:space="preserve"> </w:t>
      </w:r>
      <w:r>
        <w:t xml:space="preserve">would</w:t>
      </w:r>
      <w:r>
        <w:t xml:space="preserve"> </w:t>
      </w:r>
      <w:r>
        <w:t xml:space="preserve">introduce</w:t>
      </w:r>
      <w:r>
        <w:t xml:space="preserve"> </w:t>
      </w:r>
      <w:r>
        <w:t xml:space="preserve">Data</w:t>
      </w:r>
      <w:r>
        <w:t xml:space="preserve"> </w:t>
      </w:r>
      <w:r>
        <w:t xml:space="preserve">Analytics</w:t>
      </w:r>
      <w:r>
        <w:t xml:space="preserve"> </w:t>
      </w:r>
      <w:r>
        <w:t xml:space="preserve">features only within</w:t>
      </w:r>
      <w:r>
        <w:t xml:space="preserve"> </w:t>
      </w:r>
      <w:r>
        <w:t xml:space="preserve">the platform itself (where needed), meaning that option M6A would not bring benefits in</w:t>
      </w:r>
      <w:r>
        <w:t xml:space="preserve"> </w:t>
      </w:r>
      <w:r>
        <w:t xml:space="preserve">terms of data aggregation and analysis among platforms.</w:t>
      </w:r>
    </w:p>
    <w:p>
      <w:pPr>
        <w:pStyle w:val="BodyText"/>
      </w:pPr>
      <w:r>
        <w:t xml:space="preserve">Option M6B</w:t>
      </w:r>
    </w:p>
    <w:p>
      <w:pPr>
        <w:pStyle w:val="BodyText"/>
      </w:pPr>
      <w:r>
        <w:t xml:space="preserve">Adopting Option M6B would make possible to have a view of data belonging to other</w:t>
      </w:r>
      <w:r>
        <w:t xml:space="preserve"> </w:t>
      </w:r>
      <w:r>
        <w:t xml:space="preserve">platforms by interrogating each one of them and getting the data exposed by the specific</w:t>
      </w:r>
      <w:r>
        <w:t xml:space="preserve"> </w:t>
      </w:r>
      <w:r>
        <w:t xml:space="preserve">interface.</w:t>
      </w:r>
      <w:r>
        <w:t xml:space="preserve"> </w:t>
      </w:r>
      <w:r>
        <w:t xml:space="preserve">This</w:t>
      </w:r>
      <w:r>
        <w:t xml:space="preserve"> </w:t>
      </w:r>
      <w:r>
        <w:t xml:space="preserve">solution</w:t>
      </w:r>
      <w:r>
        <w:t xml:space="preserve"> </w:t>
      </w:r>
      <w:r>
        <w:t xml:space="preserve">will</w:t>
      </w:r>
      <w:r>
        <w:t xml:space="preserve"> </w:t>
      </w:r>
      <w:r>
        <w:t xml:space="preserve">not</w:t>
      </w:r>
      <w:r>
        <w:t xml:space="preserve"> </w:t>
      </w:r>
      <w:r>
        <w:t xml:space="preserve">implement</w:t>
      </w:r>
      <w:r>
        <w:t xml:space="preserve"> </w:t>
      </w:r>
      <w:r>
        <w:t xml:space="preserve">a comprehensive</w:t>
      </w:r>
      <w:r>
        <w:t xml:space="preserve"> </w:t>
      </w:r>
      <w:r>
        <w:t xml:space="preserve">view</w:t>
      </w:r>
      <w:r>
        <w:t xml:space="preserve"> </w:t>
      </w:r>
      <w:r>
        <w:t xml:space="preserve">of the SoHO landscape because of multiple systems which in fact will not interact.</w:t>
      </w:r>
      <w:r>
        <w:br/>
      </w:r>
      <w:r>
        <w:t xml:space="preserve">In this scenario it would not be possible to implement a Data Analytics feature for the</w:t>
      </w:r>
      <w:r>
        <w:t xml:space="preserve"> </w:t>
      </w:r>
      <w:r>
        <w:t xml:space="preserve">whole SoHO environment because data will remain fragmented and spread across</w:t>
      </w:r>
      <w:r>
        <w:t xml:space="preserve"> </w:t>
      </w:r>
      <w:r>
        <w:t xml:space="preserve">systems.</w:t>
      </w:r>
    </w:p>
    <w:p>
      <w:pPr>
        <w:pStyle w:val="BodyText"/>
      </w:pPr>
      <w:r>
        <w:t xml:space="preserve">Option M6C</w:t>
      </w:r>
    </w:p>
    <w:p>
      <w:pPr>
        <w:pStyle w:val="BodyText"/>
      </w:pPr>
      <w:r>
        <w:t xml:space="preserve">A single system would avoid these difficulties and increase efficiency both</w:t>
      </w:r>
      <w:r>
        <w:t xml:space="preserve"> </w:t>
      </w:r>
      <w:r>
        <w:t xml:space="preserve">in functional and operational terms. A comprehensive data model would allow to keep</w:t>
      </w:r>
      <w:r>
        <w:t xml:space="preserve"> </w:t>
      </w:r>
      <w:r>
        <w:t xml:space="preserve">monitored the current situation of specific themes and to react quickly and in an effective</w:t>
      </w:r>
      <w:r>
        <w:t xml:space="preserve"> </w:t>
      </w:r>
      <w:r>
        <w:t xml:space="preserve">way to any problem that would rise. Such solution would be achieved by implementing</w:t>
      </w:r>
      <w:r>
        <w:t xml:space="preserve"> </w:t>
      </w:r>
      <w:r>
        <w:t xml:space="preserve">advanced data sharing features and thus realizing a “Real-Time Visibility” of data across</w:t>
      </w:r>
      <w:r>
        <w:t xml:space="preserve"> </w:t>
      </w:r>
      <w:r>
        <w:t xml:space="preserve">platforms. Automatic</w:t>
      </w:r>
      <w:r>
        <w:t xml:space="preserve"> </w:t>
      </w:r>
      <w:r>
        <w:t xml:space="preserve">dashboards</w:t>
      </w:r>
      <w:r>
        <w:t xml:space="preserve"> </w:t>
      </w:r>
      <w:r>
        <w:t xml:space="preserve">and</w:t>
      </w:r>
      <w:r>
        <w:t xml:space="preserve"> </w:t>
      </w:r>
      <w:r>
        <w:t xml:space="preserve">reports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basic</w:t>
      </w:r>
      <w:r>
        <w:t xml:space="preserve"> </w:t>
      </w:r>
      <w:r>
        <w:t xml:space="preserve">tools</w:t>
      </w:r>
      <w:r>
        <w:t xml:space="preserve"> </w:t>
      </w:r>
      <w:r>
        <w:t xml:space="preserve">to</w:t>
      </w:r>
      <w:r>
        <w:t xml:space="preserve"> </w:t>
      </w:r>
      <w:r>
        <w:t xml:space="preserve">enable monitoring and forecast activities, to activate alert settings and to exploit the</w:t>
      </w:r>
      <w:r>
        <w:t xml:space="preserve"> </w:t>
      </w:r>
      <w:r>
        <w:t xml:space="preserve">potential of having a broad visibility of information.</w:t>
      </w:r>
    </w:p>
    <w:p>
      <w:pPr>
        <w:pStyle w:val="BodyText"/>
      </w:pPr>
      <w:r>
        <w:t xml:space="preserve">362</w:t>
      </w:r>
    </w:p>
    <w:p>
      <w:pPr>
        <w:pStyle w:val="BodyText"/>
      </w:pPr>
      <w:r>
        <w:t xml:space="preserve">In the SoHO specific context, availability of clinical data and up-to-date information</w:t>
      </w:r>
      <w:r>
        <w:t xml:space="preserve"> </w:t>
      </w:r>
      <w:r>
        <w:t xml:space="preserve">are necessary to ensure continuous innovation and that the patients only receive</w:t>
      </w:r>
      <w:r>
        <w:t xml:space="preserve"> </w:t>
      </w:r>
      <w:r>
        <w:t xml:space="preserve">treatments that are safe and effective.</w:t>
      </w:r>
    </w:p>
    <w:p>
      <w:pPr>
        <w:pStyle w:val="BodyText"/>
      </w:pPr>
      <w:r>
        <w:t xml:space="preserve">19.5.3 Access Security</w:t>
      </w:r>
    </w:p>
    <w:p>
      <w:pPr>
        <w:pStyle w:val="BodyText"/>
      </w:pPr>
      <w:r>
        <w:t xml:space="preserve">Option M6A</w:t>
      </w:r>
    </w:p>
    <w:p>
      <w:pPr>
        <w:pStyle w:val="BodyText"/>
      </w:pPr>
      <w:r>
        <w:t xml:space="preserve">Each platform will keep the security policies already in place to grant accesses to their</w:t>
      </w:r>
      <w:r>
        <w:t xml:space="preserve"> </w:t>
      </w:r>
      <w:r>
        <w:t xml:space="preserve">registered users.</w:t>
      </w:r>
    </w:p>
    <w:p>
      <w:pPr>
        <w:pStyle w:val="BodyText"/>
      </w:pPr>
      <w:r>
        <w:t xml:space="preserve">Option M6B</w:t>
      </w:r>
    </w:p>
    <w:p>
      <w:pPr>
        <w:pStyle w:val="BodyText"/>
      </w:pPr>
      <w:r>
        <w:t xml:space="preserve">The direct access of a user to a generic platform will use its current security policy,</w:t>
      </w:r>
      <w:r>
        <w:t xml:space="preserve"> </w:t>
      </w:r>
      <w:r>
        <w:t xml:space="preserve">specific for each platform.</w:t>
      </w:r>
      <w:r>
        <w:br/>
      </w:r>
      <w:r>
        <w:t xml:space="preserve">As showed</w:t>
      </w:r>
      <w:r>
        <w:t xml:space="preserve"> </w:t>
      </w:r>
      <w:r>
        <w:t xml:space="preserve">in in</w:t>
      </w:r>
      <w:r>
        <w:t xml:space="preserve"> </w:t>
      </w:r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chapter, a</w:t>
      </w:r>
      <w:r>
        <w:t xml:space="preserve"> </w:t>
      </w:r>
      <w:r>
        <w:t xml:space="preserve">link</w:t>
      </w:r>
      <w:r>
        <w:t xml:space="preserve"> </w:t>
      </w:r>
      <w:r>
        <w:t xml:space="preserve">between the interfaces</w:t>
      </w:r>
      <w:r>
        <w:t xml:space="preserve"> </w:t>
      </w:r>
      <w:r>
        <w:t xml:space="preserve">of two platforms will make available data of a platform to a user who accessed a</w:t>
      </w:r>
      <w:r>
        <w:t xml:space="preserve"> </w:t>
      </w:r>
      <w:r>
        <w:t xml:space="preserve">different platform. The user will be able to access only the data that the specific interface</w:t>
      </w:r>
      <w:r>
        <w:t xml:space="preserve"> </w:t>
      </w:r>
      <w:r>
        <w:t xml:space="preserve">will present and only in a reading mode.</w:t>
      </w:r>
      <w:r>
        <w:br/>
      </w:r>
      <w:r>
        <w:t xml:space="preserve">The</w:t>
      </w:r>
      <w:r>
        <w:t xml:space="preserve"> </w:t>
      </w:r>
      <w:r>
        <w:t xml:space="preserve">user</w:t>
      </w:r>
      <w:r>
        <w:t xml:space="preserve"> </w:t>
      </w:r>
      <w:r>
        <w:t xml:space="preserve">who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platform “A” will</w:t>
      </w:r>
      <w:r>
        <w:t xml:space="preserve"> </w:t>
      </w:r>
      <w:r>
        <w:t xml:space="preserve">be</w:t>
      </w:r>
      <w:r>
        <w:t xml:space="preserve"> </w:t>
      </w:r>
      <w:r>
        <w:t xml:space="preserve">able</w:t>
      </w:r>
      <w:r>
        <w:t xml:space="preserve"> </w:t>
      </w:r>
      <w:r>
        <w:t xml:space="preserve">to</w:t>
      </w:r>
      <w:r>
        <w:t xml:space="preserve"> </w:t>
      </w:r>
      <w:r>
        <w:t xml:space="preserve">reach the data of platform “B” will have a role with the grants to access specific data</w:t>
      </w:r>
      <w:r>
        <w:t xml:space="preserve"> </w:t>
      </w:r>
      <w:r>
        <w:t xml:space="preserve">from other specific platforms. This solution implies that different visibility rules must be</w:t>
      </w:r>
      <w:r>
        <w:t xml:space="preserve"> </w:t>
      </w:r>
      <w:r>
        <w:t xml:space="preserve">agreed in advance among the owner of the platforms and each visibility rule must be</w:t>
      </w:r>
      <w:r>
        <w:t xml:space="preserve"> </w:t>
      </w:r>
      <w:r>
        <w:t xml:space="preserve">associated to different roles in each platform. Also, any policy change of a single</w:t>
      </w:r>
      <w:r>
        <w:t xml:space="preserve"> </w:t>
      </w:r>
      <w:r>
        <w:t xml:space="preserve">platform will trigger a redefinition of roles and grants for all the users of other platform.</w:t>
      </w:r>
    </w:p>
    <w:p>
      <w:pPr>
        <w:pStyle w:val="BodyText"/>
      </w:pPr>
      <w:r>
        <w:t xml:space="preserve">Option M6C</w:t>
      </w:r>
    </w:p>
    <w:p>
      <w:pPr>
        <w:pStyle w:val="BodyText"/>
      </w:pPr>
      <w:r>
        <w:t xml:space="preserve">The unification of the access policies within a single system would improve the security</w:t>
      </w:r>
      <w:r>
        <w:t xml:space="preserve"> </w:t>
      </w:r>
      <w:r>
        <w:t xml:space="preserve">of the data through the definition of roles and visibility to be assigned to specific users.</w:t>
      </w:r>
      <w:r>
        <w:br/>
      </w:r>
      <w:r>
        <w:t xml:space="preserve">Implementing an “Identity and access management” (IAM) practice in one single system</w:t>
      </w:r>
      <w:r>
        <w:t xml:space="preserve"> </w:t>
      </w:r>
      <w:r>
        <w:t xml:space="preserve">would bring several benefits:</w:t>
      </w:r>
      <w:r>
        <w:br/>
      </w:r>
      <w:r>
        <w:t xml:space="preserve"></w:t>
      </w:r>
      <w:r>
        <w:t xml:space="preserve"> </w:t>
      </w:r>
      <w:r>
        <w:t xml:space="preserve">Any change to the security policy of a specific platform which shares data with</w:t>
      </w:r>
      <w:r>
        <w:t xml:space="preserve"> </w:t>
      </w:r>
      <w:r>
        <w:t xml:space="preserve">the single system can be easily reflected in a change of the visibility granted to one or</w:t>
      </w:r>
      <w:r>
        <w:t xml:space="preserve"> </w:t>
      </w:r>
      <w:r>
        <w:t xml:space="preserve">more role defined in the single system. This would have immediate effect on the</w:t>
      </w:r>
      <w:r>
        <w:t xml:space="preserve"> </w:t>
      </w:r>
      <w:r>
        <w:t xml:space="preserve">access privilege of all the users impacted.</w:t>
      </w:r>
      <w:r>
        <w:br/>
      </w:r>
      <w:r>
        <w:t xml:space="preserve"></w:t>
      </w:r>
      <w:r>
        <w:t xml:space="preserve"> </w:t>
      </w:r>
      <w:r>
        <w:t xml:space="preserve">Security admins of the single system will be able to enforce security policies</w:t>
      </w:r>
      <w:r>
        <w:t xml:space="preserve"> </w:t>
      </w:r>
      <w:r>
        <w:t xml:space="preserve">across all platform modules and applications. With common policies, it will be easier</w:t>
      </w:r>
      <w:r>
        <w:t xml:space="preserve"> </w:t>
      </w:r>
      <w:r>
        <w:t xml:space="preserve">to monitor accesses, identify violations and revoke access when needed.</w:t>
      </w:r>
      <w:r>
        <w:br/>
      </w:r>
      <w:r>
        <w:t xml:space="preserve"></w:t>
      </w:r>
      <w:r>
        <w:t xml:space="preserve"> </w:t>
      </w:r>
      <w:r>
        <w:t xml:space="preserve">Many regulations (including the Sarbanes-Oxley Act, HIPAA, PCI DSS</w:t>
      </w:r>
      <w:r>
        <w:t xml:space="preserve"> </w:t>
      </w:r>
      <w:r>
        <w:t xml:space="preserve">and GDPR) have data security, privacy and protection mandates that directly relate</w:t>
      </w:r>
      <w:r>
        <w:t xml:space="preserve"> </w:t>
      </w:r>
      <w:r>
        <w:t xml:space="preserve">to IAM. The administrator of the single system would be able to prove</w:t>
      </w:r>
      <w:r>
        <w:t xml:space="preserve"> </w:t>
      </w:r>
      <w:r>
        <w:t xml:space="preserve">compliance, and be able to verify protections for data, including who has access</w:t>
      </w:r>
      <w:r>
        <w:t xml:space="preserve"> </w:t>
      </w:r>
      <w:r>
        <w:t xml:space="preserve">to it, how that access is protected, processes for revoking access and how</w:t>
      </w:r>
      <w:r>
        <w:t xml:space="preserve"> </w:t>
      </w:r>
      <w:r>
        <w:t xml:space="preserve">passwords are managed.</w:t>
      </w:r>
      <w:r>
        <w:br/>
      </w:r>
      <w:r>
        <w:t xml:space="preserve">The implementation of such security policies may also solve an issue raised by some key</w:t>
      </w:r>
      <w:r>
        <w:t xml:space="preserve"> </w:t>
      </w:r>
      <w:r>
        <w:t xml:space="preserve">users of existing platforms, which is related to the circulation of clinical data among</w:t>
      </w:r>
      <w:r>
        <w:t xml:space="preserve"> </w:t>
      </w:r>
      <w:r>
        <w:t xml:space="preserve">registries different from the one where the data has been originally submitted. If the new</w:t>
      </w:r>
      <w:r>
        <w:t xml:space="preserve"> </w:t>
      </w:r>
      <w:r>
        <w:t xml:space="preserve">single system would also operate as single input system for different entities, it will be</w:t>
      </w:r>
    </w:p>
    <w:p>
      <w:pPr>
        <w:pStyle w:val="BodyText"/>
      </w:pPr>
      <w:r>
        <w:t xml:space="preserve">363</w:t>
      </w:r>
    </w:p>
    <w:p>
      <w:pPr>
        <w:pStyle w:val="BodyText"/>
      </w:pPr>
      <w:r>
        <w:t xml:space="preserve">sufficient to assign specific grants to specific users in order to make available relevant</w:t>
      </w:r>
      <w:r>
        <w:t xml:space="preserve"> </w:t>
      </w:r>
      <w:r>
        <w:t xml:space="preserve">data to the right users.</w:t>
      </w:r>
    </w:p>
    <w:p>
      <w:pPr>
        <w:pStyle w:val="BodyText"/>
      </w:pPr>
      <w:r>
        <w:t xml:space="preserve">19.5.4 Data management</w:t>
      </w:r>
    </w:p>
    <w:p>
      <w:pPr>
        <w:pStyle w:val="BodyText"/>
      </w:pPr>
      <w:r>
        <w:t xml:space="preserve">Option M6A</w:t>
      </w:r>
    </w:p>
    <w:p>
      <w:pPr>
        <w:pStyle w:val="BodyText"/>
      </w:pPr>
      <w:r>
        <w:t xml:space="preserve">Each platform will keep using their own current data management policies.</w:t>
      </w:r>
      <w:r>
        <w:br/>
      </w:r>
      <w:r>
        <w:t xml:space="preserve">Option M6B</w:t>
      </w:r>
    </w:p>
    <w:p>
      <w:pPr>
        <w:pStyle w:val="BodyText"/>
      </w:pPr>
      <w:r>
        <w:t xml:space="preserve">As mentioned in the previous paragraphs, the interfaces that in Option M6B will</w:t>
      </w:r>
      <w:r>
        <w:t xml:space="preserve"> </w:t>
      </w:r>
      <w:r>
        <w:t xml:space="preserve">be available in each platform will make possible to access specific data from other</w:t>
      </w:r>
      <w:r>
        <w:t xml:space="preserve"> </w:t>
      </w:r>
      <w:r>
        <w:t xml:space="preserve">platforms, but this solution will not implement an integrated and consistent database.</w:t>
      </w:r>
      <w:r>
        <w:br/>
      </w:r>
      <w:r>
        <w:t xml:space="preserve">The solution provided by Option M6B will rather be a distributed database, having</w:t>
      </w:r>
      <w:r>
        <w:t xml:space="preserve"> </w:t>
      </w:r>
      <w:r>
        <w:t xml:space="preserve">no checks on its own consistency. Data analytics features will be applicable only to</w:t>
      </w:r>
      <w:r>
        <w:t xml:space="preserve"> </w:t>
      </w:r>
      <w:r>
        <w:t xml:space="preserve">subsets of data, without being able to provide a comprehensive view.</w:t>
      </w:r>
    </w:p>
    <w:p>
      <w:pPr>
        <w:pStyle w:val="BodyText"/>
      </w:pPr>
      <w:r>
        <w:t xml:space="preserve">Option M6C</w:t>
      </w:r>
    </w:p>
    <w:p>
      <w:pPr>
        <w:pStyle w:val="BodyText"/>
      </w:pPr>
      <w:r>
        <w:t xml:space="preserve">A single system would implement a single, integrated and consistent database, able to</w:t>
      </w:r>
      <w:r>
        <w:t xml:space="preserve"> </w:t>
      </w:r>
      <w:r>
        <w:t xml:space="preserve">support data analytics features. Data integrity checks will be part of the solution,</w:t>
      </w:r>
      <w:r>
        <w:t xml:space="preserve"> </w:t>
      </w:r>
      <w:r>
        <w:t xml:space="preserve">providing accurate and comprehensive view of data quality. Also, it will be possible to</w:t>
      </w:r>
      <w:r>
        <w:t xml:space="preserve"> </w:t>
      </w:r>
      <w:r>
        <w:t xml:space="preserve">highlight any deviation from data quality standard and to track back the issue to the data</w:t>
      </w:r>
      <w:r>
        <w:t xml:space="preserve"> </w:t>
      </w:r>
      <w:r>
        <w:t xml:space="preserve">source for correction.</w:t>
      </w:r>
      <w:r>
        <w:br/>
      </w:r>
      <w:r>
        <w:t xml:space="preserve">The single system would be a federated model, which would allow data to stay locally in</w:t>
      </w:r>
      <w:r>
        <w:t xml:space="preserve"> </w:t>
      </w:r>
      <w:r>
        <w:t xml:space="preserve">the original registries without the obligation on Member States and other entities to</w:t>
      </w:r>
      <w:r>
        <w:t xml:space="preserve"> </w:t>
      </w:r>
      <w:r>
        <w:t xml:space="preserve">restructure their databases in order to be compliant. It would also provide automated data</w:t>
      </w:r>
      <w:r>
        <w:t xml:space="preserve"> </w:t>
      </w:r>
      <w:r>
        <w:t xml:space="preserve">flows for real-time updates from all the relevant registries and allow a more effective,</w:t>
      </w:r>
      <w:r>
        <w:t xml:space="preserve"> </w:t>
      </w:r>
      <w:r>
        <w:t xml:space="preserve">simpler and faster way to input data.</w:t>
      </w:r>
      <w:r>
        <w:br/>
      </w:r>
      <w:r>
        <w:t xml:space="preserve">A common problem raised by key users of the platforms currently active is related to the</w:t>
      </w:r>
      <w:r>
        <w:t xml:space="preserve"> </w:t>
      </w:r>
      <w:r>
        <w:t xml:space="preserve">long time needed to input data into the registries. A new single platform could solve this</w:t>
      </w:r>
      <w:r>
        <w:t xml:space="preserve"> </w:t>
      </w:r>
      <w:r>
        <w:t xml:space="preserve">issue by providing a more flexible and user-friendly interface to input data. An additional</w:t>
      </w:r>
      <w:r>
        <w:t xml:space="preserve"> </w:t>
      </w:r>
      <w:r>
        <w:t xml:space="preserve">feature to be discussed may also be the possibility to input data in multiple registries at</w:t>
      </w:r>
      <w:r>
        <w:t xml:space="preserve"> </w:t>
      </w:r>
      <w:r>
        <w:t xml:space="preserve">once through the access to the single system, submitting data in an entity-driven or</w:t>
      </w:r>
      <w:r>
        <w:t xml:space="preserve"> </w:t>
      </w:r>
      <w:r>
        <w:t xml:space="preserve">patient-driven session.</w:t>
      </w:r>
    </w:p>
    <w:p>
      <w:pPr>
        <w:pStyle w:val="BodyText"/>
      </w:pPr>
      <w:r>
        <w:t xml:space="preserve">19.5.5 Resilience</w:t>
      </w:r>
    </w:p>
    <w:p>
      <w:pPr>
        <w:pStyle w:val="BodyText"/>
      </w:pPr>
      <w:r>
        <w:t xml:space="preserve">Option M6A</w:t>
      </w:r>
    </w:p>
    <w:p>
      <w:pPr>
        <w:pStyle w:val="BodyText"/>
      </w:pPr>
      <w:r>
        <w:t xml:space="preserve">Resilience features will remain the same, as specified in the level of service agreed for</w:t>
      </w:r>
      <w:r>
        <w:t xml:space="preserve"> </w:t>
      </w:r>
      <w:r>
        <w:t xml:space="preserve">each platform.</w:t>
      </w:r>
    </w:p>
    <w:p>
      <w:pPr>
        <w:pStyle w:val="BodyText"/>
      </w:pPr>
      <w:r>
        <w:t xml:space="preserve">Option M6B</w:t>
      </w:r>
    </w:p>
    <w:p>
      <w:pPr>
        <w:pStyle w:val="BodyText"/>
      </w:pPr>
      <w:r>
        <w:t xml:space="preserve">Resilience features will remain the same, as specified in the level of service agreed for</w:t>
      </w:r>
      <w:r>
        <w:t xml:space="preserve"> </w:t>
      </w:r>
      <w:r>
        <w:t xml:space="preserve">each platform.</w:t>
      </w:r>
    </w:p>
    <w:p>
      <w:pPr>
        <w:pStyle w:val="BodyText"/>
      </w:pPr>
      <w:r>
        <w:t xml:space="preserve">Option M6C</w:t>
      </w:r>
    </w:p>
    <w:p>
      <w:pPr>
        <w:pStyle w:val="BodyText"/>
      </w:pPr>
      <w:r>
        <w:t xml:space="preserve">364</w:t>
      </w:r>
    </w:p>
    <w:p>
      <w:pPr>
        <w:pStyle w:val="BodyText"/>
      </w:pPr>
      <w:r>
        <w:t xml:space="preserve">Depending on the technology and on the implementation strategy that will be chosen, the</w:t>
      </w:r>
      <w:r>
        <w:t xml:space="preserve"> </w:t>
      </w:r>
      <w:r>
        <w:t xml:space="preserve">new single system will be designed with specific features (e.g. Disaster Recovery</w:t>
      </w:r>
      <w:r>
        <w:t xml:space="preserve"> </w:t>
      </w:r>
      <w:r>
        <w:t xml:space="preserve">solution), which will allow the solution to react to critical situations. A resilient approach</w:t>
      </w:r>
      <w:r>
        <w:t xml:space="preserve"> </w:t>
      </w:r>
      <w:r>
        <w:t xml:space="preserve">will include responding quickly to an issue, minimizing damages, providing continuous</w:t>
      </w:r>
      <w:r>
        <w:t xml:space="preserve"> </w:t>
      </w:r>
      <w:r>
        <w:t xml:space="preserve">operations with a pre-defined level of service.</w:t>
      </w:r>
      <w:r>
        <w:br/>
      </w:r>
      <w:r>
        <w:t xml:space="preserve">Such resilience features will only applicable to the single system solution and its data. No</w:t>
      </w:r>
      <w:r>
        <w:t xml:space="preserve"> </w:t>
      </w:r>
      <w:r>
        <w:t xml:space="preserve">additional resilience feature will be provided for existing platforms and for their data not</w:t>
      </w:r>
      <w:r>
        <w:t xml:space="preserve"> </w:t>
      </w:r>
      <w:r>
        <w:t xml:space="preserve">imported in the single system.</w:t>
      </w:r>
    </w:p>
    <w:p>
      <w:pPr>
        <w:pStyle w:val="BodyText"/>
      </w:pPr>
      <w:r>
        <w:t xml:space="preserve">19.5.6 Easiness in evolution</w:t>
      </w:r>
    </w:p>
    <w:p>
      <w:pPr>
        <w:pStyle w:val="BodyText"/>
      </w:pPr>
      <w:r>
        <w:t xml:space="preserve">Option M6A</w:t>
      </w:r>
    </w:p>
    <w:p>
      <w:pPr>
        <w:pStyle w:val="BodyText"/>
      </w:pPr>
      <w:r>
        <w:t xml:space="preserve">Upgrades or evolutions on existing platforms could be performed with no impact on</w:t>
      </w:r>
      <w:r>
        <w:t xml:space="preserve"> </w:t>
      </w:r>
      <w:r>
        <w:t xml:space="preserve">other systems.</w:t>
      </w:r>
    </w:p>
    <w:p>
      <w:pPr>
        <w:pStyle w:val="BodyText"/>
      </w:pPr>
      <w:r>
        <w:t xml:space="preserve">Option M6B</w:t>
      </w:r>
    </w:p>
    <w:p>
      <w:pPr>
        <w:pStyle w:val="BodyText"/>
      </w:pPr>
      <w:r>
        <w:t xml:space="preserve">Similarly to Option M6A, upgrades or evolutions could be easily performed on specific</w:t>
      </w:r>
      <w:r>
        <w:t xml:space="preserve"> </w:t>
      </w:r>
      <w:r>
        <w:t xml:space="preserve">platforms, but, in this case, issues related to mutual compatibility will raise. In order to</w:t>
      </w:r>
      <w:r>
        <w:t xml:space="preserve"> </w:t>
      </w:r>
      <w:r>
        <w:t xml:space="preserve">keep all the platforms able to communicate to each other, every change must take in</w:t>
      </w:r>
      <w:r>
        <w:t xml:space="preserve"> </w:t>
      </w:r>
      <w:r>
        <w:t xml:space="preserve">consideration (ex-ante or ex-post) how the features related to data exchange or data</w:t>
      </w:r>
      <w:r>
        <w:t xml:space="preserve"> </w:t>
      </w:r>
      <w:r>
        <w:t xml:space="preserve">aggregation would be impacted.</w:t>
      </w:r>
    </w:p>
    <w:p>
      <w:pPr>
        <w:pStyle w:val="BodyText"/>
      </w:pPr>
      <w:r>
        <w:t xml:space="preserve">Option M6C</w:t>
      </w:r>
    </w:p>
    <w:p>
      <w:pPr>
        <w:pStyle w:val="BodyText"/>
      </w:pPr>
      <w:r>
        <w:t xml:space="preserve">Having a single system makes easier to manage its evolution independently from the</w:t>
      </w:r>
      <w:r>
        <w:t xml:space="preserve"> </w:t>
      </w:r>
      <w:r>
        <w:t xml:space="preserve">other systems which would keep working as source of data. The only dependency would</w:t>
      </w:r>
      <w:r>
        <w:t xml:space="preserve"> </w:t>
      </w:r>
      <w:r>
        <w:t xml:space="preserve">remain the need to adapt the interfaces between systems, where and if necessary.</w:t>
      </w:r>
      <w:r>
        <w:br/>
      </w:r>
      <w:r>
        <w:t xml:space="preserve">The evolution would be not only about technology, but would also include the concept of</w:t>
      </w:r>
      <w:r>
        <w:t xml:space="preserve"> </w:t>
      </w:r>
      <w:r>
        <w:t xml:space="preserve">scalability, which is the ability of a process, system or organization to grow and manage</w:t>
      </w:r>
      <w:r>
        <w:t xml:space="preserve"> </w:t>
      </w:r>
      <w:r>
        <w:t xml:space="preserve">increased demand. The concept connotes the ability to accommodate an increasing</w:t>
      </w:r>
      <w:r>
        <w:t xml:space="preserve"> </w:t>
      </w:r>
      <w:r>
        <w:t xml:space="preserve">number of elements or objects, to process growing volumes of work gracefully, and/or</w:t>
      </w:r>
      <w:r>
        <w:t xml:space="preserve"> </w:t>
      </w:r>
      <w:r>
        <w:t xml:space="preserve">to be susceptible to enlargement.</w:t>
      </w:r>
    </w:p>
    <w:p>
      <w:pPr>
        <w:pStyle w:val="BodyText"/>
      </w:pPr>
      <w:r>
        <w:t xml:space="preserve">19.6 Assessment table</w:t>
      </w:r>
    </w:p>
    <w:p>
      <w:pPr>
        <w:pStyle w:val="BodyText"/>
      </w:pPr>
      <w:r>
        <w:t xml:space="preserve">Preliminary expert assessment of the performance of the three options:</w:t>
      </w:r>
    </w:p>
    <w:p>
      <w:pPr>
        <w:pStyle w:val="BodyText"/>
      </w:pPr>
      <w:r>
        <w:t xml:space="preserve">Criteria</w:t>
      </w:r>
      <w:r>
        <w:br/>
      </w:r>
      <w:r>
        <w:t xml:space="preserve">M6A: Upgrade</w:t>
      </w:r>
      <w:r>
        <w:br/>
      </w:r>
      <w:r>
        <w:t xml:space="preserve">Add missing</w:t>
      </w:r>
      <w:r>
        <w:t xml:space="preserve"> </w:t>
      </w:r>
      <w:r>
        <w:t xml:space="preserve">elements to</w:t>
      </w:r>
      <w:r>
        <w:t xml:space="preserve"> </w:t>
      </w:r>
      <w:r>
        <w:t xml:space="preserve">the existing</w:t>
      </w:r>
      <w:r>
        <w:t xml:space="preserve"> </w:t>
      </w:r>
      <w:r>
        <w:t xml:space="preserve">systems as</w:t>
      </w:r>
      <w:r>
        <w:t xml:space="preserve"> </w:t>
      </w:r>
      <w:r>
        <w:t xml:space="preserve">individual</w:t>
      </w:r>
      <w:r>
        <w:t xml:space="preserve"> </w:t>
      </w:r>
      <w:r>
        <w:t xml:space="preserve">components – no</w:t>
      </w:r>
      <w:r>
        <w:t xml:space="preserve"> </w:t>
      </w:r>
      <w:r>
        <w:t xml:space="preserve">links/ no inter</w:t>
      </w:r>
      <w:r>
        <w:br/>
      </w:r>
      <w:r>
        <w:t xml:space="preserve">M6B: Upgrade and</w:t>
      </w:r>
      <w:r>
        <w:t xml:space="preserve"> </w:t>
      </w:r>
      <w:r>
        <w:t xml:space="preserve">connect</w:t>
      </w:r>
      <w:r>
        <w:br/>
      </w:r>
      <w:r>
        <w:t xml:space="preserve">Add missing elements to</w:t>
      </w:r>
      <w:r>
        <w:t xml:space="preserve"> </w:t>
      </w:r>
      <w:r>
        <w:t xml:space="preserve">the existing systems as</w:t>
      </w:r>
      <w:r>
        <w:t xml:space="preserve"> </w:t>
      </w:r>
      <w:r>
        <w:t xml:space="preserve">individual components –</w:t>
      </w:r>
      <w:r>
        <w:t xml:space="preserve"> </w:t>
      </w:r>
      <w:r>
        <w:t xml:space="preserve">plus an additional layer to</w:t>
      </w:r>
      <w:r>
        <w:t xml:space="preserve"> </w:t>
      </w:r>
      <w:r>
        <w:t xml:space="preserve">extract, link and analyse</w:t>
      </w:r>
      <w:r>
        <w:t xml:space="preserve"> </w:t>
      </w:r>
      <w:r>
        <w:t xml:space="preserve">the data</w:t>
      </w:r>
      <w:r>
        <w:br/>
      </w:r>
      <w:r>
        <w:t xml:space="preserve">M6C: New single</w:t>
      </w:r>
      <w:r>
        <w:t xml:space="preserve"> </w:t>
      </w:r>
      <w:r>
        <w:t xml:space="preserve">system</w:t>
      </w:r>
      <w:r>
        <w:br/>
      </w:r>
      <w:r>
        <w:t xml:space="preserve">Create a new</w:t>
      </w:r>
      <w:r>
        <w:t xml:space="preserve"> </w:t>
      </w:r>
      <w:r>
        <w:t xml:space="preserve">unified system –</w:t>
      </w:r>
      <w:r>
        <w:t xml:space="preserve"> </w:t>
      </w:r>
      <w:r>
        <w:t xml:space="preserve">which includes a</w:t>
      </w:r>
      <w:r>
        <w:t xml:space="preserve"> </w:t>
      </w:r>
      <w:r>
        <w:t xml:space="preserve">revamp of the</w:t>
      </w:r>
      <w:r>
        <w:t xml:space="preserve"> </w:t>
      </w:r>
      <w:r>
        <w:t xml:space="preserve">existing elements as</w:t>
      </w:r>
      <w:r>
        <w:t xml:space="preserve"> </w:t>
      </w:r>
      <w:r>
        <w:t xml:space="preserve">well as the addition</w:t>
      </w:r>
      <w:r>
        <w:t xml:space="preserve"> </w:t>
      </w:r>
      <w:r>
        <w:t xml:space="preserve">of the new</w:t>
      </w:r>
    </w:p>
    <w:p>
      <w:pPr>
        <w:pStyle w:val="BodyText"/>
      </w:pPr>
      <w:r>
        <w:t xml:space="preserve">365</w:t>
      </w:r>
    </w:p>
    <w:p>
      <w:pPr>
        <w:pStyle w:val="BodyText"/>
      </w:pPr>
      <w:r>
        <w:t xml:space="preserve">elements.</w:t>
      </w:r>
      <w:r>
        <w:br/>
      </w:r>
      <w:r>
        <w:t xml:space="preserve">Interoperability: the extent</w:t>
      </w:r>
      <w:r>
        <w:t xml:space="preserve"> </w:t>
      </w:r>
      <w:r>
        <w:t xml:space="preserve">to which the</w:t>
      </w:r>
      <w:r>
        <w:t xml:space="preserve"> </w:t>
      </w:r>
      <w:r>
        <w:t xml:space="preserve">system allows a consistent</w:t>
      </w:r>
      <w:r>
        <w:t xml:space="preserve"> </w:t>
      </w:r>
      <w:r>
        <w:t xml:space="preserve">and integrated view of all</w:t>
      </w:r>
      <w:r>
        <w:t xml:space="preserve"> </w:t>
      </w:r>
      <w:r>
        <w:t xml:space="preserve">the relevant data</w:t>
      </w:r>
    </w:p>
    <w:p>
      <w:pPr>
        <w:pStyle w:val="BodyText"/>
      </w:pPr>
      <w:r>
        <w:t xml:space="preserve">Missing</w:t>
      </w:r>
      <w:r>
        <w:t xml:space="preserve"> </w:t>
      </w:r>
      <w:r>
        <w:t xml:space="preserve">connections</w:t>
      </w:r>
      <w:r>
        <w:t xml:space="preserve"> </w:t>
      </w:r>
      <w:r>
        <w:t xml:space="preserve">among</w:t>
      </w:r>
      <w:r>
        <w:t xml:space="preserve"> </w:t>
      </w:r>
      <w:r>
        <w:t xml:space="preserve">the systems would</w:t>
      </w:r>
      <w:r>
        <w:t xml:space="preserve"> </w:t>
      </w:r>
      <w:r>
        <w:t xml:space="preserve">result in lack</w:t>
      </w:r>
      <w:r>
        <w:t xml:space="preserve"> </w:t>
      </w:r>
      <w:r>
        <w:t xml:space="preserve">of interoperability</w:t>
      </w:r>
      <w:r>
        <w:t xml:space="preserve"> </w:t>
      </w:r>
      <w:r>
        <w:t xml:space="preserve">and would prevent</w:t>
      </w:r>
      <w:r>
        <w:t xml:space="preserve"> </w:t>
      </w:r>
      <w:r>
        <w:t xml:space="preserve">from the</w:t>
      </w:r>
      <w:r>
        <w:t xml:space="preserve"> </w:t>
      </w:r>
      <w:r>
        <w:t xml:space="preserve">implementation of</w:t>
      </w:r>
      <w:r>
        <w:t xml:space="preserve"> </w:t>
      </w:r>
      <w:r>
        <w:t xml:space="preserve">best practices.</w:t>
      </w:r>
      <w:r>
        <w:br/>
      </w:r>
      <w:r>
        <w:t xml:space="preserve">This option would allow</w:t>
      </w:r>
      <w:r>
        <w:t xml:space="preserve"> </w:t>
      </w:r>
      <w:r>
        <w:t xml:space="preserve">communication among</w:t>
      </w:r>
      <w:r>
        <w:t xml:space="preserve"> </w:t>
      </w:r>
      <w:r>
        <w:t xml:space="preserve">platforms but only in</w:t>
      </w:r>
      <w:r>
        <w:t xml:space="preserve"> </w:t>
      </w:r>
      <w:r>
        <w:t xml:space="preserve">reading</w:t>
      </w:r>
      <w:r>
        <w:t xml:space="preserve"> </w:t>
      </w:r>
      <w:r>
        <w:t xml:space="preserve">mode, without making</w:t>
      </w:r>
      <w:r>
        <w:t xml:space="preserve"> </w:t>
      </w:r>
      <w:r>
        <w:t xml:space="preserve">possible the integration</w:t>
      </w:r>
      <w:r>
        <w:t xml:space="preserve"> </w:t>
      </w:r>
      <w:r>
        <w:t xml:space="preserve">of information.</w:t>
      </w:r>
      <w:r>
        <w:br/>
      </w:r>
      <w:r>
        <w:t xml:space="preserve">A</w:t>
      </w:r>
      <w:r>
        <w:t xml:space="preserve"> </w:t>
      </w:r>
      <w:r>
        <w:t xml:space="preserve">single system would</w:t>
      </w:r>
      <w:r>
        <w:t xml:space="preserve"> </w:t>
      </w:r>
      <w:r>
        <w:t xml:space="preserve">standardize all the</w:t>
      </w:r>
      <w:r>
        <w:t xml:space="preserve"> </w:t>
      </w:r>
      <w:r>
        <w:t xml:space="preserve">different formats of</w:t>
      </w:r>
      <w:r>
        <w:t xml:space="preserve"> </w:t>
      </w:r>
      <w:r>
        <w:t xml:space="preserve">data coming</w:t>
      </w:r>
      <w:r>
        <w:t xml:space="preserve"> </w:t>
      </w:r>
      <w:r>
        <w:t xml:space="preserve">from other</w:t>
      </w:r>
      <w:r>
        <w:t xml:space="preserve"> </w:t>
      </w:r>
      <w:r>
        <w:t xml:space="preserve">platforms, allowing</w:t>
      </w:r>
      <w:r>
        <w:t xml:space="preserve"> </w:t>
      </w:r>
      <w:r>
        <w:t xml:space="preserve">a consistent and</w:t>
      </w:r>
      <w:r>
        <w:t xml:space="preserve"> </w:t>
      </w:r>
      <w:r>
        <w:t xml:space="preserve">integrated view of</w:t>
      </w:r>
      <w:r>
        <w:t xml:space="preserve"> </w:t>
      </w:r>
      <w:r>
        <w:t xml:space="preserve">all the relevant data</w:t>
      </w:r>
      <w:r>
        <w:t xml:space="preserve"> </w:t>
      </w:r>
      <w:r>
        <w:t xml:space="preserve">and promoting the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among these</w:t>
      </w:r>
      <w:r>
        <w:t xml:space="preserve"> </w:t>
      </w:r>
      <w:r>
        <w:t xml:space="preserve">platforms.</w:t>
      </w:r>
      <w:r>
        <w:br/>
      </w:r>
      <w:r>
        <w:t xml:space="preserve">0</w:t>
      </w:r>
      <w:r>
        <w:br/>
      </w:r>
      <w:r>
        <w:t xml:space="preserve">+</w:t>
      </w:r>
      <w:r>
        <w:br/>
      </w:r>
      <w:r>
        <w:t xml:space="preserve">++</w:t>
      </w:r>
      <w:r>
        <w:br/>
      </w:r>
      <w:r>
        <w:t xml:space="preserve">Data analytics: the extent</w:t>
      </w:r>
      <w:r>
        <w:t xml:space="preserve"> </w:t>
      </w:r>
      <w:r>
        <w:t xml:space="preserve">to which the solution</w:t>
      </w:r>
      <w:r>
        <w:t xml:space="preserve"> </w:t>
      </w:r>
      <w:r>
        <w:t xml:space="preserve">allows analysis of data</w:t>
      </w:r>
      <w:r>
        <w:t xml:space="preserve"> </w:t>
      </w:r>
      <w:r>
        <w:t xml:space="preserve">originating from multiple</w:t>
      </w:r>
      <w:r>
        <w:t xml:space="preserve"> </w:t>
      </w:r>
      <w:r>
        <w:t xml:space="preserve">sources</w:t>
      </w:r>
    </w:p>
    <w:p>
      <w:pPr>
        <w:pStyle w:val="BodyText"/>
      </w:pPr>
      <w:r>
        <w:t xml:space="preserve">Data Analytics</w:t>
      </w:r>
      <w:r>
        <w:t xml:space="preserve"> </w:t>
      </w:r>
      <w:r>
        <w:t xml:space="preserve">features to be</w:t>
      </w:r>
      <w:r>
        <w:t xml:space="preserve"> </w:t>
      </w:r>
      <w:r>
        <w:t xml:space="preserve">introduced only</w:t>
      </w:r>
      <w:r>
        <w:t xml:space="preserve"> </w:t>
      </w:r>
      <w:r>
        <w:t xml:space="preserve">within the</w:t>
      </w:r>
      <w:r>
        <w:t xml:space="preserve"> </w:t>
      </w:r>
      <w:r>
        <w:t xml:space="preserve">platform itself, no</w:t>
      </w:r>
      <w:r>
        <w:t xml:space="preserve"> </w:t>
      </w:r>
      <w:r>
        <w:t xml:space="preserve">benefits in terms</w:t>
      </w:r>
      <w:r>
        <w:t xml:space="preserve"> </w:t>
      </w:r>
      <w:r>
        <w:t xml:space="preserve">of data</w:t>
      </w:r>
      <w:r>
        <w:t xml:space="preserve"> </w:t>
      </w:r>
      <w:r>
        <w:t xml:space="preserve">aggregation and</w:t>
      </w:r>
      <w:r>
        <w:t xml:space="preserve"> </w:t>
      </w:r>
      <w:r>
        <w:t xml:space="preserve">analysis among</w:t>
      </w:r>
      <w:r>
        <w:t xml:space="preserve"> </w:t>
      </w:r>
      <w:r>
        <w:t xml:space="preserve">platforms.</w:t>
      </w:r>
    </w:p>
    <w:p>
      <w:pPr>
        <w:pStyle w:val="BodyText"/>
      </w:pPr>
      <w:r>
        <w:t xml:space="preserve">Data would remain</w:t>
      </w:r>
      <w:r>
        <w:t xml:space="preserve"> </w:t>
      </w:r>
      <w:r>
        <w:t xml:space="preserve">fragmented and spread</w:t>
      </w:r>
      <w:r>
        <w:t xml:space="preserve"> </w:t>
      </w:r>
      <w:r>
        <w:t xml:space="preserve">across systems. It would</w:t>
      </w:r>
      <w:r>
        <w:t xml:space="preserve"> </w:t>
      </w:r>
      <w:r>
        <w:t xml:space="preserve">not be possible to</w:t>
      </w:r>
      <w:r>
        <w:t xml:space="preserve"> </w:t>
      </w:r>
      <w:r>
        <w:t xml:space="preserve">implement a Data</w:t>
      </w:r>
      <w:r>
        <w:t xml:space="preserve"> </w:t>
      </w:r>
      <w:r>
        <w:t xml:space="preserve">Analytics feature for the</w:t>
      </w:r>
      <w:r>
        <w:t xml:space="preserve"> </w:t>
      </w:r>
      <w:r>
        <w:t xml:space="preserve">whole SoHO environment.</w:t>
      </w:r>
    </w:p>
    <w:p>
      <w:pPr>
        <w:pStyle w:val="BodyText"/>
      </w:pPr>
      <w:r>
        <w:t xml:space="preserve">A single system</w:t>
      </w:r>
      <w:r>
        <w:t xml:space="preserve"> </w:t>
      </w:r>
      <w:r>
        <w:t xml:space="preserve">would allow a</w:t>
      </w:r>
      <w:r>
        <w:t xml:space="preserve"> </w:t>
      </w:r>
      <w:r>
        <w:t xml:space="preserve">comprehensive data</w:t>
      </w:r>
      <w:r>
        <w:t xml:space="preserve"> </w:t>
      </w:r>
      <w:r>
        <w:t xml:space="preserve">model which would</w:t>
      </w:r>
      <w:r>
        <w:t xml:space="preserve"> </w:t>
      </w:r>
      <w:r>
        <w:t xml:space="preserve">make possible</w:t>
      </w:r>
      <w:r>
        <w:t xml:space="preserve"> </w:t>
      </w:r>
      <w:r>
        <w:t xml:space="preserve">advanced Data</w:t>
      </w:r>
      <w:r>
        <w:t xml:space="preserve"> </w:t>
      </w:r>
      <w:r>
        <w:t xml:space="preserve">Analytics tools</w:t>
      </w:r>
      <w:r>
        <w:t xml:space="preserve"> </w:t>
      </w:r>
      <w:r>
        <w:t xml:space="preserve">(alert settings,</w:t>
      </w:r>
      <w:r>
        <w:t xml:space="preserve"> </w:t>
      </w:r>
      <w:r>
        <w:t xml:space="preserve">monitoring and</w:t>
      </w:r>
      <w:r>
        <w:t xml:space="preserve"> </w:t>
      </w:r>
      <w:r>
        <w:t xml:space="preserve">forecast activities)</w:t>
      </w:r>
      <w:r>
        <w:t xml:space="preserve"> </w:t>
      </w:r>
      <w:r>
        <w:t xml:space="preserve">together with</w:t>
      </w:r>
      <w:r>
        <w:t xml:space="preserve"> </w:t>
      </w:r>
      <w:r>
        <w:t xml:space="preserve">features such as</w:t>
      </w:r>
      <w:r>
        <w:t xml:space="preserve"> </w:t>
      </w:r>
      <w:r>
        <w:t xml:space="preserve">“Real-Time</w:t>
      </w:r>
      <w:r>
        <w:t xml:space="preserve"> </w:t>
      </w:r>
      <w:r>
        <w:t xml:space="preserve">Visibility” of data,</w:t>
      </w:r>
      <w:r>
        <w:t xml:space="preserve"> </w:t>
      </w:r>
      <w:r>
        <w:t xml:space="preserve">automatic</w:t>
      </w:r>
      <w:r>
        <w:t xml:space="preserve"> </w:t>
      </w:r>
      <w:r>
        <w:t xml:space="preserve">dashboards and</w:t>
      </w:r>
      <w:r>
        <w:t xml:space="preserve"> </w:t>
      </w:r>
      <w:r>
        <w:t xml:space="preserve">reports.</w:t>
      </w:r>
      <w:r>
        <w:br/>
      </w:r>
      <w:r>
        <w:t xml:space="preserve">0</w:t>
      </w:r>
      <w:r>
        <w:br/>
      </w:r>
      <w:r>
        <w:t xml:space="preserve">0</w:t>
      </w:r>
      <w:r>
        <w:br/>
      </w:r>
      <w:r>
        <w:t xml:space="preserve">++</w:t>
      </w:r>
      <w:r>
        <w:br/>
      </w:r>
      <w:r>
        <w:t xml:space="preserve">Security requirements:</w:t>
      </w:r>
      <w:r>
        <w:t xml:space="preserve"> </w:t>
      </w:r>
      <w:r>
        <w:t xml:space="preserve">the extent</w:t>
      </w:r>
      <w:r>
        <w:t xml:space="preserve"> </w:t>
      </w:r>
      <w:r>
        <w:t xml:space="preserve">to which security of the</w:t>
      </w:r>
      <w:r>
        <w:t xml:space="preserve"> </w:t>
      </w:r>
      <w:r>
        <w:t xml:space="preserve">data is ensured through the</w:t>
      </w:r>
      <w:r>
        <w:t xml:space="preserve"> </w:t>
      </w:r>
      <w:r>
        <w:t xml:space="preserve">definition of roles and</w:t>
      </w:r>
      <w:r>
        <w:t xml:space="preserve"> </w:t>
      </w:r>
      <w:r>
        <w:t xml:space="preserve">visibility to be assigned to</w:t>
      </w:r>
      <w:r>
        <w:t xml:space="preserve"> </w:t>
      </w:r>
      <w:r>
        <w:t xml:space="preserve">specific users</w:t>
      </w:r>
      <w:r>
        <w:br/>
      </w:r>
      <w:r>
        <w:t xml:space="preserve">Each platform will</w:t>
      </w:r>
      <w:r>
        <w:t xml:space="preserve"> </w:t>
      </w:r>
      <w:r>
        <w:t xml:space="preserve">keep the security</w:t>
      </w:r>
      <w:r>
        <w:t xml:space="preserve"> </w:t>
      </w:r>
      <w:r>
        <w:t xml:space="preserve">policies already in</w:t>
      </w:r>
      <w:r>
        <w:t xml:space="preserve"> </w:t>
      </w:r>
      <w:r>
        <w:t xml:space="preserve">place to grant</w:t>
      </w:r>
      <w:r>
        <w:t xml:space="preserve"> </w:t>
      </w:r>
      <w:r>
        <w:t xml:space="preserve">accesses to their</w:t>
      </w:r>
      <w:r>
        <w:t xml:space="preserve"> </w:t>
      </w:r>
      <w:r>
        <w:t xml:space="preserve">registered users.</w:t>
      </w:r>
      <w:r>
        <w:br/>
      </w:r>
      <w:r>
        <w:t xml:space="preserve">The direct access of a user</w:t>
      </w:r>
      <w:r>
        <w:t xml:space="preserve"> </w:t>
      </w:r>
      <w:r>
        <w:t xml:space="preserve">to a generic platform will</w:t>
      </w:r>
      <w:r>
        <w:t xml:space="preserve"> </w:t>
      </w:r>
      <w:r>
        <w:t xml:space="preserve">use its own security policy,</w:t>
      </w:r>
      <w:r>
        <w:t xml:space="preserve"> </w:t>
      </w:r>
      <w:r>
        <w:t xml:space="preserve">but grants to access data</w:t>
      </w:r>
      <w:r>
        <w:t xml:space="preserve"> </w:t>
      </w:r>
      <w:r>
        <w:t xml:space="preserve">from other platforms must</w:t>
      </w:r>
      <w:r>
        <w:t xml:space="preserve"> </w:t>
      </w:r>
      <w:r>
        <w:t xml:space="preserve">be agreed in advance and</w:t>
      </w:r>
      <w:r>
        <w:t xml:space="preserve"> </w:t>
      </w:r>
      <w:r>
        <w:t xml:space="preserve">managed during the time.</w:t>
      </w:r>
      <w:r>
        <w:br/>
      </w:r>
      <w:r>
        <w:t xml:space="preserve">“Identity and access</w:t>
      </w:r>
      <w:r>
        <w:t xml:space="preserve"> </w:t>
      </w:r>
      <w:r>
        <w:t xml:space="preserve">management”</w:t>
      </w:r>
      <w:r>
        <w:t xml:space="preserve"> </w:t>
      </w:r>
      <w:r>
        <w:t xml:space="preserve">(IAM) in one single</w:t>
      </w:r>
      <w:r>
        <w:t xml:space="preserve"> </w:t>
      </w:r>
      <w:r>
        <w:t xml:space="preserve">system would</w:t>
      </w:r>
      <w:r>
        <w:t xml:space="preserve"> </w:t>
      </w:r>
      <w:r>
        <w:t xml:space="preserve">improve the security</w:t>
      </w:r>
      <w:r>
        <w:t xml:space="preserve"> </w:t>
      </w:r>
      <w:r>
        <w:t xml:space="preserve">of the data through</w:t>
      </w:r>
      <w:r>
        <w:t xml:space="preserve"> </w:t>
      </w:r>
      <w:r>
        <w:t xml:space="preserve">the definition of</w:t>
      </w:r>
      <w:r>
        <w:t xml:space="preserve"> </w:t>
      </w:r>
      <w:r>
        <w:t xml:space="preserve">roles and visibility</w:t>
      </w:r>
      <w:r>
        <w:t xml:space="preserve"> </w:t>
      </w:r>
      <w:r>
        <w:t xml:space="preserve">to be assigned to</w:t>
      </w:r>
      <w:r>
        <w:t xml:space="preserve"> </w:t>
      </w:r>
      <w:r>
        <w:t xml:space="preserve">specific users.</w:t>
      </w:r>
      <w:r>
        <w:br/>
      </w:r>
      <w:r>
        <w:t xml:space="preserve">0</w:t>
      </w:r>
      <w:r>
        <w:br/>
      </w:r>
      <w:r>
        <w:t xml:space="preserve">+</w:t>
      </w:r>
      <w:r>
        <w:br/>
      </w:r>
      <w:r>
        <w:t xml:space="preserve">++</w:t>
      </w:r>
      <w:r>
        <w:br/>
      </w:r>
      <w:r>
        <w:t xml:space="preserve">Data management: the</w:t>
      </w:r>
      <w:r>
        <w:t xml:space="preserve"> </w:t>
      </w:r>
      <w:r>
        <w:t xml:space="preserve">extent to which the system</w:t>
      </w:r>
      <w:r>
        <w:t xml:space="preserve"> </w:t>
      </w:r>
      <w:r>
        <w:t xml:space="preserve">can ensure data quality</w:t>
      </w:r>
    </w:p>
    <w:p>
      <w:pPr>
        <w:pStyle w:val="BodyText"/>
      </w:pPr>
      <w:r>
        <w:t xml:space="preserve">Each platform will</w:t>
      </w:r>
      <w:r>
        <w:t xml:space="preserve"> </w:t>
      </w:r>
      <w:r>
        <w:t xml:space="preserve">keep using their</w:t>
      </w:r>
      <w:r>
        <w:t xml:space="preserve"> </w:t>
      </w:r>
      <w:r>
        <w:t xml:space="preserve">own current data</w:t>
      </w:r>
      <w:r>
        <w:t xml:space="preserve"> </w:t>
      </w:r>
      <w:r>
        <w:t xml:space="preserve">management</w:t>
      </w:r>
      <w:r>
        <w:t xml:space="preserve"> </w:t>
      </w:r>
      <w:r>
        <w:t xml:space="preserve">Interfaces of each platform</w:t>
      </w:r>
      <w:r>
        <w:t xml:space="preserve"> </w:t>
      </w:r>
      <w:r>
        <w:t xml:space="preserve">will make possible to</w:t>
      </w:r>
      <w:r>
        <w:t xml:space="preserve"> </w:t>
      </w:r>
      <w:r>
        <w:t xml:space="preserve">access specific data from</w:t>
      </w:r>
      <w:r>
        <w:t xml:space="preserve"> </w:t>
      </w:r>
      <w:r>
        <w:t xml:space="preserve">other platforms, but this</w:t>
      </w:r>
      <w:r>
        <w:t xml:space="preserve"> </w:t>
      </w:r>
      <w:r>
        <w:t xml:space="preserve">A single system</w:t>
      </w:r>
      <w:r>
        <w:t xml:space="preserve"> </w:t>
      </w:r>
      <w:r>
        <w:t xml:space="preserve">would implement a</w:t>
      </w:r>
      <w:r>
        <w:t xml:space="preserve"> </w:t>
      </w:r>
      <w:r>
        <w:t xml:space="preserve">single, integrated</w:t>
      </w:r>
      <w:r>
        <w:t xml:space="preserve"> </w:t>
      </w:r>
      <w:r>
        <w:t xml:space="preserve">and consistent</w:t>
      </w:r>
    </w:p>
    <w:p>
      <w:pPr>
        <w:pStyle w:val="BodyText"/>
      </w:pPr>
      <w:r>
        <w:t xml:space="preserve">366</w:t>
      </w:r>
    </w:p>
    <w:p>
      <w:pPr>
        <w:pStyle w:val="BodyText"/>
      </w:pPr>
      <w:r>
        <w:t xml:space="preserve">policies.</w:t>
      </w:r>
    </w:p>
    <w:p>
      <w:pPr>
        <w:pStyle w:val="BodyText"/>
      </w:pPr>
      <w:r>
        <w:t xml:space="preserve">solution will not</w:t>
      </w:r>
      <w:r>
        <w:t xml:space="preserve"> </w:t>
      </w:r>
      <w:r>
        <w:t xml:space="preserve">implement an integrated</w:t>
      </w:r>
      <w:r>
        <w:t xml:space="preserve"> </w:t>
      </w:r>
      <w:r>
        <w:t xml:space="preserve">and consistent database.</w:t>
      </w:r>
      <w:r>
        <w:br/>
      </w:r>
      <w:r>
        <w:t xml:space="preserve">database, able to</w:t>
      </w:r>
      <w:r>
        <w:t xml:space="preserve"> </w:t>
      </w:r>
      <w:r>
        <w:t xml:space="preserve">support data</w:t>
      </w:r>
      <w:r>
        <w:t xml:space="preserve"> </w:t>
      </w:r>
      <w:r>
        <w:t xml:space="preserve">analytics</w:t>
      </w:r>
      <w:r>
        <w:t xml:space="preserve"> </w:t>
      </w:r>
      <w:r>
        <w:t xml:space="preserve">features. Data</w:t>
      </w:r>
      <w:r>
        <w:t xml:space="preserve"> </w:t>
      </w:r>
      <w:r>
        <w:t xml:space="preserve">integrity and quality</w:t>
      </w:r>
      <w:r>
        <w:t xml:space="preserve"> </w:t>
      </w:r>
      <w:r>
        <w:t xml:space="preserve">checks will be part</w:t>
      </w:r>
      <w:r>
        <w:t xml:space="preserve"> </w:t>
      </w:r>
      <w:r>
        <w:t xml:space="preserve">of the solution, as</w:t>
      </w:r>
      <w:r>
        <w:t xml:space="preserve"> </w:t>
      </w:r>
      <w:r>
        <w:t xml:space="preserve">well as automated</w:t>
      </w:r>
      <w:r>
        <w:t xml:space="preserve"> </w:t>
      </w:r>
      <w:r>
        <w:t xml:space="preserve">data flows for real-</w:t>
      </w:r>
      <w:r>
        <w:t xml:space="preserve"> </w:t>
      </w:r>
      <w:r>
        <w:t xml:space="preserve">time updates.</w:t>
      </w:r>
      <w:r>
        <w:br/>
      </w:r>
      <w:r>
        <w:t xml:space="preserve">0</w:t>
      </w:r>
      <w:r>
        <w:br/>
      </w:r>
      <w:r>
        <w:t xml:space="preserve">+</w:t>
      </w:r>
      <w:r>
        <w:br/>
      </w:r>
      <w:r>
        <w:t xml:space="preserve">++</w:t>
      </w:r>
      <w:r>
        <w:br/>
      </w:r>
      <w:r>
        <w:t xml:space="preserve">Resilience: the extent to</w:t>
      </w:r>
      <w:r>
        <w:t xml:space="preserve"> </w:t>
      </w:r>
      <w:r>
        <w:t xml:space="preserve">which the system can react</w:t>
      </w:r>
      <w:r>
        <w:t xml:space="preserve"> </w:t>
      </w:r>
      <w:r>
        <w:t xml:space="preserve">to critical situations.</w:t>
      </w:r>
    </w:p>
    <w:p>
      <w:pPr>
        <w:pStyle w:val="BodyText"/>
      </w:pPr>
      <w:r>
        <w:t xml:space="preserve">Resilience</w:t>
      </w:r>
      <w:r>
        <w:t xml:space="preserve"> </w:t>
      </w:r>
      <w:r>
        <w:t xml:space="preserve">features will</w:t>
      </w:r>
      <w:r>
        <w:t xml:space="preserve"> </w:t>
      </w:r>
      <w:r>
        <w:t xml:space="preserve">remain the same,</w:t>
      </w:r>
      <w:r>
        <w:t xml:space="preserve"> </w:t>
      </w:r>
      <w:r>
        <w:t xml:space="preserve">as specified in the</w:t>
      </w:r>
      <w:r>
        <w:t xml:space="preserve"> </w:t>
      </w:r>
      <w:r>
        <w:t xml:space="preserve">level of service</w:t>
      </w:r>
      <w:r>
        <w:t xml:space="preserve"> </w:t>
      </w:r>
      <w:r>
        <w:t xml:space="preserve">agreed for each</w:t>
      </w:r>
      <w:r>
        <w:t xml:space="preserve"> </w:t>
      </w:r>
      <w:r>
        <w:t xml:space="preserve">platform.</w:t>
      </w:r>
      <w:r>
        <w:br/>
      </w:r>
      <w:r>
        <w:t xml:space="preserve">Resilience features will</w:t>
      </w:r>
      <w:r>
        <w:t xml:space="preserve"> </w:t>
      </w:r>
      <w:r>
        <w:t xml:space="preserve">remain the same, as</w:t>
      </w:r>
      <w:r>
        <w:t xml:space="preserve"> </w:t>
      </w:r>
      <w:r>
        <w:t xml:space="preserve">specified in the level of</w:t>
      </w:r>
      <w:r>
        <w:t xml:space="preserve"> </w:t>
      </w:r>
      <w:r>
        <w:t xml:space="preserve">service agreed for each</w:t>
      </w:r>
      <w:r>
        <w:t xml:space="preserve"> </w:t>
      </w:r>
      <w:r>
        <w:t xml:space="preserve">platform.</w:t>
      </w:r>
      <w:r>
        <w:br/>
      </w:r>
      <w:r>
        <w:t xml:space="preserve">A single system</w:t>
      </w:r>
      <w:r>
        <w:t xml:space="preserve"> </w:t>
      </w:r>
      <w:r>
        <w:t xml:space="preserve">would react</w:t>
      </w:r>
      <w:r>
        <w:t xml:space="preserve"> </w:t>
      </w:r>
      <w:r>
        <w:t xml:space="preserve">responsively to</w:t>
      </w:r>
      <w:r>
        <w:t xml:space="preserve"> </w:t>
      </w:r>
      <w:r>
        <w:t xml:space="preserve">critical situations</w:t>
      </w:r>
      <w:r>
        <w:t xml:space="preserve"> </w:t>
      </w:r>
      <w:r>
        <w:t xml:space="preserve">(e.g. disaster</w:t>
      </w:r>
      <w:r>
        <w:t xml:space="preserve"> </w:t>
      </w:r>
      <w:r>
        <w:t xml:space="preserve">recovery). A</w:t>
      </w:r>
      <w:r>
        <w:t xml:space="preserve"> </w:t>
      </w:r>
      <w:r>
        <w:t xml:space="preserve">resilient system is</w:t>
      </w:r>
      <w:r>
        <w:t xml:space="preserve"> </w:t>
      </w:r>
      <w:r>
        <w:t xml:space="preserve">expected to respond</w:t>
      </w:r>
      <w:r>
        <w:t xml:space="preserve"> </w:t>
      </w:r>
      <w:r>
        <w:t xml:space="preserve">quickly to an issue,</w:t>
      </w:r>
      <w:r>
        <w:t xml:space="preserve"> </w:t>
      </w:r>
      <w:r>
        <w:t xml:space="preserve">minimizing</w:t>
      </w:r>
      <w:r>
        <w:t xml:space="preserve"> </w:t>
      </w:r>
      <w:r>
        <w:t xml:space="preserve">damages, always</w:t>
      </w:r>
      <w:r>
        <w:t xml:space="preserve"> </w:t>
      </w:r>
      <w:r>
        <w:t xml:space="preserve">providing</w:t>
      </w:r>
      <w:r>
        <w:t xml:space="preserve"> </w:t>
      </w:r>
      <w:r>
        <w:t xml:space="preserve">continuous</w:t>
      </w:r>
      <w:r>
        <w:t xml:space="preserve"> </w:t>
      </w:r>
      <w:r>
        <w:t xml:space="preserve">operations.</w:t>
      </w:r>
      <w:r>
        <w:br/>
      </w:r>
      <w:r>
        <w:t xml:space="preserve">0</w:t>
      </w:r>
      <w:r>
        <w:br/>
      </w:r>
      <w:r>
        <w:t xml:space="preserve">0</w:t>
      </w:r>
      <w:r>
        <w:br/>
      </w:r>
      <w:r>
        <w:t xml:space="preserve">+</w:t>
      </w:r>
      <w:r>
        <w:br/>
      </w:r>
      <w:r>
        <w:t xml:space="preserve">Easiness in evolution:</w:t>
      </w:r>
      <w:r>
        <w:t xml:space="preserve"> </w:t>
      </w:r>
      <w:r>
        <w:t xml:space="preserve">technology and</w:t>
      </w:r>
      <w:r>
        <w:t xml:space="preserve"> </w:t>
      </w:r>
      <w:r>
        <w:t xml:space="preserve">scalability</w:t>
      </w:r>
    </w:p>
    <w:p>
      <w:pPr>
        <w:pStyle w:val="BodyText"/>
      </w:pPr>
      <w:r>
        <w:t xml:space="preserve">Upgrades or</w:t>
      </w:r>
      <w:r>
        <w:t xml:space="preserve"> </w:t>
      </w:r>
      <w:r>
        <w:t xml:space="preserve">evolutions on</w:t>
      </w:r>
      <w:r>
        <w:t xml:space="preserve"> </w:t>
      </w:r>
      <w:r>
        <w:t xml:space="preserve">existing platforms</w:t>
      </w:r>
      <w:r>
        <w:t xml:space="preserve"> </w:t>
      </w:r>
      <w:r>
        <w:t xml:space="preserve">could be</w:t>
      </w:r>
      <w:r>
        <w:t xml:space="preserve"> </w:t>
      </w:r>
      <w:r>
        <w:t xml:space="preserve">performed with no</w:t>
      </w:r>
      <w:r>
        <w:t xml:space="preserve"> </w:t>
      </w:r>
      <w:r>
        <w:t xml:space="preserve">impact on other</w:t>
      </w:r>
      <w:r>
        <w:t xml:space="preserve"> </w:t>
      </w:r>
      <w:r>
        <w:t xml:space="preserve">systems.</w:t>
      </w:r>
      <w:r>
        <w:br/>
      </w:r>
      <w:r>
        <w:t xml:space="preserve">Upgrades could be easily</w:t>
      </w:r>
      <w:r>
        <w:t xml:space="preserve"> </w:t>
      </w:r>
      <w:r>
        <w:t xml:space="preserve">performed on</w:t>
      </w:r>
      <w:r>
        <w:t xml:space="preserve"> </w:t>
      </w:r>
      <w:r>
        <w:t xml:space="preserve">specific platforms but</w:t>
      </w:r>
      <w:r>
        <w:t xml:space="preserve"> </w:t>
      </w:r>
      <w:r>
        <w:t xml:space="preserve">mutual compatibility issues</w:t>
      </w:r>
      <w:r>
        <w:t xml:space="preserve"> </w:t>
      </w:r>
      <w:r>
        <w:t xml:space="preserve">may raise.</w:t>
      </w:r>
      <w:r>
        <w:br/>
      </w:r>
      <w:r>
        <w:t xml:space="preserve">A single system</w:t>
      </w:r>
      <w:r>
        <w:t xml:space="preserve"> </w:t>
      </w:r>
      <w:r>
        <w:t xml:space="preserve">makes easier to</w:t>
      </w:r>
      <w:r>
        <w:t xml:space="preserve"> </w:t>
      </w:r>
      <w:r>
        <w:t xml:space="preserve">manage the</w:t>
      </w:r>
      <w:r>
        <w:t xml:space="preserve"> </w:t>
      </w:r>
      <w:r>
        <w:t xml:space="preserve">evolution</w:t>
      </w:r>
      <w:r>
        <w:t xml:space="preserve"> </w:t>
      </w:r>
      <w:r>
        <w:t xml:space="preserve">independently from</w:t>
      </w:r>
      <w:r>
        <w:t xml:space="preserve"> </w:t>
      </w:r>
      <w:r>
        <w:t xml:space="preserve">the other systems. It</w:t>
      </w:r>
      <w:r>
        <w:t xml:space="preserve"> </w:t>
      </w:r>
      <w:r>
        <w:t xml:space="preserve">must be noted that</w:t>
      </w:r>
      <w:r>
        <w:t xml:space="preserve"> </w:t>
      </w:r>
      <w:r>
        <w:t xml:space="preserve">the single interfaces</w:t>
      </w:r>
      <w:r>
        <w:t xml:space="preserve"> </w:t>
      </w:r>
      <w:r>
        <w:t xml:space="preserve">should be adapted to</w:t>
      </w:r>
      <w:r>
        <w:t xml:space="preserve"> </w:t>
      </w:r>
      <w:r>
        <w:t xml:space="preserve">the evolution of the</w:t>
      </w:r>
      <w:r>
        <w:t xml:space="preserve"> </w:t>
      </w:r>
      <w:r>
        <w:t xml:space="preserve">central system.</w:t>
      </w:r>
      <w:r>
        <w:br/>
      </w:r>
      <w:r>
        <w:t xml:space="preserve">+</w:t>
      </w:r>
      <w:r>
        <w:br/>
      </w:r>
      <w:r>
        <w:t xml:space="preserve">+</w:t>
      </w:r>
    </w:p>
    <w:p>
      <w:pPr>
        <w:pStyle w:val="BodyText"/>
      </w:pPr>
      <w:r>
        <w:t xml:space="preserve">Table 19.3: Assessment table.</w:t>
      </w:r>
    </w:p>
    <w:p>
      <w:pPr>
        <w:pStyle w:val="BodyText"/>
      </w:pPr>
      <w:r>
        <w:t xml:space="preserve">19.7 Cost estimation</w:t>
      </w:r>
      <w:r>
        <w:br/>
      </w:r>
      <w:r>
        <w:t xml:space="preserve">This chapter introduces a proposal for a tool to estimate the one-off cost of implementing</w:t>
      </w:r>
      <w:r>
        <w:t xml:space="preserve"> </w:t>
      </w:r>
      <w:r>
        <w:t xml:space="preserve">the three options. In the tables here presented are listed the basic features that the</w:t>
      </w:r>
      <w:r>
        <w:t xml:space="preserve"> </w:t>
      </w:r>
      <w:r>
        <w:t xml:space="preserve">solutions described for options M6 A, B and C would have.</w:t>
      </w:r>
      <w:r>
        <w:br/>
      </w:r>
      <w:r>
        <w:t xml:space="preserve">For each of these features has been estimated:</w:t>
      </w:r>
      <w:r>
        <w:br/>
      </w:r>
      <w:r>
        <w:t xml:space="preserve"></w:t>
      </w:r>
      <w:r>
        <w:t xml:space="preserve"> </w:t>
      </w:r>
      <w:r>
        <w:t xml:space="preserve">Man days needed for analysis, design, build and unit test;</w:t>
      </w:r>
      <w:r>
        <w:br/>
      </w:r>
      <w:r>
        <w:t xml:space="preserve"></w:t>
      </w:r>
      <w:r>
        <w:t xml:space="preserve"> </w:t>
      </w:r>
      <w:r>
        <w:t xml:space="preserve">Number of units needed (orange column).</w:t>
      </w:r>
    </w:p>
    <w:p>
      <w:pPr>
        <w:pStyle w:val="BodyText"/>
      </w:pPr>
      <w:r>
        <w:t xml:space="preserve">367</w:t>
      </w:r>
    </w:p>
    <w:p>
      <w:pPr>
        <w:pStyle w:val="BodyText"/>
      </w:pPr>
      <w:r>
        <w:t xml:space="preserve">The last column shows the total amount of man days required for each feature. Varying</w:t>
      </w:r>
      <w:r>
        <w:t xml:space="preserve"> </w:t>
      </w:r>
      <w:r>
        <w:t xml:space="preserve">the units required (orange column) - the value can be also zero if the feature is not</w:t>
      </w:r>
      <w:r>
        <w:t xml:space="preserve"> </w:t>
      </w:r>
      <w:r>
        <w:t xml:space="preserve">required - the calculated man days will vary accordingly.</w:t>
      </w:r>
      <w:r>
        <w:br/>
      </w:r>
      <w:r>
        <w:t xml:space="preserve">Please note that the man days estimated may vary accordingly to the target technology</w:t>
      </w:r>
      <w:r>
        <w:t xml:space="preserve"> </w:t>
      </w:r>
      <w:r>
        <w:t xml:space="preserve">that will be chosen. For example, if a low-code platform (“Buy” option) will be selected</w:t>
      </w:r>
      <w:r>
        <w:t xml:space="preserve"> </w:t>
      </w:r>
      <w:r>
        <w:t xml:space="preserve">as solution, the man days required for “build” activities may decrease.</w:t>
      </w:r>
    </w:p>
    <w:p>
      <w:pPr>
        <w:pStyle w:val="BodyText"/>
      </w:pPr>
      <w:r>
        <w:t xml:space="preserve">Assumptions</w:t>
      </w:r>
    </w:p>
    <w:p>
      <w:pPr>
        <w:pStyle w:val="BodyText"/>
      </w:pPr>
      <w:r>
        <w:t xml:space="preserve"> The estimation tool includes only the following project phases: Analysis, Design,</w:t>
      </w:r>
      <w:r>
        <w:t xml:space="preserve"> </w:t>
      </w:r>
      <w:r>
        <w:t xml:space="preserve">Build, Unit Test</w:t>
      </w:r>
      <w:r>
        <w:br/>
      </w:r>
      <w:r>
        <w:t xml:space="preserve"> Cost of the IT infrastructure or platform access (licenses) not included</w:t>
      </w:r>
      <w:r>
        <w:br/>
      </w:r>
      <w:r>
        <w:t xml:space="preserve"> Cost of a single man day: 400€ (based on EC contract rates, taking in account the</w:t>
      </w:r>
      <w:r>
        <w:t xml:space="preserve"> </w:t>
      </w:r>
      <w:r>
        <w:t xml:space="preserve">skill mix)</w:t>
      </w:r>
    </w:p>
    <w:p>
      <w:pPr>
        <w:pStyle w:val="BodyText"/>
      </w:pPr>
      <w:r>
        <w:t xml:space="preserve">Estimation of other costs</w:t>
      </w:r>
    </w:p>
    <w:p>
      <w:pPr>
        <w:pStyle w:val="BodyText"/>
      </w:pPr>
      <w:r>
        <w:t xml:space="preserve"> Project Management: 11% of the</w:t>
      </w:r>
      <w:r>
        <w:t xml:space="preserve"> </w:t>
      </w:r>
      <w:r>
        <w:t xml:space="preserve">“one-off cost”</w:t>
      </w:r>
      <w:r>
        <w:t xml:space="preserve"> </w:t>
      </w:r>
      <w:r>
        <w:t xml:space="preserve">to be considered for project</w:t>
      </w:r>
      <w:r>
        <w:t xml:space="preserve"> </w:t>
      </w:r>
      <w:r>
        <w:t xml:space="preserve">management (Gartner)</w:t>
      </w:r>
      <w:r>
        <w:br/>
      </w:r>
      <w:r>
        <w:t xml:space="preserve"> Requirements gathering: : 18% of the</w:t>
      </w:r>
      <w:r>
        <w:t xml:space="preserve"> </w:t>
      </w:r>
      <w:r>
        <w:t xml:space="preserve">“one-off cost”</w:t>
      </w:r>
      <w:r>
        <w:t xml:space="preserve"> </w:t>
      </w:r>
      <w:r>
        <w:t xml:space="preserve">(estimation from literature</w:t>
      </w:r>
      <w:r>
        <w:t xml:space="preserve"> </w:t>
      </w:r>
      <w:r>
        <w:t xml:space="preserve">and similar projects)</w:t>
      </w:r>
      <w:r>
        <w:br/>
      </w:r>
      <w:r>
        <w:t xml:space="preserve"> Integration Test and User Acceptance Test: around 40% of the</w:t>
      </w:r>
      <w:r>
        <w:t xml:space="preserve"> </w:t>
      </w:r>
      <w:r>
        <w:t xml:space="preserve">“one-off</w:t>
      </w:r>
      <w:r>
        <w:t xml:space="preserve"> </w:t>
      </w:r>
      <w:r>
        <w:t xml:space="preserve">cost”</w:t>
      </w:r>
      <w:r>
        <w:t xml:space="preserve"> </w:t>
      </w:r>
      <w:r>
        <w:t xml:space="preserve">(estimation from literature and similar projects)</w:t>
      </w:r>
      <w:r>
        <w:br/>
      </w:r>
      <w:r>
        <w:t xml:space="preserve"> Maintenance: 30% of the</w:t>
      </w:r>
      <w:r>
        <w:t xml:space="preserve"> </w:t>
      </w:r>
      <w:r>
        <w:t xml:space="preserve">“one-off cost”</w:t>
      </w:r>
      <w:r>
        <w:t xml:space="preserve"> </w:t>
      </w:r>
      <w:r>
        <w:t xml:space="preserve">to be considered for the</w:t>
      </w:r>
      <w:r>
        <w:t xml:space="preserve"> </w:t>
      </w:r>
      <w:r>
        <w:t xml:space="preserve">“Yearly ongoing</w:t>
      </w:r>
      <w:r>
        <w:t xml:space="preserve"> </w:t>
      </w:r>
      <w:r>
        <w:t xml:space="preserve">cost”</w:t>
      </w:r>
      <w:r>
        <w:t xml:space="preserve"> </w:t>
      </w:r>
      <w:r>
        <w:t xml:space="preserve">(Gartner)</w:t>
      </w:r>
    </w:p>
    <w:p>
      <w:pPr>
        <w:pStyle w:val="BodyText"/>
      </w:pPr>
      <w:r>
        <w:t xml:space="preserve">19.7.1 Option M6A</w:t>
      </w:r>
    </w:p>
    <w:p>
      <w:pPr>
        <w:pStyle w:val="BodyText"/>
      </w:pPr>
      <w:r>
        <w:t xml:space="preserve">In the case here proposed the total amount of man days is 232. Estimating an average</w:t>
      </w:r>
      <w:r>
        <w:t xml:space="preserve"> </w:t>
      </w:r>
      <w:r>
        <w:t xml:space="preserve">cost of a man day with a standard skill mix to be EUR 400, the current cost estimation</w:t>
      </w:r>
      <w:r>
        <w:t xml:space="preserve"> </w:t>
      </w:r>
      <w:r>
        <w:t xml:space="preserve">for the activities described above would be EUR 92 800.</w:t>
      </w:r>
    </w:p>
    <w:p>
      <w:pPr>
        <w:pStyle w:val="BodyText"/>
      </w:pPr>
      <w:r>
        <w:t xml:space="preserve">19.7.2 Option M6B</w:t>
      </w:r>
    </w:p>
    <w:p>
      <w:pPr>
        <w:pStyle w:val="BodyText"/>
      </w:pPr>
      <w:r>
        <w:t xml:space="preserve">368</w:t>
      </w:r>
    </w:p>
    <w:p>
      <w:pPr>
        <w:pStyle w:val="BodyText"/>
      </w:pPr>
      <w:r>
        <w:t xml:space="preserve">In the case here proposed the total amount of man days is 1 230. Estimating an average</w:t>
      </w:r>
      <w:r>
        <w:t xml:space="preserve"> </w:t>
      </w:r>
      <w:r>
        <w:t xml:space="preserve">cost of a man day with a standard skill mix to be EUR 400, the current cost estimation</w:t>
      </w:r>
      <w:r>
        <w:t xml:space="preserve"> </w:t>
      </w:r>
      <w:r>
        <w:t xml:space="preserve">for the activities described above would be EUR 492 000.</w:t>
      </w:r>
    </w:p>
    <w:p>
      <w:pPr>
        <w:pStyle w:val="BodyText"/>
      </w:pPr>
      <w:r>
        <w:t xml:space="preserve">19.7.3 Option M6C</w:t>
      </w:r>
    </w:p>
    <w:p>
      <w:pPr>
        <w:pStyle w:val="BodyText"/>
      </w:pPr>
      <w:r>
        <w:t xml:space="preserve">In the case here proposed the total amount of man days is 1 815. Estimating an average</w:t>
      </w:r>
      <w:r>
        <w:t xml:space="preserve"> </w:t>
      </w:r>
      <w:r>
        <w:t xml:space="preserve">cost of a man day with a standard skill mix to be EUR 400, the current cost estimation</w:t>
      </w:r>
      <w:r>
        <w:t xml:space="preserve"> </w:t>
      </w:r>
      <w:r>
        <w:t xml:space="preserve">for the activities described above would be EUR 726 000.</w:t>
      </w:r>
    </w:p>
    <w:p>
      <w:pPr>
        <w:pStyle w:val="BodyText"/>
      </w:pPr>
      <w:r>
        <w:t xml:space="preserve">19.7.4 Interface setup cost for source platform</w:t>
      </w:r>
    </w:p>
    <w:p>
      <w:pPr>
        <w:pStyle w:val="BodyText"/>
      </w:pPr>
      <w:r>
        <w:t xml:space="preserve">Referring to the estimation presented for Option M6C, it could be interesting to focus on</w:t>
      </w:r>
      <w:r>
        <w:t xml:space="preserve"> </w:t>
      </w:r>
      <w:r>
        <w:t xml:space="preserve">the costs from the perspective of a single source platform.</w:t>
      </w:r>
      <w:r>
        <w:br/>
      </w:r>
      <w:r>
        <w:t xml:space="preserve">The interface setup activities to be performed on source platforms are described (in terms</w:t>
      </w:r>
      <w:r>
        <w:t xml:space="preserve"> </w:t>
      </w:r>
      <w:r>
        <w:t xml:space="preserve">of effort) in the following rows:</w:t>
      </w:r>
    </w:p>
    <w:p>
      <w:pPr>
        <w:pStyle w:val="BodyText"/>
      </w:pPr>
      <w:r>
        <w:t xml:space="preserve">369</w:t>
      </w:r>
    </w:p>
    <w:p>
      <w:pPr>
        <w:pStyle w:val="BodyText"/>
      </w:pPr>
      <w:r>
        <w:t xml:space="preserve">More specifically, the interfaces that would be used to send data from source platforms to</w:t>
      </w:r>
      <w:r>
        <w:t xml:space="preserve"> </w:t>
      </w:r>
      <w:r>
        <w:t xml:space="preserve">the single system are the ones described in the Task “Inbound flows”:</w:t>
      </w:r>
    </w:p>
    <w:p>
      <w:pPr>
        <w:pStyle w:val="BodyText"/>
      </w:pPr>
      <w:r>
        <w:t xml:space="preserve">This means that - taking in account the effort to set up only the interfaces to send out data</w:t>
      </w:r>
      <w:r>
        <w:t xml:space="preserve"> </w:t>
      </w:r>
      <w:r>
        <w:t xml:space="preserve">from source platforms - the total man days required are 530.</w:t>
      </w:r>
    </w:p>
    <w:p>
      <w:pPr>
        <w:pStyle w:val="BodyText"/>
      </w:pPr>
      <w:r>
        <w:t xml:space="preserve">The estimation performed for Option M6C takes in account 12 different types of data for</w:t>
      </w:r>
      <w:r>
        <w:t xml:space="preserve"> </w:t>
      </w:r>
      <w:r>
        <w:t xml:space="preserve">18 different data flows, from x-systems to SoHO-X. The number of source platforms</w:t>
      </w:r>
      <w:r>
        <w:t xml:space="preserve"> </w:t>
      </w:r>
      <w:r>
        <w:t xml:space="preserve">may vary, but according to this sizing is possible to include about 10 external platforms</w:t>
      </w:r>
      <w:r>
        <w:t xml:space="preserve"> </w:t>
      </w:r>
      <w:r>
        <w:t xml:space="preserve">in the design of the centralized system.</w:t>
      </w:r>
      <w:r>
        <w:br/>
      </w:r>
      <w:r>
        <w:t xml:space="preserve">Combining all the numbers above, the estimated average cost for setting up an outbound</w:t>
      </w:r>
      <w:r>
        <w:t xml:space="preserve"> </w:t>
      </w:r>
      <w:r>
        <w:t xml:space="preserve">interface for a single platform would be about EUR 21 200 (53 man-days at a EUR</w:t>
      </w:r>
      <w:r>
        <w:t xml:space="preserve"> </w:t>
      </w:r>
      <w:r>
        <w:t xml:space="preserve">400/day rate).</w:t>
      </w:r>
    </w:p>
    <w:p>
      <w:pPr>
        <w:pStyle w:val="BodyText"/>
      </w:pPr>
      <w:r>
        <w:t xml:space="preserve">19.7.5 Cone of uncertainty</w:t>
      </w:r>
    </w:p>
    <w:p>
      <w:pPr>
        <w:pStyle w:val="BodyText"/>
      </w:pPr>
      <w:r>
        <w:t xml:space="preserve">The cost estimates foresee a degree of variability as stated by the “Cone of uncertainty”</w:t>
      </w:r>
      <w:r>
        <w:t xml:space="preserve"> </w:t>
      </w:r>
      <w:r>
        <w:t xml:space="preserve">theory (see figure below). As documented by this theory, the degree of accuracy for the</w:t>
      </w:r>
      <w:r>
        <w:t xml:space="preserve"> </w:t>
      </w:r>
      <w:r>
        <w:t xml:space="preserve">development costs estimations is directly linked with the software development stages of</w:t>
      </w:r>
      <w:r>
        <w:t xml:space="preserve"> </w:t>
      </w:r>
      <w:r>
        <w:t xml:space="preserve">a</w:t>
      </w:r>
      <w:r>
        <w:t xml:space="preserve"> </w:t>
      </w:r>
      <w:r>
        <w:t xml:space="preserve">system</w:t>
      </w:r>
      <w:r>
        <w:t xml:space="preserve"> </w:t>
      </w:r>
      <w:r>
        <w:t xml:space="preserve">and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corresponding</w:t>
      </w:r>
      <w:r>
        <w:t xml:space="preserve"> </w:t>
      </w:r>
      <w:r>
        <w:t xml:space="preserve">available</w:t>
      </w:r>
      <w:r>
        <w:t xml:space="preserve"> </w:t>
      </w:r>
      <w:r>
        <w:t xml:space="preserve">knowledge</w:t>
      </w:r>
      <w:r>
        <w:t xml:space="preserve"> </w:t>
      </w:r>
      <w:r>
        <w:t xml:space="preserve">in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detailed requirements and specifications. In fact, at early stages of a system</w:t>
      </w:r>
      <w:r>
        <w:t xml:space="preserve"> </w:t>
      </w:r>
      <w:r>
        <w:t xml:space="preserve">implementation, the level of knowledge on system requirements and specifications is</w:t>
      </w:r>
      <w:r>
        <w:t xml:space="preserve"> </w:t>
      </w:r>
      <w:r>
        <w:t xml:space="preserve">lower than at subsequent project stages. This uncertainty in the knowledge affects</w:t>
      </w:r>
      <w:r>
        <w:t xml:space="preserve"> </w:t>
      </w:r>
      <w:r>
        <w:t xml:space="preserve">directly the “cost estimation accuracy”, causing more variability in the real costs and</w:t>
      </w:r>
      <w:r>
        <w:t xml:space="preserve"> </w:t>
      </w:r>
      <w:r>
        <w:t xml:space="preserve">therefore increasing the error in the cost estimation process.</w:t>
      </w:r>
      <w:r>
        <w:br/>
      </w:r>
      <w:r>
        <w:t xml:space="preserve">According to this theory, being at an early stage, the final cost could result increased or</w:t>
      </w:r>
      <w:r>
        <w:t xml:space="preserve"> </w:t>
      </w:r>
      <w:r>
        <w:t xml:space="preserve">decreased up to four times if compared with the current cost estimation.</w:t>
      </w:r>
      <w:r>
        <w:br/>
      </w:r>
      <w:r>
        <w:t xml:space="preserve">In our specific case, it will be very unlikely that the cost will be four times higher (or</w:t>
      </w:r>
      <w:r>
        <w:t xml:space="preserve"> </w:t>
      </w:r>
      <w:r>
        <w:t xml:space="preserve">lower) than the value estimated. The most likely values for the final cost will be the</w:t>
      </w:r>
      <w:r>
        <w:t xml:space="preserve"> </w:t>
      </w:r>
      <w:r>
        <w:t xml:space="preserve">closer ones to the current cost estimation. Hence, for the purposes of the present</w:t>
      </w:r>
      <w:r>
        <w:t xml:space="preserve"> </w:t>
      </w:r>
      <w:r>
        <w:t xml:space="preserve">feasibility study, we can assume that the final cost may range between 67% and 150% of</w:t>
      </w:r>
      <w:r>
        <w:t xml:space="preserve"> </w:t>
      </w:r>
      <w:r>
        <w:t xml:space="preserve">the estimated cost.</w:t>
      </w:r>
    </w:p>
    <w:p>
      <w:pPr>
        <w:pStyle w:val="BodyText"/>
      </w:pPr>
      <w:r>
        <w:t xml:space="preserve">370</w:t>
      </w:r>
    </w:p>
    <w:p>
      <w:pPr>
        <w:pStyle w:val="BodyText"/>
      </w:pPr>
      <w:r>
        <w:t xml:space="preserve">Figure 19.4: Cone of uncertainty.</w:t>
      </w:r>
    </w:p>
    <w:p>
      <w:pPr>
        <w:pStyle w:val="BodyText"/>
      </w:pPr>
      <w:r>
        <w:t xml:space="preserve">19.7.6 Table of costs</w:t>
      </w:r>
    </w:p>
    <w:p>
      <w:pPr>
        <w:pStyle w:val="BodyText"/>
      </w:pPr>
      <w:r>
        <w:t xml:space="preserve">Cost of implementing</w:t>
      </w:r>
      <w:r>
        <w:t xml:space="preserve"> </w:t>
      </w:r>
      <w:r>
        <w:t xml:space="preserve">the system (in EUR)</w:t>
      </w:r>
      <w:r>
        <w:t xml:space="preserve"> </w:t>
      </w:r>
      <w:r>
        <w:t xml:space="preserve">M6A: Upgrade</w:t>
      </w:r>
      <w:r>
        <w:br/>
      </w:r>
      <w:r>
        <w:t xml:space="preserve">Add missing elements</w:t>
      </w:r>
      <w:r>
        <w:t xml:space="preserve"> </w:t>
      </w:r>
      <w:r>
        <w:t xml:space="preserve">to the existing systems</w:t>
      </w:r>
      <w:r>
        <w:t xml:space="preserve"> </w:t>
      </w:r>
      <w:r>
        <w:t xml:space="preserve">as individual</w:t>
      </w:r>
      <w:r>
        <w:t xml:space="preserve"> </w:t>
      </w:r>
      <w:r>
        <w:t xml:space="preserve">components – no</w:t>
      </w:r>
      <w:r>
        <w:t xml:space="preserve"> </w:t>
      </w:r>
      <w:r>
        <w:t xml:space="preserve">links/ no</w:t>
      </w:r>
      <w:r>
        <w:t xml:space="preserve"> </w:t>
      </w:r>
      <w:r>
        <w:t xml:space="preserve">interoperability.</w:t>
      </w:r>
      <w:r>
        <w:br/>
      </w:r>
      <w:r>
        <w:t xml:space="preserve">M6B: Upgrade and</w:t>
      </w:r>
      <w:r>
        <w:t xml:space="preserve"> </w:t>
      </w:r>
      <w:r>
        <w:t xml:space="preserve">connect</w:t>
      </w:r>
      <w:r>
        <w:br/>
      </w:r>
      <w:r>
        <w:t xml:space="preserve">Add missing elements</w:t>
      </w:r>
      <w:r>
        <w:t xml:space="preserve"> </w:t>
      </w:r>
      <w:r>
        <w:t xml:space="preserve">to the existing systems</w:t>
      </w:r>
      <w:r>
        <w:t xml:space="preserve"> </w:t>
      </w:r>
      <w:r>
        <w:t xml:space="preserve">as individual</w:t>
      </w:r>
      <w:r>
        <w:t xml:space="preserve"> </w:t>
      </w:r>
      <w:r>
        <w:t xml:space="preserve">components – plus an</w:t>
      </w:r>
      <w:r>
        <w:t xml:space="preserve"> </w:t>
      </w:r>
      <w:r>
        <w:t xml:space="preserve">additional layer to</w:t>
      </w:r>
      <w:r>
        <w:t xml:space="preserve"> </w:t>
      </w:r>
      <w:r>
        <w:t xml:space="preserve">extract, link and</w:t>
      </w:r>
      <w:r>
        <w:t xml:space="preserve"> </w:t>
      </w:r>
      <w:r>
        <w:t xml:space="preserve">analyse the data.</w:t>
      </w:r>
      <w:r>
        <w:br/>
      </w:r>
      <w:r>
        <w:t xml:space="preserve">M6C: New single</w:t>
      </w:r>
      <w:r>
        <w:t xml:space="preserve"> </w:t>
      </w:r>
      <w:r>
        <w:t xml:space="preserve">system</w:t>
      </w:r>
      <w:r>
        <w:br/>
      </w:r>
      <w:r>
        <w:t xml:space="preserve">Create a new unified</w:t>
      </w:r>
      <w:r>
        <w:t xml:space="preserve"> </w:t>
      </w:r>
      <w:r>
        <w:t xml:space="preserve">system – which</w:t>
      </w:r>
      <w:r>
        <w:t xml:space="preserve"> </w:t>
      </w:r>
      <w:r>
        <w:t xml:space="preserve">includes a revamp of</w:t>
      </w:r>
      <w:r>
        <w:t xml:space="preserve"> </w:t>
      </w:r>
      <w:r>
        <w:t xml:space="preserve">the existing elements</w:t>
      </w:r>
      <w:r>
        <w:t xml:space="preserve"> </w:t>
      </w:r>
      <w:r>
        <w:t xml:space="preserve">as well as the addition</w:t>
      </w:r>
      <w:r>
        <w:t xml:space="preserve"> </w:t>
      </w:r>
      <w:r>
        <w:t xml:space="preserve">of the new elements.</w:t>
      </w:r>
    </w:p>
    <w:p>
      <w:pPr>
        <w:pStyle w:val="BodyText"/>
      </w:pPr>
      <w:r>
        <w:t xml:space="preserve">Cost for analysis,</w:t>
      </w:r>
      <w:r>
        <w:t xml:space="preserve"> </w:t>
      </w:r>
      <w:r>
        <w:t xml:space="preserve">design, build and unit</w:t>
      </w:r>
      <w:r>
        <w:t xml:space="preserve"> </w:t>
      </w:r>
      <w:r>
        <w:t xml:space="preserve">test phases</w:t>
      </w:r>
      <w:r>
        <w:br/>
      </w:r>
      <w:r>
        <w:t xml:space="preserve">92 800</w:t>
      </w:r>
      <w:r>
        <w:t xml:space="preserve"> </w:t>
      </w:r>
      <w:r>
        <w:t xml:space="preserve">(232 man days)</w:t>
      </w:r>
      <w:r>
        <w:br/>
      </w:r>
      <w:r>
        <w:t xml:space="preserve">492 000</w:t>
      </w:r>
      <w:r>
        <w:t xml:space="preserve"> </w:t>
      </w:r>
      <w:r>
        <w:t xml:space="preserve">(1230 man days)</w:t>
      </w:r>
      <w:r>
        <w:br/>
      </w:r>
      <w:r>
        <w:t xml:space="preserve">726 000</w:t>
      </w:r>
      <w:r>
        <w:t xml:space="preserve"> </w:t>
      </w:r>
      <w:r>
        <w:t xml:space="preserve">(1815 man days)</w:t>
      </w:r>
      <w:r>
        <w:br/>
      </w:r>
      <w:r>
        <w:t xml:space="preserve">Additional</w:t>
      </w:r>
      <w:r>
        <w:t xml:space="preserve"> </w:t>
      </w:r>
      <w:r>
        <w:t xml:space="preserve">costs (Requirements</w:t>
      </w:r>
      <w:r>
        <w:t xml:space="preserve"> </w:t>
      </w:r>
      <w:r>
        <w:t xml:space="preserve">gathering, Project</w:t>
      </w:r>
      <w:r>
        <w:t xml:space="preserve"> </w:t>
      </w:r>
      <w:r>
        <w:t xml:space="preserve">Management,</w:t>
      </w:r>
      <w:r>
        <w:t xml:space="preserve"> </w:t>
      </w:r>
      <w:r>
        <w:t xml:space="preserve">Integration Test and</w:t>
      </w:r>
      <w:r>
        <w:t xml:space="preserve"> </w:t>
      </w:r>
      <w:r>
        <w:t xml:space="preserve">UAT)</w:t>
      </w:r>
      <w:r>
        <w:br/>
      </w:r>
      <w:r>
        <w:t xml:space="preserve">64 960</w:t>
      </w:r>
      <w:r>
        <w:br/>
      </w:r>
      <w:r>
        <w:t xml:space="preserve">344 400</w:t>
      </w:r>
      <w:r>
        <w:br/>
      </w:r>
      <w:r>
        <w:t xml:space="preserve">508 200</w:t>
      </w:r>
      <w:r>
        <w:br/>
      </w:r>
      <w:r>
        <w:t xml:space="preserve">Total estimated cost 157 760</w:t>
      </w:r>
      <w:r>
        <w:br/>
      </w:r>
      <w:r>
        <w:t xml:space="preserve">836 400</w:t>
      </w:r>
      <w:r>
        <w:br/>
      </w:r>
      <w:r>
        <w:t xml:space="preserve">1 234 200</w:t>
      </w:r>
      <w:r>
        <w:br/>
      </w:r>
      <w:r>
        <w:t xml:space="preserve">Estimated yearly cost</w:t>
      </w:r>
      <w:r>
        <w:t xml:space="preserve"> </w:t>
      </w:r>
      <w:r>
        <w:t xml:space="preserve">27 840</w:t>
      </w:r>
      <w:r>
        <w:br/>
      </w:r>
      <w:r>
        <w:t xml:space="preserve">147 600</w:t>
      </w:r>
      <w:r>
        <w:br/>
      </w:r>
      <w:r>
        <w:t xml:space="preserve">217 800</w:t>
      </w:r>
    </w:p>
    <w:p>
      <w:pPr>
        <w:pStyle w:val="BodyText"/>
      </w:pPr>
      <w:r>
        <w:t xml:space="preserve">371</w:t>
      </w:r>
    </w:p>
    <w:p>
      <w:pPr>
        <w:pStyle w:val="BodyText"/>
      </w:pPr>
      <w:r>
        <w:t xml:space="preserve">for</w:t>
      </w:r>
      <w:r>
        <w:t xml:space="preserve"> </w:t>
      </w:r>
      <w:r>
        <w:t xml:space="preserve">maintenance activities</w:t>
      </w:r>
      <w:r>
        <w:br/>
      </w:r>
      <w:r>
        <w:t xml:space="preserve">Range of estimation uncertainty: 67% - 150%</w:t>
      </w:r>
    </w:p>
    <w:p>
      <w:pPr>
        <w:pStyle w:val="BodyText"/>
      </w:pPr>
      <w:r>
        <w:t xml:space="preserve">19.8 Conclusions and next steps</w:t>
      </w:r>
    </w:p>
    <w:p>
      <w:pPr>
        <w:pStyle w:val="BodyText"/>
      </w:pPr>
      <w:r>
        <w:t xml:space="preserve">The present feasibility study addresses the most relevant topics that would lead to</w:t>
      </w:r>
      <w:r>
        <w:t xml:space="preserve"> </w:t>
      </w:r>
      <w:r>
        <w:t xml:space="preserve">the implementation of a single system for SoHO area. In this preliminary analysis,</w:t>
      </w:r>
      <w:r>
        <w:t xml:space="preserve"> </w:t>
      </w:r>
      <w:r>
        <w:t xml:space="preserve">themes like digital checks, options for implementation, impacts (benefits) and costs have</w:t>
      </w:r>
      <w:r>
        <w:t xml:space="preserve"> </w:t>
      </w:r>
      <w:r>
        <w:t xml:space="preserve">been discussed.</w:t>
      </w:r>
      <w:r>
        <w:br/>
      </w:r>
      <w:r>
        <w:t xml:space="preserve">One of the main takeaway of this study is that a single system for SoHO area would be a</w:t>
      </w:r>
      <w:r>
        <w:t xml:space="preserve"> </w:t>
      </w:r>
      <w:r>
        <w:t xml:space="preserve">strongly recommended option in order to bring together the several contributions in terms</w:t>
      </w:r>
      <w:r>
        <w:t xml:space="preserve"> </w:t>
      </w:r>
      <w:r>
        <w:t xml:space="preserve">of data and knowledge from many different sources and, as consequence, to have a</w:t>
      </w:r>
      <w:r>
        <w:t xml:space="preserve"> </w:t>
      </w:r>
      <w:r>
        <w:t xml:space="preserve">unified view of the whole SoHO environment. In this way it would be also possible to</w:t>
      </w:r>
      <w:r>
        <w:t xml:space="preserve"> </w:t>
      </w:r>
      <w:r>
        <w:t xml:space="preserve">perform data analysis, share knowledge and be ready to react to issues that may rise.</w:t>
      </w:r>
    </w:p>
    <w:p>
      <w:pPr>
        <w:pStyle w:val="BodyText"/>
      </w:pPr>
      <w:r>
        <w:t xml:space="preserve">List of next steps:</w:t>
      </w:r>
    </w:p>
    <w:p>
      <w:pPr>
        <w:pStyle w:val="BodyText"/>
      </w:pPr>
      <w:r>
        <w:t xml:space="preserve"> Workshops</w:t>
      </w:r>
      <w:r>
        <w:br/>
      </w:r>
      <w:r>
        <w:t xml:space="preserve">As part of the feasibility study, two more workshops will be scheduled. The subjects</w:t>
      </w:r>
      <w:r>
        <w:t xml:space="preserve"> </w:t>
      </w:r>
      <w:r>
        <w:t xml:space="preserve">will be the interoperability among SoHO platforms and the validation of the outcomes</w:t>
      </w:r>
      <w:r>
        <w:t xml:space="preserve"> </w:t>
      </w:r>
      <w:r>
        <w:t xml:space="preserve">of the study itself.</w:t>
      </w:r>
    </w:p>
    <w:p>
      <w:pPr>
        <w:pStyle w:val="BodyText"/>
      </w:pPr>
      <w:r>
        <w:t xml:space="preserve"> High Level Requirements</w:t>
      </w:r>
      <w:r>
        <w:br/>
      </w:r>
      <w:r>
        <w:t xml:space="preserve">A thorough session dedicated to the collection of the High Level Requirements</w:t>
      </w:r>
      <w:r>
        <w:t xml:space="preserve"> </w:t>
      </w:r>
      <w:r>
        <w:t xml:space="preserve">(functional and not functional) should be scheduled in order to get a more detailed</w:t>
      </w:r>
      <w:r>
        <w:t xml:space="preserve"> </w:t>
      </w:r>
      <w:r>
        <w:t xml:space="preserve">picture of the target system and be able to proceed with its formal definition.</w:t>
      </w:r>
      <w:r>
        <w:br/>
      </w:r>
      <w:r>
        <w:t xml:space="preserve">The participants to that meeting should the people who in fact will use the future</w:t>
      </w:r>
      <w:r>
        <w:t xml:space="preserve"> </w:t>
      </w:r>
      <w:r>
        <w:t xml:space="preserve">single platform in order to make possible the gathering of meaningful requests and</w:t>
      </w:r>
      <w:r>
        <w:t xml:space="preserve"> </w:t>
      </w:r>
      <w:r>
        <w:t xml:space="preserve">contributions to the design of the solution.</w:t>
      </w:r>
    </w:p>
    <w:p>
      <w:pPr>
        <w:pStyle w:val="BodyText"/>
      </w:pPr>
      <w:r>
        <w:t xml:space="preserve">372</w:t>
      </w:r>
    </w:p>
    <w:p>
      <w:pPr>
        <w:pStyle w:val="BodyText"/>
      </w:pPr>
      <w:r>
        <w:t xml:space="preserve">Annex 20: Bibliographic references</w:t>
      </w:r>
    </w:p>
    <w:p>
      <w:pPr>
        <w:pStyle w:val="BodyText"/>
      </w:pPr>
      <w:r>
        <w:t xml:space="preserve">Abbott, A. Italian stem-cell trial based on flawed data. Nature, 2013.</w:t>
      </w:r>
      <w:r>
        <w:t xml:space="preserve"> </w:t>
      </w:r>
      <w:r>
        <w:t xml:space="preserve">https://doi.org/10.1038/nature.2013.13329.</w:t>
      </w:r>
      <w:r>
        <w:t xml:space="preserve"> </w:t>
      </w:r>
      <w:r>
        <w:t xml:space="preserve">Alves, R. and Grimalt, R. A Review of Platelet-Rich Plasma: History, Biology,</w:t>
      </w:r>
      <w:r>
        <w:t xml:space="preserve"> </w:t>
      </w:r>
      <w:r>
        <w:t xml:space="preserve">Mechanism of Action, and Classification. Skin Appendage Disord, 2018, 4:18-24.</w:t>
      </w:r>
      <w:r>
        <w:t xml:space="preserve"> </w:t>
      </w:r>
      <w:r>
        <w:t xml:space="preserve">doi: 10.1159/000477353</w:t>
      </w:r>
      <w:r>
        <w:br/>
      </w:r>
      <w:r>
        <w:t xml:space="preserve">Arslanoglu, S. et al. Fortification of Human Milk for Preterm Infants: Update and</w:t>
      </w:r>
      <w:r>
        <w:t xml:space="preserve"> </w:t>
      </w:r>
      <w:r>
        <w:t xml:space="preserve">Recommendations of the European Milk Bank Association (EMBA) Working</w:t>
      </w:r>
      <w:r>
        <w:t xml:space="preserve"> </w:t>
      </w:r>
      <w:r>
        <w:t xml:space="preserve">Group on Human Milk Fortification. Front Pediatr, 2019, 22 (7:76). doi:</w:t>
      </w:r>
      <w:r>
        <w:t xml:space="preserve"> </w:t>
      </w:r>
      <w:r>
        <w:t xml:space="preserve">10.3389/fped.2019.00076.</w:t>
      </w:r>
      <w:r>
        <w:t xml:space="preserve"> </w:t>
      </w:r>
      <w:r>
        <w:t xml:space="preserve">Baron, D.M et al. Patient blood management during the COVID-19 pandemic: a</w:t>
      </w:r>
      <w:r>
        <w:t xml:space="preserve"> </w:t>
      </w:r>
      <w:r>
        <w:t xml:space="preserve">narrative review. Anaesthesia, 2020, 75, 1105-1113. doi: 10.1111/anae.15095.</w:t>
      </w:r>
      <w:r>
        <w:br/>
      </w:r>
      <w:r>
        <w:t xml:space="preserve">Baunwall, S.M.D. et al. The use of Faecal Microbiota Transplantation (FMT) in Europe:</w:t>
      </w:r>
      <w:r>
        <w:t xml:space="preserve"> </w:t>
      </w:r>
      <w:r>
        <w:t xml:space="preserve">A Europe-wide survey. Lancet Regional Health Europe, 2020, 9(100181),</w:t>
      </w:r>
      <w:r>
        <w:t xml:space="preserve"> </w:t>
      </w:r>
      <w:r>
        <w:t xml:space="preserve">https://doi.org/10.1016/j.lanepe.2021.100181</w:t>
      </w:r>
      <w:r>
        <w:br/>
      </w:r>
      <w:r>
        <w:t xml:space="preserve">Borra et al. Blood donor deferral: time for change? An evidence-based analysis.</w:t>
      </w:r>
      <w:r>
        <w:t xml:space="preserve"> </w:t>
      </w:r>
      <w:r>
        <w:t xml:space="preserve">International Journal of Clinical Transfusion Medicine, 2016, 4: pp. 55–66.</w:t>
      </w:r>
      <w:r>
        <w:t xml:space="preserve"> </w:t>
      </w:r>
      <w:r>
        <w:t xml:space="preserve">DOI:10.2147/IJCTM.S84521</w:t>
      </w:r>
      <w:r>
        <w:br/>
      </w:r>
      <w:r>
        <w:t xml:space="preserve">Cho, J &amp; Hiskey, M. Editorial: Plasmavigilance: Source plasma joins the call to arms.</w:t>
      </w:r>
      <w:r>
        <w:t xml:space="preserve"> </w:t>
      </w:r>
      <w:r>
        <w:t xml:space="preserve">Transfusion 2021, 61(10), pp.2803–2805, https://doi.org/10.1111/trf.16668.</w:t>
      </w:r>
      <w:r>
        <w:br/>
      </w:r>
      <w:r>
        <w:t xml:space="preserve">Hourd P, Chandra A, Medcalf N, et al. Regulatory challenges for the manufacture and</w:t>
      </w:r>
      <w:r>
        <w:t xml:space="preserve"> </w:t>
      </w:r>
      <w:r>
        <w:t xml:space="preserve">scale-out of autologous cell therapies. 2014 Mar 31. In: StemBook [Internet].</w:t>
      </w:r>
      <w:r>
        <w:t xml:space="preserve"> </w:t>
      </w:r>
      <w:r>
        <w:t xml:space="preserve">Cambridge (MA): Harvard Stem Cell Institute; 2008-. Available from:</w:t>
      </w:r>
      <w:r>
        <w:t xml:space="preserve"> </w:t>
      </w:r>
      <w:r>
        <w:t xml:space="preserve">https://www.ncbi.nlm.nih.gov/books/NBK201975/</w:t>
      </w:r>
      <w:r>
        <w:br/>
      </w:r>
      <w:r>
        <w:t xml:space="preserve">Liu, Bingci et al. The Use of Type I and Type III Injectable Human Collagen for Dermal</w:t>
      </w:r>
      <w:r>
        <w:t xml:space="preserve"> </w:t>
      </w:r>
      <w:r>
        <w:t xml:space="preserve">Fill: 10 Years of Clinical Experience in China. Seminars in Plastic Surgery vol. </w:t>
      </w:r>
      <w:r>
        <w:t xml:space="preserve"> </w:t>
      </w:r>
      <w:r>
        <w:t xml:space="preserve">19,3 (2005): 241–250. DOI: 10.1055/s-2005-919719.</w:t>
      </w:r>
      <w:r>
        <w:t xml:space="preserve"> </w:t>
      </w:r>
      <w:r>
        <w:t xml:space="preserve">Master, Z. et al. Unproven stem cell interventions: A global public health problem</w:t>
      </w:r>
      <w:r>
        <w:t xml:space="preserve"> </w:t>
      </w:r>
      <w:r>
        <w:t xml:space="preserve">requiring global deliberation. Stem Cell Reports, 2016, Volume 16(6), pp. 1435-</w:t>
      </w:r>
      <w:r>
        <w:t xml:space="preserve"> </w:t>
      </w:r>
      <w:r>
        <w:t xml:space="preserve">1445. https://doi.org/10.1016/j.stemcr.2021.05.004.</w:t>
      </w:r>
      <w:r>
        <w:br/>
      </w:r>
      <w:r>
        <w:t xml:space="preserve">Nawrat, A. Exploring the challenges of regulating faecal microbiota transplants. Medical</w:t>
      </w:r>
      <w:r>
        <w:t xml:space="preserve"> </w:t>
      </w:r>
      <w:r>
        <w:t xml:space="preserve">Device Network, 2021. Available at https://www.medicaldevice-</w:t>
      </w:r>
      <w:r>
        <w:t xml:space="preserve"> </w:t>
      </w:r>
      <w:r>
        <w:t xml:space="preserve">network.com/features/exploring-the-challenges-of-regulating-faecal-microbiota-</w:t>
      </w:r>
      <w:r>
        <w:t xml:space="preserve"> </w:t>
      </w:r>
      <w:r>
        <w:t xml:space="preserve">transplants/</w:t>
      </w:r>
    </w:p>
    <w:p>
      <w:pPr>
        <w:pStyle w:val="BodyText"/>
      </w:pPr>
      <w:r>
        <w:t xml:space="preserve">373</w:t>
      </w:r>
    </w:p>
    <w:p>
      <w:pPr>
        <w:pStyle w:val="BodyText"/>
      </w:pPr>
      <w:r>
        <w:t xml:space="preserve">Oliven A, Shechter Y. Extracorporeal photopheresis: a review. Blood Rev. 2001</w:t>
      </w:r>
      <w:r>
        <w:t xml:space="preserve"> </w:t>
      </w:r>
      <w:r>
        <w:t xml:space="preserve">Jun;15(2):103-8. doi: 10.1054/blre.2001.0155.</w:t>
      </w:r>
      <w:r>
        <w:t xml:space="preserve"> </w:t>
      </w:r>
      <w:r>
        <w:t xml:space="preserve">Simonacci F, Bertozzi N, Grieco MP, Grignaffini E, Raposio E. Autologous fat</w:t>
      </w:r>
      <w:r>
        <w:t xml:space="preserve"> </w:t>
      </w:r>
      <w:r>
        <w:t xml:space="preserve">transplantation for breast reconstruction: A literature review. Ann Med Surg</w:t>
      </w:r>
      <w:r>
        <w:t xml:space="preserve"> </w:t>
      </w:r>
      <w:r>
        <w:t xml:space="preserve">(Lond). 2016, 12, pp. 94-100. doi:10.1016/j.amsu.2016.11.012</w:t>
      </w:r>
      <w:r>
        <w:br/>
      </w:r>
      <w:r>
        <w:t xml:space="preserve">Smith M, Kelly C &amp; Alm E. How to regulate faecal transplants. Nature, 2014, Volume</w:t>
      </w:r>
      <w:r>
        <w:t xml:space="preserve"> </w:t>
      </w:r>
      <w:r>
        <w:t xml:space="preserve">506, pages 290–291.</w:t>
      </w:r>
      <w:r>
        <w:t xml:space="preserve"> </w:t>
      </w:r>
      <w:r>
        <w:t xml:space="preserve">Tiberghien P, Increasing unpaid plasma collection by blood establishments to ensure</w:t>
      </w:r>
      <w:r>
        <w:t xml:space="preserve"> </w:t>
      </w:r>
      <w:r>
        <w:t xml:space="preserve">availability of plasma–derived medicinal products and blood components in</w:t>
      </w:r>
      <w:r>
        <w:t xml:space="preserve"> </w:t>
      </w:r>
      <w:r>
        <w:t xml:space="preserve">Europe, Transfusion Clinique et Biologique, 2021, 28(4), pp. 331-333,</w:t>
      </w:r>
      <w:r>
        <w:t xml:space="preserve"> </w:t>
      </w:r>
      <w:r>
        <w:t xml:space="preserve">https://doi.org/10.1016/j.tracli.2021.09.004.</w:t>
      </w:r>
      <w:r>
        <w:br/>
      </w:r>
      <w:r>
        <w:t xml:space="preserve">Wortelboer, K. and Herrema, H., Shedding light on dark matter faecal microbiota</w:t>
      </w:r>
      <w:r>
        <w:t xml:space="preserve"> </w:t>
      </w:r>
      <w:r>
        <w:t xml:space="preserve">transplantation in Europe, The Lancet Regional Health – Europe, 2021,</w:t>
      </w:r>
      <w:r>
        <w:t xml:space="preserve"> </w:t>
      </w:r>
      <w:r>
        <w:t xml:space="preserve">https://doi.org/10.1016/j.lanepe.2021.100187.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2026-07-31T16:47:19Z</dcterms:created>
  <dcterms:modified xsi:type="dcterms:W3CDTF">2026-07-31T16:47:19Z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