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15.9.2022</w:t>
      </w:r>
      <w:r>
        <w:br/>
      </w:r>
      <w:r>
        <w:t xml:space="preserve">SWD(2022) 282 final</w:t>
      </w:r>
      <w:r>
        <w:t xml:space="preserve"> </w:t>
      </w:r>
      <w:r>
        <w:t xml:space="preserve">PART 3/3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of the Council</w:t>
      </w:r>
      <w:r>
        <w:t xml:space="preserve"> </w:t>
      </w:r>
      <w:r>
        <w:t xml:space="preserve">on horizontal cybersecurity requirements for products with digital elements and</w:t>
      </w:r>
      <w:r>
        <w:t xml:space="preserve"> </w:t>
      </w:r>
      <w:r>
        <w:t xml:space="preserve">amending Regulation (EU) 2019/1020</w:t>
      </w:r>
      <w:r>
        <w:t xml:space="preserve"> </w:t>
      </w:r>
      <w:r>
        <w:t xml:space="preserve">{COM(2022) 454 final} - {SEC(2022) 321 final} - {SWD(2022) 283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Subsidiarity Grid</w:t>
      </w:r>
      <w:r>
        <w:t xml:space="preserve"> </w:t>
      </w:r>
      <w:r>
        <w:t xml:space="preserve">Proposal for a Regulation of the European Parliament and of the Council on horizontal</w:t>
      </w:r>
      <w:r>
        <w:t xml:space="preserve"> </w:t>
      </w:r>
      <w:r>
        <w:t xml:space="preserve">cybersecurity requirements for products with digital elements (Cyber Resilience Act) and</w:t>
      </w:r>
      <w:r>
        <w:t xml:space="preserve"> </w:t>
      </w:r>
      <w:r>
        <w:t xml:space="preserve">amending Regulation (EU) 2019/1020</w:t>
      </w:r>
      <w:r>
        <w:t xml:space="preserve"> </w:t>
      </w:r>
      <w:r>
        <w:t xml:space="preserve">1. Can the Union act? What is the legal basis and competence of the Unions’ intended action?</w:t>
      </w:r>
      <w:r>
        <w:t xml:space="preserve"> </w:t>
      </w:r>
      <w:r>
        <w:t xml:space="preserve">1.1 Which article(s) of the Treaty are used to support the legislative proposal or policy initiative?</w:t>
      </w:r>
      <w:r>
        <w:t xml:space="preserve"> </w:t>
      </w:r>
      <w:r>
        <w:t xml:space="preserve">The legal basis for this proposal is Article 114 of the Treaty of the Functioning of the European Union,</w:t>
      </w:r>
      <w:r>
        <w:t xml:space="preserve"> </w:t>
      </w:r>
      <w:r>
        <w:t xml:space="preserve">which provides for the adoption of measures to ensure the establishing and functioning of the</w:t>
      </w:r>
      <w:r>
        <w:t xml:space="preserve"> </w:t>
      </w:r>
      <w:r>
        <w:t xml:space="preserve">internal market. The purpose of the proposal is to harmonise cybersecurity requirements for</w:t>
      </w:r>
      <w:r>
        <w:t xml:space="preserve"> </w:t>
      </w:r>
      <w:r>
        <w:t xml:space="preserve">products with digital elements in all Member States and to remove obstacles to the free movement</w:t>
      </w:r>
      <w:r>
        <w:t xml:space="preserve"> </w:t>
      </w:r>
      <w:r>
        <w:t xml:space="preserve">of goods.</w:t>
      </w:r>
      <w:r>
        <w:t xml:space="preserve"> </w:t>
      </w:r>
      <w:r>
        <w:t xml:space="preserve">Article 114 TFEU may be used as a legal basis to prevent the occurrence of these obstacles resulting</w:t>
      </w:r>
      <w:r>
        <w:t xml:space="preserve"> </w:t>
      </w:r>
      <w:r>
        <w:t xml:space="preserve">from diverging national laws and approaches on how to address the legal uncertainties and gaps in</w:t>
      </w:r>
      <w:r>
        <w:t xml:space="preserve"> </w:t>
      </w:r>
      <w:r>
        <w:t xml:space="preserve">the existing legal frameworks.1 Furthermore, the Court of Justice has recognised that applying</w:t>
      </w:r>
      <w:r>
        <w:t xml:space="preserve"> </w:t>
      </w:r>
      <w:r>
        <w:t xml:space="preserve">heterogeneous technical requirements could be valid grounds to trigger Article 114 TFEU.2</w:t>
      </w:r>
      <w:r>
        <w:br/>
      </w:r>
      <w:r>
        <w:t xml:space="preserve">The current EU legislative framework applicable to digital products is based on Article 114, and</w:t>
      </w:r>
      <w:r>
        <w:t xml:space="preserve"> </w:t>
      </w:r>
      <w:r>
        <w:t xml:space="preserve">comprises several pieces of legislation, including on specific products and safety-related aspects or</w:t>
      </w:r>
      <w:r>
        <w:t xml:space="preserve"> </w:t>
      </w:r>
      <w:r>
        <w:t xml:space="preserve">general legislation on product liability. However, it covers only certain aspects linked to the</w:t>
      </w:r>
      <w:r>
        <w:t xml:space="preserve"> </w:t>
      </w:r>
      <w:r>
        <w:t xml:space="preserve">cybersecurity of tangible digital products and, as applicable, software embedded in these products.</w:t>
      </w:r>
      <w:r>
        <w:t xml:space="preserve"> </w:t>
      </w:r>
      <w:r>
        <w:t xml:space="preserve">At national level, Member States are starting to take national measures requiring vendors of digital</w:t>
      </w:r>
      <w:r>
        <w:t xml:space="preserve"> </w:t>
      </w:r>
      <w:r>
        <w:t xml:space="preserve">products to enhance their cybersecurity. At the same time, the cybersecurity of digital products has a</w:t>
      </w:r>
      <w:r>
        <w:t xml:space="preserve"> </w:t>
      </w:r>
      <w:r>
        <w:t xml:space="preserve">particularly strong cross-border dimension, as products manufactured in one country are often used</w:t>
      </w:r>
      <w:r>
        <w:t xml:space="preserve"> </w:t>
      </w:r>
      <w:r>
        <w:t xml:space="preserve">by organisations and consumers across the entire internal market. Incidents that initially concern a</w:t>
      </w:r>
      <w:r>
        <w:t xml:space="preserve"> </w:t>
      </w:r>
      <w:r>
        <w:t xml:space="preserve">single entity or Member State often spread within minutes across organisations, sectors and several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The various acts and initiatives taken so far at EU and national levels only partially address the</w:t>
      </w:r>
      <w:r>
        <w:t xml:space="preserve"> </w:t>
      </w:r>
      <w:r>
        <w:t xml:space="preserve">problems identified and risk creating a legislative patchwork within the internal market, increasing</w:t>
      </w:r>
      <w:r>
        <w:t xml:space="preserve"> </w:t>
      </w:r>
      <w:r>
        <w:t xml:space="preserve">legal uncertainty for both vendors and users of these products and adding unnecessary burden on</w:t>
      </w:r>
      <w:r>
        <w:t xml:space="preserve"> </w:t>
      </w:r>
      <w:r>
        <w:t xml:space="preserve">companies to comply with a number of requirements for similar types of products.</w:t>
      </w:r>
      <w:r>
        <w:t xml:space="preserve"> </w:t>
      </w:r>
      <w:r>
        <w:t xml:space="preserve">The proposed Regulation would harmonise and streamline the EU regulatory landscape by</w:t>
      </w:r>
      <w:r>
        <w:t xml:space="preserve"> </w:t>
      </w:r>
      <w:r>
        <w:t xml:space="preserve">introducing cybersecurity requirements for products with digital elements and avoid overlapping</w:t>
      </w:r>
      <w:r>
        <w:t xml:space="preserve"> </w:t>
      </w:r>
      <w:r>
        <w:t xml:space="preserve">requirements stemming from different pieces of legislation. This would create greater legal certainty</w:t>
      </w:r>
      <w:r>
        <w:t xml:space="preserve"> </w:t>
      </w:r>
      <w:r>
        <w:t xml:space="preserve">for operators and users across the Union, as well as a better harmonisation of the European single</w:t>
      </w:r>
      <w:r>
        <w:t xml:space="preserve"> </w:t>
      </w:r>
      <w:r>
        <w:t xml:space="preserve">market, creating more viable conditions for operators aiming at entering the EU market.</w:t>
      </w:r>
    </w:p>
    <w:p>
      <w:pPr>
        <w:pStyle w:val="BodyText"/>
      </w:pPr>
      <w:r>
        <w:t xml:space="preserve">1</w:t>
      </w:r>
      <w:r>
        <w:br/>
      </w:r>
      <w:r>
        <w:t xml:space="preserve">CJEU Judgment of the Court (Grand Chamber) of 3 December 2019, Czech Republic v European</w:t>
      </w:r>
      <w:r>
        <w:t xml:space="preserve"> </w:t>
      </w:r>
      <w:r>
        <w:t xml:space="preserve">Parliament and Council of the European Union, Case C-482/17, paragraph 35.</w:t>
      </w:r>
      <w:r>
        <w:t xml:space="preserve"> </w:t>
      </w:r>
      <w:r>
        <w:t xml:space="preserve">2</w:t>
      </w:r>
      <w:r>
        <w:br/>
      </w:r>
      <w:r>
        <w:t xml:space="preserve">CJEU Judgment of the Court (Grand Chamber) of 2 May 2006, United Kingdom of Great Britain and</w:t>
      </w:r>
      <w:r>
        <w:t xml:space="preserve"> </w:t>
      </w:r>
      <w:r>
        <w:t xml:space="preserve">Northern Ireland v European Parliament and Council of the European Union, Case C-217/04, paragraphs 62-63.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1.2 Is the Union competence represented by this Treaty article exclusive, shared or supporting in</w:t>
      </w:r>
      <w:r>
        <w:t xml:space="preserve"> </w:t>
      </w:r>
      <w:r>
        <w:t xml:space="preserve">nature?</w:t>
      </w:r>
      <w:r>
        <w:t xml:space="preserve"> </w:t>
      </w:r>
      <w:r>
        <w:t xml:space="preserve">Shared competence</w:t>
      </w:r>
      <w:r>
        <w:t xml:space="preserve"> </w:t>
      </w:r>
      <w:r>
        <w:t xml:space="preserve">Subsidiarity does not apply for policy areas where the Union has exclusive competence as defined in</w:t>
      </w:r>
      <w:r>
        <w:t xml:space="preserve"> </w:t>
      </w:r>
      <w:r>
        <w:t xml:space="preserve">Article 3 TFEU3. It is the specific legal basis which determines whether the proposal falls under the</w:t>
      </w:r>
      <w:r>
        <w:t xml:space="preserve"> </w:t>
      </w:r>
      <w:r>
        <w:t xml:space="preserve">subsidiarity control mechanism. Article 4 TFEU4 sets out the areas where competence is shared</w:t>
      </w:r>
      <w:r>
        <w:t xml:space="preserve"> </w:t>
      </w:r>
      <w:r>
        <w:t xml:space="preserve">between the Union and the Member States. Article 6 TFEU5 sets out the areas for which the Unions</w:t>
      </w:r>
      <w:r>
        <w:t xml:space="preserve"> </w:t>
      </w:r>
      <w:r>
        <w:t xml:space="preserve">has competence only to support the actions of the Member States.</w:t>
      </w:r>
      <w:r>
        <w:t xml:space="preserve"> </w:t>
      </w:r>
      <w:r>
        <w:t xml:space="preserve">2. Subsidiarity Principle: Why should the EU act?</w:t>
      </w:r>
      <w:r>
        <w:t xml:space="preserve"> </w:t>
      </w:r>
      <w:r>
        <w:t xml:space="preserve">2.1 Does the proposal fulfil the procedural requirements of Protocol No. 26:</w:t>
      </w:r>
      <w:r>
        <w:t xml:space="preserve"> </w:t>
      </w:r>
      <w:r>
        <w:t xml:space="preserve">-</w:t>
      </w:r>
      <w:r>
        <w:t xml:space="preserve"> </w:t>
      </w:r>
      <w:r>
        <w:t xml:space="preserve">Has there been a wide consultation before proposing the act?</w:t>
      </w:r>
      <w:r>
        <w:t xml:space="preserve"> </w:t>
      </w:r>
      <w:r>
        <w:t xml:space="preserve">-</w:t>
      </w:r>
      <w:r>
        <w:t xml:space="preserve"> </w:t>
      </w:r>
      <w:r>
        <w:t xml:space="preserve">Is there a detailed statement with qualitative and, where possible, quantitative indicators</w:t>
      </w:r>
      <w:r>
        <w:t xml:space="preserve"> </w:t>
      </w:r>
      <w:r>
        <w:t xml:space="preserve">allowing an appraisal of whether the action can best be achieved at Union level?</w:t>
      </w:r>
      <w:r>
        <w:t xml:space="preserve"> </w:t>
      </w:r>
      <w:r>
        <w:t xml:space="preserve">The Commission carried out an extensive consultation in preparation of the Impact Assessment</w:t>
      </w:r>
      <w:r>
        <w:t xml:space="preserve"> </w:t>
      </w:r>
      <w:r>
        <w:t xml:space="preserve">report. It benefited from consultation activities already carried out in 2021 for the exploratory study</w:t>
      </w:r>
      <w:r>
        <w:t xml:space="preserve"> </w:t>
      </w:r>
      <w:r>
        <w:t xml:space="preserve">contracted by the Commission and implemented by a consortium made of Wavestone, CEPS and ICF</w:t>
      </w:r>
      <w:r>
        <w:t xml:space="preserve"> </w:t>
      </w:r>
      <w:r>
        <w:t xml:space="preserve">to assess the need for horizontal cybersecurity requirements for digital products. To ensure a high</w:t>
      </w:r>
      <w:r>
        <w:t xml:space="preserve"> </w:t>
      </w:r>
      <w:r>
        <w:t xml:space="preserve">level of coherence and comparability of analysis for all potential policy approaches, a second study</w:t>
      </w:r>
      <w:r>
        <w:t xml:space="preserve"> </w:t>
      </w:r>
      <w:r>
        <w:t xml:space="preserve">led by the same consortium was contracted to collect evidence and conduct analyses in the first half</w:t>
      </w:r>
      <w:r>
        <w:t xml:space="preserve"> </w:t>
      </w:r>
      <w:r>
        <w:t xml:space="preserve">of 2022.</w:t>
      </w:r>
      <w:r>
        <w:t xml:space="preserve"> </w:t>
      </w:r>
      <w:r>
        <w:t xml:space="preserve">In addition to the Commission open public consultation and feedback on the Call for Evidence, the</w:t>
      </w:r>
      <w:r>
        <w:t xml:space="preserve"> </w:t>
      </w:r>
      <w:r>
        <w:t xml:space="preserve">external contractors collected evidence from a variety of stakeholders through targeted interviews</w:t>
      </w:r>
      <w:r>
        <w:t xml:space="preserve"> </w:t>
      </w:r>
      <w:r>
        <w:t xml:space="preserve">with experts covering different domains, focus groups, two workshops and a targeted online</w:t>
      </w:r>
      <w:r>
        <w:t xml:space="preserve"> </w:t>
      </w:r>
      <w:r>
        <w:t xml:space="preserve">consultation. Moreover, to further support evidence based analysis, the Commission has conducted</w:t>
      </w:r>
      <w:r>
        <w:t xml:space="preserve"> </w:t>
      </w:r>
      <w:r>
        <w:t xml:space="preserve">extensive desk research, covering a wide spectrum of policy studies and reports. They have been</w:t>
      </w:r>
      <w:r>
        <w:t xml:space="preserve"> </w:t>
      </w:r>
      <w:r>
        <w:t xml:space="preserve">quoted in the main body of the Impact Assessment.</w:t>
      </w:r>
      <w:r>
        <w:t xml:space="preserve"> </w:t>
      </w:r>
      <w:r>
        <w:t xml:space="preserve">Both the explanatory memorandum (section 2) and the impact assessment (chapter 3) contain</w:t>
      </w:r>
      <w:r>
        <w:t xml:space="preserve"> </w:t>
      </w:r>
      <w:r>
        <w:t xml:space="preserve">respectively sections on the principles of subsidiarity, for more details see question 2.2. below.</w:t>
      </w:r>
      <w:r>
        <w:t xml:space="preserve"> </w:t>
      </w:r>
      <w:r>
        <w:t xml:space="preserve">2.2 Does the explanatory memorandum (and any impact assessment) accompanying the</w:t>
      </w:r>
      <w:r>
        <w:t xml:space="preserve"> </w:t>
      </w:r>
      <w:r>
        <w:t xml:space="preserve">Commission’s proposal contain an adequate justification regarding the conformity with the</w:t>
      </w:r>
      <w:r>
        <w:t xml:space="preserve"> </w:t>
      </w:r>
      <w:r>
        <w:t xml:space="preserve">principle of subsidiarity?</w:t>
      </w:r>
      <w:r>
        <w:t xml:space="preserve"> </w:t>
      </w:r>
      <w:r>
        <w:t xml:space="preserve">The strong cross-border nature of cybersecurity in general and the growing number of risks and</w:t>
      </w:r>
    </w:p>
    <w:p>
      <w:pPr>
        <w:pStyle w:val="BodyText"/>
      </w:pPr>
      <w:r>
        <w:t xml:space="preserve">3 https://eur-lex.europa.eu/legal-content/EN/TXT/HTML/?uri=CELEX:12008E003&amp;from=EN</w:t>
      </w:r>
      <w:r>
        <w:br/>
      </w:r>
      <w:r>
        <w:t xml:space="preserve">4 https://eur-lex.europa.eu/legal-content/EN/TXT/HTML/?uri=CELEX:12008E004&amp;from=EN</w:t>
      </w:r>
      <w:r>
        <w:br/>
      </w:r>
      <w:r>
        <w:t xml:space="preserve">5 https://eur-lex.europa.eu/LexUriServ/LexUriServ.do?uri=CELEX:12008E006:EN:HTML</w:t>
      </w:r>
      <w:r>
        <w:br/>
      </w:r>
      <w:r>
        <w:t xml:space="preserve">6 https://eur-lex.europa.eu/legal-content/EN/TXT/HTML/?uri=CELEX:12016E/PRO/02&amp;from=EN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incidents, which have spill-over effects across borders, sectors and products, mean that the</w:t>
      </w:r>
      <w:r>
        <w:t xml:space="preserve"> </w:t>
      </w:r>
      <w:r>
        <w:t xml:space="preserve">objectives of the present intervention cannot effectively be achieved by Member States alone.</w:t>
      </w:r>
      <w:r>
        <w:t xml:space="preserve"> </w:t>
      </w:r>
      <w:r>
        <w:t xml:space="preserve">National approaches in addressing the problems, and in particular approaches introducing</w:t>
      </w:r>
      <w:r>
        <w:t xml:space="preserve"> </w:t>
      </w:r>
      <w:r>
        <w:t xml:space="preserve">mandatory requirements, will create additional legal uncertainty and legal barriers. Companies could</w:t>
      </w:r>
      <w:r>
        <w:t xml:space="preserve"> </w:t>
      </w:r>
      <w:r>
        <w:t xml:space="preserve">be prevented from seamlessly expanding into other Member States, depriving users of the benefits</w:t>
      </w:r>
      <w:r>
        <w:t xml:space="preserve"> </w:t>
      </w:r>
      <w:r>
        <w:t xml:space="preserve">of their products.</w:t>
      </w:r>
      <w:r>
        <w:br/>
      </w:r>
      <w:r>
        <w:t xml:space="preserve">Joint action at EU level is therefore necessary to establish a high level of trust among users,</w:t>
      </w:r>
      <w:r>
        <w:t xml:space="preserve"> </w:t>
      </w:r>
      <w:r>
        <w:t xml:space="preserve">increasing the attractiveness of EU products with digital elements. It would also benefit the digital</w:t>
      </w:r>
      <w:r>
        <w:t xml:space="preserve"> </w:t>
      </w:r>
      <w:r>
        <w:t xml:space="preserve">single market and internal market in general by providing legal certainty and achieving a level playing</w:t>
      </w:r>
      <w:r>
        <w:t xml:space="preserve"> </w:t>
      </w:r>
      <w:r>
        <w:t xml:space="preserve">field for manufacturers of products with digital elements.</w:t>
      </w:r>
      <w:r>
        <w:t xml:space="preserve"> </w:t>
      </w:r>
      <w:r>
        <w:t xml:space="preserve">Ultimately, the Council Conclusions of 23 May 2022 on the development of the European Union’s</w:t>
      </w:r>
      <w:r>
        <w:t xml:space="preserve"> </w:t>
      </w:r>
      <w:r>
        <w:t xml:space="preserve">cyber posture7 call upon the Commission to propose, by the end of 2022, common cybersecurity</w:t>
      </w:r>
      <w:r>
        <w:t xml:space="preserve"> </w:t>
      </w:r>
      <w:r>
        <w:t xml:space="preserve">requirements for connected devices.</w:t>
      </w:r>
      <w:r>
        <w:t xml:space="preserve"> </w:t>
      </w:r>
      <w:r>
        <w:t xml:space="preserve">2.3 Based on the answers to the questions below, can the objectives of the proposed action be</w:t>
      </w:r>
      <w:r>
        <w:t xml:space="preserve"> </w:t>
      </w:r>
      <w:r>
        <w:t xml:space="preserve">achieved sufficiently by the Member States acting alone (necessity for EU action)?</w:t>
      </w:r>
      <w:r>
        <w:t xml:space="preserve"> </w:t>
      </w:r>
      <w:r>
        <w:t xml:space="preserve">The strong cross-border nature of cybersecurity in general and the growing number of risks and</w:t>
      </w:r>
      <w:r>
        <w:t xml:space="preserve"> </w:t>
      </w:r>
      <w:r>
        <w:t xml:space="preserve">incidents, which have spill-over effects across borders, sectors and products, mean that the</w:t>
      </w:r>
      <w:r>
        <w:t xml:space="preserve"> </w:t>
      </w:r>
      <w:r>
        <w:t xml:space="preserve">objectives of the present intervention cannot effectively be achieved by Member States alone.</w:t>
      </w:r>
      <w:r>
        <w:t xml:space="preserve"> </w:t>
      </w:r>
      <w:r>
        <w:t xml:space="preserve">National approaches in addressing the problems, and in particular approaches introducing</w:t>
      </w:r>
      <w:r>
        <w:t xml:space="preserve"> </w:t>
      </w:r>
      <w:r>
        <w:t xml:space="preserve">mandatory requirements, will only create additional legal uncertainty and legal barriers. Companies</w:t>
      </w:r>
      <w:r>
        <w:t xml:space="preserve"> </w:t>
      </w:r>
      <w:r>
        <w:t xml:space="preserve">could be prevented from seamlessly expanding into other Member States, depriving users of the</w:t>
      </w:r>
      <w:r>
        <w:t xml:space="preserve"> </w:t>
      </w:r>
      <w:r>
        <w:t xml:space="preserve">benefits of their products.</w:t>
      </w:r>
      <w:r>
        <w:br/>
      </w:r>
      <w:r>
        <w:t xml:space="preserve">Joint action at EU level is therefore necessary to establish a high level of trust among users,</w:t>
      </w:r>
      <w:r>
        <w:t xml:space="preserve"> </w:t>
      </w:r>
      <w:r>
        <w:t xml:space="preserve">increasing the attractiveness of EU products with digital elements. It would also benefit the digital</w:t>
      </w:r>
      <w:r>
        <w:t xml:space="preserve"> </w:t>
      </w:r>
      <w:r>
        <w:t xml:space="preserve">single market and internal market in general by providing legal certainty and achieving a level playing</w:t>
      </w:r>
      <w:r>
        <w:t xml:space="preserve"> </w:t>
      </w:r>
      <w:r>
        <w:t xml:space="preserve">field for manufacturers of products with digital elements.</w:t>
      </w:r>
      <w:r>
        <w:t xml:space="preserve"> </w:t>
      </w:r>
      <w:r>
        <w:t xml:space="preserve">Ultimately, the Council Conclusions of 23 May 2022 on the development of the European Union’s</w:t>
      </w:r>
      <w:r>
        <w:t xml:space="preserve"> </w:t>
      </w:r>
      <w:r>
        <w:t xml:space="preserve">cyber posture8 call upon the Commission to propose, by the end of 2022, common cybersecurity</w:t>
      </w:r>
      <w:r>
        <w:t xml:space="preserve"> </w:t>
      </w:r>
      <w:r>
        <w:t xml:space="preserve">requirements for connected devices.</w:t>
      </w:r>
      <w:r>
        <w:t xml:space="preserve"> </w:t>
      </w:r>
      <w:r>
        <w:t xml:space="preserve">(a) Are there significant/appreciable transnational/cross-border aspects to the problems being</w:t>
      </w:r>
      <w:r>
        <w:t xml:space="preserve"> </w:t>
      </w:r>
      <w:r>
        <w:t xml:space="preserve">tackled? Have these been quantified?</w:t>
      </w:r>
      <w:r>
        <w:t xml:space="preserve"> </w:t>
      </w:r>
      <w:r>
        <w:t xml:space="preserve">The strong cross-border nature of cybersecurity in general and the growing risks and incidents, which</w:t>
      </w:r>
      <w:r>
        <w:t xml:space="preserve"> </w:t>
      </w:r>
      <w:r>
        <w:t xml:space="preserve">have spill-over effects across borders, sectors and products, mean that the objectives of the present</w:t>
      </w:r>
      <w:r>
        <w:t xml:space="preserve"> </w:t>
      </w:r>
      <w:r>
        <w:t xml:space="preserve">intervention cannot effectively be achieved by Member States alone. Taking into account the global</w:t>
      </w:r>
      <w:r>
        <w:t xml:space="preserve"> </w:t>
      </w:r>
      <w:r>
        <w:t xml:space="preserve">nature of digital product markets, Member States face the same risks with respect to the same digital</w:t>
      </w:r>
      <w:r>
        <w:t xml:space="preserve"> </w:t>
      </w:r>
      <w:r>
        <w:t xml:space="preserve">product on their territory. For example, a recent study on infected IoT products across the internal</w:t>
      </w:r>
      <w:r>
        <w:t xml:space="preserve"> </w:t>
      </w:r>
      <w:r>
        <w:t xml:space="preserve">market has revealed that it is the same nine manufacturers in each country that are responsible for</w:t>
      </w:r>
      <w:r>
        <w:t xml:space="preserve"> </w:t>
      </w:r>
      <w:r>
        <w:t xml:space="preserve">placing the highest number of IoT devices on the market that have been infected as a result of</w:t>
      </w:r>
      <w:r>
        <w:t xml:space="preserve"> </w:t>
      </w:r>
      <w:r>
        <w:t xml:space="preserve">vulnerabilities, concluding that “international collaboration among regulators in various countries is a</w:t>
      </w:r>
      <w:r>
        <w:t xml:space="preserve"> </w:t>
      </w:r>
      <w:r>
        <w:t xml:space="preserve">feasible path. This would not only bundle scarce resources on the side of governments, but is also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Council conclusions on the development of the European Union’s cyber posture (2022)</w:t>
      </w:r>
      <w:r>
        <w:t xml:space="preserve"> </w:t>
      </w:r>
      <w:r>
        <w:t xml:space="preserve">8</w:t>
      </w:r>
      <w:r>
        <w:t xml:space="preserve"> </w:t>
      </w:r>
      <w:r>
        <w:t xml:space="preserve">Council conclusions on the development of the European Union’s cyber posture (2022)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more likely to influence manufacturer behaviour through collective action. An obvious starting point</w:t>
      </w:r>
      <w:r>
        <w:t xml:space="preserve"> </w:t>
      </w:r>
      <w:r>
        <w:t xml:space="preserve">would be coordination at the level of the European Union.”9</w:t>
      </w:r>
      <w:r>
        <w:t xml:space="preserve"> </w:t>
      </w:r>
      <w:r>
        <w:t xml:space="preserve">(b) Would national action or the absence of the EU level action conflict with core objectives of</w:t>
      </w:r>
      <w:r>
        <w:t xml:space="preserve"> </w:t>
      </w:r>
      <w:r>
        <w:t xml:space="preserve">the Treaty10 or significantly damage the interests of other Member States?</w:t>
      </w:r>
      <w:r>
        <w:t xml:space="preserve"> </w:t>
      </w:r>
      <w:r>
        <w:t xml:space="preserve">An emerging patchy framework of potentially diverging national rules also risks hampering an open</w:t>
      </w:r>
      <w:r>
        <w:t xml:space="preserve"> </w:t>
      </w:r>
      <w:r>
        <w:t xml:space="preserve">and competitive single market for digital products. Some Member States, such as Germany and</w:t>
      </w:r>
      <w:r>
        <w:t xml:space="preserve"> </w:t>
      </w:r>
      <w:r>
        <w:t xml:space="preserve">Finland have already taken first (non-binding) measures to improve the security of digital products.</w:t>
      </w:r>
      <w:r>
        <w:t xml:space="preserve"> </w:t>
      </w:r>
      <w:r>
        <w:t xml:space="preserve">National approaches in addressing the problems, and in particular approaches introducing</w:t>
      </w:r>
      <w:r>
        <w:t xml:space="preserve"> </w:t>
      </w:r>
      <w:r>
        <w:t xml:space="preserve">mandatory requirements, will only create additional legal uncertainty and legal barriers. Companies</w:t>
      </w:r>
      <w:r>
        <w:t xml:space="preserve"> </w:t>
      </w:r>
      <w:r>
        <w:t xml:space="preserve">could be prevented from seamlessly expanding into other Member States, depriving users of the</w:t>
      </w:r>
      <w:r>
        <w:t xml:space="preserve"> </w:t>
      </w:r>
      <w:r>
        <w:t xml:space="preserve">benefits of their products.</w:t>
      </w:r>
      <w:r>
        <w:br/>
      </w:r>
      <w:r>
        <w:t xml:space="preserve">(c) To what extent do Member States have the ability or possibility to enact appropriate</w:t>
      </w:r>
      <w:r>
        <w:t xml:space="preserve"> </w:t>
      </w:r>
      <w:r>
        <w:t xml:space="preserve">measures?</w:t>
      </w:r>
      <w:r>
        <w:t xml:space="preserve"> </w:t>
      </w:r>
      <w:r>
        <w:t xml:space="preserve">Given the lack of negotiation power of individual users on a global products market with large</w:t>
      </w:r>
      <w:r>
        <w:t xml:space="preserve"> </w:t>
      </w:r>
      <w:r>
        <w:t xml:space="preserve">multinational manufacturers (see section 2.2.5), regulation at national level would not be effective. In</w:t>
      </w:r>
      <w:r>
        <w:t xml:space="preserve"> </w:t>
      </w:r>
      <w:r>
        <w:t xml:space="preserve">a 2021 report, the Dutch Safety Board concluded that the digital products market “can hardly be</w:t>
      </w:r>
      <w:r>
        <w:t xml:space="preserve"> </w:t>
      </w:r>
      <w:r>
        <w:t xml:space="preserve">influenced by users in the Netherlands alone. Influencing such a global market requires a larger</w:t>
      </w:r>
      <w:r>
        <w:t xml:space="preserve"> </w:t>
      </w:r>
      <w:r>
        <w:t xml:space="preserve">power block, for example at EU or UN level, or based on joint actions by end users.”</w:t>
      </w:r>
      <w:r>
        <w:br/>
      </w:r>
      <w:r>
        <w:t xml:space="preserve">(d) How does the problem and its causes (e.g. negative externalities, spill-over effects) vary</w:t>
      </w:r>
      <w:r>
        <w:t xml:space="preserve"> </w:t>
      </w:r>
      <w:r>
        <w:t xml:space="preserve">across the national, regional and local levels of the EU?</w:t>
      </w:r>
      <w:r>
        <w:t xml:space="preserve"> </w:t>
      </w:r>
      <w:r>
        <w:t xml:space="preserve">Hardware and software products are increasingly subject to successful cyberattacks, leading to an</w:t>
      </w:r>
      <w:r>
        <w:t xml:space="preserve"> </w:t>
      </w:r>
      <w:r>
        <w:t xml:space="preserve">estimated global annual cost of cybercrime of EUR 5.5 trillion by 2021. Such products suffer from two</w:t>
      </w:r>
      <w:r>
        <w:t xml:space="preserve"> </w:t>
      </w:r>
      <w:r>
        <w:t xml:space="preserve">major problems adding costs for users and the society: (1) a low level of cybersecurity, reflected by</w:t>
      </w:r>
      <w:r>
        <w:t xml:space="preserve"> </w:t>
      </w:r>
      <w:r>
        <w:t xml:space="preserve">widespread vulnerabilities and the insufficient and inconsistent provision of security updates to</w:t>
      </w:r>
      <w:r>
        <w:t xml:space="preserve"> </w:t>
      </w:r>
      <w:r>
        <w:t xml:space="preserve">address them, and (2) an insufficient understanding and access to information by users, preventing</w:t>
      </w:r>
      <w:r>
        <w:t xml:space="preserve"> </w:t>
      </w:r>
      <w:r>
        <w:t xml:space="preserve">them from choosing products with proper cybersecurity features or using them in a secure manner.</w:t>
      </w:r>
      <w:r>
        <w:br/>
      </w:r>
      <w:r>
        <w:t xml:space="preserve">The cybersecurity of products with digital elements has a strong cross-border dimension, as products</w:t>
      </w:r>
      <w:r>
        <w:t xml:space="preserve"> </w:t>
      </w:r>
      <w:r>
        <w:t xml:space="preserve">manufactured in one country are often used across the internal market. In addition, incidents initially</w:t>
      </w:r>
      <w:r>
        <w:t xml:space="preserve"> </w:t>
      </w:r>
      <w:r>
        <w:t xml:space="preserve">affecting a single entity or a single Member State often spread within minutes across the entire</w:t>
      </w:r>
      <w:r>
        <w:t xml:space="preserve"> </w:t>
      </w:r>
      <w:r>
        <w:t xml:space="preserve">internal market.</w:t>
      </w:r>
      <w:r>
        <w:t xml:space="preserve"> </w:t>
      </w:r>
      <w:r>
        <w:t xml:space="preserve">(e) Is the problem widespread across the EU or limited to a few Member States?</w:t>
      </w:r>
      <w:r>
        <w:t xml:space="preserve"> </w:t>
      </w:r>
      <w:r>
        <w:t xml:space="preserve">The identified problems cumulatively affects the Union as a whole.</w:t>
      </w:r>
    </w:p>
    <w:p>
      <w:pPr>
        <w:pStyle w:val="BodyText"/>
      </w:pPr>
      <w:r>
        <w:t xml:space="preserve">9 Rodríguez et al (2021): “Superspreaders: Quantifying the Role of IoT Manufacturers in Device Infections”, 20th Annual</w:t>
      </w:r>
      <w:r>
        <w:t xml:space="preserve"> </w:t>
      </w:r>
      <w:r>
        <w:t xml:space="preserve">Workshop on the Economics of Information Security (WEIS 2021), for a more detailed discussion of IoT consumer device</w:t>
      </w:r>
      <w:r>
        <w:t xml:space="preserve"> </w:t>
      </w:r>
      <w:r>
        <w:t xml:space="preserve">security,</w:t>
      </w:r>
      <w:r>
        <w:t xml:space="preserve"> </w:t>
      </w:r>
      <w:r>
        <w:t xml:space="preserve">p. 8</w:t>
      </w:r>
      <w:r>
        <w:t xml:space="preserve"> </w:t>
      </w:r>
      <w:r>
        <w:t xml:space="preserve">10 https://europa.eu/european-union/about-eu/eu-in-brief_en</w:t>
      </w:r>
    </w:p>
    <w:p>
      <w:pPr>
        <w:pStyle w:val="BodyText"/>
      </w:pPr>
      <w:r>
        <w:t xml:space="preserve">5</w:t>
      </w:r>
    </w:p>
    <w:p>
      <w:pPr>
        <w:pStyle w:val="Compact"/>
        <w:numPr>
          <w:ilvl w:val="0"/>
          <w:numId w:val="1001"/>
        </w:numPr>
      </w:pPr>
      <w:r>
        <w:t xml:space="preserve">Are Member States overstretched in achieving the objectives of the planned measure?</w:t>
      </w:r>
      <w:r>
        <w:t xml:space="preserve"> </w:t>
      </w:r>
      <w:r>
        <w:t xml:space="preserve">Member States have very different levels of capabilities to address the current cybersecurity</w:t>
      </w:r>
      <w:r>
        <w:t xml:space="preserve"> </w:t>
      </w:r>
      <w:r>
        <w:t xml:space="preserve">challenges, some being more mature and better resourced than others. Also, the adoption of</w:t>
      </w:r>
      <w:r>
        <w:t xml:space="preserve"> </w:t>
      </w:r>
      <w:r>
        <w:t xml:space="preserve">different and potentially contradictory rules for product, which are mostly sold across the whole EU,</w:t>
      </w:r>
      <w:r>
        <w:t xml:space="preserve"> </w:t>
      </w:r>
      <w:r>
        <w:t xml:space="preserve">would risk creating a very fragmented regulatory landscape.</w:t>
      </w:r>
    </w:p>
    <w:p>
      <w:pPr>
        <w:pStyle w:val="Compact"/>
        <w:numPr>
          <w:ilvl w:val="0"/>
          <w:numId w:val="1001"/>
        </w:numPr>
      </w:pPr>
      <w:r>
        <w:t xml:space="preserve">How do the views/preferred courses of action of national, regional and local authorities</w:t>
      </w:r>
      <w:r>
        <w:t xml:space="preserve"> </w:t>
      </w:r>
      <w:r>
        <w:t xml:space="preserve">differ across the EU?</w:t>
      </w:r>
      <w:r>
        <w:t xml:space="preserve"> </w:t>
      </w:r>
      <w:r>
        <w:t xml:space="preserve">In order to ensure legal certainty and avoid any further fragmentation of product-related</w:t>
      </w:r>
      <w:r>
        <w:t xml:space="preserve"> </w:t>
      </w:r>
      <w:r>
        <w:t xml:space="preserve">requirements on cybersecurity on the internal market, the open public consultation and the targeted</w:t>
      </w:r>
      <w:r>
        <w:t xml:space="preserve"> </w:t>
      </w:r>
      <w:r>
        <w:t xml:space="preserve">consultation have shown a wide overall support of various stakeholders, both industry and national</w:t>
      </w:r>
      <w:r>
        <w:t xml:space="preserve"> </w:t>
      </w:r>
      <w:r>
        <w:t xml:space="preserve">authorities for a horizontal intervention setting out cybersecurity requirements for digital products.</w:t>
      </w:r>
      <w:r>
        <w:t xml:space="preserve"> </w:t>
      </w:r>
      <w:r>
        <w:t xml:space="preserve">2.4 Based on the answer to the questions below, can the objectives of the proposed action be</w:t>
      </w:r>
      <w:r>
        <w:t xml:space="preserve"> </w:t>
      </w:r>
      <w:r>
        <w:t xml:space="preserve">better achieved at Union level by reason of scale or effects of that action (EU added value)?</w:t>
      </w:r>
    </w:p>
    <w:p>
      <w:pPr>
        <w:pStyle w:val="Compact"/>
        <w:numPr>
          <w:ilvl w:val="0"/>
          <w:numId w:val="1001"/>
        </w:numPr>
      </w:pPr>
      <w:r>
        <w:t xml:space="preserve">Are there clear benefits from EU level action?</w:t>
      </w:r>
      <w:r>
        <w:br/>
      </w:r>
      <w:r>
        <w:t xml:space="preserve">Yes, EU level action could lead to a higher level of cybersecurity for all digital products across the</w:t>
      </w:r>
      <w:r>
        <w:t xml:space="preserve"> </w:t>
      </w:r>
      <w:r>
        <w:t xml:space="preserve">Union, legal certainty for economic operators and more informed decision making for use by the</w:t>
      </w:r>
      <w:r>
        <w:t xml:space="preserve"> </w:t>
      </w:r>
      <w:r>
        <w:t xml:space="preserve">customers of products with digital elements.</w:t>
      </w:r>
    </w:p>
    <w:p>
      <w:pPr>
        <w:pStyle w:val="Compact"/>
        <w:numPr>
          <w:ilvl w:val="0"/>
          <w:numId w:val="1001"/>
        </w:numPr>
      </w:pPr>
      <w:r>
        <w:t xml:space="preserve">Are there economies of scale? Can the objectives be met more efficiently at EU level (larger</w:t>
      </w:r>
      <w:r>
        <w:t xml:space="preserve"> </w:t>
      </w:r>
      <w:r>
        <w:t xml:space="preserve">benefits per unit cost)? Will the functioning of the internal market be improved?</w:t>
      </w:r>
      <w:r>
        <w:t xml:space="preserve"> </w:t>
      </w:r>
      <w:r>
        <w:t xml:space="preserve">The objectives of the initiative can be better achieved at Union level so as to avoid a further</w:t>
      </w:r>
      <w:r>
        <w:t xml:space="preserve"> </w:t>
      </w:r>
      <w:r>
        <w:t xml:space="preserve">fragmentation of the single market into potentially contradictory national frameworks. A single</w:t>
      </w:r>
      <w:r>
        <w:t xml:space="preserve"> </w:t>
      </w:r>
      <w:r>
        <w:t xml:space="preserve">framework regarding cybersecurity requirements for products with digital elements would provide</w:t>
      </w:r>
      <w:r>
        <w:t xml:space="preserve"> </w:t>
      </w:r>
      <w:r>
        <w:t xml:space="preserve">legal certainty and avoid overlapping or contradictory requirements stemming from different pieces</w:t>
      </w:r>
      <w:r>
        <w:t xml:space="preserve"> </w:t>
      </w:r>
      <w:r>
        <w:t xml:space="preserve">of legislation. Harmonised EU requirements would facilitate compliance for vendors of products with</w:t>
      </w:r>
      <w:r>
        <w:t xml:space="preserve"> </w:t>
      </w:r>
      <w:r>
        <w:t xml:space="preserve">digital elements and create more viable conditions for operators aiming at entering the EU market.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What are the benefits in replacing different national policies and rules with a more</w:t>
      </w:r>
      <w:r>
        <w:t xml:space="preserve"> </w:t>
      </w:r>
      <w:r>
        <w:t xml:space="preserve">homogenous policy approach?</w:t>
      </w:r>
      <w:r>
        <w:t xml:space="preserve"> </w:t>
      </w:r>
      <w:r>
        <w:t xml:space="preserve">Users’ trust that products with digital elements acquired in any Member State comply with a</w:t>
      </w:r>
      <w:r>
        <w:t xml:space="preserve"> </w:t>
      </w:r>
      <w:r>
        <w:t xml:space="preserve">harmonised set of requirements would increase their trust in and demand for these products. Given</w:t>
      </w:r>
      <w:r>
        <w:t xml:space="preserve"> </w:t>
      </w:r>
      <w:r>
        <w:t xml:space="preserve">the global and cross-border nature of the digital market and the internet, the intervention would</w:t>
      </w:r>
      <w:r>
        <w:t xml:space="preserve"> </w:t>
      </w:r>
      <w:r>
        <w:t xml:space="preserve">reduce negative cross-border spill-overs and costs to society linked to mitigating risks of non-secure</w:t>
      </w:r>
      <w:r>
        <w:t xml:space="preserve"> </w:t>
      </w:r>
      <w:r>
        <w:t xml:space="preserve">products.</w:t>
      </w:r>
    </w:p>
    <w:p>
      <w:pPr>
        <w:pStyle w:val="FirstParagraph"/>
      </w:pPr>
      <w:r>
        <w:t xml:space="preserve">6</w:t>
      </w:r>
    </w:p>
    <w:p>
      <w:pPr>
        <w:pStyle w:val="Compact"/>
        <w:numPr>
          <w:ilvl w:val="0"/>
          <w:numId w:val="1002"/>
        </w:numPr>
      </w:pPr>
      <w:r>
        <w:t xml:space="preserve">Do the benefits of EU-level action outweigh the loss of competence of the Member States</w:t>
      </w:r>
      <w:r>
        <w:t xml:space="preserve"> </w:t>
      </w:r>
      <w:r>
        <w:t xml:space="preserve">and the local and regional authorities (beyond the costs and benefits of acting at national,</w:t>
      </w:r>
      <w:r>
        <w:t xml:space="preserve"> </w:t>
      </w:r>
      <w:r>
        <w:t xml:space="preserve">regional and local levels)?</w:t>
      </w:r>
      <w:r>
        <w:t xml:space="preserve"> </w:t>
      </w:r>
      <w:r>
        <w:t xml:space="preserve">The EU initiative would raise the level of cybersecurity for the whole EU by introducing horizontal</w:t>
      </w:r>
      <w:r>
        <w:t xml:space="preserve"> </w:t>
      </w:r>
      <w:r>
        <w:t xml:space="preserve">cybersecurity requirements for products with digital elements. At the same time, the EU initiative will</w:t>
      </w:r>
      <w:r>
        <w:t xml:space="preserve"> </w:t>
      </w:r>
      <w:r>
        <w:t xml:space="preserve">remain for the Member States to carry out the market surveillance and enforcement activities and</w:t>
      </w:r>
      <w:r>
        <w:t xml:space="preserve"> </w:t>
      </w:r>
      <w:r>
        <w:t xml:space="preserve">thus the implementation of the requirements.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Will there be improved legal clarity for those having to implement the legislation?</w:t>
      </w:r>
      <w:r>
        <w:t xml:space="preserve"> </w:t>
      </w:r>
      <w:r>
        <w:t xml:space="preserve">The proposed Regulation would harmonise the EU regulatory landscape by introducing cybersecurity</w:t>
      </w:r>
      <w:r>
        <w:t xml:space="preserve"> </w:t>
      </w:r>
      <w:r>
        <w:t xml:space="preserve">requirements for products with digital elements and avoid overlapping requirements stemming from</w:t>
      </w:r>
      <w:r>
        <w:t xml:space="preserve"> </w:t>
      </w:r>
      <w:r>
        <w:t xml:space="preserve">different pieces of legislation. This would create greater legal certainty for operators and users across</w:t>
      </w:r>
      <w:r>
        <w:t xml:space="preserve"> </w:t>
      </w:r>
      <w:r>
        <w:t xml:space="preserve">the Union, as well as a better harmonisation of the European single market, creating more viable</w:t>
      </w:r>
      <w:r>
        <w:t xml:space="preserve"> </w:t>
      </w:r>
      <w:r>
        <w:t xml:space="preserve">conditions for operators aiming at entering the EU market.</w:t>
      </w:r>
    </w:p>
    <w:p>
      <w:pPr>
        <w:pStyle w:val="Compact"/>
        <w:numPr>
          <w:ilvl w:val="0"/>
          <w:numId w:val="1003"/>
        </w:numPr>
      </w:pPr>
      <w:r>
        <w:t xml:space="preserve">Proportionality: How the EU should act</w:t>
      </w:r>
      <w:r>
        <w:t xml:space="preserve"> </w:t>
      </w:r>
      <w:r>
        <w:t xml:space="preserve">3.1 Does the explanatory memorandum (and any impact assessment) accompanying the</w:t>
      </w:r>
      <w:r>
        <w:t xml:space="preserve"> </w:t>
      </w:r>
      <w:r>
        <w:t xml:space="preserve">Commission’s proposal contain an adequate justification regarding the proportionality of the</w:t>
      </w:r>
      <w:r>
        <w:t xml:space="preserve"> </w:t>
      </w:r>
      <w:r>
        <w:t xml:space="preserve">proposal and a statement allowing appraisal of the compliance of the proposal with the</w:t>
      </w:r>
      <w:r>
        <w:t xml:space="preserve"> </w:t>
      </w:r>
      <w:r>
        <w:t xml:space="preserve">principle of proportionality?</w:t>
      </w:r>
      <w:r>
        <w:t xml:space="preserve"> </w:t>
      </w:r>
      <w:r>
        <w:t xml:space="preserve">As regards the proportionality of the proposed Regulation, the measures in the policy options</w:t>
      </w:r>
      <w:r>
        <w:t xml:space="preserve"> </w:t>
      </w:r>
      <w:r>
        <w:t xml:space="preserve">considered would not go beyond what is needed to achieve the general and specific objectives and</w:t>
      </w:r>
      <w:r>
        <w:t xml:space="preserve"> </w:t>
      </w:r>
      <w:r>
        <w:t xml:space="preserve">would not impose disproportionate costs. More specifically, the intervention considered would</w:t>
      </w:r>
      <w:r>
        <w:t xml:space="preserve"> </w:t>
      </w:r>
      <w:r>
        <w:t xml:space="preserve">ensure that products with digital elements would be secured throughout their whole life cycle and</w:t>
      </w:r>
      <w:r>
        <w:t xml:space="preserve"> </w:t>
      </w:r>
      <w:r>
        <w:t xml:space="preserve">proportionally to the risks faced through objective-oriented and technology neutral requirements</w:t>
      </w:r>
      <w:r>
        <w:t xml:space="preserve"> </w:t>
      </w:r>
      <w:r>
        <w:t xml:space="preserve">that remain reasonable and generally corresponding to the interest of the entities involved.</w:t>
      </w:r>
      <w:r>
        <w:br/>
      </w:r>
      <w:r>
        <w:t xml:space="preserve">The essential cybersecurity requirements in the proposal are building on widely used standards, and</w:t>
      </w:r>
      <w:r>
        <w:t xml:space="preserve"> </w:t>
      </w:r>
      <w:r>
        <w:t xml:space="preserve">the standardisation process that will follow would take into account the technical specificities of the</w:t>
      </w:r>
      <w:r>
        <w:t xml:space="preserve"> </w:t>
      </w:r>
      <w:r>
        <w:t xml:space="preserve">products. This means that where needed for a given risk level, security controls would be adapted.</w:t>
      </w:r>
      <w:r>
        <w:t xml:space="preserve"> </w:t>
      </w:r>
      <w:r>
        <w:t xml:space="preserve">Furthermore, the envisaged horizontal rules would only foresee third-party assessment for critical</w:t>
      </w:r>
      <w:r>
        <w:t xml:space="preserve"> </w:t>
      </w:r>
      <w:r>
        <w:t xml:space="preserve">products. This would only include a narrow share of the market for products with digital elements.</w:t>
      </w:r>
      <w:r>
        <w:t xml:space="preserve"> </w:t>
      </w:r>
      <w:r>
        <w:t xml:space="preserve">The impact on SMEs would depend on their presence in the market of these specific product</w:t>
      </w:r>
      <w:r>
        <w:t xml:space="preserve"> </w:t>
      </w:r>
      <w:r>
        <w:t xml:space="preserve">categories.</w:t>
      </w:r>
      <w:r>
        <w:br/>
      </w:r>
      <w:r>
        <w:t xml:space="preserve">Regarding the proportionality of the costs for conformity assessment, notified bodies conducting the</w:t>
      </w:r>
      <w:r>
        <w:t xml:space="preserve"> </w:t>
      </w:r>
      <w:r>
        <w:t xml:space="preserve">third party assessments would take the size of the undertaking into account when setting their fees.</w:t>
      </w:r>
      <w:r>
        <w:t xml:space="preserve"> </w:t>
      </w:r>
      <w:r>
        <w:t xml:space="preserve">A reasonable transition period of 24 months to prepare the implementation would also be provided ,</w:t>
      </w:r>
      <w:r>
        <w:t xml:space="preserve"> </w:t>
      </w:r>
      <w:r>
        <w:t xml:space="preserve">giving time to the relevant markets to prepare, while providing a clear direction for R&amp;D investments.</w:t>
      </w:r>
      <w:r>
        <w:t xml:space="preserve"> </w:t>
      </w:r>
      <w:r>
        <w:t xml:space="preserve">Any compliance costs for businesses would be outweighed by the benefits brought by a higher level</w:t>
      </w:r>
      <w:r>
        <w:t xml:space="preserve"> </w:t>
      </w:r>
      <w:r>
        <w:t xml:space="preserve">of security of products with digital elements and ultimately an increase of trust of users in these</w:t>
      </w:r>
      <w:r>
        <w:t xml:space="preserve"> </w:t>
      </w:r>
      <w:r>
        <w:t xml:space="preserve">products.</w:t>
      </w:r>
    </w:p>
    <w:p>
      <w:pPr>
        <w:pStyle w:val="FirstParagraph"/>
      </w:pPr>
      <w:r>
        <w:t xml:space="preserve">7</w:t>
      </w:r>
    </w:p>
    <w:p>
      <w:pPr>
        <w:pStyle w:val="BodyText"/>
      </w:pPr>
      <w:r>
        <w:t xml:space="preserve">3.2 Based on the answers to the questions below and information available from any impact</w:t>
      </w:r>
      <w:r>
        <w:t xml:space="preserve"> </w:t>
      </w:r>
      <w:r>
        <w:t xml:space="preserve">assessment, the explanatory memorandum or other sources, is the proposed action an</w:t>
      </w:r>
      <w:r>
        <w:t xml:space="preserve"> </w:t>
      </w:r>
      <w:r>
        <w:t xml:space="preserve">appropriate way to achieve the intended objectives?</w:t>
      </w:r>
      <w:r>
        <w:t xml:space="preserve"> </w:t>
      </w:r>
      <w:r>
        <w:t xml:space="preserve">Yes, as mentioned in the Impact Assessment and the Explanatory Memorandum, the preferred</w:t>
      </w:r>
      <w:r>
        <w:t xml:space="preserve"> </w:t>
      </w:r>
      <w:r>
        <w:t xml:space="preserve">option would ensure the setting out of specific horizontal cybersecurity requirements for all products</w:t>
      </w:r>
      <w:r>
        <w:t xml:space="preserve"> </w:t>
      </w:r>
      <w:r>
        <w:t xml:space="preserve">with digital elements being placed or made available in the internal market, and would be the only</w:t>
      </w:r>
      <w:r>
        <w:t xml:space="preserve"> </w:t>
      </w:r>
      <w:r>
        <w:t xml:space="preserve">option covering the entire digital supply chain. Non-embedded software, often exposed to</w:t>
      </w:r>
      <w:r>
        <w:t xml:space="preserve"> </w:t>
      </w:r>
      <w:r>
        <w:t xml:space="preserve">vulnerabilities, would also be covered by such regulatory intervention, thus ensuring a coherent</w:t>
      </w:r>
      <w:r>
        <w:t xml:space="preserve"> </w:t>
      </w:r>
      <w:r>
        <w:t xml:space="preserve">approach towards all products with digital elements, with a clear share of responsibilities of various</w:t>
      </w:r>
      <w:r>
        <w:t xml:space="preserve"> </w:t>
      </w:r>
      <w:r>
        <w:t xml:space="preserve">economic operators.</w:t>
      </w:r>
      <w:r>
        <w:t xml:space="preserve"> </w:t>
      </w:r>
      <w:r>
        <w:t xml:space="preserve">This policy option also brings added value by covering duty of care and whole life cycle aspects after</w:t>
      </w:r>
      <w:r>
        <w:t xml:space="preserve"> </w:t>
      </w:r>
      <w:r>
        <w:t xml:space="preserve">the placement of the products with digital elements on the market, to ensure, among others,</w:t>
      </w:r>
      <w:r>
        <w:t xml:space="preserve"> </w:t>
      </w:r>
      <w:r>
        <w:t xml:space="preserve">appropriate information on security support and provision of security updates. This policy option</w:t>
      </w:r>
      <w:r>
        <w:t xml:space="preserve"> </w:t>
      </w:r>
      <w:r>
        <w:t xml:space="preserve">would also come to most effectively complement the recent review of the NIS framework, by</w:t>
      </w:r>
      <w:r>
        <w:t xml:space="preserve"> </w:t>
      </w:r>
      <w:r>
        <w:t xml:space="preserve">ensuring the prerequisites for a strengthened supply chain security. The preferred option would</w:t>
      </w:r>
      <w:r>
        <w:t xml:space="preserve"> </w:t>
      </w:r>
      <w:r>
        <w:t xml:space="preserve">bring significant benefits to the various stakeholders.</w:t>
      </w:r>
      <w:r>
        <w:t xml:space="preserve"> </w:t>
      </w:r>
      <w:r>
        <w:t xml:space="preserve">(a) Is the initiative limited to those aspects that Member States cannot achieve satisfactorily on</w:t>
      </w:r>
      <w:r>
        <w:t xml:space="preserve"> </w:t>
      </w:r>
      <w:r>
        <w:t xml:space="preserve">their own, and where the Union can do better?</w:t>
      </w:r>
      <w:r>
        <w:t xml:space="preserve"> </w:t>
      </w:r>
      <w:r>
        <w:t xml:space="preserve">The requirements in the EU initiative would not go beyond what is needed to achieve the general</w:t>
      </w:r>
      <w:r>
        <w:t xml:space="preserve"> </w:t>
      </w:r>
      <w:r>
        <w:t xml:space="preserve">and specific objectives and would not impose disproportionate costs. Member States have very</w:t>
      </w:r>
      <w:r>
        <w:t xml:space="preserve"> </w:t>
      </w:r>
      <w:r>
        <w:t xml:space="preserve">different levels of capabilities to address the current cybersecurity challenges, some being more</w:t>
      </w:r>
      <w:r>
        <w:t xml:space="preserve"> </w:t>
      </w:r>
      <w:r>
        <w:t xml:space="preserve">mature and better resourced and technically prepared than others, risking to create a very</w:t>
      </w:r>
      <w:r>
        <w:t xml:space="preserve"> </w:t>
      </w:r>
      <w:r>
        <w:t xml:space="preserve">fragmented regulatory landscape, given the strong cross border nature of the problems the initiative</w:t>
      </w:r>
      <w:r>
        <w:t xml:space="preserve"> </w:t>
      </w:r>
      <w:r>
        <w:t xml:space="preserve">aims to tackle.</w:t>
      </w:r>
      <w:r>
        <w:t xml:space="preserve"> </w:t>
      </w:r>
      <w:r>
        <w:t xml:space="preserve">(b) Is the form of Union action (choice of instrument) justified, as simple as possible, and</w:t>
      </w:r>
      <w:r>
        <w:t xml:space="preserve"> </w:t>
      </w:r>
      <w:r>
        <w:t xml:space="preserve">coherent with the satisfactory achievement of, and ensuring compliance with the objectives</w:t>
      </w:r>
      <w:r>
        <w:t xml:space="preserve"> </w:t>
      </w:r>
      <w:r>
        <w:t xml:space="preserve">pursued (e.g. choice between regulation, (framework) directive, recommendation, or</w:t>
      </w:r>
      <w:r>
        <w:t xml:space="preserve"> </w:t>
      </w:r>
      <w:r>
        <w:t xml:space="preserve">alternative regulatory methods such as co-legislation, etc.)?</w:t>
      </w:r>
      <w:r>
        <w:t xml:space="preserve"> </w:t>
      </w:r>
      <w:r>
        <w:t xml:space="preserve">A regulatory intervention would entail the adoption of a regulation and not a directive. This is</w:t>
      </w:r>
      <w:r>
        <w:t xml:space="preserve"> </w:t>
      </w:r>
      <w:r>
        <w:t xml:space="preserve">because, for this particular type of product legislation, a regulation would more effectively address</w:t>
      </w:r>
      <w:r>
        <w:t xml:space="preserve"> </w:t>
      </w:r>
      <w:r>
        <w:t xml:space="preserve">the problems identified and meet the objectives formulated, since it is an intervention that is</w:t>
      </w:r>
      <w:r>
        <w:t xml:space="preserve"> </w:t>
      </w:r>
      <w:r>
        <w:t xml:space="preserve">conditioning the placing on the internal market of a very wide category of products. The</w:t>
      </w:r>
      <w:r>
        <w:t xml:space="preserve"> </w:t>
      </w:r>
      <w:r>
        <w:t xml:space="preserve">transposition process in the case of a directive for such intervention could leave too much room for</w:t>
      </w:r>
      <w:r>
        <w:t xml:space="preserve"> </w:t>
      </w:r>
      <w:r>
        <w:t xml:space="preserve">discretion at national level, potentially leading to lack of uniformity of certain essential cybersecurity</w:t>
      </w:r>
      <w:r>
        <w:t xml:space="preserve"> </w:t>
      </w:r>
      <w:r>
        <w:t xml:space="preserve">requirements, legal uncertainty, further fragmentation or even discriminatory situations cross-</w:t>
      </w:r>
      <w:r>
        <w:t xml:space="preserve"> </w:t>
      </w:r>
      <w:r>
        <w:t xml:space="preserve">border, even more taking account of the fact that the products covered could be of multiple purpose</w:t>
      </w:r>
      <w:r>
        <w:t xml:space="preserve"> </w:t>
      </w:r>
      <w:r>
        <w:t xml:space="preserve">or use and that manufacturers can produce multiple categories of such products.</w:t>
      </w:r>
      <w:r>
        <w:t xml:space="preserve"> </w:t>
      </w:r>
      <w:r>
        <w:t xml:space="preserve">(c) Does the Union action leave as much scope for national decision as possible while achieving</w:t>
      </w:r>
      <w:r>
        <w:t xml:space="preserve"> </w:t>
      </w:r>
      <w:r>
        <w:t xml:space="preserve">satisfactorily the objectives set? (e.g. is it possible to limit the European action to minimum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standards or use a less stringent policy instrument og approach?)</w:t>
      </w:r>
      <w:r>
        <w:t xml:space="preserve"> </w:t>
      </w:r>
      <w:r>
        <w:t xml:space="preserve">The proposal sets out requirements for national authorities responsible for conformity assessment</w:t>
      </w:r>
      <w:r>
        <w:t xml:space="preserve"> </w:t>
      </w:r>
      <w:r>
        <w:t xml:space="preserve">bodies (notified bodies). It leaves the ultimate responsibility for designating and monitoring notified</w:t>
      </w:r>
      <w:r>
        <w:t xml:space="preserve"> </w:t>
      </w:r>
      <w:r>
        <w:t xml:space="preserve">bodies with the Member State. Member States shall designate a notifying authority that shall be</w:t>
      </w:r>
      <w:r>
        <w:t xml:space="preserve"> </w:t>
      </w:r>
      <w:r>
        <w:t xml:space="preserve">responsible for setting up and carrying out the necessary procedures for the assessment and</w:t>
      </w:r>
      <w:r>
        <w:t xml:space="preserve"> </w:t>
      </w:r>
      <w:r>
        <w:t xml:space="preserve">notification of conformity assessment bodies and the monitoring of notified bodies.</w:t>
      </w:r>
      <w:r>
        <w:t xml:space="preserve"> </w:t>
      </w:r>
      <w:r>
        <w:t xml:space="preserve">In accordance with Regulation (EU) 2019/1020, national market surveillance authorities will carry out</w:t>
      </w:r>
      <w:r>
        <w:t xml:space="preserve"> </w:t>
      </w:r>
      <w:r>
        <w:t xml:space="preserve">market surveillance in the territory of that Member State. Member States may choose to designate</w:t>
      </w:r>
      <w:r>
        <w:t xml:space="preserve"> </w:t>
      </w:r>
      <w:r>
        <w:t xml:space="preserve">any existing or new authority to act as market surveillance authority.</w:t>
      </w:r>
      <w:r>
        <w:t xml:space="preserve"> </w:t>
      </w:r>
      <w:r>
        <w:t xml:space="preserve">Moreover, the proposal establishes maximum levels for administrative fines that should be provided</w:t>
      </w:r>
      <w:r>
        <w:t xml:space="preserve"> </w:t>
      </w:r>
      <w:r>
        <w:t xml:space="preserve">in national laws for non-compliance with the obligations laid down in this Regulation.</w:t>
      </w:r>
      <w:r>
        <w:t xml:space="preserve"> </w:t>
      </w:r>
      <w:r>
        <w:t xml:space="preserve">(d) Does the initiative create financial or administrative cost for the Union, national</w:t>
      </w:r>
      <w:r>
        <w:t xml:space="preserve"> </w:t>
      </w:r>
      <w:r>
        <w:t xml:space="preserve">governments, regional or local authorities, economic operators or citizens? Are these costs</w:t>
      </w:r>
      <w:r>
        <w:t xml:space="preserve"> </w:t>
      </w:r>
      <w:r>
        <w:t xml:space="preserve">commensurate with the objective to be achieved?</w:t>
      </w:r>
      <w:r>
        <w:t xml:space="preserve"> </w:t>
      </w:r>
      <w:r>
        <w:t xml:space="preserve">According to the Impact Assessment, the preferred option (which has been chosen for the present</w:t>
      </w:r>
      <w:r>
        <w:t xml:space="preserve"> </w:t>
      </w:r>
      <w:r>
        <w:t xml:space="preserve">EU initiative) would add compliance and enforcement costs for businesses, notified bodies and public</w:t>
      </w:r>
      <w:r>
        <w:t xml:space="preserve"> </w:t>
      </w:r>
      <w:r>
        <w:t xml:space="preserve">authorities, including accreditation and market surveillance authorities. For software developers and</w:t>
      </w:r>
      <w:r>
        <w:t xml:space="preserve"> </w:t>
      </w:r>
      <w:r>
        <w:t xml:space="preserve">hardware manufacturers, it will increase the direct compliance costs for new security requirements,</w:t>
      </w:r>
      <w:r>
        <w:t xml:space="preserve"> </w:t>
      </w:r>
      <w:r>
        <w:t xml:space="preserve">documentation and reporting obligations, leading to aggregated costs amounting to up to EUR 29</w:t>
      </w:r>
      <w:r>
        <w:t xml:space="preserve"> </w:t>
      </w:r>
      <w:r>
        <w:t xml:space="preserve">billion. End users, including business end users, consumers and citizens may face higher prices of</w:t>
      </w:r>
      <w:r>
        <w:t xml:space="preserve"> </w:t>
      </w:r>
      <w:r>
        <w:t xml:space="preserve">digital products. However, they should be seen against the background of the significant benefits as</w:t>
      </w:r>
      <w:r>
        <w:t xml:space="preserve"> </w:t>
      </w:r>
      <w:r>
        <w:t xml:space="preserve">described above.</w:t>
      </w:r>
      <w:r>
        <w:t xml:space="preserve"> </w:t>
      </w:r>
      <w:r>
        <w:t xml:space="preserve">(e) While respecting the Union law, have special circumstances applying in individual Member</w:t>
      </w:r>
      <w:r>
        <w:t xml:space="preserve"> </w:t>
      </w:r>
      <w:r>
        <w:t xml:space="preserve">States been taken into account?</w:t>
      </w:r>
      <w:r>
        <w:t xml:space="preserve"> </w:t>
      </w:r>
      <w:r>
        <w:t xml:space="preserve">The proposal sets out requirements for national authorities responsible for conformity assessment</w:t>
      </w:r>
      <w:r>
        <w:t xml:space="preserve"> </w:t>
      </w:r>
      <w:r>
        <w:t xml:space="preserve">bodies (notified bodies). It leaves the ultimate responsibility for designating and monitoring notified</w:t>
      </w:r>
      <w:r>
        <w:t xml:space="preserve"> </w:t>
      </w:r>
      <w:r>
        <w:t xml:space="preserve">bodies with the Member State. Member States shall designate a notifying authority that shall be</w:t>
      </w:r>
      <w:r>
        <w:t xml:space="preserve"> </w:t>
      </w:r>
      <w:r>
        <w:t xml:space="preserve">responsible for setting up and carrying out the necessary procedures for the assessment and</w:t>
      </w:r>
      <w:r>
        <w:t xml:space="preserve"> </w:t>
      </w:r>
      <w:r>
        <w:t xml:space="preserve">notification of conformity assessment bodies and the monitoring of notified bodies. Member States</w:t>
      </w:r>
      <w:r>
        <w:t xml:space="preserve"> </w:t>
      </w:r>
      <w:r>
        <w:t xml:space="preserve">will also designate the competent market surveillance authority to carry out supervision and</w:t>
      </w:r>
      <w:r>
        <w:t xml:space="preserve"> </w:t>
      </w:r>
      <w:r>
        <w:t xml:space="preserve">enforcement on the territory of each Member State.</w:t>
      </w:r>
      <w:r>
        <w:t xml:space="preserve"> </w:t>
      </w:r>
      <w:r>
        <w:t xml:space="preserve">Moreover, the proposal establishes maximum levels for administrative fines that should be provided</w:t>
      </w:r>
      <w:r>
        <w:t xml:space="preserve"> </w:t>
      </w:r>
      <w:r>
        <w:t xml:space="preserve">in national laws for non-compliance.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6">
    <w:nsid w:val="00A99736"/>
    <w:multiLevelType w:val="multilevel"/>
    <w:lvl w:ilvl="0">
      <w:start w:val="6"/>
      <w:numFmt w:val="lowerLetter"/>
      <w:lvlText w:val="(%1)"/>
      <w:lvlJc w:val="left"/>
      <w:pPr>
        <w:ind w:left="720" w:hanging="360"/>
      </w:pPr>
    </w:lvl>
    <w:lvl w:ilvl="1">
      <w:start w:val="6"/>
      <w:numFmt w:val="lowerLetter"/>
      <w:lvlText w:val="(%2)"/>
      <w:lvlJc w:val="left"/>
      <w:pPr>
        <w:ind w:left="1440" w:hanging="360"/>
      </w:pPr>
    </w:lvl>
    <w:lvl w:ilvl="2">
      <w:start w:val="6"/>
      <w:numFmt w:val="lowerLetter"/>
      <w:lvlText w:val="(%3)"/>
      <w:lvlJc w:val="left"/>
      <w:pPr>
        <w:ind w:left="2160" w:hanging="360"/>
      </w:pPr>
    </w:lvl>
    <w:lvl w:ilvl="3">
      <w:start w:val="6"/>
      <w:numFmt w:val="lowerLetter"/>
      <w:lvlText w:val="(%4)"/>
      <w:lvlJc w:val="left"/>
      <w:pPr>
        <w:ind w:left="2880" w:hanging="360"/>
      </w:pPr>
    </w:lvl>
    <w:lvl w:ilvl="4">
      <w:start w:val="6"/>
      <w:numFmt w:val="lowerLetter"/>
      <w:lvlText w:val="(%5)"/>
      <w:lvlJc w:val="left"/>
      <w:pPr>
        <w:ind w:left="3600" w:hanging="360"/>
      </w:pPr>
    </w:lvl>
    <w:lvl w:ilvl="5">
      <w:start w:val="6"/>
      <w:numFmt w:val="lowerLetter"/>
      <w:lvlText w:val="(%6)"/>
      <w:lvlJc w:val="left"/>
      <w:pPr>
        <w:ind w:left="4320" w:hanging="360"/>
      </w:pPr>
    </w:lvl>
    <w:lvl w:ilvl="6">
      <w:start w:val="6"/>
      <w:numFmt w:val="lowerLetter"/>
      <w:lvlText w:val="(%7)"/>
      <w:lvlJc w:val="left"/>
      <w:pPr>
        <w:ind w:left="5040" w:hanging="360"/>
      </w:pPr>
    </w:lvl>
    <w:lvl w:ilvl="7">
      <w:start w:val="6"/>
      <w:numFmt w:val="lowerLetter"/>
      <w:lvlText w:val="(%8)"/>
      <w:lvlJc w:val="left"/>
      <w:pPr>
        <w:ind w:left="5760" w:hanging="360"/>
      </w:pPr>
    </w:lvl>
    <w:lvl w:ilvl="8">
      <w:start w:val="6"/>
      <w:numFmt w:val="lowerLetter"/>
      <w:lvlText w:val="(%9)"/>
      <w:lvlJc w:val="left"/>
      <w:pPr>
        <w:ind w:left="6480" w:hanging="360"/>
      </w:pPr>
    </w:lvl>
  </w:abstractNum>
  <w:abstractNum w:abstractNumId="99734">
    <w:nsid w:val="00A99734"/>
    <w:multiLevelType w:val="multilevel"/>
    <w:lvl w:ilvl="0">
      <w:start w:val="4"/>
      <w:numFmt w:val="lowerLetter"/>
      <w:lvlText w:val="(%1)"/>
      <w:lvlJc w:val="left"/>
      <w:pPr>
        <w:ind w:left="720" w:hanging="360"/>
      </w:pPr>
    </w:lvl>
    <w:lvl w:ilvl="1">
      <w:start w:val="4"/>
      <w:numFmt w:val="lowerLetter"/>
      <w:lvlText w:val="(%2)"/>
      <w:lvlJc w:val="left"/>
      <w:pPr>
        <w:ind w:left="1440" w:hanging="360"/>
      </w:pPr>
    </w:lvl>
    <w:lvl w:ilvl="2">
      <w:start w:val="4"/>
      <w:numFmt w:val="lowerLetter"/>
      <w:lvlText w:val="(%3)"/>
      <w:lvlJc w:val="left"/>
      <w:pPr>
        <w:ind w:left="2160" w:hanging="360"/>
      </w:pPr>
    </w:lvl>
    <w:lvl w:ilvl="3">
      <w:start w:val="4"/>
      <w:numFmt w:val="lowerLetter"/>
      <w:lvlText w:val="(%4)"/>
      <w:lvlJc w:val="left"/>
      <w:pPr>
        <w:ind w:left="2880" w:hanging="360"/>
      </w:pPr>
    </w:lvl>
    <w:lvl w:ilvl="4">
      <w:start w:val="4"/>
      <w:numFmt w:val="lowerLetter"/>
      <w:lvlText w:val="(%5)"/>
      <w:lvlJc w:val="left"/>
      <w:pPr>
        <w:ind w:left="3600" w:hanging="360"/>
      </w:pPr>
    </w:lvl>
    <w:lvl w:ilvl="5">
      <w:start w:val="4"/>
      <w:numFmt w:val="lowerLetter"/>
      <w:lvlText w:val="(%6)"/>
      <w:lvlJc w:val="left"/>
      <w:pPr>
        <w:ind w:left="4320" w:hanging="360"/>
      </w:pPr>
    </w:lvl>
    <w:lvl w:ilvl="6">
      <w:start w:val="4"/>
      <w:numFmt w:val="lowerLetter"/>
      <w:lvlText w:val="(%7)"/>
      <w:lvlJc w:val="left"/>
      <w:pPr>
        <w:ind w:left="5040" w:hanging="360"/>
      </w:pPr>
    </w:lvl>
    <w:lvl w:ilvl="7">
      <w:start w:val="4"/>
      <w:numFmt w:val="lowerLetter"/>
      <w:lvlText w:val="(%8)"/>
      <w:lvlJc w:val="left"/>
      <w:pPr>
        <w:ind w:left="5760" w:hanging="360"/>
      </w:pPr>
    </w:lvl>
    <w:lvl w:ilvl="8">
      <w:start w:val="4"/>
      <w:numFmt w:val="lowerLetter"/>
      <w:lvlText w:val="(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2026-07-31T16:47:21Z</dcterms:created>
  <dcterms:modified xsi:type="dcterms:W3CDTF">2026-07-31T16:47:21Z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