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Brussels, 28.11.2022</w:t>
      </w:r>
      <w:r>
        <w:br/>
      </w:r>
      <w:r>
        <w:t xml:space="preserve">SWD(2022) 368 final</w:t>
      </w:r>
    </w:p>
    <w:p>
      <w:pPr>
        <w:pStyle w:val="BodyText"/>
      </w:pPr>
      <w:r>
        <w:t xml:space="preserve">COMMISSION STAFF WORKING DOCUMENT</w:t>
      </w:r>
    </w:p>
    <w:p>
      <w:pPr>
        <w:pStyle w:val="BodyText"/>
      </w:pPr>
      <w:r>
        <w:t xml:space="preserve">IMPACT ASSESSMENT REPORT</w:t>
      </w:r>
    </w:p>
    <w:p>
      <w:pPr>
        <w:pStyle w:val="BodyText"/>
      </w:pPr>
      <w:r>
        <w:t xml:space="preserve">Accompanying the documents to the</w:t>
      </w:r>
      <w:r>
        <w:t xml:space="preserve"> </w:t>
      </w:r>
      <w:r>
        <w:t xml:space="preserve">Proposal for a</w:t>
      </w:r>
      <w:r>
        <w:t xml:space="preserve"> </w:t>
      </w:r>
      <w:r>
        <w:t xml:space="preserve">REGULATION OF THE EUROPEAN PARLIAMENT AND OF THE COUNCIL</w:t>
      </w:r>
    </w:p>
    <w:p>
      <w:pPr>
        <w:pStyle w:val="BodyText"/>
      </w:pPr>
      <w:r>
        <w:t xml:space="preserve">amending COUNCIL REGULATION (EC) No 6/2002</w:t>
      </w:r>
      <w:r>
        <w:t xml:space="preserve"> </w:t>
      </w:r>
      <w:r>
        <w:t xml:space="preserve">on Community designs and repealing Commission Regulation (EC) No 2246/2002</w:t>
      </w:r>
      <w:r>
        <w:t xml:space="preserve"> </w:t>
      </w:r>
      <w:r>
        <w:t xml:space="preserve">and the</w:t>
      </w:r>
    </w:p>
    <w:p>
      <w:pPr>
        <w:pStyle w:val="BodyText"/>
      </w:pPr>
      <w:r>
        <w:t xml:space="preserve">Proposal for a</w:t>
      </w:r>
      <w:r>
        <w:br/>
      </w:r>
      <w:r>
        <w:t xml:space="preserve">DIRECTIVE OF THE EUROPEAN PARLIAMENT AND OF THE COUNCIL</w:t>
      </w:r>
    </w:p>
    <w:p>
      <w:pPr>
        <w:pStyle w:val="BodyText"/>
      </w:pPr>
      <w:r>
        <w:t xml:space="preserve">on the legal protection of designs (recast)</w:t>
      </w:r>
      <w:r>
        <w:t xml:space="preserve"> </w:t>
      </w:r>
      <w:r>
        <w:t xml:space="preserve">{COM(2022) 666 final} - {COM(2022) 667 final} - {SEC(2022) 422 final} -</w:t>
      </w:r>
      <w:r>
        <w:t xml:space="preserve"> </w:t>
      </w:r>
      <w:r>
        <w:t xml:space="preserve">{SWD(2022) 367 final} - {SWD(2022) 369 final}</w:t>
      </w:r>
    </w:p>
    <w:p>
      <w:pPr>
        <w:pStyle w:val="BodyText"/>
      </w:pPr>
      <w:r>
        <w:t xml:space="preserve">1</w:t>
      </w:r>
      <w:r>
        <w:t xml:space="preserve"> </w:t>
      </w:r>
      <w:r>
        <w:t xml:space="preserve">Table of contents</w:t>
      </w:r>
      <w:r>
        <w:br/>
      </w:r>
      <w:r>
        <w:t xml:space="preserve">1.</w:t>
      </w:r>
      <w:r>
        <w:t xml:space="preserve"> </w:t>
      </w:r>
      <w:r>
        <w:t xml:space="preserve">INTRODUCTION ……………………………………………………………………………………………………………….. 4</w:t>
      </w:r>
      <w:r>
        <w:t xml:space="preserve"> </w:t>
      </w:r>
      <w:r>
        <w:t xml:space="preserve">1.1. Importance of industrial designs and available systems of design</w:t>
      </w:r>
      <w:r>
        <w:t xml:space="preserve"> </w:t>
      </w:r>
      <w:r>
        <w:t xml:space="preserve">protection …………………………………………………………………………………………….. 4</w:t>
      </w:r>
      <w:r>
        <w:t xml:space="preserve"> </w:t>
      </w:r>
      <w:r>
        <w:t xml:space="preserve">1.2. Political context ……………………………………………………………………………………. 5</w:t>
      </w:r>
      <w:r>
        <w:t xml:space="preserve"> </w:t>
      </w:r>
      <w:r>
        <w:t xml:space="preserve">2.</w:t>
      </w:r>
      <w:r>
        <w:t xml:space="preserve"> </w:t>
      </w:r>
      <w:r>
        <w:t xml:space="preserve">PROBLEM DEFINITION …………………………………………………………………………………………………….. 7</w:t>
      </w:r>
      <w:r>
        <w:t xml:space="preserve"> </w:t>
      </w:r>
      <w:r>
        <w:t xml:space="preserve">2.1. What are the problems? …………………………………………………………………………. 7</w:t>
      </w:r>
      <w:r>
        <w:t xml:space="preserve"> </w:t>
      </w:r>
      <w:r>
        <w:t xml:space="preserve">2.1.1. Disruption of trade and competition in the spare parts area ………………………… 8</w:t>
      </w:r>
      <w:r>
        <w:t xml:space="preserve"> </w:t>
      </w:r>
      <w:r>
        <w:t xml:space="preserve">2.1.2. Regulatory burdens ……………………………………………………………………………… 12</w:t>
      </w:r>
      <w:r>
        <w:t xml:space="preserve"> </w:t>
      </w:r>
      <w:r>
        <w:t xml:space="preserve">2.2. How will the problems evolve? …………………………………………………………….. 21</w:t>
      </w:r>
      <w:r>
        <w:t xml:space="preserve"> </w:t>
      </w:r>
      <w:r>
        <w:t xml:space="preserve">2.2.1. Single market and competition in spare parts market ………………………………. 21</w:t>
      </w:r>
      <w:r>
        <w:t xml:space="preserve"> </w:t>
      </w:r>
      <w:r>
        <w:t xml:space="preserve">2.2.2. Regulatory burdens ……………………………………………………………………………… 25</w:t>
      </w:r>
      <w:r>
        <w:t xml:space="preserve"> </w:t>
      </w:r>
      <w:r>
        <w:t xml:space="preserve">3.</w:t>
      </w:r>
      <w:r>
        <w:t xml:space="preserve"> </w:t>
      </w:r>
      <w:r>
        <w:t xml:space="preserve">WHY SHOULD THE EU ACT? ………………………………………………………………………………………….. 27</w:t>
      </w:r>
      <w:r>
        <w:t xml:space="preserve"> </w:t>
      </w:r>
      <w:r>
        <w:t xml:space="preserve">3.1. Legal basis …………………………………………………………………………………………. 27</w:t>
      </w:r>
      <w:r>
        <w:t xml:space="preserve"> </w:t>
      </w:r>
      <w:r>
        <w:t xml:space="preserve">3.2. Subsidiarity: Necessity of EU action ……………………………………………………… 27</w:t>
      </w:r>
      <w:r>
        <w:t xml:space="preserve"> </w:t>
      </w:r>
      <w:r>
        <w:t xml:space="preserve">3.3. Subsidiarity: Added value of EU action …………………………………………………. 28</w:t>
      </w:r>
      <w:r>
        <w:t xml:space="preserve"> </w:t>
      </w:r>
      <w:r>
        <w:t xml:space="preserve">4.</w:t>
      </w:r>
      <w:r>
        <w:t xml:space="preserve"> </w:t>
      </w:r>
      <w:r>
        <w:t xml:space="preserve">OBJECTIVES: WHAT IS TO BE ACHIEVED? ……………………………………………………………………. 28</w:t>
      </w:r>
      <w:r>
        <w:t xml:space="preserve"> </w:t>
      </w:r>
      <w:r>
        <w:t xml:space="preserve">4.1. General objectives ………………………………………………………………………………. 28</w:t>
      </w:r>
      <w:r>
        <w:t xml:space="preserve"> </w:t>
      </w:r>
      <w:r>
        <w:t xml:space="preserve">4.2. Specific objective ……………………………………………………………………………….. 28</w:t>
      </w:r>
      <w:r>
        <w:t xml:space="preserve"> </w:t>
      </w:r>
      <w:r>
        <w:t xml:space="preserve">5.</w:t>
      </w:r>
      <w:r>
        <w:t xml:space="preserve"> </w:t>
      </w:r>
      <w:r>
        <w:t xml:space="preserve">WHAT ARE THE AVAILABLE POLICY OPTIONS? ………………………………………………………….. 28</w:t>
      </w:r>
      <w:r>
        <w:t xml:space="preserve"> </w:t>
      </w:r>
      <w:r>
        <w:t xml:space="preserve">5.1. What is the baseline from which options are assessed? ……………………………. 28</w:t>
      </w:r>
      <w:r>
        <w:t xml:space="preserve"> </w:t>
      </w:r>
      <w:r>
        <w:t xml:space="preserve">5.2. Description of the policy options ………………………………………………………….. 28</w:t>
      </w:r>
      <w:r>
        <w:t xml:space="preserve"> </w:t>
      </w:r>
      <w:r>
        <w:t xml:space="preserve">5.2.1. Options to tackle Objective 1 on spare parts protection ……………………………. 28</w:t>
      </w:r>
      <w:r>
        <w:t xml:space="preserve"> </w:t>
      </w:r>
      <w:r>
        <w:t xml:space="preserve">5.2.2. Options to tackle Objective 2 on complex procedures and sub-optimal</w:t>
      </w:r>
      <w:r>
        <w:t xml:space="preserve"> </w:t>
      </w:r>
      <w:r>
        <w:t xml:space="preserve">fees ……………………………………………………………………………………………………. 29</w:t>
      </w:r>
      <w:r>
        <w:t xml:space="preserve"> </w:t>
      </w:r>
      <w:r>
        <w:t xml:space="preserve">5.2.3. Options to tackle Objective 3 on divergent procedural rules …………………….. 31</w:t>
      </w:r>
      <w:r>
        <w:t xml:space="preserve"> </w:t>
      </w:r>
      <w:r>
        <w:t xml:space="preserve">5.3. Options discarded at an early stage ……………………………………………………….. 32</w:t>
      </w:r>
      <w:r>
        <w:t xml:space="preserve"> </w:t>
      </w:r>
      <w:r>
        <w:t xml:space="preserve">5.3.1. Spare parts protection ………………………………………………………………………….. 32</w:t>
      </w:r>
      <w:r>
        <w:t xml:space="preserve"> </w:t>
      </w:r>
      <w:r>
        <w:t xml:space="preserve">5.3.2. Further harmonisation of national rules …………………………………………………. 33</w:t>
      </w:r>
      <w:r>
        <w:t xml:space="preserve"> </w:t>
      </w:r>
      <w:r>
        <w:t xml:space="preserve">6.</w:t>
      </w:r>
      <w:r>
        <w:t xml:space="preserve"> </w:t>
      </w:r>
      <w:r>
        <w:t xml:space="preserve">WHAT ARE THE IMPACTS OF THE POLICY OPTIONS? ………………………………………………….. 33</w:t>
      </w:r>
      <w:r>
        <w:t xml:space="preserve"> </w:t>
      </w:r>
      <w:r>
        <w:t xml:space="preserve">6.1. Spare parts protection ………………………………………………………………………….. 33</w:t>
      </w:r>
      <w:r>
        <w:t xml:space="preserve"> </w:t>
      </w:r>
      <w:r>
        <w:t xml:space="preserve">6.1.1. Full liberalisation for all designs (Option 1.1) ………………………………………… 33</w:t>
      </w:r>
      <w:r>
        <w:t xml:space="preserve"> </w:t>
      </w:r>
      <w:r>
        <w:t xml:space="preserve">6.1.2. Instant full liberalisation for new designs followed by full</w:t>
      </w:r>
      <w:r>
        <w:t xml:space="preserve"> </w:t>
      </w:r>
      <w:r>
        <w:t xml:space="preserve">liberalisation for old designs after transitional ten-year period (Option</w:t>
      </w:r>
      <w:r>
        <w:t xml:space="preserve"> </w:t>
      </w:r>
      <w:r>
        <w:t xml:space="preserve">1.2) ……………………………………………………………………………………………………. 39</w:t>
      </w:r>
      <w:r>
        <w:t xml:space="preserve"> </w:t>
      </w:r>
      <w:r>
        <w:t xml:space="preserve">6.1.3. Full liberalisation for new designs (Option 1.3) ………………………………………. 41</w:t>
      </w:r>
      <w:r>
        <w:t xml:space="preserve"> </w:t>
      </w:r>
      <w:r>
        <w:t xml:space="preserve">6.2. Simplification and streamlining of RCD procedures (Option 2) ………………… 41</w:t>
      </w:r>
      <w:r>
        <w:t xml:space="preserve"> </w:t>
      </w:r>
      <w:r>
        <w:t xml:space="preserve">6.3 RCD fees ………………………………………………………………………………………………. 42</w:t>
      </w:r>
      <w:r>
        <w:t xml:space="preserve"> </w:t>
      </w:r>
      <w:r>
        <w:t xml:space="preserve">6.4 Options for further harmonisation …………………………………………………………….. 47</w:t>
      </w:r>
      <w:r>
        <w:t xml:space="preserve"> </w:t>
      </w:r>
      <w:r>
        <w:t xml:space="preserve">7.</w:t>
      </w:r>
      <w:r>
        <w:t xml:space="preserve"> </w:t>
      </w:r>
      <w:r>
        <w:t xml:space="preserve">HOW DO THE OPTIONS COMPARE? ……………………………………………………………………………….. 50</w:t>
      </w:r>
    </w:p>
    <w:p>
      <w:pPr>
        <w:pStyle w:val="BodyText"/>
      </w:pPr>
      <w:r>
        <w:t xml:space="preserve">2</w:t>
      </w:r>
      <w:r>
        <w:t xml:space="preserve"> </w:t>
      </w:r>
      <w:r>
        <w:t xml:space="preserve">8.</w:t>
      </w:r>
      <w:r>
        <w:t xml:space="preserve"> </w:t>
      </w:r>
      <w:r>
        <w:t xml:space="preserve">PREFERRED OPTION ………………………………………………………………………………………………………. 55</w:t>
      </w:r>
      <w:r>
        <w:t xml:space="preserve"> </w:t>
      </w:r>
      <w:r>
        <w:t xml:space="preserve">8.1 Conclusion on impacts and coherence ………………………………………………………. 55</w:t>
      </w:r>
      <w:r>
        <w:t xml:space="preserve"> </w:t>
      </w:r>
      <w:r>
        <w:t xml:space="preserve">8.2 Compatibility with International Obligations ……………………………………………… 56</w:t>
      </w:r>
      <w:r>
        <w:t xml:space="preserve"> </w:t>
      </w:r>
      <w:r>
        <w:t xml:space="preserve">8.3 REFIT (simplification and improved efficiency) ………………………………………… 56</w:t>
      </w:r>
      <w:r>
        <w:t xml:space="preserve"> </w:t>
      </w:r>
      <w:r>
        <w:t xml:space="preserve">9.</w:t>
      </w:r>
      <w:r>
        <w:br/>
      </w:r>
      <w:r>
        <w:t xml:space="preserve">HOW WILL ACTUAL IMPACTS BE MONITORED AND EVALUATED? ……………………………. 57</w:t>
      </w:r>
      <w:r>
        <w:t xml:space="preserve"> </w:t>
      </w:r>
      <w:r>
        <w:t xml:space="preserve">ANNEX 1: PROCEDURAL INFORMATION ……………………………………………………………………………….. 59</w:t>
      </w:r>
      <w:r>
        <w:t xml:space="preserve"> </w:t>
      </w:r>
      <w:r>
        <w:t xml:space="preserve">ANNEX 2: STAKEHOLDER CONSULTATION …………………………………………………………………………… 61</w:t>
      </w:r>
      <w:r>
        <w:t xml:space="preserve"> </w:t>
      </w:r>
      <w:r>
        <w:t xml:space="preserve">ANNEX 2A: STAKEHOLDERS VIEWS ON SPARE PARTS LIBERALISATION …………………………… 72</w:t>
      </w:r>
      <w:r>
        <w:t xml:space="preserve"> </w:t>
      </w:r>
      <w:r>
        <w:t xml:space="preserve">ANNEX 3: WHO IS AFFECTED AND HOW? ……………………………………………………………………………… 73</w:t>
      </w:r>
      <w:r>
        <w:t xml:space="preserve"> </w:t>
      </w:r>
      <w:r>
        <w:t xml:space="preserve">ANNEX 4: ANALYTICAL METHODS ……………………………………………………………………………………….. 75</w:t>
      </w:r>
      <w:r>
        <w:t xml:space="preserve"> </w:t>
      </w:r>
      <w:r>
        <w:t xml:space="preserve">ANNEX 5: PROPOSALS TO BE COVERED BY THE REVISION OF THE REGULATORY</w:t>
      </w:r>
      <w:r>
        <w:t xml:space="preserve"> </w:t>
      </w:r>
      <w:r>
        <w:t xml:space="preserve">FRAMEWORK ………………………………………………………………………………………………………………….. 77</w:t>
      </w:r>
      <w:r>
        <w:t xml:space="preserve"> </w:t>
      </w:r>
      <w:r>
        <w:t xml:space="preserve">ANNEX 6: SPARE PARTS PROTECTION IN MEMBER STATES ………………………………………………… 79</w:t>
      </w:r>
      <w:r>
        <w:t xml:space="preserve"> </w:t>
      </w:r>
      <w:r>
        <w:t xml:space="preserve">ANNEX 7: EVOLUTION OF EUIPO BUDGET ……………………………………………………………………………. 80</w:t>
      </w:r>
      <w:r>
        <w:t xml:space="preserve"> </w:t>
      </w:r>
      <w:r>
        <w:t xml:space="preserve">ANNEX 8: MEMBER STATE FEES ……………………………………………………………………………………………. 88</w:t>
      </w:r>
      <w:r>
        <w:t xml:space="preserve"> </w:t>
      </w:r>
      <w:r>
        <w:t xml:space="preserve">ANNEX 9: IMPACT OF FEE CHANGES AND OTHER SIMPLIFICATIONS …………………………………. 93</w:t>
      </w:r>
      <w:r>
        <w:t xml:space="preserve"> </w:t>
      </w:r>
      <w:r>
        <w:t xml:space="preserve">9.1 Proposed changes and summary of impacts ……………………………………………….. 93</w:t>
      </w:r>
      <w:r>
        <w:t xml:space="preserve"> </w:t>
      </w:r>
      <w:r>
        <w:t xml:space="preserve">9.2 Changes in basic registration fee ………………………………………………………………. 93</w:t>
      </w:r>
      <w:r>
        <w:t xml:space="preserve"> </w:t>
      </w:r>
      <w:r>
        <w:t xml:space="preserve">9.3 Changes in renewal fees ………………………………………………………………………….. 95</w:t>
      </w:r>
      <w:r>
        <w:t xml:space="preserve"> </w:t>
      </w:r>
      <w:r>
        <w:t xml:space="preserve">9.4 Annual EU-wide impacts of fee changes …………………………………………………… 99</w:t>
      </w:r>
      <w:r>
        <w:t xml:space="preserve"> </w:t>
      </w:r>
      <w:r>
        <w:t xml:space="preserve">9.5 Impacts of fee changes on number of designs applications ………………………… 100</w:t>
      </w:r>
      <w:r>
        <w:t xml:space="preserve"> </w:t>
      </w:r>
      <w:r>
        <w:t xml:space="preserve">9.6 Impact of elimination of transfer fee ……………………………………………………….. 102</w:t>
      </w:r>
      <w:r>
        <w:t xml:space="preserve"> </w:t>
      </w:r>
      <w:r>
        <w:t xml:space="preserve">9.7 Impact of limiting multiple submissions to 50 designs per application ………… 102</w:t>
      </w:r>
      <w:r>
        <w:t xml:space="preserve"> </w:t>
      </w:r>
      <w:r>
        <w:t xml:space="preserve">9.8 Comparison to national registration fees ………………………………………………….. 102</w:t>
      </w:r>
      <w:r>
        <w:t xml:space="preserve"> </w:t>
      </w:r>
      <w:r>
        <w:t xml:space="preserve">9.9 Impact of abolition of unity of class requirement (Option 2) ………………………. 105</w:t>
      </w:r>
      <w:r>
        <w:t xml:space="preserve"> </w:t>
      </w:r>
      <w:r>
        <w:t xml:space="preserve">9.10 Impact of simplification in requirements for the representation of</w:t>
      </w:r>
      <w:r>
        <w:t xml:space="preserve"> </w:t>
      </w:r>
      <w:r>
        <w:t xml:space="preserve">designs (Option 2) …………………………………………………………………………….. 105</w:t>
      </w:r>
      <w:r>
        <w:t xml:space="preserve"> </w:t>
      </w:r>
      <w:r>
        <w:t xml:space="preserve">9.11 Summary of impacts Options 2 and 3 ……………………………………………………. 106</w:t>
      </w:r>
      <w:r>
        <w:t xml:space="preserve"> </w:t>
      </w:r>
      <w:r>
        <w:t xml:space="preserve">ANNEX 10: DEFINITION OF SUBJECT MATTER OF PROTECTION ………………………………………… 108</w:t>
      </w:r>
      <w:r>
        <w:t xml:space="preserve"> </w:t>
      </w:r>
      <w:r>
        <w:t xml:space="preserve">ANNEX 11: RELATIONSHIP TO COPYRIGHT PROTECTION ………………………………………………….. 109</w:t>
      </w:r>
      <w:r>
        <w:t xml:space="preserve"> </w:t>
      </w:r>
      <w:r>
        <w:t xml:space="preserve">ANNEX 12: AWARENESS RAISING ACTIVITIES ……………………………………………………………………. 113</w:t>
      </w:r>
      <w:r>
        <w:t xml:space="preserve"> </w:t>
      </w:r>
      <w:r>
        <w:t xml:space="preserve">ANNEX 13: COEXISTENCE OF NATIONAL AND EU DESIGN PROTECTION SYSTEMS…………. 114</w:t>
      </w:r>
      <w:r>
        <w:t xml:space="preserve"> </w:t>
      </w:r>
      <w:r>
        <w:t xml:space="preserve">ANNEX 14: DICTIONARY ………………………………………………………………………………………………………. 116</w:t>
      </w:r>
    </w:p>
    <w:p>
      <w:pPr>
        <w:pStyle w:val="BodyText"/>
      </w:pPr>
      <w:r>
        <w:t xml:space="preserve">3</w:t>
      </w:r>
      <w:r>
        <w:t xml:space="preserve"> </w:t>
      </w:r>
      <w:r>
        <w:t xml:space="preserve">Glossary</w:t>
      </w:r>
      <w:r>
        <w:t xml:space="preserve"> </w:t>
      </w:r>
      <w:r>
        <w:t xml:space="preserve">Term or acronym</w:t>
      </w:r>
      <w:r>
        <w:t xml:space="preserve"> </w:t>
      </w:r>
      <w:r>
        <w:t xml:space="preserve">Meaning or definition</w:t>
      </w:r>
      <w:r>
        <w:t xml:space="preserve"> </w:t>
      </w:r>
      <w:r>
        <w:t xml:space="preserve">CDR</w:t>
      </w:r>
      <w:r>
        <w:t xml:space="preserve"> </w:t>
      </w:r>
      <w:r>
        <w:t xml:space="preserve">Community Design Regulation (EC) 6/2002</w:t>
      </w:r>
      <w:r>
        <w:t xml:space="preserve"> </w:t>
      </w:r>
      <w:r>
        <w:t xml:space="preserve">CJEU</w:t>
      </w:r>
      <w:r>
        <w:t xml:space="preserve"> </w:t>
      </w:r>
      <w:r>
        <w:t xml:space="preserve">Court of Justice of the European Union</w:t>
      </w:r>
      <w:r>
        <w:t xml:space="preserve"> </w:t>
      </w:r>
      <w:r>
        <w:t xml:space="preserve">DDir</w:t>
      </w:r>
      <w:r>
        <w:t xml:space="preserve"> </w:t>
      </w:r>
      <w:r>
        <w:t xml:space="preserve">Design Directive 98/71/EC</w:t>
      </w:r>
      <w:r>
        <w:t xml:space="preserve"> </w:t>
      </w:r>
      <w:r>
        <w:t xml:space="preserve">EUIPN</w:t>
      </w:r>
      <w:r>
        <w:t xml:space="preserve"> </w:t>
      </w:r>
      <w:r>
        <w:t xml:space="preserve">European Union Intellectual Property Network</w:t>
      </w:r>
      <w:r>
        <w:t xml:space="preserve"> </w:t>
      </w:r>
      <w:r>
        <w:t xml:space="preserve">EUIPO</w:t>
      </w:r>
      <w:r>
        <w:t xml:space="preserve"> </w:t>
      </w:r>
      <w:r>
        <w:t xml:space="preserve">European Union Intellectual Property Office</w:t>
      </w:r>
      <w:r>
        <w:t xml:space="preserve"> </w:t>
      </w:r>
      <w:r>
        <w:t xml:space="preserve">EUTM / EUTMR / TMD</w:t>
      </w:r>
      <w:r>
        <w:t xml:space="preserve"> </w:t>
      </w:r>
      <w:r>
        <w:t xml:space="preserve">EU Trade Mark /EU Trade Mark Regulation / Trade Mark Directive</w:t>
      </w:r>
      <w:r>
        <w:t xml:space="preserve"> </w:t>
      </w:r>
      <w:r>
        <w:t xml:space="preserve">IAM</w:t>
      </w:r>
      <w:r>
        <w:t xml:space="preserve"> </w:t>
      </w:r>
      <w:r>
        <w:t xml:space="preserve">Independent Aftermarket Suppliers</w:t>
      </w:r>
      <w:r>
        <w:t xml:space="preserve"> </w:t>
      </w:r>
      <w:r>
        <w:t xml:space="preserve">IP</w:t>
      </w:r>
      <w:r>
        <w:t xml:space="preserve"> </w:t>
      </w:r>
      <w:r>
        <w:t xml:space="preserve">Intellectual property</w:t>
      </w:r>
      <w:r>
        <w:t xml:space="preserve"> </w:t>
      </w:r>
      <w:r>
        <w:t xml:space="preserve">OEM</w:t>
      </w:r>
      <w:r>
        <w:t xml:space="preserve"> </w:t>
      </w:r>
      <w:r>
        <w:t xml:space="preserve">Original Equipment Manufacturer</w:t>
      </w:r>
      <w:r>
        <w:t xml:space="preserve"> </w:t>
      </w:r>
      <w:r>
        <w:t xml:space="preserve">OES</w:t>
      </w:r>
      <w:r>
        <w:t xml:space="preserve"> </w:t>
      </w:r>
      <w:r>
        <w:t xml:space="preserve">Original Equipment Supplier</w:t>
      </w:r>
      <w:r>
        <w:t xml:space="preserve"> </w:t>
      </w:r>
      <w:r>
        <w:t xml:space="preserve">MVBER</w:t>
      </w:r>
      <w:r>
        <w:t xml:space="preserve"> </w:t>
      </w:r>
      <w:r>
        <w:t xml:space="preserve">Motor Vehicle Block Exemption Regulation</w:t>
      </w:r>
      <w:r>
        <w:t xml:space="preserve"> </w:t>
      </w:r>
      <w:r>
        <w:t xml:space="preserve">RCD</w:t>
      </w:r>
      <w:r>
        <w:t xml:space="preserve"> </w:t>
      </w:r>
      <w:r>
        <w:t xml:space="preserve">Registered Community Design</w:t>
      </w:r>
      <w:r>
        <w:t xml:space="preserve"> </w:t>
      </w:r>
      <w:r>
        <w:t xml:space="preserve">SME</w:t>
      </w:r>
      <w:r>
        <w:t xml:space="preserve"> </w:t>
      </w:r>
      <w:r>
        <w:t xml:space="preserve">Small and Medium-Sized Enterprise</w:t>
      </w:r>
      <w:r>
        <w:t xml:space="preserve"> </w:t>
      </w:r>
      <w:r>
        <w:t xml:space="preserve">TRIPS</w:t>
      </w:r>
      <w:r>
        <w:t xml:space="preserve"> </w:t>
      </w:r>
      <w:r>
        <w:t xml:space="preserve">Agreement on Trade-Related Aspects of Intellectual Property Rights</w:t>
      </w:r>
      <w:r>
        <w:t xml:space="preserve"> </w:t>
      </w:r>
      <w:r>
        <w:t xml:space="preserve">UCD</w:t>
      </w:r>
      <w:r>
        <w:t xml:space="preserve"> </w:t>
      </w:r>
      <w:r>
        <w:t xml:space="preserve">Unregistered Community Design</w:t>
      </w:r>
      <w:r>
        <w:t xml:space="preserve"> </w:t>
      </w:r>
      <w:r>
        <w:t xml:space="preserve">VM</w:t>
      </w:r>
      <w:r>
        <w:t xml:space="preserve"> </w:t>
      </w:r>
      <w:r>
        <w:t xml:space="preserve">Vehicle Manufacturer</w:t>
      </w:r>
      <w:r>
        <w:t xml:space="preserve"> </w:t>
      </w:r>
      <w:r>
        <w:t xml:space="preserve">WIPO</w:t>
      </w:r>
      <w:r>
        <w:t xml:space="preserve"> </w:t>
      </w:r>
      <w:r>
        <w:t xml:space="preserve">World Intellectual Property Organisation</w:t>
      </w:r>
    </w:p>
    <w:p>
      <w:pPr>
        <w:pStyle w:val="BodyText"/>
      </w:pPr>
      <w:r>
        <w:t xml:space="preserve">See also Annex 12 for definitions.</w:t>
      </w:r>
    </w:p>
    <w:p>
      <w:pPr>
        <w:pStyle w:val="BodyText"/>
      </w:pPr>
      <w:r>
        <w:t xml:space="preserve">4</w:t>
      </w:r>
      <w:r>
        <w:t xml:space="preserve"> </w:t>
      </w:r>
      <w:r>
        <w:t xml:space="preserve">1.</w:t>
      </w:r>
      <w:r>
        <w:t xml:space="preserve"> </w:t>
      </w:r>
      <w:r>
        <w:t xml:space="preserve">INTRODUCTION</w:t>
      </w:r>
      <w:r>
        <w:t xml:space="preserve"> </w:t>
      </w:r>
      <w:r>
        <w:t xml:space="preserve">1.1.</w:t>
      </w:r>
      <w:r>
        <w:t xml:space="preserve"> </w:t>
      </w:r>
      <w:r>
        <w:t xml:space="preserve">Importance of industrial designs and available systems of design</w:t>
      </w:r>
      <w:r>
        <w:t xml:space="preserve"> </w:t>
      </w:r>
      <w:r>
        <w:t xml:space="preserve">protection</w:t>
      </w:r>
      <w:r>
        <w:t xml:space="preserve"> </w:t>
      </w:r>
      <w:r>
        <w:t xml:space="preserve">Design is what makes a product appealing. Visual appeal is one of the key factors that</w:t>
      </w:r>
      <w:r>
        <w:t xml:space="preserve"> </w:t>
      </w:r>
      <w:r>
        <w:t xml:space="preserve">influences consumers’ choices and leads them to prefer one product over another. Well-</w:t>
      </w:r>
      <w:r>
        <w:t xml:space="preserve"> </w:t>
      </w:r>
      <w:r>
        <w:t xml:space="preserve">designed products create an important competitive advantage for producers. Companies</w:t>
      </w:r>
      <w:r>
        <w:t xml:space="preserve"> </w:t>
      </w:r>
      <w:r>
        <w:t xml:space="preserve">that invest in design tend to be more profitable and grow faster1. Industrial design rights</w:t>
      </w:r>
      <w:r>
        <w:t xml:space="preserve"> </w:t>
      </w:r>
      <w:r>
        <w:t xml:space="preserve">cover the appearance of a product or part of a product. To encourage innovation and the</w:t>
      </w:r>
      <w:r>
        <w:t xml:space="preserve"> </w:t>
      </w:r>
      <w:r>
        <w:t xml:space="preserve">creation of new product design also in the digital age, there is an increasing need for</w:t>
      </w:r>
      <w:r>
        <w:t xml:space="preserve"> </w:t>
      </w:r>
      <w:r>
        <w:t xml:space="preserve">accessible, modern, effective and consistent legal protection of those rights.</w:t>
      </w:r>
      <w:r>
        <w:br/>
      </w:r>
      <w:r>
        <w:t xml:space="preserve">The laws of the Member States providing for design protection at domestic level were</w:t>
      </w:r>
      <w:r>
        <w:t xml:space="preserve"> </w:t>
      </w:r>
      <w:r>
        <w:t xml:space="preserve">partially harmonised by the Design Directive 98/71/EC2 (</w:t>
      </w:r>
      <w:r>
        <w:t xml:space="preserve">‘the DDir’</w:t>
      </w:r>
      <w:r>
        <w:t xml:space="preserve">). As a complement</w:t>
      </w:r>
      <w:r>
        <w:t xml:space="preserve"> </w:t>
      </w:r>
      <w:r>
        <w:t xml:space="preserve">alongside national systems, Community Design Regulation (EC) 6/20023 (</w:t>
      </w:r>
      <w:r>
        <w:t xml:space="preserve">‘the CDR’</w:t>
      </w:r>
      <w:r>
        <w:t xml:space="preserve">)</w:t>
      </w:r>
      <w:r>
        <w:t xml:space="preserve"> </w:t>
      </w:r>
      <w:r>
        <w:t xml:space="preserve">established autonomous unitary protection for designs in 2003 in the form of the</w:t>
      </w:r>
      <w:r>
        <w:t xml:space="preserve"> </w:t>
      </w:r>
      <w:r>
        <w:t xml:space="preserve">‘unregistered Community design’ and, in particular, the ‘registered Community design’.</w:t>
      </w:r>
      <w:r>
        <w:t xml:space="preserve"> </w:t>
      </w:r>
      <w:r>
        <w:t xml:space="preserve">Rules implementing the CDR are contained in the Implementing Regulation (EC) No</w:t>
      </w:r>
      <w:r>
        <w:t xml:space="preserve"> </w:t>
      </w:r>
      <w:r>
        <w:t xml:space="preserve">2245/20024, and in the Fees Regulation (EC) No 2246/20025.</w:t>
      </w:r>
      <w:r>
        <w:br/>
      </w:r>
      <w:r>
        <w:t xml:space="preserve">Corresponding to the territorial nature of industrial designs (guaranteeing protection to</w:t>
      </w:r>
      <w:r>
        <w:t xml:space="preserve"> </w:t>
      </w:r>
      <w:r>
        <w:t xml:space="preserve">their owners only in the territory of the country or countries concerned), different (not</w:t>
      </w:r>
      <w:r>
        <w:t xml:space="preserve"> </w:t>
      </w:r>
      <w:r>
        <w:t xml:space="preserve">mutually exclusive) protection titles are available for designers wishing to protect their</w:t>
      </w:r>
      <w:r>
        <w:t xml:space="preserve"> </w:t>
      </w:r>
      <w:r>
        <w:t xml:space="preserve">designs in the EU.</w:t>
      </w:r>
      <w:r>
        <w:br/>
      </w:r>
      <w:r>
        <w:t xml:space="preserve">(a) National designs are registered by the intellectual property (IP) offices of Member</w:t>
      </w:r>
      <w:r>
        <w:t xml:space="preserve"> </w:t>
      </w:r>
      <w:r>
        <w:t xml:space="preserve">States. Currently, there are 24 national offices, and one regional office – the Benelux</w:t>
      </w:r>
      <w:r>
        <w:t xml:space="preserve"> </w:t>
      </w:r>
      <w:r>
        <w:t xml:space="preserve">Office for IP (BOIP)6. National designs generally serve users seeking registration in one,</w:t>
      </w:r>
      <w:r>
        <w:t xml:space="preserve"> </w:t>
      </w:r>
      <w:r>
        <w:t xml:space="preserve">or a limited number of countries, as well as users that want to obtain much broader</w:t>
      </w:r>
      <w:r>
        <w:t xml:space="preserve"> </w:t>
      </w:r>
      <w:r>
        <w:t xml:space="preserve">protection in geographical terms but are not able or willing to opt for a Community</w:t>
      </w:r>
      <w:r>
        <w:t xml:space="preserve"> </w:t>
      </w:r>
      <w:r>
        <w:t xml:space="preserve">design.</w:t>
      </w:r>
      <w:r>
        <w:br/>
      </w:r>
      <w:r>
        <w:t xml:space="preserve">(b) Community designs, available in registered (RCD) and unregistered form (UCD),</w:t>
      </w:r>
      <w:r>
        <w:t xml:space="preserve"> </w:t>
      </w:r>
      <w:r>
        <w:t xml:space="preserve">grant their proprietors a unitary IP right with an equal effect throughout the entire EU.</w:t>
      </w:r>
      <w:r>
        <w:t xml:space="preserve"> </w:t>
      </w:r>
      <w:r>
        <w:t xml:space="preserve">While the UCD right simply arises by virtue of first disclosure without registration, the</w:t>
      </w:r>
      <w:r>
        <w:t xml:space="preserve"> </w:t>
      </w:r>
      <w:r>
        <w:t xml:space="preserve">RCD is registered and administered by the European Union Intellectual Property Office</w:t>
      </w:r>
      <w:r>
        <w:t xml:space="preserve"> </w:t>
      </w:r>
      <w:r>
        <w:t xml:space="preserve">(EUIPO)7. The RCD does not replace national design systems, but provides an additional</w:t>
      </w:r>
    </w:p>
    <w:p>
      <w:pPr>
        <w:pStyle w:val="BodyText"/>
      </w:pPr>
      <w:r>
        <w:t xml:space="preserve">1 See Evaluation of EU legislation on design protection, SWD(2020) 264 final, p. 10, referring for research</w:t>
      </w:r>
      <w:r>
        <w:t xml:space="preserve"> </w:t>
      </w:r>
      <w:r>
        <w:t xml:space="preserve">incl. case studies on the relationship between design, innovation and business growth e.g. to UK Design</w:t>
      </w:r>
      <w:r>
        <w:t xml:space="preserve"> </w:t>
      </w:r>
      <w:r>
        <w:t xml:space="preserve">Council (2015), The Design Economy: The value of design to the UK. Design Council: UK. Furthermore,</w:t>
      </w:r>
      <w:r>
        <w:t xml:space="preserve"> </w:t>
      </w:r>
      <w:r>
        <w:t xml:space="preserve">on the contribution of design-intensive industries to EU economy, see Study “IPR-intensive industries and</w:t>
      </w:r>
      <w:r>
        <w:t xml:space="preserve"> </w:t>
      </w:r>
      <w:r>
        <w:t xml:space="preserve">economic performance in the European Union, EPO and EUIPO, September 2019.</w:t>
      </w:r>
      <w:r>
        <w:br/>
      </w:r>
      <w:r>
        <w:t xml:space="preserve">2 Directive 98/71/EC of the European Parliament and of the Council of 13 October 1998 on the legal</w:t>
      </w:r>
      <w:r>
        <w:t xml:space="preserve"> </w:t>
      </w:r>
      <w:r>
        <w:t xml:space="preserve">protection of designs, OJ L 289, 28.10.1998, p. 28.</w:t>
      </w:r>
      <w:r>
        <w:br/>
      </w:r>
      <w:r>
        <w:t xml:space="preserve">3 Council Regulation (EC) No 6/2002 of 12 December 2001 on Community designs, OJ L 3, 5.1.2002, p.1.</w:t>
      </w:r>
      <w:r>
        <w:t xml:space="preserve"> </w:t>
      </w:r>
      <w:r>
        <w:t xml:space="preserve">4 Commission Regulation (EC) No 2245/2002 of 21 October 2002 implementing Council Regulation (EC)</w:t>
      </w:r>
      <w:r>
        <w:t xml:space="preserve"> </w:t>
      </w:r>
      <w:r>
        <w:t xml:space="preserve">No 6/2002 on Community designs, OJ L 341, 17.12.2002, p. 28.</w:t>
      </w:r>
      <w:r>
        <w:br/>
      </w:r>
      <w:r>
        <w:t xml:space="preserve">5 Commission Regulation (EC) No 2246/2002 of 16 December 2002 on the fees payable to the Office for</w:t>
      </w:r>
      <w:r>
        <w:t xml:space="preserve"> </w:t>
      </w:r>
      <w:r>
        <w:t xml:space="preserve">Harmonization in the Internal Market (Trade Marks and Designs) in respect of the registration of</w:t>
      </w:r>
      <w:r>
        <w:t xml:space="preserve"> </w:t>
      </w:r>
      <w:r>
        <w:t xml:space="preserve">Community designs, OJ L 341, 17.12.2002, p. 54.</w:t>
      </w:r>
      <w:r>
        <w:br/>
      </w:r>
      <w:r>
        <w:t xml:space="preserve">6 The Benelux countries form since 1975 a regional area of design protection. Designs registered with the</w:t>
      </w:r>
      <w:r>
        <w:t xml:space="preserve"> </w:t>
      </w:r>
      <w:r>
        <w:t xml:space="preserve">Benelux Intellectual Property Office cover the entire Benelux area as supranational right.</w:t>
      </w:r>
      <w:r>
        <w:t xml:space="preserve"> </w:t>
      </w:r>
      <w:r>
        <w:t xml:space="preserve">7 As decentralised EU Agency, the EUIPO was established in 1994 in Alicante, Spain.</w:t>
      </w:r>
    </w:p>
    <w:p>
      <w:pPr>
        <w:pStyle w:val="BodyText"/>
      </w:pPr>
      <w:r>
        <w:t xml:space="preserve">5</w:t>
      </w:r>
      <w:r>
        <w:t xml:space="preserve"> </w:t>
      </w:r>
      <w:r>
        <w:t xml:space="preserve">legal framework for obtaining a single design registration valid in the territory of all 27</w:t>
      </w:r>
      <w:r>
        <w:t xml:space="preserve"> </w:t>
      </w:r>
      <w:r>
        <w:t xml:space="preserve">EU Member States.</w:t>
      </w:r>
      <w:r>
        <w:br/>
      </w:r>
      <w:r>
        <w:t xml:space="preserve">(c) International design registrations are administered by the World Intellectual Property</w:t>
      </w:r>
      <w:r>
        <w:t xml:space="preserve"> </w:t>
      </w:r>
      <w:r>
        <w:t xml:space="preserve">Organisation (WIPO), and allow their proprietors to secure worldwide protection through</w:t>
      </w:r>
      <w:r>
        <w:t xml:space="preserve"> </w:t>
      </w:r>
      <w:r>
        <w:t xml:space="preserve">the Hague System for the International Registration of Industrial Designs (‘Hague</w:t>
      </w:r>
      <w:r>
        <w:t xml:space="preserve"> </w:t>
      </w:r>
      <w:r>
        <w:t xml:space="preserve">System’) by designating several countries or regions (e.g. the EU) with a single</w:t>
      </w:r>
      <w:r>
        <w:t xml:space="preserve"> </w:t>
      </w:r>
      <w:r>
        <w:t xml:space="preserve">application.</w:t>
      </w:r>
      <w:r>
        <w:br/>
      </w:r>
      <w:r>
        <w:t xml:space="preserve">The national and Community (and international) design systems coexist and are</w:t>
      </w:r>
      <w:r>
        <w:t xml:space="preserve"> </w:t>
      </w:r>
      <w:r>
        <w:t xml:space="preserve">complementary to each other. According to individual business needs which will depend</w:t>
      </w:r>
      <w:r>
        <w:t xml:space="preserve"> </w:t>
      </w:r>
      <w:r>
        <w:t xml:space="preserve">on the territorial scale of economic activity, the design proprietor can therefore either opt</w:t>
      </w:r>
      <w:r>
        <w:t xml:space="preserve"> </w:t>
      </w:r>
      <w:r>
        <w:t xml:space="preserve">for a national or Community-wide (or international) registered design right, or apply for</w:t>
      </w:r>
      <w:r>
        <w:t xml:space="preserve"> </w:t>
      </w:r>
      <w:r>
        <w:t xml:space="preserve">and maintain parallel protection within the same territory through both the national and</w:t>
      </w:r>
      <w:r>
        <w:t xml:space="preserve"> </w:t>
      </w:r>
      <w:r>
        <w:t xml:space="preserve">Community registration systems (as well as the international system).</w:t>
      </w:r>
      <w:r>
        <w:t xml:space="preserve"> </w:t>
      </w:r>
      <w:r>
        <w:t xml:space="preserve">1.2.</w:t>
      </w:r>
      <w:r>
        <w:t xml:space="preserve"> </w:t>
      </w:r>
      <w:r>
        <w:t xml:space="preserve">Political context</w:t>
      </w:r>
      <w:r>
        <w:t xml:space="preserve"> </w:t>
      </w:r>
      <w:r>
        <w:t xml:space="preserve">The design protection system in Europe has undergone a significant development over</w:t>
      </w:r>
      <w:r>
        <w:t xml:space="preserve"> </w:t>
      </w:r>
      <w:r>
        <w:t xml:space="preserve">the last 20 years. This process started with the partial harmonisation of national design</w:t>
      </w:r>
      <w:r>
        <w:t xml:space="preserve"> </w:t>
      </w:r>
      <w:r>
        <w:t xml:space="preserve">laws in 19988 by the DDir extending to key aspects of substantive design law without</w:t>
      </w:r>
      <w:r>
        <w:t xml:space="preserve"> </w:t>
      </w:r>
      <w:r>
        <w:t xml:space="preserve">covering procedures. It aimed at promoting the internal market and preventing Union-</w:t>
      </w:r>
      <w:r>
        <w:t xml:space="preserve"> </w:t>
      </w:r>
      <w:r>
        <w:t xml:space="preserve">wide competition being distorted by ensuring that the conditions for obtaining registered</w:t>
      </w:r>
      <w:r>
        <w:t xml:space="preserve"> </w:t>
      </w:r>
      <w:r>
        <w:t xml:space="preserve">design rights are identical and that those rights confer upon right holders equivalent</w:t>
      </w:r>
      <w:r>
        <w:t xml:space="preserve"> </w:t>
      </w:r>
      <w:r>
        <w:t xml:space="preserve">protection in all Member States.</w:t>
      </w:r>
      <w:r>
        <w:br/>
      </w:r>
      <w:r>
        <w:t xml:space="preserve">The largest sticking point in the negotiations on the DDir was the issue of design</w:t>
      </w:r>
      <w:r>
        <w:t xml:space="preserve"> </w:t>
      </w:r>
      <w:r>
        <w:t xml:space="preserve">protection for spare parts (see further Section 2.1.1). As no agreement could be reached</w:t>
      </w:r>
      <w:r>
        <w:t xml:space="preserve"> </w:t>
      </w:r>
      <w:r>
        <w:t xml:space="preserve">on this point, the DDir includes a so-called freeze-plus clause in Article 14, pursuant to</w:t>
      </w:r>
      <w:r>
        <w:t xml:space="preserve"> </w:t>
      </w:r>
      <w:r>
        <w:t xml:space="preserve">which Member States may retain their existing laws on whether spare parts should</w:t>
      </w:r>
      <w:r>
        <w:t xml:space="preserve"> </w:t>
      </w:r>
      <w:r>
        <w:t xml:space="preserve">benefit from protection until amendments to the DDir are adopted on a proposal from the</w:t>
      </w:r>
      <w:r>
        <w:t xml:space="preserve"> </w:t>
      </w:r>
      <w:r>
        <w:t xml:space="preserve">Commission. They are however permitted to introduce chances to those laws9 only if the</w:t>
      </w:r>
      <w:r>
        <w:t xml:space="preserve"> </w:t>
      </w:r>
      <w:r>
        <w:t xml:space="preserve">purpose is to liberalise the spare parts market.</w:t>
      </w:r>
      <w:r>
        <w:br/>
      </w:r>
      <w:r>
        <w:t xml:space="preserve">The partial harmonisation of national design law was followed by the creation of the</w:t>
      </w:r>
      <w:r>
        <w:t xml:space="preserve"> </w:t>
      </w:r>
      <w:r>
        <w:t xml:space="preserve">Community design in 2001 by the CDR. Since then, the CDR has been amended once in</w:t>
      </w:r>
      <w:r>
        <w:t xml:space="preserve"> </w:t>
      </w:r>
      <w:r>
        <w:t xml:space="preserve">2006 to give effect to the accession of the Union to the Geneva Act of the Hague System.</w:t>
      </w:r>
      <w:r>
        <w:br/>
      </w:r>
      <w:r>
        <w:t xml:space="preserve">A proposal presented by the Commission in 200410 to harmonise design protection of</w:t>
      </w:r>
      <w:r>
        <w:t xml:space="preserve"> </w:t>
      </w:r>
      <w:r>
        <w:t xml:space="preserve">visible spare parts through the introduction of a ‘repair clause’ into the DDir (as already</w:t>
      </w:r>
      <w:r>
        <w:t xml:space="preserve"> </w:t>
      </w:r>
      <w:r>
        <w:t xml:space="preserve">contained in the transitional Article 110(1) CDR, see further on that in Section 2.1.1) did</w:t>
      </w:r>
      <w:r>
        <w:t xml:space="preserve"> </w:t>
      </w:r>
      <w:r>
        <w:t xml:space="preserve">not receive sufficient support in the Council, despite overwhelming support by the</w:t>
      </w:r>
      <w:r>
        <w:t xml:space="preserve"> </w:t>
      </w:r>
      <w:r>
        <w:t xml:space="preserve">European Parliament11, and was withdrawn in 2014.</w:t>
      </w:r>
    </w:p>
    <w:p>
      <w:pPr>
        <w:pStyle w:val="BodyText"/>
      </w:pPr>
      <w:r>
        <w:t xml:space="preserve">8 Directive 98/71/EC had to be transposed into national law by 28 October 2001.</w:t>
      </w:r>
      <w:r>
        <w:t xml:space="preserve"> </w:t>
      </w:r>
      <w:r>
        <w:t xml:space="preserve">9 For an overview of the currently existing laws in the Member States see Section 2.1.1 and Annex 6.</w:t>
      </w:r>
      <w:r>
        <w:t xml:space="preserve"> </w:t>
      </w:r>
      <w:r>
        <w:t xml:space="preserve">10 Proposal for a Directive of the European Parliament and of the Council amending Directive 98/71/EC on</w:t>
      </w:r>
      <w:r>
        <w:t xml:space="preserve"> </w:t>
      </w:r>
      <w:r>
        <w:t xml:space="preserve">the legal protection of designs, COM(2004) 582 (final). It was based on Article 18 DDir whereby the</w:t>
      </w:r>
      <w:r>
        <w:t xml:space="preserve"> </w:t>
      </w:r>
      <w:r>
        <w:t xml:space="preserve">Commission shall propose any changes to the DDir needed for the completion of the internal market in</w:t>
      </w:r>
      <w:r>
        <w:t xml:space="preserve"> </w:t>
      </w:r>
      <w:r>
        <w:t xml:space="preserve">respect of spare parts at latest one year after analysing the consequences of the provisions of the DDir.</w:t>
      </w:r>
      <w:r>
        <w:br/>
      </w:r>
      <w:r>
        <w:t xml:space="preserve">11 European Parliament legislative resolution of 12 December 2007 on the proposal for a directive of the</w:t>
      </w:r>
      <w:r>
        <w:t xml:space="preserve"> </w:t>
      </w:r>
      <w:r>
        <w:t xml:space="preserve">European Parliament and of the Council amending Directive 98/71/EC on the legal protection of designs</w:t>
      </w:r>
      <w:r>
        <w:t xml:space="preserve"> </w:t>
      </w:r>
      <w:r>
        <w:t xml:space="preserve">(COM(2004)0582-C6-0119/2004-2004/0203(COD)).</w:t>
      </w:r>
    </w:p>
    <w:p>
      <w:pPr>
        <w:pStyle w:val="BodyText"/>
      </w:pPr>
      <w:r>
        <w:t xml:space="preserve">6</w:t>
      </w:r>
      <w:r>
        <w:t xml:space="preserve"> </w:t>
      </w:r>
      <w:r>
        <w:t xml:space="preserve">The introduction of the RCD as complement to national design rights has led to a clear</w:t>
      </w:r>
      <w:r>
        <w:t xml:space="preserve"> </w:t>
      </w:r>
      <w:r>
        <w:t xml:space="preserve">and substantial (steady upward trend) net increase in design applications in the EU</w:t>
      </w:r>
      <w:r>
        <w:t xml:space="preserve"> </w:t>
      </w:r>
      <w:r>
        <w:t xml:space="preserve">overall, taking the numbers of RCD filings and national design filings together12. While</w:t>
      </w:r>
      <w:r>
        <w:t xml:space="preserve"> </w:t>
      </w:r>
      <w:r>
        <w:t xml:space="preserve">total volumes of national design filings balanced around 120,000 annually in the past ten</w:t>
      </w:r>
      <w:r>
        <w:t xml:space="preserve"> </w:t>
      </w:r>
      <w:r>
        <w:t xml:space="preserve">years, RCD filings grew on average by 3.5% between 2010 and 2019 (with an overall</w:t>
      </w:r>
      <w:r>
        <w:t xml:space="preserve"> </w:t>
      </w:r>
      <w:r>
        <w:t xml:space="preserve">growth rate of 36.2% when comparing the 2019 and 2020 filing volumes), leading to</w:t>
      </w:r>
      <w:r>
        <w:t xml:space="preserve"> </w:t>
      </w:r>
      <w:r>
        <w:t xml:space="preserve">988,200 individual RCD filings13, which nevertheless translates only into filing by</w:t>
      </w:r>
      <w:r>
        <w:t xml:space="preserve"> </w:t>
      </w:r>
      <w:r>
        <w:t xml:space="preserve">13,400 owners in 2020 (1/3 of which are natural persons). In October 2021 there were a</w:t>
      </w:r>
      <w:r>
        <w:t xml:space="preserve"> </w:t>
      </w:r>
      <w:r>
        <w:t xml:space="preserve">total of around 157,000 RCD owners (including 50,700 natural persons). As shown also</w:t>
      </w:r>
      <w:r>
        <w:t xml:space="preserve"> </w:t>
      </w:r>
      <w:r>
        <w:t xml:space="preserve">by the responses to the two open public consultations “Evaluation of design legislation</w:t>
      </w:r>
      <w:r>
        <w:t xml:space="preserve"> </w:t>
      </w:r>
      <w:r>
        <w:t xml:space="preserve">on design protection” (“First Public Consultation”)14 and “Review of EU rules on</w:t>
      </w:r>
      <w:r>
        <w:t xml:space="preserve"> </w:t>
      </w:r>
      <w:r>
        <w:t xml:space="preserve">industrial design” (“Second Public Consultation”)15, businesses increasingly demand</w:t>
      </w:r>
      <w:r>
        <w:t xml:space="preserve"> </w:t>
      </w:r>
      <w:r>
        <w:t xml:space="preserve">more tailored and streamlined design registration systems, which are more consistent,</w:t>
      </w:r>
      <w:r>
        <w:t xml:space="preserve"> </w:t>
      </w:r>
      <w:r>
        <w:t xml:space="preserve">publicly accessible and technologically up-to-date. In addition, the business environment</w:t>
      </w:r>
      <w:r>
        <w:t xml:space="preserve"> </w:t>
      </w:r>
      <w:r>
        <w:t xml:space="preserve">has changed significantly over the past two decades, notably with the expansion of the</w:t>
      </w:r>
      <w:r>
        <w:t xml:space="preserve"> </w:t>
      </w:r>
      <w:r>
        <w:t xml:space="preserve">internet and other electronic business tools. The significance of new technological</w:t>
      </w:r>
      <w:r>
        <w:t xml:space="preserve"> </w:t>
      </w:r>
      <w:r>
        <w:t xml:space="preserve">designs such as graphical user interfaces (GUIs) and icon designs has been growing</w:t>
      </w:r>
      <w:r>
        <w:t xml:space="preserve"> </w:t>
      </w:r>
      <w:r>
        <w:t xml:space="preserve">substantially16.</w:t>
      </w:r>
      <w:r>
        <w:t xml:space="preserve"> </w:t>
      </w:r>
      <w:r>
        <w:t xml:space="preserve">Therefore, in line with the Commission’s Better Regulation agenda17 to review EU</w:t>
      </w:r>
      <w:r>
        <w:t xml:space="preserve"> </w:t>
      </w:r>
      <w:r>
        <w:t xml:space="preserve">policies regularly, in 2014 the Commission launched an evaluation of the functioning of</w:t>
      </w:r>
      <w:r>
        <w:t xml:space="preserve"> </w:t>
      </w:r>
      <w:r>
        <w:t xml:space="preserve">the design protection systems in the EU, involving a comprehensive economic and legal</w:t>
      </w:r>
      <w:r>
        <w:t xml:space="preserve"> </w:t>
      </w:r>
      <w:r>
        <w:t xml:space="preserve">assessment, supported by a series of studies. The Council of the European Union adopted</w:t>
      </w:r>
      <w:r>
        <w:t xml:space="preserve"> </w:t>
      </w:r>
      <w:r>
        <w:t xml:space="preserve">on 11 November 2020 conclusions on intellectual property policy and the revision of the</w:t>
      </w:r>
      <w:r>
        <w:t xml:space="preserve"> </w:t>
      </w:r>
      <w:r>
        <w:t xml:space="preserve">industrial designs system in the Union18. The Council called on the Commission to</w:t>
      </w:r>
      <w:r>
        <w:t xml:space="preserve"> </w:t>
      </w:r>
      <w:r>
        <w:t xml:space="preserve">present proposals for the revision of, respectively, the CDR, and the DDir, to modernise</w:t>
      </w:r>
      <w:r>
        <w:t xml:space="preserve"> </w:t>
      </w:r>
      <w:r>
        <w:t xml:space="preserve">the EU design protection systems and to make design protection more attractive for</w:t>
      </w:r>
      <w:r>
        <w:t xml:space="preserve"> </w:t>
      </w:r>
      <w:r>
        <w:t xml:space="preserve">individual designers and businesses, especially SMEs.</w:t>
      </w:r>
      <w:r>
        <w:br/>
      </w:r>
      <w:r>
        <w:t xml:space="preserve">Based on the final results of the evaluation19, the Commission announced in its</w:t>
      </w:r>
      <w:r>
        <w:t xml:space="preserve"> </w:t>
      </w:r>
      <w:r>
        <w:t xml:space="preserve">communication of 25 November 2020 entitled ‘Making the most of the EU’s innovative</w:t>
      </w:r>
      <w:r>
        <w:t xml:space="preserve"> </w:t>
      </w:r>
      <w:r>
        <w:t xml:space="preserve">potential – An intellectual property action plan to support the EU’s recovery and</w:t>
      </w:r>
      <w:r>
        <w:t xml:space="preserve"> </w:t>
      </w:r>
      <w:r>
        <w:t xml:space="preserve">resilience’20 that it will revise the EU legislation on design protection, following the</w:t>
      </w:r>
      <w:r>
        <w:t xml:space="preserve"> </w:t>
      </w:r>
      <w:r>
        <w:t xml:space="preserve">successful reform of the EU trade mark legislation. The Council adopted on 25 June 2021</w:t>
      </w:r>
      <w:r>
        <w:t xml:space="preserve"> </w:t>
      </w:r>
      <w:r>
        <w:t xml:space="preserve">further conclusions on intellectual property policy21, urging the Commission to prioritise</w:t>
      </w:r>
      <w:r>
        <w:t xml:space="preserve"> </w:t>
      </w:r>
      <w:r>
        <w:t xml:space="preserve">the timely presentation of a proposal as soon as possible on the revision and</w:t>
      </w:r>
      <w:r>
        <w:t xml:space="preserve"> </w:t>
      </w:r>
      <w:r>
        <w:t xml:space="preserve">modernisation of the legislation on industrial designs. Furthermore, in its supportive</w:t>
      </w:r>
    </w:p>
    <w:p>
      <w:pPr>
        <w:pStyle w:val="BodyText"/>
      </w:pPr>
      <w:r>
        <w:t xml:space="preserve">12 SWD(2020) 264 final, p. 15.</w:t>
      </w:r>
      <w:r>
        <w:t xml:space="preserve"> </w:t>
      </w:r>
      <w:r>
        <w:t xml:space="preserve">13 EUIPO (2020) EUIPO Design Focus 2010 to 2019 Evolution. Retrieved from</w:t>
      </w:r>
      <w:r>
        <w:t xml:space="preserve"> </w:t>
      </w:r>
      <w:r>
        <w:t xml:space="preserve">EUIPO_DS_Focus_Report_2010-2019_Evolution_en.pdf (europa.eu). Based on number of designs.</w:t>
      </w:r>
      <w:r>
        <w:t xml:space="preserve"> </w:t>
      </w:r>
      <w:r>
        <w:t xml:space="preserve">14 Public consultation carried out between 18 December 2018 and 30 April 2019 in the context of the</w:t>
      </w:r>
      <w:r>
        <w:t xml:space="preserve"> </w:t>
      </w:r>
      <w:r>
        <w:t xml:space="preserve">“Evaluation of EU legislation on design protection”, SWD(2020)264 final, Annex 2.</w:t>
      </w:r>
      <w:r>
        <w:t xml:space="preserve"> </w:t>
      </w:r>
      <w:r>
        <w:t xml:space="preserve">15 Public consultation “Review of EU rules on industrial design (Design Directive)” carried out between 29</w:t>
      </w:r>
      <w:r>
        <w:t xml:space="preserve"> </w:t>
      </w:r>
      <w:r>
        <w:t xml:space="preserve">April 2021 and 22 July 2021. See Annex 2 of this impact assessment report.</w:t>
      </w:r>
      <w:r>
        <w:t xml:space="preserve"> </w:t>
      </w:r>
      <w:r>
        <w:t xml:space="preserve">16 Id p. 14, 15 and 71.</w:t>
      </w:r>
      <w:r>
        <w:t xml:space="preserve"> </w:t>
      </w:r>
      <w:r>
        <w:t xml:space="preserve">17 Communication from the Commission: Better regulation for better results - An EU agenda,</w:t>
      </w:r>
      <w:r>
        <w:t xml:space="preserve"> </w:t>
      </w:r>
      <w:r>
        <w:t xml:space="preserve">COM(2015)215, European Commission, 19 May 2015, p. 4.</w:t>
      </w:r>
      <w:r>
        <w:t xml:space="preserve"> </w:t>
      </w:r>
      <w:r>
        <w:t xml:space="preserve">18 Council document 2020/C 379 I/01.</w:t>
      </w:r>
      <w:r>
        <w:t xml:space="preserve"> </w:t>
      </w:r>
      <w:r>
        <w:t xml:space="preserve">19 SWD(2020) 264 final.</w:t>
      </w:r>
      <w:r>
        <w:t xml:space="preserve"> </w:t>
      </w:r>
      <w:r>
        <w:t xml:space="preserve">20 COM(2020) 760 final.</w:t>
      </w:r>
      <w:r>
        <w:t xml:space="preserve"> </w:t>
      </w:r>
      <w:r>
        <w:t xml:space="preserve">21 Council document 2021/C 247/02.</w:t>
      </w:r>
    </w:p>
    <w:p>
      <w:pPr>
        <w:pStyle w:val="BodyText"/>
      </w:pPr>
      <w:r>
        <w:t xml:space="preserve">7</w:t>
      </w:r>
      <w:r>
        <w:t xml:space="preserve"> </w:t>
      </w:r>
      <w:r>
        <w:t xml:space="preserve">Opinion on the IP Action Plan, the European Parliament stressed the need for revision of</w:t>
      </w:r>
      <w:r>
        <w:t xml:space="preserve"> </w:t>
      </w:r>
      <w:r>
        <w:t xml:space="preserve">the design protection system after having been established 20 years ago22.</w:t>
      </w:r>
      <w:r>
        <w:t xml:space="preserve"> </w:t>
      </w:r>
      <w:r>
        <w:t xml:space="preserve">2.</w:t>
      </w:r>
      <w:r>
        <w:t xml:space="preserve"> </w:t>
      </w:r>
      <w:r>
        <w:t xml:space="preserve">PROBLEM DEFINITION</w:t>
      </w:r>
      <w:r>
        <w:t xml:space="preserve"> </w:t>
      </w:r>
      <w:r>
        <w:t xml:space="preserve">2.1.</w:t>
      </w:r>
      <w:r>
        <w:t xml:space="preserve"> </w:t>
      </w:r>
      <w:r>
        <w:t xml:space="preserve">What are the problems?</w:t>
      </w:r>
      <w:r>
        <w:t xml:space="preserve"> </w:t>
      </w:r>
      <w:r>
        <w:t xml:space="preserve">Two main problems were identified in the context of this impact assessment. The first</w:t>
      </w:r>
      <w:r>
        <w:t xml:space="preserve"> </w:t>
      </w:r>
      <w:r>
        <w:t xml:space="preserve">and most important one relates to the disruption in intra EU trade and barriers to</w:t>
      </w:r>
      <w:r>
        <w:t xml:space="preserve"> </w:t>
      </w:r>
      <w:r>
        <w:t xml:space="preserve">competition in some Member States with respect to repair spare parts. The second relates</w:t>
      </w:r>
      <w:r>
        <w:t xml:space="preserve"> </w:t>
      </w:r>
      <w:r>
        <w:t xml:space="preserve">to the discouragement of businesses, in particular, SMEs and individual designers from</w:t>
      </w:r>
      <w:r>
        <w:t xml:space="preserve"> </w:t>
      </w:r>
      <w:r>
        <w:t xml:space="preserve">seeking for registered design protection at EU or national level due to the high costs,</w:t>
      </w:r>
      <w:r>
        <w:t xml:space="preserve"> </w:t>
      </w:r>
      <w:r>
        <w:t xml:space="preserve">burdens and delays in obtaining protection and the limited predictability.</w:t>
      </w:r>
      <w:r>
        <w:br/>
      </w:r>
      <w:r>
        <w:t xml:space="preserve">The evaluation addressed a few other shortcomings of the legislation on industrial</w:t>
      </w:r>
      <w:r>
        <w:t xml:space="preserve"> </w:t>
      </w:r>
      <w:r>
        <w:t xml:space="preserve">designs such as in relation to the clarity of the current definition of the eligible subject</w:t>
      </w:r>
      <w:r>
        <w:t xml:space="preserve"> </w:t>
      </w:r>
      <w:r>
        <w:t xml:space="preserve">matter of protection or of the specific provisions on the relationship of design protection</w:t>
      </w:r>
      <w:r>
        <w:t xml:space="preserve"> </w:t>
      </w:r>
      <w:r>
        <w:t xml:space="preserve">to copyright. These other shortcomings are intertwined with part of the second main</w:t>
      </w:r>
      <w:r>
        <w:t xml:space="preserve"> </w:t>
      </w:r>
      <w:r>
        <w:t xml:space="preserve">problem, notably the limited predictability. However, given the rather minor impact as</w:t>
      </w:r>
      <w:r>
        <w:t xml:space="preserve"> </w:t>
      </w:r>
      <w:r>
        <w:t xml:space="preserve">confirmed also by the replies to the Second Public Consultation and the legalistic nature</w:t>
      </w:r>
      <w:r>
        <w:t xml:space="preserve"> </w:t>
      </w:r>
      <w:r>
        <w:t xml:space="preserve">of the questions involved, these shortcomings are covered in the Annexes part to the</w:t>
      </w:r>
      <w:r>
        <w:t xml:space="preserve"> </w:t>
      </w:r>
      <w:r>
        <w:t xml:space="preserve">extent appropriate (see Annex 10 on subject-matter of protection and Annex 11 on the</w:t>
      </w:r>
      <w:r>
        <w:t xml:space="preserve"> </w:t>
      </w:r>
      <w:r>
        <w:t xml:space="preserve">relationship to copyright). In accordance with the principle of proportional analysis, the</w:t>
      </w:r>
      <w:r>
        <w:t xml:space="preserve"> </w:t>
      </w:r>
      <w:r>
        <w:t xml:space="preserve">present impact assessment does not expressly scrutinise a number of envisaged</w:t>
      </w:r>
      <w:r>
        <w:t xml:space="preserve"> </w:t>
      </w:r>
      <w:r>
        <w:t xml:space="preserve">(technical) amendments either which aim at minor adaptations of existing provisions with</w:t>
      </w:r>
      <w:r>
        <w:t xml:space="preserve"> </w:t>
      </w:r>
      <w:r>
        <w:t xml:space="preserve">little, or no practical impact, or that are straightforward and uncontentious such as in</w:t>
      </w:r>
      <w:r>
        <w:t xml:space="preserve"> </w:t>
      </w:r>
      <w:r>
        <w:t xml:space="preserve">relation to the required alignment to the recent trade mark reform. Nevertheless, an</w:t>
      </w:r>
      <w:r>
        <w:t xml:space="preserve"> </w:t>
      </w:r>
      <w:r>
        <w:t xml:space="preserve">overview of the proposals for amending the existing legislation is provided in Annex 5.</w:t>
      </w:r>
      <w:r>
        <w:br/>
      </w:r>
      <w:r>
        <w:t xml:space="preserve">As far as the evaluation revealed indications of a possible underuse of design rights due</w:t>
      </w:r>
      <w:r>
        <w:t xml:space="preserve"> </w:t>
      </w:r>
      <w:r>
        <w:t xml:space="preserve">to lack of awareness of the specific design protection regime and its benefits23, this has</w:t>
      </w:r>
      <w:r>
        <w:t xml:space="preserve"> </w:t>
      </w:r>
      <w:r>
        <w:t xml:space="preserve">remained out of scope of the impact assessment as a very wide range of different</w:t>
      </w:r>
      <w:r>
        <w:br/>
      </w:r>
      <w:r>
        <w:t xml:space="preserve">awareness raising activities, campaigns and trainings (targeting particularly SMEs) are</w:t>
      </w:r>
      <w:r>
        <w:t xml:space="preserve"> </w:t>
      </w:r>
      <w:r>
        <w:t xml:space="preserve">already carried out or planned by the EUIPO24, including the EUIPO’s Academy and the</w:t>
      </w:r>
      <w:r>
        <w:t xml:space="preserve"> </w:t>
      </w:r>
      <w:r>
        <w:t xml:space="preserve">European Observatory on Infringements of Intellectual Property Rights. In addition, the</w:t>
      </w:r>
      <w:r>
        <w:t xml:space="preserve"> </w:t>
      </w:r>
      <w:r>
        <w:t xml:space="preserve">EU IP Helpdesk offers multiple trainings and materials to help European creators and</w:t>
      </w:r>
      <w:r>
        <w:t xml:space="preserve"> </w:t>
      </w:r>
      <w:r>
        <w:t xml:space="preserve">innovators to make the most out of their IP assets, including designs25. To the extent</w:t>
      </w:r>
      <w:r>
        <w:t xml:space="preserve"> </w:t>
      </w:r>
      <w:r>
        <w:t xml:space="preserve">necessary and appropriate, the Commission shall build on existing other initiatives, in</w:t>
      </w:r>
      <w:r>
        <w:t xml:space="preserve"> </w:t>
      </w:r>
      <w:r>
        <w:t xml:space="preserve">particular related to SME support, to further promote the use of design protection and</w:t>
      </w:r>
      <w:r>
        <w:t xml:space="preserve"> </w:t>
      </w:r>
      <w:r>
        <w:t xml:space="preserve">raise awareness about is benefits.</w:t>
      </w:r>
    </w:p>
    <w:p>
      <w:pPr>
        <w:pStyle w:val="BodyText"/>
      </w:pPr>
      <w:r>
        <w:t xml:space="preserve">22 Report on an intellectual property action plan to support the EU’s recovery and resilience, as adopted by</w:t>
      </w:r>
      <w:r>
        <w:t xml:space="preserve"> </w:t>
      </w:r>
      <w:r>
        <w:t xml:space="preserve">the Legal Affairs Committee on 30 September 2021 (A9-0284/2021), para 32.</w:t>
      </w:r>
      <w:r>
        <w:t xml:space="preserve"> </w:t>
      </w:r>
      <w:r>
        <w:t xml:space="preserve">23 SWD(2020) 264 final, p. 16, 17 and 71.</w:t>
      </w:r>
      <w:r>
        <w:t xml:space="preserve"> </w:t>
      </w:r>
      <w:r>
        <w:t xml:space="preserve">24 For details on ongoing or planned new awareness raising activities see Annex 12 and EUIPO Annual</w:t>
      </w:r>
      <w:r>
        <w:t xml:space="preserve"> </w:t>
      </w:r>
      <w:r>
        <w:t xml:space="preserve">Work Programme 2021, MBBC_20_S10_2.4_Cover note.docx (europa.eu), p. 9, 12, 18, 24. As to related</w:t>
      </w:r>
      <w:r>
        <w:t xml:space="preserve"> </w:t>
      </w:r>
      <w:r>
        <w:t xml:space="preserve">(new) key initiatives to increase knowledge, understanding and successful use of IP by SME’s, see also</w:t>
      </w:r>
      <w:r>
        <w:t xml:space="preserve"> </w:t>
      </w:r>
      <w:r>
        <w:t xml:space="preserve">EUIPO Strategic Plan 2025, SP2025_en.pdf (europa.eu), p. 36, 46 and 40.</w:t>
      </w:r>
      <w:r>
        <w:t xml:space="preserve"> </w:t>
      </w:r>
      <w:r>
        <w:t xml:space="preserve">25 European IP Helpdesk (europa.eu).</w:t>
      </w:r>
    </w:p>
    <w:p>
      <w:pPr>
        <w:pStyle w:val="BodyText"/>
      </w:pPr>
      <w:r>
        <w:t xml:space="preserve">8</w:t>
      </w:r>
    </w:p>
    <w:p>
      <w:pPr>
        <w:pStyle w:val="BodyText"/>
      </w:pPr>
      <w:r>
        <w:t xml:space="preserve">2.1.1. Disruption of trade and competition in the spare parts area</w:t>
      </w:r>
      <w:r>
        <w:br/>
      </w:r>
      <w:r>
        <w:t xml:space="preserve">As harmonisation of substantive design law under the DDir does not cover the area of</w:t>
      </w:r>
      <w:r>
        <w:t xml:space="preserve"> </w:t>
      </w:r>
      <w:r>
        <w:t xml:space="preserve">repair spare parts, important national differences remain regarding the eligibility of</w:t>
      </w:r>
      <w:r>
        <w:t xml:space="preserve"> </w:t>
      </w:r>
      <w:r>
        <w:t xml:space="preserve">design protection for visible component parts used for the purpose of repair so as to</w:t>
      </w:r>
      <w:r>
        <w:t xml:space="preserve"> </w:t>
      </w:r>
      <w:r>
        <w:t xml:space="preserve">restore the original appearance of a complex product. A complex product refers to a</w:t>
      </w:r>
      <w:r>
        <w:t xml:space="preserve"> </w:t>
      </w:r>
      <w:r>
        <w:t xml:space="preserve">product made up of multiple components, which can be replaced permitting disassembly</w:t>
      </w:r>
      <w:r>
        <w:t xml:space="preserve"> </w:t>
      </w:r>
      <w:r>
        <w:t xml:space="preserve">and re-assembly of the product26. On one hand, at EU level, the CDR excludes in a</w:t>
      </w:r>
      <w:r>
        <w:t xml:space="preserve"> </w:t>
      </w:r>
      <w:r>
        <w:t xml:space="preserve">‘repair clause’27 such component parts from protection. On the other, as mentioned in</w:t>
      </w:r>
      <w:r>
        <w:t xml:space="preserve"> </w:t>
      </w:r>
      <w:r>
        <w:t xml:space="preserve">Section 1.2, the issue remains not harmonised under the DDir and Member States can</w:t>
      </w:r>
      <w:r>
        <w:t xml:space="preserve"> </w:t>
      </w:r>
      <w:r>
        <w:t xml:space="preserve">choose whether to retain provisions extending protection to those component parts or to</w:t>
      </w:r>
      <w:r>
        <w:t xml:space="preserve"> </w:t>
      </w:r>
      <w:r>
        <w:t xml:space="preserve">exempt them therefrom by means of a repair clause.</w:t>
      </w:r>
      <w:r>
        <w:t xml:space="preserve"> </w:t>
      </w:r>
      <w:r>
        <w:t xml:space="preserve">As of September 2021, twelve (BE, DE, EL, ES, HU, IE, IT, LV, LT, LU, NL, PL) out of</w:t>
      </w:r>
      <w:r>
        <w:t xml:space="preserve"> </w:t>
      </w:r>
      <w:r>
        <w:t xml:space="preserve">27 Member States provide for a repair clause exemption and hence have liberalised the</w:t>
      </w:r>
      <w:r>
        <w:t xml:space="preserve"> </w:t>
      </w:r>
      <w:r>
        <w:t xml:space="preserve">spare parts market (see Annex 6 for detailed overview).28 Most recently, a repair clause</w:t>
      </w:r>
      <w:r>
        <w:t xml:space="preserve"> </w:t>
      </w:r>
      <w:r>
        <w:t xml:space="preserve">was inserted into the German Design Act29, which entered into force on 2 December</w:t>
      </w:r>
    </w:p>
    <w:p>
      <w:pPr>
        <w:pStyle w:val="BodyText"/>
      </w:pPr>
      <w:r>
        <w:t xml:space="preserve">26 Article 1(c) DDir and Article 3(c) CDR.</w:t>
      </w:r>
      <w:r>
        <w:br/>
      </w:r>
      <w:r>
        <w:t xml:space="preserve">27 Article 110(1) CDR reads: “Until such time as amendments to this Regulation enter into force on a</w:t>
      </w:r>
      <w:r>
        <w:t xml:space="preserve"> </w:t>
      </w:r>
      <w:r>
        <w:t xml:space="preserve">proposal from the Commission on this subject, protection as a Community design shall not exist for a</w:t>
      </w:r>
      <w:r>
        <w:t xml:space="preserve"> </w:t>
      </w:r>
      <w:r>
        <w:t xml:space="preserve">design which constitutes a component part of a complex product used within the meaning of Article 19(1)</w:t>
      </w:r>
      <w:r>
        <w:t xml:space="preserve"> </w:t>
      </w:r>
      <w:r>
        <w:t xml:space="preserve">for the purpose of the repair of that complex product so as to restore its original appearance.”</w:t>
      </w:r>
      <w:r>
        <w:t xml:space="preserve"> </w:t>
      </w:r>
      <w:r>
        <w:t xml:space="preserve">28 Time.lex, Queen Mary - London, Spark Legal Network &amp; Indiville (April 2016). Legal review on</w:t>
      </w:r>
      <w:r>
        <w:t xml:space="preserve"> </w:t>
      </w:r>
      <w:r>
        <w:t xml:space="preserve">industrial design protection in Europe, 2016, p. 136; Beldiman, D., &amp; Blanke-Roeser, C. (2017). An</w:t>
      </w:r>
      <w:r>
        <w:t xml:space="preserve"> </w:t>
      </w:r>
      <w:r>
        <w:t xml:space="preserve">International Perspective on Design Protection of Visible Spare Parts. Springer, p. 41; SWD(2020) 264</w:t>
      </w:r>
      <w:r>
        <w:t xml:space="preserve"> </w:t>
      </w:r>
      <w:r>
        <w:t xml:space="preserve">final, p. 65.</w:t>
      </w:r>
      <w:r>
        <w:t xml:space="preserve"> </w:t>
      </w:r>
      <w:r>
        <w:t xml:space="preserve">29 New Section 40a DesignG.</w:t>
      </w:r>
    </w:p>
    <w:p>
      <w:pPr>
        <w:pStyle w:val="BodyText"/>
      </w:pPr>
      <w:r>
        <w:t xml:space="preserve">9</w:t>
      </w:r>
      <w:r>
        <w:t xml:space="preserve"> </w:t>
      </w:r>
      <w:r>
        <w:t xml:space="preserve">2020 and affects designs applied for registration after that date.30 In France, a partial and</w:t>
      </w:r>
      <w:r>
        <w:t xml:space="preserve"> </w:t>
      </w:r>
      <w:r>
        <w:t xml:space="preserve">sectorial31 repair clause was promulgated on 24 August 2021 as part of a new law32 on</w:t>
      </w:r>
      <w:r>
        <w:t xml:space="preserve"> </w:t>
      </w:r>
      <w:r>
        <w:t xml:space="preserve">combating climate change and strengthening resilience against its effects. As from 1</w:t>
      </w:r>
      <w:r>
        <w:t xml:space="preserve"> </w:t>
      </w:r>
      <w:r>
        <w:t xml:space="preserve">January 2023, the sale of visible spare parts will be partially opened to competition there.</w:t>
      </w:r>
      <w:r>
        <w:t xml:space="preserve"> </w:t>
      </w:r>
      <w:r>
        <w:t xml:space="preserve">As in Germany, this is going to affect new designs only.</w:t>
      </w:r>
      <w:r>
        <w:t xml:space="preserve"> </w:t>
      </w:r>
      <w:r>
        <w:t xml:space="preserve">Design protection for repair spare parts conflicts with the essential role and</w:t>
      </w:r>
      <w:r>
        <w:t xml:space="preserve"> </w:t>
      </w:r>
      <w:r>
        <w:t xml:space="preserve">function of design law. The purpose of design law is to protect the appearance, the</w:t>
      </w:r>
      <w:r>
        <w:t xml:space="preserve"> </w:t>
      </w:r>
      <w:r>
        <w:t xml:space="preserve">visible form of a product, not the product itself (granting an exclusive right to a particular</w:t>
      </w:r>
      <w:r>
        <w:t xml:space="preserve"> </w:t>
      </w:r>
      <w:r>
        <w:t xml:space="preserve">shape but no product monopoly)33. The objective is to foster innovation in product design</w:t>
      </w:r>
      <w:r>
        <w:t xml:space="preserve"> </w:t>
      </w:r>
      <w:r>
        <w:t xml:space="preserve">while maintaining competition of products. Competitors are therefore encouraged to</w:t>
      </w:r>
      <w:r>
        <w:t xml:space="preserve"> </w:t>
      </w:r>
      <w:r>
        <w:t xml:space="preserve">create new, sufficiently distinguishable designs for their competing products which</w:t>
      </w:r>
      <w:r>
        <w:t xml:space="preserve"> </w:t>
      </w:r>
      <w:r>
        <w:t xml:space="preserve">consumers find appealing. This is achieved without interfering with the competition of</w:t>
      </w:r>
      <w:r>
        <w:t xml:space="preserve"> </w:t>
      </w:r>
      <w:r>
        <w:t xml:space="preserve">products as such. The protection of the design of a watch, for instance, does not hamper</w:t>
      </w:r>
      <w:r>
        <w:t xml:space="preserve"> </w:t>
      </w:r>
      <w:r>
        <w:t xml:space="preserve">competition in the watch market. The huge variety of watch designs can be taken as</w:t>
      </w:r>
      <w:r>
        <w:t xml:space="preserve"> </w:t>
      </w:r>
      <w:r>
        <w:t xml:space="preserve">striking example of how design protection stimulates product competition. Successful</w:t>
      </w:r>
      <w:r>
        <w:t xml:space="preserve"> </w:t>
      </w:r>
      <w:r>
        <w:t xml:space="preserve">designs are those picked by the consumer who prefers for instance the smartly designed</w:t>
      </w:r>
      <w:r>
        <w:t xml:space="preserve"> </w:t>
      </w:r>
      <w:r>
        <w:t xml:space="preserve">car or watch, and exclusive rights allow the designer to be rewarded for that design (i.e. </w:t>
      </w:r>
      <w:r>
        <w:t xml:space="preserve"> </w:t>
      </w:r>
      <w:r>
        <w:t xml:space="preserve">“design premium” is awarded by the market based on consumer preferences). However,</w:t>
      </w:r>
      <w:r>
        <w:t xml:space="preserve"> </w:t>
      </w:r>
      <w:r>
        <w:t xml:space="preserve">in the case of ‘must-match’ spare parts that need to exactly match the original parts to be</w:t>
      </w:r>
      <w:r>
        <w:t xml:space="preserve"> </w:t>
      </w:r>
      <w:r>
        <w:t xml:space="preserve">replaced, the aftermarket leaves no room for consumers to exercise a choice and to prefer</w:t>
      </w:r>
      <w:r>
        <w:t xml:space="preserve"> </w:t>
      </w:r>
      <w:r>
        <w:t xml:space="preserve">one design to the other. In such a case, the effect of design exclusivity corresponds to that</w:t>
      </w:r>
      <w:r>
        <w:t xml:space="preserve"> </w:t>
      </w:r>
      <w:r>
        <w:t xml:space="preserve">of a product monopoly and is thus an unintended – from the ratio of the design acquis -</w:t>
      </w:r>
      <w:r>
        <w:t xml:space="preserve"> </w:t>
      </w:r>
      <w:r>
        <w:t xml:space="preserve">excessive rent to the manufacturers of the original parts.34 In other words, the design law</w:t>
      </w:r>
      <w:r>
        <w:t xml:space="preserve"> </w:t>
      </w:r>
      <w:r>
        <w:t xml:space="preserve">awards primary market ‘exclusivity’ rooted in the look of a vehicle, which is relative –</w:t>
      </w:r>
      <w:r>
        <w:t xml:space="preserve"> </w:t>
      </w:r>
      <w:r>
        <w:t xml:space="preserve">after all, inter-brand competition with other vehicles remains. It is, however, an arguable</w:t>
      </w:r>
      <w:r>
        <w:t xml:space="preserve"> </w:t>
      </w:r>
      <w:r>
        <w:t xml:space="preserve">IPR protection over-reach to extend this into an absolute exclusivity over spare parts.</w:t>
      </w:r>
      <w:r>
        <w:br/>
      </w:r>
      <w:r>
        <w:t xml:space="preserve">Design protection for repair spare parts may result in foreclosure of competition</w:t>
      </w:r>
      <w:r>
        <w:t xml:space="preserve"> </w:t>
      </w:r>
      <w:r>
        <w:t xml:space="preserve">and “lock-in” effect. In markets with repair clause independent manufacturers are free to</w:t>
      </w:r>
      <w:r>
        <w:t xml:space="preserve"> </w:t>
      </w:r>
      <w:r>
        <w:t xml:space="preserve">provide competing parts. This is different in markets where no repair clause exemption</w:t>
      </w:r>
      <w:r>
        <w:t xml:space="preserve"> </w:t>
      </w:r>
      <w:r>
        <w:t xml:space="preserve">exists currently (AT, BG, CY, CZ, DK, EE, FI, FR, HR, MT, PT, RO, SE, SI, and SK).</w:t>
      </w:r>
      <w:r>
        <w:t xml:space="preserve"> </w:t>
      </w:r>
      <w:r>
        <w:t xml:space="preserve">The holder of the design right may prevent manufacturing, importing, or selling of</w:t>
      </w:r>
      <w:r>
        <w:t xml:space="preserve"> </w:t>
      </w:r>
      <w:r>
        <w:t xml:space="preserve">similar visible spare parts by potential competitors. This is problematic when the</w:t>
      </w:r>
      <w:r>
        <w:t xml:space="preserve"> </w:t>
      </w:r>
      <w:r>
        <w:t xml:space="preserve">appearance of such parts is dependent on the appearance of the complex product to be</w:t>
      </w:r>
      <w:r>
        <w:t xml:space="preserve"> </w:t>
      </w:r>
      <w:r>
        <w:t xml:space="preserve">repaired so that the exact reproduction is necessary for restoring the complex product’s</w:t>
      </w:r>
      <w:r>
        <w:t xml:space="preserve"> </w:t>
      </w:r>
      <w:r>
        <w:t xml:space="preserve">original appearance (so-called “must-match parts”). As the spare part at issue must</w:t>
      </w:r>
      <w:r>
        <w:t xml:space="preserve"> </w:t>
      </w:r>
      <w:r>
        <w:t xml:space="preserve">exactly match the specifications of the original part to be replaced in the context of</w:t>
      </w:r>
      <w:r>
        <w:t xml:space="preserve"> </w:t>
      </w:r>
      <w:r>
        <w:t xml:space="preserve">repair, substitutability by alternative designs is not possible. In the case of cars, a fender,</w:t>
      </w:r>
      <w:r>
        <w:t xml:space="preserve"> </w:t>
      </w:r>
      <w:r>
        <w:t xml:space="preserve">for example, that differs in shape from the original one is useless for the repair of the</w:t>
      </w:r>
      <w:r>
        <w:t xml:space="preserve"> </w:t>
      </w:r>
      <w:r>
        <w:t xml:space="preserve">original vehicle and therefore unmarketable. Any competitor wishing to enter such</w:t>
      </w:r>
      <w:r>
        <w:t xml:space="preserve"> </w:t>
      </w:r>
      <w:r>
        <w:t xml:space="preserve">market needs therefore to be able to imitate the original part. However, that imitation</w:t>
      </w:r>
    </w:p>
    <w:p>
      <w:pPr>
        <w:pStyle w:val="BodyText"/>
      </w:pPr>
      <w:r>
        <w:t xml:space="preserve">30 For more details see Jutta Figge/Nadine Kalberg, Die Ersatzteilklausel im Designrecht – zur aktuellen</w:t>
      </w:r>
      <w:r>
        <w:t xml:space="preserve"> </w:t>
      </w:r>
      <w:r>
        <w:t xml:space="preserve">politischen Lage, GRUR 2020, p. 248 et seq.; Josef Drexl, Die Reparaturklausel im Designrecht: Eine</w:t>
      </w:r>
      <w:r>
        <w:t xml:space="preserve"> </w:t>
      </w:r>
      <w:r>
        <w:t xml:space="preserve">wettbewerbs- und immaterialgüterrechtlich gebotene Reform, GRUR 2020, p. 234 et seq.</w:t>
      </w:r>
      <w:r>
        <w:t xml:space="preserve"> </w:t>
      </w:r>
      <w:r>
        <w:t xml:space="preserve">31 Explicitly confined to the automotive sector only.</w:t>
      </w:r>
      <w:r>
        <w:t xml:space="preserve"> </w:t>
      </w:r>
      <w:r>
        <w:t xml:space="preserve">32 Loi n° 2021-1104 du 22 août 2021.</w:t>
      </w:r>
      <w:r>
        <w:t xml:space="preserve"> </w:t>
      </w:r>
      <w:r>
        <w:t xml:space="preserve">33 See also the European Parliament in its first reading position adopted on 12 December 2007 on the 2004</w:t>
      </w:r>
      <w:r>
        <w:t xml:space="preserve"> </w:t>
      </w:r>
      <w:r>
        <w:t xml:space="preserve">proposal to introduce a repair clause (EP-PE_TC1-COD(2004)0203).</w:t>
      </w:r>
      <w:r>
        <w:t xml:space="preserve"> </w:t>
      </w:r>
      <w:r>
        <w:t xml:space="preserve">34 Jens Schovbo and Graeme B. Dinwoodie, Design protection for products that are “dictated by function”,</w:t>
      </w:r>
      <w:r>
        <w:t xml:space="preserve"> </w:t>
      </w:r>
      <w:r>
        <w:t xml:space="preserve">in: The EU Design Approach, A global appraisal, 2018, p. 156.</w:t>
      </w:r>
    </w:p>
    <w:p>
      <w:pPr>
        <w:pStyle w:val="BodyText"/>
      </w:pPr>
      <w:r>
        <w:t xml:space="preserve">10</w:t>
      </w:r>
      <w:r>
        <w:t xml:space="preserve"> </w:t>
      </w:r>
      <w:r>
        <w:t xml:space="preserve">would constitute an infringement of design rights where no repair clause exemption</w:t>
      </w:r>
      <w:r>
        <w:t xml:space="preserve"> </w:t>
      </w:r>
      <w:r>
        <w:t xml:space="preserve">exists. Therefore, right holders are granted a genuine monopoly on the spare parts</w:t>
      </w:r>
      <w:r>
        <w:t xml:space="preserve"> </w:t>
      </w:r>
      <w:r>
        <w:t xml:space="preserve">aftermarket in the Member States concerned. That means that right holders can exclude</w:t>
      </w:r>
      <w:r>
        <w:t xml:space="preserve"> </w:t>
      </w:r>
      <w:r>
        <w:t xml:space="preserve">entry and that repair shops and customers may be “locked” into purchasing such repair</w:t>
      </w:r>
      <w:r>
        <w:t xml:space="preserve"> </w:t>
      </w:r>
      <w:r>
        <w:t xml:space="preserve">parts exclusively from them as original manufacturers or their suppliers. For example, in</w:t>
      </w:r>
      <w:r>
        <w:t xml:space="preserve"> </w:t>
      </w:r>
      <w:r>
        <w:t xml:space="preserve">protected markets, a vehicle owner may not be able to buy the spare parts needed from a</w:t>
      </w:r>
      <w:r>
        <w:t xml:space="preserve"> </w:t>
      </w:r>
      <w:r>
        <w:t xml:space="preserve">source of choice (“freedom to repair”) and at prices kept in check by competition but</w:t>
      </w:r>
      <w:r>
        <w:t xml:space="preserve"> </w:t>
      </w:r>
      <w:r>
        <w:t xml:space="preserve">may become a captive consumer35. This is all the more valid as existing competition in</w:t>
      </w:r>
      <w:r>
        <w:t xml:space="preserve"> </w:t>
      </w:r>
      <w:r>
        <w:t xml:space="preserve">the primary car market might not outweigh uncompetitive prices in the aftermarket36.</w:t>
      </w:r>
      <w:r>
        <w:t xml:space="preserve"> </w:t>
      </w:r>
      <w:r>
        <w:t xml:space="preserve">This would require consumers being able to take an informed decision at the time of</w:t>
      </w:r>
      <w:r>
        <w:t xml:space="preserve"> </w:t>
      </w:r>
      <w:r>
        <w:t xml:space="preserve">purchase of the car as to the need for spare parts over its whole life-cycle. However, this</w:t>
      </w:r>
      <w:r>
        <w:t xml:space="preserve"> </w:t>
      </w:r>
      <w:r>
        <w:t xml:space="preserve">is not the case, as such need does not only depend on the individual intensity of use but</w:t>
      </w:r>
      <w:r>
        <w:t xml:space="preserve"> </w:t>
      </w:r>
      <w:r>
        <w:t xml:space="preserve">in particular on the probability of suffering an accident. Such perfect foresight is</w:t>
      </w:r>
      <w:r>
        <w:t xml:space="preserve"> </w:t>
      </w:r>
      <w:r>
        <w:t xml:space="preserve">impossible for the user.</w:t>
      </w:r>
      <w:r>
        <w:br/>
      </w:r>
      <w:r>
        <w:t xml:space="preserve">The DDir applies to any sector where the replacement and repair of visible components</w:t>
      </w:r>
      <w:r>
        <w:t xml:space="preserve"> </w:t>
      </w:r>
      <w:r>
        <w:t xml:space="preserve">of complex products is at stake and which therefore would be affected by an eventual</w:t>
      </w:r>
      <w:r>
        <w:t xml:space="preserve"> </w:t>
      </w:r>
      <w:r>
        <w:t xml:space="preserve">harmonisation at European level. While component parts can be found in virtually all</w:t>
      </w:r>
      <w:r>
        <w:t xml:space="preserve"> </w:t>
      </w:r>
      <w:r>
        <w:t xml:space="preserve">modern products and devices, the largest aftermarket affected is that of the automotive</w:t>
      </w:r>
      <w:r>
        <w:t xml:space="preserve"> </w:t>
      </w:r>
      <w:r>
        <w:t xml:space="preserve">industry. This is also the largest group that responded to the two open public</w:t>
      </w:r>
      <w:r>
        <w:t xml:space="preserve"> </w:t>
      </w:r>
      <w:r>
        <w:t xml:space="preserve">consultations.</w:t>
      </w:r>
      <w:r>
        <w:t xml:space="preserve"> </w:t>
      </w:r>
      <w:r>
        <w:t xml:space="preserve">There are 319 million vehicles in circulation on EU roads,37 and given also the low cost</w:t>
      </w:r>
      <w:r>
        <w:t xml:space="preserve"> </w:t>
      </w:r>
      <w:r>
        <w:t xml:space="preserve">of repair compared to the price of a new car, the demand for damage repair is significant.</w:t>
      </w:r>
      <w:r>
        <w:t xml:space="preserve"> </w:t>
      </w:r>
      <w:r>
        <w:t xml:space="preserve">According to Wolk After Sales38, in 2019, the market value of automotive visible spare</w:t>
      </w:r>
      <w:r>
        <w:t xml:space="preserve"> </w:t>
      </w:r>
      <w:r>
        <w:t xml:space="preserve">parts in the EU was equal to EUR 16.3 billion39 and represented 17% of the total market</w:t>
      </w:r>
      <w:r>
        <w:t xml:space="preserve"> </w:t>
      </w:r>
      <w:r>
        <w:t xml:space="preserve">value for all automotive spare parts in the EU. Almost 51% of sales (EUR 8.3 billion)</w:t>
      </w:r>
      <w:r>
        <w:t xml:space="preserve"> </w:t>
      </w:r>
      <w:r>
        <w:t xml:space="preserve">took place in countries without a repair clause. This figure covers three segments: body</w:t>
      </w:r>
      <w:r>
        <w:t xml:space="preserve"> </w:t>
      </w:r>
      <w:r>
        <w:t xml:space="preserve">parts (with the market value of EUR 9.7 billion), auto glass (EUR 4.4 billion) and</w:t>
      </w:r>
      <w:r>
        <w:t xml:space="preserve"> </w:t>
      </w:r>
      <w:r>
        <w:t xml:space="preserve">lighting (2.2 billion EUR). These parts, also called crash parts, are typically replaced</w:t>
      </w:r>
      <w:r>
        <w:t xml:space="preserve"> </w:t>
      </w:r>
      <w:r>
        <w:t xml:space="preserve">because of collision and can benefit from design protection in the markets without repair</w:t>
      </w:r>
      <w:r>
        <w:t xml:space="preserve"> </w:t>
      </w:r>
      <w:r>
        <w:t xml:space="preserve">clause.</w:t>
      </w:r>
      <w:r>
        <w:br/>
      </w:r>
      <w:r>
        <w:t xml:space="preserve">With 69% of total sales, vehicle manufacturers (VM) cover a large segment in the</w:t>
      </w:r>
      <w:r>
        <w:t xml:space="preserve"> </w:t>
      </w:r>
      <w:r>
        <w:t xml:space="preserve">EU visible spare part market. Such market power may be used in Member States</w:t>
      </w:r>
      <w:r>
        <w:t xml:space="preserve"> </w:t>
      </w:r>
      <w:r>
        <w:t xml:space="preserve">without repair clause to the detriment of consumers. Mejer and Herz (2020)40</w:t>
      </w:r>
      <w:r>
        <w:t xml:space="preserve"> </w:t>
      </w:r>
      <w:r>
        <w:t xml:space="preserve">estimate economic impact of design protection on the prices of visible spare parts in</w:t>
      </w:r>
      <w:r>
        <w:t xml:space="preserve"> </w:t>
      </w:r>
      <w:r>
        <w:t xml:space="preserve">automotive aftermarket. They rely on information published by Insurance Europe in</w:t>
      </w:r>
      <w:r>
        <w:t xml:space="preserve"> </w:t>
      </w:r>
      <w:r>
        <w:t xml:space="preserve">Spare Parts Price Survey(s) that contains the pre-tax prices of 12 types of spare parts</w:t>
      </w:r>
      <w:r>
        <w:t xml:space="preserve"> </w:t>
      </w:r>
      <w:r>
        <w:t xml:space="preserve">(including lighting, auto glass and body parts) for 60 car models from 2001 to 2016 in 16</w:t>
      </w:r>
    </w:p>
    <w:p>
      <w:pPr>
        <w:pStyle w:val="BodyText"/>
      </w:pPr>
      <w:r>
        <w:t xml:space="preserve">35 According to the CJEU in Joined Cases C-397/16 and C-435/16 Acacia v. Audi AG and Porsche,</w:t>
      </w:r>
      <w:r>
        <w:t xml:space="preserve"> </w:t>
      </w:r>
      <w:r>
        <w:t xml:space="preserve">paragraph 50, the purpose of the repair clause contained in Article 110(1) CDR is to liberalise the market in</w:t>
      </w:r>
      <w:r>
        <w:t xml:space="preserve"> </w:t>
      </w:r>
      <w:r>
        <w:t xml:space="preserve">replacement parts so as to avoid the creation of captive markets in certain spare parts and to prevent a</w:t>
      </w:r>
      <w:r>
        <w:t xml:space="preserve"> </w:t>
      </w:r>
      <w:r>
        <w:t xml:space="preserve">consumer from being indefinitely tied to the original manufacturer of the goods for the purchase of external</w:t>
      </w:r>
      <w:r>
        <w:t xml:space="preserve"> </w:t>
      </w:r>
      <w:r>
        <w:t xml:space="preserve">parts.</w:t>
      </w:r>
      <w:r>
        <w:br/>
      </w:r>
      <w:r>
        <w:t xml:space="preserve">36 Cf. Josef Drexl, supra note 22, p. 241.</w:t>
      </w:r>
      <w:r>
        <w:t xml:space="preserve"> </w:t>
      </w:r>
      <w:r>
        <w:t xml:space="preserve">37 DG Mobility and Transport (European Commission). (2021, September). EU transport in figures -</w:t>
      </w:r>
      <w:r>
        <w:t xml:space="preserve"> </w:t>
      </w:r>
      <w:r>
        <w:t xml:space="preserve">Statistical pocketbook 2021. https://op.europa.eu/s/sJBj</w:t>
      </w:r>
      <w:r>
        <w:br/>
      </w:r>
      <w:r>
        <w:t xml:space="preserve">38 Wolk After Sales (2021, September) Market structure of motor vehicle visible spare parts in the EU.</w:t>
      </w:r>
      <w:r>
        <w:t xml:space="preserve"> </w:t>
      </w:r>
      <w:r>
        <w:t xml:space="preserve">39 This amount includes the share of accident repairs, including body work, car glass, lights at retail prices</w:t>
      </w:r>
      <w:r>
        <w:t xml:space="preserve"> </w:t>
      </w:r>
      <w:r>
        <w:t xml:space="preserve">without VAT. Does not include the labour rate, paint job, and other work.</w:t>
      </w:r>
      <w:r>
        <w:t xml:space="preserve"> </w:t>
      </w:r>
      <w:r>
        <w:t xml:space="preserve">40 Herz &amp; Mejer (2020) The effect of design protection on price and price dispersion: Evidence from</w:t>
      </w:r>
      <w:r>
        <w:t xml:space="preserve"> </w:t>
      </w:r>
      <w:r>
        <w:t xml:space="preserve">automotive spare parts. Retrieved from https://mpra.ub.uni-muenchen.de/104137/</w:t>
      </w:r>
    </w:p>
    <w:p>
      <w:pPr>
        <w:pStyle w:val="BodyText"/>
      </w:pPr>
      <w:r>
        <w:t xml:space="preserve">11</w:t>
      </w:r>
      <w:r>
        <w:t xml:space="preserve"> </w:t>
      </w:r>
      <w:r>
        <w:t xml:space="preserve">EU Member States plus Norway and Switzerland. The fact that spare part prices are</w:t>
      </w:r>
      <w:r>
        <w:t xml:space="preserve"> </w:t>
      </w:r>
      <w:r>
        <w:t xml:space="preserve">listed by car model allows them to make cross-country price comparisons between</w:t>
      </w:r>
      <w:r>
        <w:t xml:space="preserve"> </w:t>
      </w:r>
      <w:r>
        <w:t xml:space="preserve">exactly the same parts; for example, they are able to compare the price of a windscreen</w:t>
      </w:r>
      <w:r>
        <w:t xml:space="preserve"> </w:t>
      </w:r>
      <w:r>
        <w:t xml:space="preserve">for a BMW 5 Series 530d 2993 cc 2011 between Germany and France in 2016. In order</w:t>
      </w:r>
      <w:r>
        <w:t xml:space="preserve"> </w:t>
      </w:r>
      <w:r>
        <w:t xml:space="preserve">to estimate the impact of design protection on prices, Herz and Mejer (2020) use a</w:t>
      </w:r>
      <w:r>
        <w:t xml:space="preserve"> </w:t>
      </w:r>
      <w:r>
        <w:t xml:space="preserve">statistical technique called difference-in-differences that allows to measure the</w:t>
      </w:r>
      <w:r>
        <w:t xml:space="preserve"> </w:t>
      </w:r>
      <w:r>
        <w:t xml:space="preserve">differential effect between prices of identical parts in countries with and without repair</w:t>
      </w:r>
      <w:r>
        <w:t xml:space="preserve"> </w:t>
      </w:r>
      <w:r>
        <w:t xml:space="preserve">clause. Results show that in the absence of a repair clause (competition) prices of</w:t>
      </w:r>
      <w:r>
        <w:t xml:space="preserve"> </w:t>
      </w:r>
      <w:r>
        <w:t xml:space="preserve">identical parts are by 5–8% higher on average.</w:t>
      </w:r>
      <w:r>
        <w:t xml:space="preserve"> </w:t>
      </w:r>
      <w:r>
        <w:t xml:space="preserve">Availability of alternatives would bring considerable benefits to consumers in terms</w:t>
      </w:r>
      <w:r>
        <w:t xml:space="preserve"> </w:t>
      </w:r>
      <w:r>
        <w:t xml:space="preserve">of price. If there was an EU-wide repair clause exemption, EU consumers in Member</w:t>
      </w:r>
      <w:r>
        <w:t xml:space="preserve"> </w:t>
      </w:r>
      <w:r>
        <w:t xml:space="preserve">States currently without a repair clause would save between EUR 415 and 664 million</w:t>
      </w:r>
      <w:r>
        <w:t xml:space="preserve"> </w:t>
      </w:r>
      <w:r>
        <w:t xml:space="preserve">annually on the purchase of visible automotive spare parts alone (see Annex 4 for details</w:t>
      </w:r>
      <w:r>
        <w:t xml:space="preserve"> </w:t>
      </w:r>
      <w:r>
        <w:t xml:space="preserve">on methodology). These savings would realise if a new repair clause was binding for</w:t>
      </w:r>
      <w:r>
        <w:t xml:space="preserve"> </w:t>
      </w:r>
      <w:r>
        <w:t xml:space="preserve">both old (already registered) and new designs.</w:t>
      </w:r>
      <w:r>
        <w:br/>
      </w:r>
      <w:r>
        <w:t xml:space="preserve">Design protection may prevent the antitrust regime from achieving its full benefits</w:t>
      </w:r>
      <w:r>
        <w:t xml:space="preserve"> </w:t>
      </w:r>
      <w:r>
        <w:t xml:space="preserve">for enterprises and consumers. The issue of extending design protection to spare parts</w:t>
      </w:r>
      <w:r>
        <w:t xml:space="preserve"> </w:t>
      </w:r>
      <w:r>
        <w:t xml:space="preserve">has an impact on the</w:t>
      </w:r>
      <w:r>
        <w:t xml:space="preserve"> </w:t>
      </w:r>
      <w:r>
        <w:t xml:space="preserve">“Motor Vehicle Block Exemption Regulation”</w:t>
      </w:r>
      <w:r>
        <w:t xml:space="preserve"> </w:t>
      </w:r>
      <w:r>
        <w:t xml:space="preserve">(MVBER).41 The</w:t>
      </w:r>
      <w:r>
        <w:t xml:space="preserve"> </w:t>
      </w:r>
      <w:r>
        <w:t xml:space="preserve">MVBER provides for an exemption whereby Article 101(1) TFEU42 shall not apply to</w:t>
      </w:r>
      <w:r>
        <w:t xml:space="preserve"> </w:t>
      </w:r>
      <w:r>
        <w:t xml:space="preserve">vertical agreements relating to purchase, sale or resale of spare parts and/or repair and</w:t>
      </w:r>
      <w:r>
        <w:t xml:space="preserve"> </w:t>
      </w:r>
      <w:r>
        <w:t xml:space="preserve">maintenance services provided that some conditions are met. 43 One of these conditions is</w:t>
      </w:r>
      <w:r>
        <w:t xml:space="preserve"> </w:t>
      </w:r>
      <w:r>
        <w:t xml:space="preserve">that the agreement does not restrict the ability of spare parts suppliers to directly serve</w:t>
      </w:r>
      <w:r>
        <w:t xml:space="preserve"> </w:t>
      </w:r>
      <w:r>
        <w:t xml:space="preserve">the aftermarket.44</w:t>
      </w:r>
      <w:r>
        <w:br/>
      </w:r>
      <w:r>
        <w:t xml:space="preserve">The recent Evaluation of the MVBER45 points to two rigidities in the aftermarkets. First,</w:t>
      </w:r>
      <w:r>
        <w:t xml:space="preserve"> </w:t>
      </w:r>
      <w:r>
        <w:t xml:space="preserve">Original Equipment Suppliers (OES) contractual arrangements with VM may prevent or</w:t>
      </w:r>
      <w:r>
        <w:t xml:space="preserve"> </w:t>
      </w:r>
      <w:r>
        <w:t xml:space="preserve">hamper the former from supplying the aftermarket directly, in competition with parts sold</w:t>
      </w:r>
      <w:r>
        <w:t xml:space="preserve"> </w:t>
      </w:r>
      <w:r>
        <w:t xml:space="preserve">to the VMs and then resold as spare parts. Secondly, agreements between VM and</w:t>
      </w:r>
      <w:r>
        <w:t xml:space="preserve"> </w:t>
      </w:r>
      <w:r>
        <w:t xml:space="preserve">authorised repairers may oblige or incite the latter to purchase most of their supplied</w:t>
      </w:r>
      <w:r>
        <w:t xml:space="preserve"> </w:t>
      </w:r>
      <w:r>
        <w:t xml:space="preserve">parts directly from the VM network. Design protection for the spare parts in the</w:t>
      </w:r>
      <w:r>
        <w:t xml:space="preserve"> </w:t>
      </w:r>
      <w:r>
        <w:t xml:space="preserve">aftermarket may render such behaviour legitimate.</w:t>
      </w:r>
      <w:r>
        <w:t xml:space="preserve"> </w:t>
      </w:r>
      <w:r>
        <w:t xml:space="preserve">The existing market fragmentation in the EU remains a problem for a majority of</w:t>
      </w:r>
      <w:r>
        <w:t xml:space="preserve"> </w:t>
      </w:r>
      <w:r>
        <w:t xml:space="preserve">respondents, as highlighted by the First Public Consultation.46 For SMEs, divergent</w:t>
      </w:r>
      <w:r>
        <w:t xml:space="preserve"> </w:t>
      </w:r>
      <w:r>
        <w:t xml:space="preserve">approaches of the Member States are problematic for cross-border operations as they</w:t>
      </w:r>
      <w:r>
        <w:t xml:space="preserve"> </w:t>
      </w:r>
      <w:r>
        <w:t xml:space="preserve">create legal uncertainty and unpredictability. For right holders, difficulties in</w:t>
      </w:r>
      <w:r>
        <w:t xml:space="preserve"> </w:t>
      </w:r>
      <w:r>
        <w:t xml:space="preserve">efficiently protecting spare parts and enforcing their rights across the EU remain an issue.</w:t>
      </w:r>
      <w:r>
        <w:t xml:space="preserve"> </w:t>
      </w:r>
      <w:r>
        <w:t xml:space="preserve">For other respondents, including design users and independent producers, the current</w:t>
      </w:r>
      <w:r>
        <w:t xml:space="preserve"> </w:t>
      </w:r>
      <w:r>
        <w:t xml:space="preserve">patchwork approach leads to difficulties with and high cost of ensuring compliance,</w:t>
      </w:r>
      <w:r>
        <w:t xml:space="preserve"> </w:t>
      </w:r>
      <w:r>
        <w:t xml:space="preserve">agreeing on licences, setting out distribution networks and managing imports.</w:t>
      </w:r>
      <w:r>
        <w:t xml:space="preserve"> </w:t>
      </w:r>
      <w:r>
        <w:t xml:space="preserve">Box 1: Legal uncertainty – practical example</w:t>
      </w:r>
    </w:p>
    <w:p>
      <w:pPr>
        <w:pStyle w:val="BodyText"/>
      </w:pPr>
      <w:r>
        <w:t xml:space="preserve">41 Commission Regulation (EU) No 461/2010 of 27 May 2010 on the application of Article 101(3) of the</w:t>
      </w:r>
      <w:r>
        <w:t xml:space="preserve"> </w:t>
      </w:r>
      <w:r>
        <w:t xml:space="preserve">Treaty on the Functioning of the European Union to categories of vertical agreements and concerted</w:t>
      </w:r>
      <w:r>
        <w:t xml:space="preserve"> </w:t>
      </w:r>
      <w:r>
        <w:t xml:space="preserve">practices in the motor vehicle sector, OJ L 129, 28.5.2010, p. 52-57.</w:t>
      </w:r>
      <w:r>
        <w:t xml:space="preserve"> </w:t>
      </w:r>
      <w:r>
        <w:t xml:space="preserve">42 This provision prohibits anticompetitive agreements and concerted practices.</w:t>
      </w:r>
      <w:r>
        <w:t xml:space="preserve"> </w:t>
      </w:r>
      <w:r>
        <w:t xml:space="preserve">43 Article 4, MVBER.</w:t>
      </w:r>
      <w:r>
        <w:t xml:space="preserve"> </w:t>
      </w:r>
      <w:r>
        <w:t xml:space="preserve">44 Article 5(b), MVBER.</w:t>
      </w:r>
      <w:r>
        <w:t xml:space="preserve"> </w:t>
      </w:r>
      <w:r>
        <w:t xml:space="preserve">45 Commission Evaluation Report on the operation of the Motor Vehicle Block Exemption Regulation (EU)</w:t>
      </w:r>
      <w:r>
        <w:t xml:space="preserve"> </w:t>
      </w:r>
      <w:r>
        <w:t xml:space="preserve">No 461/2010, COM(2021)264 of 28/05/2021.</w:t>
      </w:r>
      <w:r>
        <w:t xml:space="preserve"> </w:t>
      </w:r>
      <w:r>
        <w:t xml:space="preserve">46 It is to be recognised that all replies from industry stakeholders represent the automotive aftermarket.</w:t>
      </w:r>
    </w:p>
    <w:p>
      <w:pPr>
        <w:pStyle w:val="BodyText"/>
      </w:pPr>
      <w:r>
        <w:t xml:space="preserve">12</w:t>
      </w:r>
      <w:r>
        <w:t xml:space="preserve"> </w:t>
      </w:r>
      <w:r>
        <w:t xml:space="preserve">Legal uncertainty caused by current fragmentation can be best illustrated with the e-</w:t>
      </w:r>
      <w:r>
        <w:t xml:space="preserve"> </w:t>
      </w:r>
      <w:r>
        <w:t xml:space="preserve">commerce case. Currently, in order to protect itself against infringement claims, an</w:t>
      </w:r>
      <w:r>
        <w:t xml:space="preserve"> </w:t>
      </w:r>
      <w:r>
        <w:t xml:space="preserve">independent European manufacturer of body parts includes on its distribution website (in</w:t>
      </w:r>
      <w:r>
        <w:t xml:space="preserve"> </w:t>
      </w:r>
      <w:r>
        <w:t xml:space="preserve">German) a note stating that: no original spare parts are offered in this catalogue;</w:t>
      </w:r>
      <w:r>
        <w:t xml:space="preserve"> </w:t>
      </w:r>
      <w:r>
        <w:t xml:space="preserve">numbers of original spare parts are given for reference; parts of French cars that are</w:t>
      </w:r>
      <w:r>
        <w:t xml:space="preserve"> </w:t>
      </w:r>
      <w:r>
        <w:t xml:space="preserve">produced by PRASCO Spa (located in Italy where no protection is offered) cannot be</w:t>
      </w:r>
      <w:r>
        <w:t xml:space="preserve"> </w:t>
      </w:r>
      <w:r>
        <w:t xml:space="preserve">sold or offered for sale in France and/or in other countries where parts of French cars</w:t>
      </w:r>
      <w:r>
        <w:t xml:space="preserve"> </w:t>
      </w:r>
      <w:r>
        <w:t xml:space="preserve">are protected by intellectual property law.47</w:t>
      </w:r>
    </w:p>
    <w:p>
      <w:pPr>
        <w:pStyle w:val="BodyText"/>
      </w:pPr>
      <w:r>
        <w:t xml:space="preserve">Fragmentation is optimal neither for independent producers and distributors (offering for</w:t>
      </w:r>
      <w:r>
        <w:t xml:space="preserve"> </w:t>
      </w:r>
      <w:r>
        <w:t xml:space="preserve">sale into a Member State without repair clause would constitute infringement by vendor)</w:t>
      </w:r>
      <w:r>
        <w:t xml:space="preserve"> </w:t>
      </w:r>
      <w:r>
        <w:t xml:space="preserve">nor for right holders. Also customers are insecure whether or not and in which Member</w:t>
      </w:r>
      <w:r>
        <w:t xml:space="preserve"> </w:t>
      </w:r>
      <w:r>
        <w:t xml:space="preserve">States the purchase of certain spare parts is lawful and they are deprived in parts of the</w:t>
      </w:r>
      <w:r>
        <w:t xml:space="preserve"> </w:t>
      </w:r>
      <w:r>
        <w:t xml:space="preserve">Union of choosing between competing spare parts.</w:t>
      </w:r>
      <w:r>
        <w:t xml:space="preserve"> </w:t>
      </w:r>
      <w:r>
        <w:t xml:space="preserve">In its supportive Opinion on the IP Action Plan, the European Parliament acknowledged</w:t>
      </w:r>
      <w:r>
        <w:t xml:space="preserve"> </w:t>
      </w:r>
      <w:r>
        <w:t xml:space="preserve">that the patchwork of conflicting national laws created fragmentation in the internal</w:t>
      </w:r>
      <w:r>
        <w:t xml:space="preserve"> </w:t>
      </w:r>
      <w:r>
        <w:t xml:space="preserve">market and legal uncertainty and therefore called on the Commission to include a repair</w:t>
      </w:r>
      <w:r>
        <w:t xml:space="preserve"> </w:t>
      </w:r>
      <w:r>
        <w:t xml:space="preserve">clause in its future proposal for the purpose of avoiding distortions of competition.48</w:t>
      </w:r>
      <w:r>
        <w:br/>
      </w:r>
      <w:r>
        <w:t xml:space="preserve">Beyond the automotive aftermarket, experts and stakeholders point to domestic electrical</w:t>
      </w:r>
      <w:r>
        <w:t xml:space="preserve"> </w:t>
      </w:r>
      <w:r>
        <w:t xml:space="preserve">appliances (e.g. vacuum cleaners), electronic devices (e.g. smartphones49), sanitary</w:t>
      </w:r>
      <w:r>
        <w:t xml:space="preserve"> </w:t>
      </w:r>
      <w:r>
        <w:t xml:space="preserve">appliances,</w:t>
      </w:r>
      <w:r>
        <w:t xml:space="preserve"> </w:t>
      </w:r>
      <w:r>
        <w:t xml:space="preserve">motorbikes,</w:t>
      </w:r>
      <w:r>
        <w:t xml:space="preserve"> </w:t>
      </w:r>
      <w:r>
        <w:t xml:space="preserve">electric</w:t>
      </w:r>
      <w:r>
        <w:t xml:space="preserve"> </w:t>
      </w:r>
      <w:r>
        <w:t xml:space="preserve">bikes,</w:t>
      </w:r>
      <w:r>
        <w:t xml:space="preserve"> </w:t>
      </w:r>
      <w:r>
        <w:t xml:space="preserve">watches</w:t>
      </w:r>
      <w:r>
        <w:t xml:space="preserve"> </w:t>
      </w:r>
      <w:r>
        <w:t xml:space="preserve">as</w:t>
      </w:r>
      <w:r>
        <w:t xml:space="preserve"> </w:t>
      </w:r>
      <w:r>
        <w:t xml:space="preserve">markets</w:t>
      </w:r>
      <w:r>
        <w:t xml:space="preserve"> </w:t>
      </w:r>
      <w:r>
        <w:t xml:space="preserve">where</w:t>
      </w:r>
      <w:r>
        <w:t xml:space="preserve"> </w:t>
      </w:r>
      <w:r>
        <w:t xml:space="preserve">the</w:t>
      </w:r>
      <w:r>
        <w:t xml:space="preserve"> </w:t>
      </w:r>
      <w:r>
        <w:t xml:space="preserve">availability/affordability of spare parts in the aftermarket could be limited due to</w:t>
      </w:r>
      <w:r>
        <w:t xml:space="preserve"> </w:t>
      </w:r>
      <w:r>
        <w:t xml:space="preserve">existence of design protection50. Due to lower availability of reliable sectoral data</w:t>
      </w:r>
      <w:r>
        <w:t xml:space="preserve"> </w:t>
      </w:r>
      <w:r>
        <w:t xml:space="preserve">predictions about price effects are less reliable. By definition, however, one could assume</w:t>
      </w:r>
      <w:r>
        <w:t xml:space="preserve"> </w:t>
      </w:r>
      <w:r>
        <w:t xml:space="preserve">that the car spare parts savings constitute a lower bound of overall savings across all</w:t>
      </w:r>
      <w:r>
        <w:t xml:space="preserve"> </w:t>
      </w:r>
      <w:r>
        <w:t xml:space="preserve">aftermarkets impacted by this design review.</w:t>
      </w:r>
      <w:r>
        <w:br/>
      </w:r>
      <w:r>
        <w:t xml:space="preserve">With the sustainable product policy and eco-design policy51 aiming to make products</w:t>
      </w:r>
      <w:r>
        <w:t xml:space="preserve"> </w:t>
      </w:r>
      <w:r>
        <w:t xml:space="preserve">easier to repair, it is therefore important to assure that the scope of design protection</w:t>
      </w:r>
      <w:r>
        <w:t xml:space="preserve"> </w:t>
      </w:r>
      <w:r>
        <w:t xml:space="preserve">leaves consumers with the choice of repair and does not constitute an obstacle for the</w:t>
      </w:r>
      <w:r>
        <w:t xml:space="preserve"> </w:t>
      </w:r>
      <w:r>
        <w:t xml:space="preserve">repair markets to flourish.</w:t>
      </w:r>
      <w:r>
        <w:t xml:space="preserve"> </w:t>
      </w:r>
      <w:r>
        <w:t xml:space="preserve">2.1.2. Regulatory burdens</w:t>
      </w:r>
      <w:r>
        <w:t xml:space="preserve"> </w:t>
      </w:r>
      <w:r>
        <w:t xml:space="preserve">Due to partly outdated procedures and suboptimal fees to be paid for the RCD as well as</w:t>
      </w:r>
      <w:r>
        <w:t xml:space="preserve"> </w:t>
      </w:r>
      <w:r>
        <w:t xml:space="preserve">divergent rules at national level which are not yet aligned with those of the RCD system,</w:t>
      </w:r>
      <w:r>
        <w:t xml:space="preserve"> </w:t>
      </w:r>
      <w:r>
        <w:t xml:space="preserve">businesses in the EU, and, in particular, SMEs and individual designers, are faced with</w:t>
      </w:r>
    </w:p>
    <w:p>
      <w:pPr>
        <w:pStyle w:val="BodyText"/>
      </w:pPr>
      <w:r>
        <w:t xml:space="preserve">47 The notice, retrieved from Prasco der Spezialist für Karosserieteile website on 10 September 2021 reads</w:t>
      </w:r>
      <w:r>
        <w:t xml:space="preserve"> </w:t>
      </w:r>
      <w:r>
        <w:t xml:space="preserve">as follows: Die in diesem Katalog abgebildeten Artikel sind keine Originalteile. Alle angegebenen</w:t>
      </w:r>
      <w:r>
        <w:t xml:space="preserve"> </w:t>
      </w:r>
      <w:r>
        <w:t xml:space="preserve">Referenz- und Originalnummern dienen nur zu Vergleichszwecken. Die von PRASCO Spa produzierten</w:t>
      </w:r>
      <w:r>
        <w:t xml:space="preserve"> </w:t>
      </w:r>
      <w:r>
        <w:t xml:space="preserve">und/oder verteilten Ersatzteile für französische Autos dürfen in Frankreich und in Ländern, in denen das</w:t>
      </w:r>
      <w:r>
        <w:t xml:space="preserve"> </w:t>
      </w:r>
      <w:r>
        <w:t xml:space="preserve">französische Recht an geistigem und gewerblichem Eigentum gültig ist, nicht verkauft und/oder</w:t>
      </w:r>
      <w:r>
        <w:t xml:space="preserve"> </w:t>
      </w:r>
      <w:r>
        <w:t xml:space="preserve">wiederverkauft und/oder angeboten werden.</w:t>
      </w:r>
      <w:r>
        <w:t xml:space="preserve"> </w:t>
      </w:r>
      <w:r>
        <w:t xml:space="preserve">48 Report on an intellectual property action plan to support the EU’s recovery and resilience, as adopted by</w:t>
      </w:r>
      <w:r>
        <w:t xml:space="preserve"> </w:t>
      </w:r>
      <w:r>
        <w:t xml:space="preserve">the Legal Affairs Committee on 30 September 2021 (A9-0284/2021), para 33.</w:t>
      </w:r>
      <w:r>
        <w:t xml:space="preserve"> </w:t>
      </w:r>
      <w:r>
        <w:t xml:space="preserve">49 Deloitte estimates the value of global repair market for smartphone to be USD 12 billion.</w:t>
      </w:r>
      <w:r>
        <w:br/>
      </w:r>
      <w:r>
        <w:t xml:space="preserve">https://www.statista.com/chart/20258/estimated-sales-of-smartphones-and-related-products-and-services/</w:t>
      </w:r>
      <w:r>
        <w:t xml:space="preserve"> </w:t>
      </w:r>
      <w:r>
        <w:t xml:space="preserve">50 Europe Economics (2015, January). The economic review of industrial rights in Europe; Hartwig, H.</w:t>
      </w:r>
      <w:r>
        <w:t xml:space="preserve"> </w:t>
      </w:r>
      <w:r>
        <w:t xml:space="preserve">(2016). Spare parts under European design and trade mark law. Journal of Intellectual Property Law &amp;</w:t>
      </w:r>
      <w:r>
        <w:t xml:space="preserve"> </w:t>
      </w:r>
      <w:r>
        <w:t xml:space="preserve">Practice, 11(2), 121-129.</w:t>
      </w:r>
      <w:r>
        <w:t xml:space="preserve"> </w:t>
      </w:r>
      <w:r>
        <w:t xml:space="preserve">51 https://ec.europa.eu/growth/industry/sustainability/product-policy-and-ecodesign_en</w:t>
      </w:r>
    </w:p>
    <w:p>
      <w:pPr>
        <w:pStyle w:val="BodyText"/>
      </w:pPr>
      <w:r>
        <w:t xml:space="preserve">13</w:t>
      </w:r>
      <w:r>
        <w:t xml:space="preserve"> </w:t>
      </w:r>
      <w:r>
        <w:t xml:space="preserve">unnecessary hurdles and thus extra costs when using the system and, therefore, to a</w:t>
      </w:r>
      <w:r>
        <w:t xml:space="preserve"> </w:t>
      </w:r>
      <w:r>
        <w:t xml:space="preserve">certain extent discouraged from applying for registered design protection at EU or</w:t>
      </w:r>
      <w:r>
        <w:t xml:space="preserve"> </w:t>
      </w:r>
      <w:r>
        <w:t xml:space="preserve">national level. In addition, the recent EU trade mark reform has increased significantly</w:t>
      </w:r>
      <w:r>
        <w:t xml:space="preserve"> </w:t>
      </w:r>
      <w:r>
        <w:t xml:space="preserve">the level of incoherence with the existing rules applicable to the RCD and its procedures.</w:t>
      </w:r>
      <w:r>
        <w:t xml:space="preserve"> </w:t>
      </w:r>
      <w:r>
        <w:t xml:space="preserve">The resulting inconsistencies are causing friction in the EUIPO’s smooth running of its</w:t>
      </w:r>
      <w:r>
        <w:t xml:space="preserve"> </w:t>
      </w:r>
      <w:r>
        <w:t xml:space="preserve">proceedings, in particular its workflows and back-office IT-landscape. As also raised by</w:t>
      </w:r>
      <w:r>
        <w:t xml:space="preserve"> </w:t>
      </w:r>
      <w:r>
        <w:t xml:space="preserve">major IP associations, the created differences of rules are also detrimental for businesses</w:t>
      </w:r>
      <w:r>
        <w:t xml:space="preserve"> </w:t>
      </w:r>
      <w:r>
        <w:t xml:space="preserve">active in both systems (EUTM and RCD), who rightly expect to encounter corresponding</w:t>
      </w:r>
      <w:r>
        <w:t xml:space="preserve"> </w:t>
      </w:r>
      <w:r>
        <w:t xml:space="preserve">procedural provisions (including in relation to payable fees) when not justified by the</w:t>
      </w:r>
      <w:r>
        <w:t xml:space="preserve"> </w:t>
      </w:r>
      <w:r>
        <w:t xml:space="preserve">specificities of the IP right at hand.52</w:t>
      </w:r>
      <w:r>
        <w:br/>
      </w:r>
      <w:r>
        <w:t xml:space="preserve">Outdated registration requirements of the RCD</w:t>
      </w:r>
      <w:r>
        <w:br/>
      </w:r>
      <w:r>
        <w:t xml:space="preserve">The evaluation highlighted certain elements of the RCD system, which create</w:t>
      </w:r>
      <w:r>
        <w:t xml:space="preserve"> </w:t>
      </w:r>
      <w:r>
        <w:t xml:space="preserve">unnecessary administrative restrictions for its users and therefore discourage the uptake</w:t>
      </w:r>
      <w:r>
        <w:t xml:space="preserve"> </w:t>
      </w:r>
      <w:r>
        <w:t xml:space="preserve">of registered design protection.53 These elements concern in particular the outdated</w:t>
      </w:r>
      <w:r>
        <w:t xml:space="preserve"> </w:t>
      </w:r>
      <w:r>
        <w:t xml:space="preserve">requirements for the representation of designs. They do not allow designers to</w:t>
      </w:r>
      <w:r>
        <w:t xml:space="preserve"> </w:t>
      </w:r>
      <w:r>
        <w:t xml:space="preserve">represent their designs in the best possible fashion, in accordance with best available</w:t>
      </w:r>
      <w:r>
        <w:t xml:space="preserve"> </w:t>
      </w:r>
      <w:r>
        <w:t xml:space="preserve">technologies, for instance by means of dynamic representations showing a design from</w:t>
      </w:r>
      <w:r>
        <w:t xml:space="preserve"> </w:t>
      </w:r>
      <w:r>
        <w:t xml:space="preserve">all possible angles. Furthermore, they are not suitable to appropriately reproduce new</w:t>
      </w:r>
      <w:r>
        <w:t xml:space="preserve"> </w:t>
      </w:r>
      <w:r>
        <w:t xml:space="preserve">types of designs such as animated graphical user interfaces and protected other new</w:t>
      </w:r>
      <w:r>
        <w:t xml:space="preserve"> </w:t>
      </w:r>
      <w:r>
        <w:t xml:space="preserve">emerging designs. This adds to the legal uncertainty on the subject-matter of protection</w:t>
      </w:r>
      <w:r>
        <w:t xml:space="preserve"> </w:t>
      </w:r>
      <w:r>
        <w:t xml:space="preserve">as noted above.</w:t>
      </w:r>
      <w:r>
        <w:br/>
      </w:r>
      <w:r>
        <w:t xml:space="preserve">Another illustration is the restriction in the CDR permitting to combine a number of</w:t>
      </w:r>
      <w:r>
        <w:t xml:space="preserve"> </w:t>
      </w:r>
      <w:r>
        <w:t xml:space="preserve">designs in one application (‘multiple application’) only if the products belong all to the</w:t>
      </w:r>
      <w:r>
        <w:t xml:space="preserve"> </w:t>
      </w:r>
      <w:r>
        <w:t xml:space="preserve">same class of the Locarno Classification (‘unity of class requirement’). It was originally</w:t>
      </w:r>
      <w:r>
        <w:t xml:space="preserve"> </w:t>
      </w:r>
      <w:r>
        <w:t xml:space="preserve">deemed necessary to limit the filing of multiple applications to designs belonging to the</w:t>
      </w:r>
      <w:r>
        <w:t xml:space="preserve"> </w:t>
      </w:r>
      <w:r>
        <w:t xml:space="preserve">same class so as to prevent the diminishing of registration costs by filing in one</w:t>
      </w:r>
      <w:r>
        <w:t xml:space="preserve"> </w:t>
      </w:r>
      <w:r>
        <w:t xml:space="preserve">application designs intended for all sorts of products. As shown by the evaluation, the</w:t>
      </w:r>
      <w:r>
        <w:t xml:space="preserve"> </w:t>
      </w:r>
      <w:r>
        <w:t xml:space="preserve">unity of class requirement however unnecessarily involves administrative burdens for</w:t>
      </w:r>
      <w:r>
        <w:t xml:space="preserve"> </w:t>
      </w:r>
      <w:r>
        <w:t xml:space="preserve">both the EUIPO and the users of the RCD system without much benefit.</w:t>
      </w:r>
      <w:r>
        <w:br/>
      </w:r>
      <w:r>
        <w:t xml:space="preserve">Box 2: Filing of multiple RCD applications – practical example</w:t>
      </w:r>
      <w:r>
        <w:t xml:space="preserve"> </w:t>
      </w:r>
      <w:r>
        <w:t xml:space="preserve">An applicant would not be able to file in the same multiple application ‘hairdryers’ and</w:t>
      </w:r>
      <w:r>
        <w:t xml:space="preserve"> </w:t>
      </w:r>
      <w:r>
        <w:t xml:space="preserve">‘parts of hair dryers’, since these parts belong to another class of the Locarno</w:t>
      </w:r>
      <w:r>
        <w:t xml:space="preserve"> </w:t>
      </w:r>
      <w:r>
        <w:t xml:space="preserve">Classification. In order to seek protection for the design of these parts, the applicant</w:t>
      </w:r>
      <w:r>
        <w:t xml:space="preserve"> </w:t>
      </w:r>
      <w:r>
        <w:t xml:space="preserve">would have to file a separate RCD design application.</w:t>
      </w:r>
      <w:r>
        <w:br/>
      </w:r>
      <w:r>
        <w:t xml:space="preserve">This limitation therefore does not only increase the applicant’s costs and administrative</w:t>
      </w:r>
      <w:r>
        <w:t xml:space="preserve"> </w:t>
      </w:r>
      <w:r>
        <w:t xml:space="preserve">burden, but it also prevents the applicant from appropriately benefitting from the bulk</w:t>
      </w:r>
      <w:r>
        <w:t xml:space="preserve"> </w:t>
      </w:r>
      <w:r>
        <w:t xml:space="preserve">discounts offered when seeking to register the designs.</w:t>
      </w:r>
      <w:r>
        <w:br/>
      </w:r>
      <w:r>
        <w:t xml:space="preserve">The evaluation further showed that the recent trade mark reform increased the number of</w:t>
      </w:r>
      <w:r>
        <w:t xml:space="preserve"> </w:t>
      </w:r>
      <w:r>
        <w:t xml:space="preserve">inconsistencies between EU Trade Mark (EUTM) proceedings and RCD</w:t>
      </w:r>
      <w:r>
        <w:t xml:space="preserve"> </w:t>
      </w:r>
      <w:r>
        <w:t xml:space="preserve">proceedings54. For example, design applicants cannot rely on continuation of</w:t>
      </w:r>
      <w:r>
        <w:t xml:space="preserve"> </w:t>
      </w:r>
      <w:r>
        <w:t xml:space="preserve">proceedings (in case a user missed certain types of time-limits) or revocation of decisions</w:t>
      </w:r>
      <w:r>
        <w:t xml:space="preserve"> </w:t>
      </w:r>
      <w:r>
        <w:t xml:space="preserve">(in case of obvious mistakes made by the EUIPO) which are available in trade mark</w:t>
      </w:r>
    </w:p>
    <w:p>
      <w:pPr>
        <w:pStyle w:val="BodyText"/>
      </w:pPr>
      <w:r>
        <w:t xml:space="preserve">52 SWD(2020) 264, Section 5.7, p. 70.</w:t>
      </w:r>
      <w:r>
        <w:t xml:space="preserve"> </w:t>
      </w:r>
      <w:r>
        <w:t xml:space="preserve">53 SWD(2020) 264, p. 71.</w:t>
      </w:r>
      <w:r>
        <w:t xml:space="preserve"> </w:t>
      </w:r>
      <w:r>
        <w:t xml:space="preserve">54 SWD(2020) 264, p. 70.</w:t>
      </w:r>
    </w:p>
    <w:p>
      <w:pPr>
        <w:pStyle w:val="BodyText"/>
      </w:pPr>
      <w:r>
        <w:t xml:space="preserve">14</w:t>
      </w:r>
      <w:r>
        <w:t xml:space="preserve"> </w:t>
      </w:r>
      <w:r>
        <w:t xml:space="preserve">proceedings. As a consequence, users may mistakenly rely on certain safety nets which</w:t>
      </w:r>
      <w:r>
        <w:t xml:space="preserve"> </w:t>
      </w:r>
      <w:r>
        <w:t xml:space="preserve">they are used to when dealing with EUTM proceedings which are not available when it</w:t>
      </w:r>
      <w:r>
        <w:t xml:space="preserve"> </w:t>
      </w:r>
      <w:r>
        <w:t xml:space="preserve">comes to RCDs. It is detrimental for businesses active in both systems, who expect to</w:t>
      </w:r>
      <w:r>
        <w:t xml:space="preserve"> </w:t>
      </w:r>
      <w:r>
        <w:t xml:space="preserve">encounter corresponding procedural provisions when not justified by the specificities of</w:t>
      </w:r>
      <w:r>
        <w:t xml:space="preserve"> </w:t>
      </w:r>
      <w:r>
        <w:t xml:space="preserve">the IP right concerned. In addition, this is causing friction in the EUIPO’s smooth</w:t>
      </w:r>
      <w:r>
        <w:t xml:space="preserve"> </w:t>
      </w:r>
      <w:r>
        <w:t xml:space="preserve">running of its proceedings, especially in terms of its workflows and back-office IT</w:t>
      </w:r>
      <w:r>
        <w:t xml:space="preserve"> </w:t>
      </w:r>
      <w:r>
        <w:t xml:space="preserve">landscape.</w:t>
      </w:r>
      <w:r>
        <w:t xml:space="preserve"> </w:t>
      </w:r>
      <w:r>
        <w:t xml:space="preserve">Sub-optimal fee structure and levels</w:t>
      </w:r>
      <w:r>
        <w:t xml:space="preserve"> </w:t>
      </w:r>
      <w:r>
        <w:t xml:space="preserve">The amounts of fees payable to the EUIPO in respect of the registration of RCDs are laid</w:t>
      </w:r>
      <w:r>
        <w:t xml:space="preserve"> </w:t>
      </w:r>
      <w:r>
        <w:t xml:space="preserve">down in the Fees Regulation (EC) No 2246/2002. An adjustment of those fee amounts</w:t>
      </w:r>
      <w:r>
        <w:t xml:space="preserve"> </w:t>
      </w:r>
      <w:r>
        <w:t xml:space="preserve">can only be effected by amending that Fees Regulation. The fees for RCDs have not been</w:t>
      </w:r>
      <w:r>
        <w:t xml:space="preserve"> </w:t>
      </w:r>
      <w:r>
        <w:t xml:space="preserve">revised since the introduction of the Community design system. This means that in real</w:t>
      </w:r>
      <w:r>
        <w:t xml:space="preserve"> </w:t>
      </w:r>
      <w:r>
        <w:t xml:space="preserve">terms they are now 26% lower than in 200255. On the other hand, the fees for EU trade</w:t>
      </w:r>
      <w:r>
        <w:t xml:space="preserve"> </w:t>
      </w:r>
      <w:r>
        <w:t xml:space="preserve">marks have been adjusted downwards several times, with very substantial cumulative</w:t>
      </w:r>
      <w:r>
        <w:t xml:space="preserve"> </w:t>
      </w:r>
      <w:r>
        <w:t xml:space="preserve">decrease. In the context of the recent trade mark reform, the co-legislators deemed it</w:t>
      </w:r>
      <w:r>
        <w:t xml:space="preserve"> </w:t>
      </w:r>
      <w:r>
        <w:t xml:space="preserve">appropriate to set the amounts of EU trade mark fees directly in the basic EU Trade Mark</w:t>
      </w:r>
      <w:r>
        <w:t xml:space="preserve"> </w:t>
      </w:r>
      <w:r>
        <w:t xml:space="preserve">Regulation (EU) 2017/100156 (‘EUTMR’), given their essential importance57, so that the</w:t>
      </w:r>
      <w:r>
        <w:t xml:space="preserve"> </w:t>
      </w:r>
      <w:r>
        <w:t xml:space="preserve">original Regulation on EU trade mark fees58 was repealed. Apart from adjustments to the</w:t>
      </w:r>
      <w:r>
        <w:t xml:space="preserve"> </w:t>
      </w:r>
      <w:r>
        <w:t xml:space="preserve">fee levels, changes were made to the fee structure such as by abolishing the separate</w:t>
      </w:r>
      <w:r>
        <w:t xml:space="preserve"> </w:t>
      </w:r>
      <w:r>
        <w:t xml:space="preserve">registration fee (in addition to that for the application) and the fee for the transfer of a</w:t>
      </w:r>
      <w:r>
        <w:t xml:space="preserve"> </w:t>
      </w:r>
      <w:r>
        <w:t xml:space="preserve">EUTM.</w:t>
      </w:r>
      <w:r>
        <w:br/>
      </w:r>
      <w:r>
        <w:t xml:space="preserve">It is a fundamental objective of the CDR that the procedure for obtaining a RCD</w:t>
      </w:r>
      <w:r>
        <w:t xml:space="preserve"> </w:t>
      </w:r>
      <w:r>
        <w:t xml:space="preserve">should present the minimum cost and difficulty to applicants, so as to make it</w:t>
      </w:r>
      <w:r>
        <w:t xml:space="preserve"> </w:t>
      </w:r>
      <w:r>
        <w:t xml:space="preserve">readily accessible to SMEs as well as to individual designers59.</w:t>
      </w:r>
      <w:r>
        <w:br/>
      </w:r>
      <w:r>
        <w:t xml:space="preserve">However, in terms of the fee structure, given the short time (in case of so-called fast track</w:t>
      </w:r>
      <w:r>
        <w:t xml:space="preserve"> </w:t>
      </w:r>
      <w:r>
        <w:t xml:space="preserve">registration in fact only 2-3 days) from filing to registration and publication of an RCD</w:t>
      </w:r>
      <w:r>
        <w:t xml:space="preserve"> </w:t>
      </w:r>
      <w:r>
        <w:t xml:space="preserve">with no deficiencies, the current distinction between registration (EUR 230) and</w:t>
      </w:r>
      <w:r>
        <w:t xml:space="preserve"> </w:t>
      </w:r>
      <w:r>
        <w:t xml:space="preserve">publication (EUR 120) fee causes unwarranted burdens in the fee administration for the</w:t>
      </w:r>
      <w:r>
        <w:t xml:space="preserve"> </w:t>
      </w:r>
      <w:r>
        <w:t xml:space="preserve">users of the RCD system and the EUIPO.</w:t>
      </w:r>
      <w:r>
        <w:t xml:space="preserve"> </w:t>
      </w:r>
      <w:r>
        <w:t xml:space="preserve">Furthermore, as regards the levels of fees to be paid to the EUIPO, larger entities</w:t>
      </w:r>
      <w:r>
        <w:t xml:space="preserve"> </w:t>
      </w:r>
      <w:r>
        <w:t xml:space="preserve">currently tend to benefit from a less costly access to RCD protection, compared to</w:t>
      </w:r>
      <w:r>
        <w:t xml:space="preserve"> </w:t>
      </w:r>
      <w:r>
        <w:t xml:space="preserve">SMEs and individual designers. Where larger companies tend to protect more designs</w:t>
      </w:r>
      <w:r>
        <w:t xml:space="preserve"> </w:t>
      </w:r>
      <w:r>
        <w:t xml:space="preserve">than smaller companies and individual designers, they can benefit more from the bulk</w:t>
      </w:r>
      <w:r>
        <w:t xml:space="preserve"> </w:t>
      </w:r>
      <w:r>
        <w:t xml:space="preserve">discount offered to multiple applications. That is due to the amount of fees to be paid for</w:t>
      </w:r>
      <w:r>
        <w:t xml:space="preserve"> </w:t>
      </w:r>
      <w:r>
        <w:t xml:space="preserve">the registration of a RCD being lower from 50% up to 80% the more RCDs are filed at</w:t>
      </w:r>
      <w:r>
        <w:t xml:space="preserve"> </w:t>
      </w:r>
      <w:r>
        <w:t xml:space="preserve">the same time in a multiple application60.</w:t>
      </w:r>
    </w:p>
    <w:p>
      <w:pPr>
        <w:pStyle w:val="BodyText"/>
      </w:pPr>
      <w:r>
        <w:t xml:space="preserve">55 The cumulative inflation from 2002 to 2020 for the EU27 amounted to 36% (Eurostat, HICP - annual</w:t>
      </w:r>
      <w:r>
        <w:t xml:space="preserve"> </w:t>
      </w:r>
      <w:r>
        <w:t xml:space="preserve">data (average index and rate of change) [prc_hicp_aind]). Meaning that present value of EUR1 from 2002</w:t>
      </w:r>
      <w:r>
        <w:t xml:space="preserve"> </w:t>
      </w:r>
      <w:r>
        <w:t xml:space="preserve">is EUR 0.74.</w:t>
      </w:r>
      <w:r>
        <w:t xml:space="preserve"> </w:t>
      </w:r>
      <w:r>
        <w:t xml:space="preserve">56 Regulation (EU) 2017/1001 of the European Parliament and of the Council of 14 June 2017 on the</w:t>
      </w:r>
      <w:r>
        <w:t xml:space="preserve"> </w:t>
      </w:r>
      <w:r>
        <w:t xml:space="preserve">European Union trade mark, OJ L 154, 16.6.2017, p. 1.</w:t>
      </w:r>
      <w:r>
        <w:br/>
      </w:r>
      <w:r>
        <w:t xml:space="preserve">57 Recital 39 of the EUTMR.</w:t>
      </w:r>
      <w:r>
        <w:t xml:space="preserve"> </w:t>
      </w:r>
      <w:r>
        <w:t xml:space="preserve">58 Commission Regulation (EC) No 2869/95 on the fees payable to the Office for Harmonisation in the</w:t>
      </w:r>
      <w:r>
        <w:t xml:space="preserve"> </w:t>
      </w:r>
      <w:r>
        <w:t xml:space="preserve">Internal Market (Trade Marks and Designs), OJ L 303, 15.12.1995, p. 33.</w:t>
      </w:r>
      <w:r>
        <w:t xml:space="preserve"> </w:t>
      </w:r>
      <w:r>
        <w:t xml:space="preserve">59 Recital 24.</w:t>
      </w:r>
      <w:r>
        <w:t xml:space="preserve"> </w:t>
      </w:r>
      <w:r>
        <w:t xml:space="preserve">60 The basic fee to be paid for the registration of a single RCD is EUR 350, taking the actual registration</w:t>
      </w:r>
      <w:r>
        <w:t xml:space="preserve"> </w:t>
      </w:r>
      <w:r>
        <w:t xml:space="preserve">fee (EUR 230) and publication fee (EUR 120) together. Bulk discounts are available when filing more than</w:t>
      </w:r>
      <w:r>
        <w:t xml:space="preserve"> </w:t>
      </w:r>
      <w:r>
        <w:t xml:space="preserve">one RCD in a multiple application. For the registration of each additional design from the second to the</w:t>
      </w:r>
    </w:p>
    <w:p>
      <w:pPr>
        <w:pStyle w:val="BodyText"/>
      </w:pPr>
      <w:r>
        <w:t xml:space="preserve">15</w:t>
      </w:r>
      <w:r>
        <w:t xml:space="preserve"> </w:t>
      </w:r>
      <w:r>
        <w:t xml:space="preserve">The option to combine a number of designs in one multiple design application and to</w:t>
      </w:r>
      <w:r>
        <w:t xml:space="preserve"> </w:t>
      </w:r>
      <w:r>
        <w:t xml:space="preserve">benefit from a bulk discount was introduced with the particular aim of facilitating the</w:t>
      </w:r>
      <w:r>
        <w:t xml:space="preserve"> </w:t>
      </w:r>
      <w:r>
        <w:t xml:space="preserve">filing of applications for those industry sectors which develop large numbers of possibly</w:t>
      </w:r>
      <w:r>
        <w:t xml:space="preserve"> </w:t>
      </w:r>
      <w:r>
        <w:t xml:space="preserve">short-lived designs over short periods of time of which only some may be eventually</w:t>
      </w:r>
      <w:r>
        <w:t xml:space="preserve"> </w:t>
      </w:r>
      <w:r>
        <w:t xml:space="preserve">commercialised61. According to EUIPO statistics, in 2019, for natural persons as filers</w:t>
      </w:r>
      <w:r>
        <w:t xml:space="preserve"> </w:t>
      </w:r>
      <w:r>
        <w:t xml:space="preserve">the average number of designs per application was 2.34, for legal persons 3.63,</w:t>
      </w:r>
      <w:r>
        <w:t xml:space="preserve"> </w:t>
      </w:r>
      <w:r>
        <w:t xml:space="preserve">corresponding to an average fee paid per design registration and publication of</w:t>
      </w:r>
      <w:r>
        <w:t xml:space="preserve"> </w:t>
      </w:r>
      <w:r>
        <w:t xml:space="preserve">respectively EUR 250 and EUR 223 (12% higher for natural persons). This disadvantage</w:t>
      </w:r>
      <w:r>
        <w:t xml:space="preserve"> </w:t>
      </w:r>
      <w:r>
        <w:t xml:space="preserve">is not only considerable when comparing the costs of a single application with that of the</w:t>
      </w:r>
      <w:r>
        <w:t xml:space="preserve"> </w:t>
      </w:r>
      <w:r>
        <w:t xml:space="preserve">fees to be paid for additional designs, but due to the progressive structure of the bulk</w:t>
      </w:r>
      <w:r>
        <w:t xml:space="preserve"> </w:t>
      </w:r>
      <w:r>
        <w:t xml:space="preserve">discounts the difference in filing fees become even more striking when more than ten</w:t>
      </w:r>
      <w:r>
        <w:t xml:space="preserve"> </w:t>
      </w:r>
      <w:r>
        <w:t xml:space="preserve">designs are included in a multiple application. All this ultimately also means that single</w:t>
      </w:r>
      <w:r>
        <w:t xml:space="preserve"> </w:t>
      </w:r>
      <w:r>
        <w:t xml:space="preserve">design filers (that is those that file an application for the registration of only one RCD)</w:t>
      </w:r>
      <w:r>
        <w:t xml:space="preserve"> </w:t>
      </w:r>
      <w:r>
        <w:t xml:space="preserve">are actually cross-subsidising multiple RCD filers. Moreover, the distinction of the</w:t>
      </w:r>
      <w:r>
        <w:t xml:space="preserve"> </w:t>
      </w:r>
      <w:r>
        <w:t xml:space="preserve">available (bulk) discounts in two different brackets (second to the tenth design, and</w:t>
      </w:r>
      <w:r>
        <w:t xml:space="preserve"> </w:t>
      </w:r>
      <w:r>
        <w:t xml:space="preserve">eleventh design forward), which also applies for the payable fees in case of requesting</w:t>
      </w:r>
      <w:r>
        <w:t xml:space="preserve"> </w:t>
      </w:r>
      <w:r>
        <w:t xml:space="preserve">deferment of publication of the registration62, contributes to making the fee structure non-</w:t>
      </w:r>
      <w:r>
        <w:t xml:space="preserve"> </w:t>
      </w:r>
      <w:r>
        <w:t xml:space="preserve">transparent and complex to the disadvantage especially of SMEs that are not usually</w:t>
      </w:r>
      <w:r>
        <w:t xml:space="preserve"> </w:t>
      </w:r>
      <w:r>
        <w:t xml:space="preserve">supported by adequate legal expertise, and entailing administrative burdens in particular</w:t>
      </w:r>
      <w:r>
        <w:t xml:space="preserve"> </w:t>
      </w:r>
      <w:r>
        <w:t xml:space="preserve">also for additional payments and reimbursements when individual designs of a multiple</w:t>
      </w:r>
      <w:r>
        <w:t xml:space="preserve"> </w:t>
      </w:r>
      <w:r>
        <w:t xml:space="preserve">application do not proceed to registration.</w:t>
      </w:r>
      <w:r>
        <w:br/>
      </w:r>
      <w:r>
        <w:t xml:space="preserve">As regards renewal fees, the Fees Regulation for the RCD provides an escalating fee for</w:t>
      </w:r>
      <w:r>
        <w:t xml:space="preserve"> </w:t>
      </w:r>
      <w:r>
        <w:t xml:space="preserve">each renewal. In contrast to the bulk discount provided at the moment of application,</w:t>
      </w:r>
      <w:r>
        <w:t xml:space="preserve"> </w:t>
      </w:r>
      <w:r>
        <w:t xml:space="preserve">there is no such discount on renewal. Some respondents in particular to the First Public</w:t>
      </w:r>
      <w:r>
        <w:t xml:space="preserve"> </w:t>
      </w:r>
      <w:r>
        <w:t xml:space="preserve">Consultation were of the view that the renewal fee amounts are too high, especially for</w:t>
      </w:r>
      <w:r>
        <w:t xml:space="preserve"> </w:t>
      </w:r>
      <w:r>
        <w:t xml:space="preserve">SMEs and individual designers, and that they should not increase each time a registered</w:t>
      </w:r>
      <w:r>
        <w:t xml:space="preserve"> </w:t>
      </w:r>
      <w:r>
        <w:t xml:space="preserve">design is renewed. In addition, they criticised that the renewal fee applies to every single</w:t>
      </w:r>
      <w:r>
        <w:t xml:space="preserve"> </w:t>
      </w:r>
      <w:r>
        <w:t xml:space="preserve">design contained in a multiple application without the bulk discount being available after</w:t>
      </w:r>
      <w:r>
        <w:t xml:space="preserve"> </w:t>
      </w:r>
      <w:r>
        <w:t xml:space="preserve">registration. However, that latter view does not take account of the above-mentioned</w:t>
      </w:r>
      <w:r>
        <w:t xml:space="preserve"> </w:t>
      </w:r>
      <w:r>
        <w:t xml:space="preserve">special rationale for bulk discounts being granted at filing stage (to facilitate the testing</w:t>
      </w:r>
      <w:r>
        <w:t xml:space="preserve"> </w:t>
      </w:r>
      <w:r>
        <w:t xml:space="preserve">of designs in the market). Furthermore, higher renewal than registration fees appear to be</w:t>
      </w:r>
      <w:r>
        <w:t xml:space="preserve"> </w:t>
      </w:r>
      <w:r>
        <w:t xml:space="preserve">perfectly justified by the need of encouraging the non-renewal of not utilised designs. It</w:t>
      </w:r>
      <w:r>
        <w:t xml:space="preserve"> </w:t>
      </w:r>
      <w:r>
        <w:t xml:space="preserve">is mainly also for that reason that most respondents to the Second Public Consultation</w:t>
      </w:r>
      <w:r>
        <w:t xml:space="preserve"> </w:t>
      </w:r>
      <w:r>
        <w:t xml:space="preserve">(41%) were supportive of lowering the basic fee for the initial five years’ registration of a</w:t>
      </w:r>
      <w:r>
        <w:t xml:space="preserve"> </w:t>
      </w:r>
      <w:r>
        <w:t xml:space="preserve">Community design rather than reducing renewal fees (24%) in order to facilitate access</w:t>
      </w:r>
      <w:r>
        <w:t xml:space="preserve"> </w:t>
      </w:r>
      <w:r>
        <w:t xml:space="preserve">to design protection for SMEs and individual designers.</w:t>
      </w:r>
      <w:r>
        <w:br/>
      </w:r>
      <w:r>
        <w:t xml:space="preserve">Diverging procedural rules at national level</w:t>
      </w:r>
      <w:r>
        <w:t xml:space="preserve"> </w:t>
      </w:r>
      <w:r>
        <w:t xml:space="preserve">The evaluation revealed that the legal environment in the field of industrial designs</w:t>
      </w:r>
      <w:r>
        <w:t xml:space="preserve"> </w:t>
      </w:r>
      <w:r>
        <w:t xml:space="preserve">remains very heterogeneous in spite of the partial harmonisation of national laws dating</w:t>
      </w:r>
      <w:r>
        <w:t xml:space="preserve"> </w:t>
      </w:r>
      <w:r>
        <w:t xml:space="preserve">back to late 1990s. Harmonisation imposed by the DDir only focused on a restricted</w:t>
      </w:r>
      <w:r>
        <w:t xml:space="preserve"> </w:t>
      </w:r>
      <w:r>
        <w:t xml:space="preserve">number of substantive rules that were then considered to most immediately affect the</w:t>
      </w:r>
    </w:p>
    <w:p>
      <w:pPr>
        <w:pStyle w:val="BodyText"/>
      </w:pPr>
      <w:r>
        <w:t xml:space="preserve">tenth design filed in a multiple application, a basic fee of EUR 175 (EUR 115 registration fee plus EUR 60</w:t>
      </w:r>
      <w:r>
        <w:t xml:space="preserve"> </w:t>
      </w:r>
      <w:r>
        <w:t xml:space="preserve">publication fee) has to be paid, and a basic fee of EUR 80 (EUR 50 registration fee plus EUR 30</w:t>
      </w:r>
      <w:r>
        <w:t xml:space="preserve"> </w:t>
      </w:r>
      <w:r>
        <w:t xml:space="preserve">publication fee) for each additional design from the eleventh design onwards. This corresponds to a</w:t>
      </w:r>
      <w:r>
        <w:t xml:space="preserve"> </w:t>
      </w:r>
      <w:r>
        <w:t xml:space="preserve">discount of 50% and almost 80% respectively.</w:t>
      </w:r>
      <w:r>
        <w:t xml:space="preserve"> </w:t>
      </w:r>
      <w:r>
        <w:t xml:space="preserve">61 Recital 25 of the CDR.</w:t>
      </w:r>
      <w:r>
        <w:t xml:space="preserve"> </w:t>
      </w:r>
      <w:r>
        <w:t xml:space="preserve">62 The fee for deferment of publication is EUR 40, the additional deferment fee for each design from the 2nd</w:t>
      </w:r>
      <w:r>
        <w:t xml:space="preserve"> </w:t>
      </w:r>
      <w:r>
        <w:t xml:space="preserve">to the 10th design is EUR 20, and for each additional design from the 11th design onwards EUR 10.</w:t>
      </w:r>
    </w:p>
    <w:p>
      <w:pPr>
        <w:pStyle w:val="BodyText"/>
      </w:pPr>
      <w:r>
        <w:t xml:space="preserve">16</w:t>
      </w:r>
      <w:r>
        <w:t xml:space="preserve"> </w:t>
      </w:r>
      <w:r>
        <w:t xml:space="preserve">functioning of the internal market63 (excluding in particular the controversial issue of</w:t>
      </w:r>
      <w:r>
        <w:t xml:space="preserve"> </w:t>
      </w:r>
      <w:r>
        <w:t xml:space="preserve">spare parts protection as addressed in Section 2.1.1). Formal requirements and</w:t>
      </w:r>
      <w:r>
        <w:t xml:space="preserve"> </w:t>
      </w:r>
      <w:r>
        <w:t xml:space="preserve">procedures were not covered at all. Moreover, the CDR was enacted three years after the</w:t>
      </w:r>
      <w:r>
        <w:t xml:space="preserve"> </w:t>
      </w:r>
      <w:r>
        <w:t xml:space="preserve">DDir, which means that at the time the DDir came into being there was no</w:t>
      </w:r>
      <w:r>
        <w:t xml:space="preserve"> </w:t>
      </w:r>
      <w:r>
        <w:t xml:space="preserve">‘common</w:t>
      </w:r>
      <w:r>
        <w:t xml:space="preserve"> </w:t>
      </w:r>
      <w:r>
        <w:t xml:space="preserve">benchmark’</w:t>
      </w:r>
      <w:r>
        <w:t xml:space="preserve"> </w:t>
      </w:r>
      <w:r>
        <w:t xml:space="preserve">against which the efficiency of national proceedings could be measured. By</w:t>
      </w:r>
      <w:r>
        <w:t xml:space="preserve"> </w:t>
      </w:r>
      <w:r>
        <w:t xml:space="preserve">now, however, the procedures followed by the EUIPO have been in place for almost 20</w:t>
      </w:r>
      <w:r>
        <w:t xml:space="preserve"> </w:t>
      </w:r>
      <w:r>
        <w:t xml:space="preserve">years. They are generally regarded as meeting business needs and expectations, in</w:t>
      </w:r>
      <w:r>
        <w:t xml:space="preserve"> </w:t>
      </w:r>
      <w:r>
        <w:t xml:space="preserve">particular in terms of timeliness and user-friendliness64. As a result, the current landscape</w:t>
      </w:r>
      <w:r>
        <w:t xml:space="preserve"> </w:t>
      </w:r>
      <w:r>
        <w:t xml:space="preserve">of EU design law is still characterised by a wide divergence between national rules and</w:t>
      </w:r>
      <w:r>
        <w:t xml:space="preserve"> </w:t>
      </w:r>
      <w:r>
        <w:t xml:space="preserve">procedures, both among themselves and in relation to the rules and procedures applied by</w:t>
      </w:r>
      <w:r>
        <w:t xml:space="preserve"> </w:t>
      </w:r>
      <w:r>
        <w:t xml:space="preserve">the EUIPO. Although the EUIPO in cooperation with national IP offices has established</w:t>
      </w:r>
      <w:r>
        <w:t xml:space="preserve"> </w:t>
      </w:r>
      <w:r>
        <w:t xml:space="preserve">converged practices within the framework of the European Trade Mark and Design</w:t>
      </w:r>
      <w:r>
        <w:t xml:space="preserve"> </w:t>
      </w:r>
      <w:r>
        <w:t xml:space="preserve">Network (EUIPN)65, certain issues were out of scope and not harmonised, as they would</w:t>
      </w:r>
      <w:r>
        <w:t xml:space="preserve"> </w:t>
      </w:r>
      <w:r>
        <w:t xml:space="preserve">require changes to the national laws.</w:t>
      </w:r>
      <w:r>
        <w:br/>
      </w:r>
      <w:r>
        <w:t xml:space="preserve">As shown by the First Public Consultation66, there is a broad agreement among users of</w:t>
      </w:r>
      <w:r>
        <w:t xml:space="preserve"> </w:t>
      </w:r>
      <w:r>
        <w:t xml:space="preserve">the design protection systems in Europe that the present level of approximation between</w:t>
      </w:r>
      <w:r>
        <w:t xml:space="preserve"> </w:t>
      </w:r>
      <w:r>
        <w:t xml:space="preserve">national design laws, as well as with the RCD system, has not been sufficient. IP user</w:t>
      </w:r>
      <w:r>
        <w:t xml:space="preserve"> </w:t>
      </w:r>
      <w:r>
        <w:t xml:space="preserve">organisations unanimously stated that further harmonisation of national design law, in</w:t>
      </w:r>
      <w:r>
        <w:t xml:space="preserve"> </w:t>
      </w:r>
      <w:r>
        <w:t xml:space="preserve">particular with regard to procedural issues is needed. In response to the Second Public</w:t>
      </w:r>
      <w:r>
        <w:t xml:space="preserve"> </w:t>
      </w:r>
      <w:r>
        <w:t xml:space="preserve">Consultation, the (outstanding) harmonisation of registration procedures also ranked high</w:t>
      </w:r>
      <w:r>
        <w:t xml:space="preserve"> </w:t>
      </w:r>
      <w:r>
        <w:t xml:space="preserve">in terms of suitable measures to raise the usage of design protection. At a political level,</w:t>
      </w:r>
      <w:r>
        <w:t xml:space="preserve"> </w:t>
      </w:r>
      <w:r>
        <w:t xml:space="preserve">the Council67 called for the revision of the industrial designs system in the Union to</w:t>
      </w:r>
      <w:r>
        <w:t xml:space="preserve"> </w:t>
      </w:r>
      <w:r>
        <w:t xml:space="preserve">address and consider measures aimed at supporting the complementary relationship</w:t>
      </w:r>
      <w:r>
        <w:t xml:space="preserve"> </w:t>
      </w:r>
      <w:r>
        <w:t xml:space="preserve">between the Community, national and regional design protection systems, as well as</w:t>
      </w:r>
      <w:r>
        <w:t xml:space="preserve"> </w:t>
      </w:r>
      <w:r>
        <w:t xml:space="preserve">efforts to reduce areas of divergence within the design protection system in the Union. In</w:t>
      </w:r>
      <w:r>
        <w:t xml:space="preserve"> </w:t>
      </w:r>
      <w:r>
        <w:t xml:space="preserve">addition, the European Parliament called for further harmonisation of the design</w:t>
      </w:r>
      <w:r>
        <w:t xml:space="preserve"> </w:t>
      </w:r>
      <w:r>
        <w:t xml:space="preserve">application and invalidity procedures in the Member States and suggested that the</w:t>
      </w:r>
      <w:r>
        <w:t xml:space="preserve"> </w:t>
      </w:r>
      <w:r>
        <w:t xml:space="preserve">Commission also thinks about aligning the DDir and CDR with a view to creating greater</w:t>
      </w:r>
      <w:r>
        <w:t xml:space="preserve"> </w:t>
      </w:r>
      <w:r>
        <w:t xml:space="preserve">legal certainty68.</w:t>
      </w:r>
      <w:r>
        <w:br/>
      </w:r>
      <w:r>
        <w:t xml:space="preserve">As assessed in detail and supported by evidence in the evaluation69, the existing gaps in</w:t>
      </w:r>
      <w:r>
        <w:t xml:space="preserve"> </w:t>
      </w:r>
      <w:r>
        <w:t xml:space="preserve">harmonisation affect a variety of procedural areas. The following important examples</w:t>
      </w:r>
      <w:r>
        <w:t xml:space="preserve"> </w:t>
      </w:r>
      <w:r>
        <w:t xml:space="preserve">illustrate practical problems caused by the non-harmonisation of rules and practices.</w:t>
      </w:r>
      <w:r>
        <w:t xml:space="preserve"> </w:t>
      </w:r>
      <w:r>
        <w:t xml:space="preserve">(a) Means and requirements of design representation</w:t>
      </w:r>
    </w:p>
    <w:p>
      <w:pPr>
        <w:pStyle w:val="BodyText"/>
      </w:pPr>
      <w:r>
        <w:t xml:space="preserve">63 Cf. Recital 5 of the Preamble to the DDir (similar to the limited scope of harmonisation imposed by the</w:t>
      </w:r>
      <w:r>
        <w:t xml:space="preserve"> </w:t>
      </w:r>
      <w:r>
        <w:t xml:space="preserve">original Trade Mark Directive 89/104/EEC of 21 December 1988).</w:t>
      </w:r>
      <w:r>
        <w:br/>
      </w:r>
      <w:r>
        <w:t xml:space="preserve">64 For details, see SWD(2020) 264, p. 51 and 114.</w:t>
      </w:r>
      <w:r>
        <w:br/>
      </w:r>
      <w:r>
        <w:t xml:space="preserve">65 According to Article 151(1)(c) of Regulation (EU) 2017/1001 of the European Parliament and of the</w:t>
      </w:r>
      <w:r>
        <w:t xml:space="preserve"> </w:t>
      </w:r>
      <w:r>
        <w:t xml:space="preserve">Council of 14 June 2017 on the European Union trade mark, the EUIPO is tasked with promoting</w:t>
      </w:r>
      <w:r>
        <w:t xml:space="preserve"> </w:t>
      </w:r>
      <w:r>
        <w:t xml:space="preserve">convergence of practices and tools in the fields of trade marks and designs, in cooperation with the central</w:t>
      </w:r>
      <w:r>
        <w:t xml:space="preserve"> </w:t>
      </w:r>
      <w:r>
        <w:t xml:space="preserve">industrial property offices in the Member States, including the Benelux Office for Intellectual Property.</w:t>
      </w:r>
      <w:r>
        <w:t xml:space="preserve"> </w:t>
      </w:r>
      <w:r>
        <w:t xml:space="preserve">Article 152 of that Regulation provides for a legal and financial framework for cooperation to promote</w:t>
      </w:r>
      <w:r>
        <w:t xml:space="preserve"> </w:t>
      </w:r>
      <w:r>
        <w:t xml:space="preserve">convergence of practices and tools. For the activities of the EUIPN see European Union Intellectual</w:t>
      </w:r>
      <w:r>
        <w:t xml:space="preserve"> </w:t>
      </w:r>
      <w:r>
        <w:t xml:space="preserve">Property Network (tmdn.org)</w:t>
      </w:r>
      <w:r>
        <w:t xml:space="preserve"> </w:t>
      </w:r>
      <w:r>
        <w:t xml:space="preserve">66 For details, see SWD(2020) 264, p. 123, 124.</w:t>
      </w:r>
      <w:r>
        <w:t xml:space="preserve"> </w:t>
      </w:r>
      <w:r>
        <w:t xml:space="preserve">67 See Conclusions on intellectual property policy and the revision of the industrial designs system referred</w:t>
      </w:r>
      <w:r>
        <w:t xml:space="preserve"> </w:t>
      </w:r>
      <w:r>
        <w:t xml:space="preserve">to in footnote 1, paragraph 21, first and fourth bullet point.</w:t>
      </w:r>
      <w:r>
        <w:br/>
      </w:r>
      <w:r>
        <w:t xml:space="preserve">68 Report on an intellectual property action plan to support the EU’s recovery and resilience, as adopted by</w:t>
      </w:r>
      <w:r>
        <w:t xml:space="preserve"> </w:t>
      </w:r>
      <w:r>
        <w:t xml:space="preserve">the Legal Affairs Committee on 30 September 2021 (A9-0284/2021), paras 32 and 35.</w:t>
      </w:r>
      <w:r>
        <w:t xml:space="preserve"> </w:t>
      </w:r>
      <w:r>
        <w:t xml:space="preserve">69 SWD(2020) 264, p. 36 to 47.</w:t>
      </w:r>
    </w:p>
    <w:p>
      <w:pPr>
        <w:pStyle w:val="BodyText"/>
      </w:pPr>
      <w:r>
        <w:t xml:space="preserve">17</w:t>
      </w:r>
      <w:r>
        <w:t xml:space="preserve"> </w:t>
      </w:r>
      <w:r>
        <w:t xml:space="preserve">The requirements of national IP offices concerning representations of a design in an</w:t>
      </w:r>
      <w:r>
        <w:t xml:space="preserve"> </w:t>
      </w:r>
      <w:r>
        <w:t xml:space="preserve">application for registration are (like in the case of the RCD) not yet aligned to the digital</w:t>
      </w:r>
      <w:r>
        <w:t xml:space="preserve"> </w:t>
      </w:r>
      <w:r>
        <w:t xml:space="preserve">age, and differ in addition significantly. The First Public Consultation showed that</w:t>
      </w:r>
      <w:r>
        <w:t xml:space="preserve"> </w:t>
      </w:r>
      <w:r>
        <w:t xml:space="preserve">among the aspects not covered by the DDir, those requirements were considered most in</w:t>
      </w:r>
      <w:r>
        <w:t xml:space="preserve"> </w:t>
      </w:r>
      <w:r>
        <w:t xml:space="preserve">need of common modernisation and harmonisation. This is confirmed by a benchmarking</w:t>
      </w:r>
      <w:r>
        <w:t xml:space="preserve"> </w:t>
      </w:r>
      <w:r>
        <w:t xml:space="preserve">study conducted in the EUIPN as part of the convergence programme on graphic</w:t>
      </w:r>
      <w:r>
        <w:t xml:space="preserve"> </w:t>
      </w:r>
      <w:r>
        <w:t xml:space="preserve">representations of designs. The representation requirements relate, among others, to the</w:t>
      </w:r>
      <w:r>
        <w:t xml:space="preserve"> </w:t>
      </w:r>
      <w:r>
        <w:t xml:space="preserve">number and types of viewings, the use of appropriate disclaimers, the neutral</w:t>
      </w:r>
      <w:r>
        <w:t xml:space="preserve"> </w:t>
      </w:r>
      <w:r>
        <w:t xml:space="preserve">background70 and the acceptance of computer-animated representations and 3D digital</w:t>
      </w:r>
      <w:r>
        <w:t xml:space="preserve"> </w:t>
      </w:r>
      <w:r>
        <w:t xml:space="preserve">representations. While the EUIPN has so far managed to converge practices on the use of</w:t>
      </w:r>
      <w:r>
        <w:t xml:space="preserve"> </w:t>
      </w:r>
      <w:r>
        <w:t xml:space="preserve">disclaimers, types of views and the representation of designs in a neutral background,</w:t>
      </w:r>
      <w:r>
        <w:t xml:space="preserve"> </w:t>
      </w:r>
      <w:r>
        <w:t xml:space="preserve">further convergence of practices has not been possible partly due to (divergent) legal</w:t>
      </w:r>
      <w:r>
        <w:t xml:space="preserve"> </w:t>
      </w:r>
      <w:r>
        <w:t xml:space="preserve">constraints in the Member States71. These legal constraints and divergences prevent</w:t>
      </w:r>
      <w:r>
        <w:t xml:space="preserve"> </w:t>
      </w:r>
      <w:r>
        <w:t xml:space="preserve">applicants from both using best available technology for representing their designs and</w:t>
      </w:r>
      <w:r>
        <w:t xml:space="preserve"> </w:t>
      </w:r>
      <w:r>
        <w:t xml:space="preserve">claiming convention priority72 by using the same material for subsequent applications</w:t>
      </w:r>
      <w:r>
        <w:t xml:space="preserve"> </w:t>
      </w:r>
      <w:r>
        <w:t xml:space="preserve">across jurisdictions. This creates additional costs for them and may lead to national rights</w:t>
      </w:r>
      <w:r>
        <w:t xml:space="preserve"> </w:t>
      </w:r>
      <w:r>
        <w:t xml:space="preserve">of different scope for the same design.</w:t>
      </w:r>
      <w:r>
        <w:br/>
      </w:r>
      <w:r>
        <w:t xml:space="preserve">Priority can only be claimed for the same previous application. Different national formal</w:t>
      </w:r>
      <w:r>
        <w:t xml:space="preserve"> </w:t>
      </w:r>
      <w:r>
        <w:t xml:space="preserve">representation requirements result in diverging design applications, which in turn puts in</w:t>
      </w:r>
      <w:r>
        <w:t xml:space="preserve"> </w:t>
      </w:r>
      <w:r>
        <w:t xml:space="preserve">doubt whether they represent the same design and priority can be claimed.</w:t>
      </w:r>
      <w:r>
        <w:br/>
      </w:r>
      <w:r>
        <w:t xml:space="preserve">Box 3: Means and requirements of design presentation – practical example</w:t>
      </w:r>
      <w:r>
        <w:t xml:space="preserve"> </w:t>
      </w:r>
      <w:r>
        <w:t xml:space="preserve">If designer X applies for a design right in France, it would be allowed to submit an</w:t>
      </w:r>
      <w:r>
        <w:t xml:space="preserve"> </w:t>
      </w:r>
      <w:r>
        <w:t xml:space="preserve">unlimited number of design views. If X wants to subsequently claim priority on the basis</w:t>
      </w:r>
      <w:r>
        <w:t xml:space="preserve"> </w:t>
      </w:r>
      <w:r>
        <w:t xml:space="preserve">of that right when applying for an RCD, X can merely file a maximum of 7 design</w:t>
      </w:r>
      <w:r>
        <w:t xml:space="preserve"> </w:t>
      </w:r>
      <w:r>
        <w:t xml:space="preserve">views. On the other side, while national IP Offices usually allow applicants to represent</w:t>
      </w:r>
      <w:r>
        <w:t xml:space="preserve"> </w:t>
      </w:r>
      <w:r>
        <w:t xml:space="preserve">their designs by static graphic or photographic reproduction only, at the EUIPO at least</w:t>
      </w:r>
      <w:r>
        <w:t xml:space="preserve"> </w:t>
      </w:r>
      <w:r>
        <w:t xml:space="preserve">3D digital representations are admitted, even though merely as an additional technical</w:t>
      </w:r>
      <w:r>
        <w:t xml:space="preserve"> </w:t>
      </w:r>
      <w:r>
        <w:t xml:space="preserve">means of viewing the design73. Should however it become possible to represent a design</w:t>
      </w:r>
      <w:r>
        <w:t xml:space="preserve"> </w:t>
      </w:r>
      <w:r>
        <w:t xml:space="preserve">by a video file at one of the national IP Offices for example without that this is also</w:t>
      </w:r>
      <w:r>
        <w:t xml:space="preserve"> </w:t>
      </w:r>
      <w:r>
        <w:t xml:space="preserve">made possible at the EUIPO, the applicant would again not be able to use the same</w:t>
      </w:r>
      <w:r>
        <w:t xml:space="preserve"> </w:t>
      </w:r>
      <w:r>
        <w:t xml:space="preserve">material for subsequent applications at national and EU level based on priority.</w:t>
      </w:r>
      <w:r>
        <w:t xml:space="preserve"> </w:t>
      </w:r>
      <w:r>
        <w:t xml:space="preserve">(b) Option and conditions for filing a multiple application</w:t>
      </w:r>
      <w:r>
        <w:t xml:space="preserve"> </w:t>
      </w:r>
      <w:r>
        <w:t xml:space="preserve">The option of combining a number of designs in one (multiple) application is available in</w:t>
      </w:r>
      <w:r>
        <w:t xml:space="preserve"> </w:t>
      </w:r>
      <w:r>
        <w:t xml:space="preserve">most but not all Member States. To the extent this is the case, the conditions are the more</w:t>
      </w:r>
      <w:r>
        <w:t xml:space="preserve"> </w:t>
      </w:r>
      <w:r>
        <w:t xml:space="preserve">not the same. Like the RCD regime, most national laws still require that the designs</w:t>
      </w:r>
      <w:r>
        <w:t xml:space="preserve"> </w:t>
      </w:r>
      <w:r>
        <w:t xml:space="preserve">applied for belong to the same class of the Locarno Classification. Exceptions are</w:t>
      </w:r>
      <w:r>
        <w:t xml:space="preserve"> </w:t>
      </w:r>
      <w:r>
        <w:t xml:space="preserve">Germany and the Benelux countries. The maximum number of designs that can be</w:t>
      </w:r>
    </w:p>
    <w:p>
      <w:pPr>
        <w:pStyle w:val="BodyText"/>
      </w:pPr>
      <w:r>
        <w:t xml:space="preserve">70 Representing a design in a neutral background is of key importance to avoid hampering automated image</w:t>
      </w:r>
      <w:r>
        <w:t xml:space="preserve"> </w:t>
      </w:r>
      <w:r>
        <w:t xml:space="preserve">searches. Divergences of national rules therefore make it more difficult to develop common IT tools in the</w:t>
      </w:r>
      <w:r>
        <w:t xml:space="preserve"> </w:t>
      </w:r>
      <w:r>
        <w:t xml:space="preserve">EU.</w:t>
      </w:r>
      <w:r>
        <w:t xml:space="preserve"> </w:t>
      </w:r>
      <w:r>
        <w:t xml:space="preserve">71 For details see Common Communication on convergence on graphic representations of designs, May</w:t>
      </w:r>
      <w:r>
        <w:t xml:space="preserve"> </w:t>
      </w:r>
      <w:r>
        <w:t xml:space="preserve">2018, Common_communication7_en.pdf (europa.eu).</w:t>
      </w:r>
      <w:r>
        <w:t xml:space="preserve"> </w:t>
      </w:r>
      <w:r>
        <w:t xml:space="preserve">72 A priority date is used to establish the precedence of rights, and has crucial importance for assessing</w:t>
      </w:r>
      <w:r>
        <w:t xml:space="preserve"> </w:t>
      </w:r>
      <w:r>
        <w:t xml:space="preserve">novelty of a design. Applicants can rely on ‘convention priority’ within the meaning of the Paris</w:t>
      </w:r>
      <w:r>
        <w:t xml:space="preserve"> </w:t>
      </w:r>
      <w:r>
        <w:t xml:space="preserve">Convention for the Protection of Industrial Property (1883) to gain a right of priority of six months from</w:t>
      </w:r>
      <w:r>
        <w:t xml:space="preserve"> </w:t>
      </w:r>
      <w:r>
        <w:t xml:space="preserve">the date of filing of the first application in any State party to that Convention.</w:t>
      </w:r>
      <w:r>
        <w:t xml:space="preserve"> </w:t>
      </w:r>
      <w:r>
        <w:t xml:space="preserve">73 It does not replace the conventional static views. See Article 36(5) of the Regulation and Article 4 of the</w:t>
      </w:r>
      <w:r>
        <w:t xml:space="preserve"> </w:t>
      </w:r>
      <w:r>
        <w:t xml:space="preserve">Implementing Regulation.</w:t>
      </w:r>
    </w:p>
    <w:p>
      <w:pPr>
        <w:pStyle w:val="BodyText"/>
      </w:pPr>
      <w:r>
        <w:t xml:space="preserve">18</w:t>
      </w:r>
      <w:r>
        <w:t xml:space="preserve"> </w:t>
      </w:r>
      <w:r>
        <w:t xml:space="preserve">included in a multiple application also varies across the EU. Most interviewees from IP</w:t>
      </w:r>
      <w:r>
        <w:t xml:space="preserve"> </w:t>
      </w:r>
      <w:r>
        <w:t xml:space="preserve">offices considered the unity of class requirement not helpful or no longer necessary.</w:t>
      </w:r>
      <w:r>
        <w:t xml:space="preserve"> </w:t>
      </w:r>
      <w:r>
        <w:t xml:space="preserve">Different rules make multiple applications burdensome and costly for businesses in the</w:t>
      </w:r>
      <w:r>
        <w:t xml:space="preserve"> </w:t>
      </w:r>
      <w:r>
        <w:t xml:space="preserve">context of multi-jurisdictional filings. 88% of all respondents to the First Public</w:t>
      </w:r>
      <w:r>
        <w:t xml:space="preserve"> </w:t>
      </w:r>
      <w:r>
        <w:t xml:space="preserve">Consultation thus saw need of harmonisation.</w:t>
      </w:r>
      <w:r>
        <w:t xml:space="preserve"> </w:t>
      </w:r>
      <w:r>
        <w:t xml:space="preserve">Box 4: Filing of multiple applications – practical example</w:t>
      </w:r>
      <w:r>
        <w:br/>
      </w:r>
      <w:r>
        <w:t xml:space="preserve">Where designer X can apply for a multiple application in Germany for designs</w:t>
      </w:r>
      <w:r>
        <w:t xml:space="preserve"> </w:t>
      </w:r>
      <w:r>
        <w:t xml:space="preserve">belonging to different classes, X would not be able to reuse the same materials in most</w:t>
      </w:r>
      <w:r>
        <w:t xml:space="preserve"> </w:t>
      </w:r>
      <w:r>
        <w:t xml:space="preserve">other member states and at the EUIPO that only allow multiple applications for designs</w:t>
      </w:r>
      <w:r>
        <w:t xml:space="preserve"> </w:t>
      </w:r>
      <w:r>
        <w:t xml:space="preserve">belonging to the same class, but would have to file more than one application to seek</w:t>
      </w:r>
      <w:r>
        <w:t xml:space="preserve"> </w:t>
      </w:r>
      <w:r>
        <w:t xml:space="preserve">protection for the same designs. This many not only lead to extra filing fees, but as</w:t>
      </w:r>
      <w:r>
        <w:t xml:space="preserve"> </w:t>
      </w:r>
      <w:r>
        <w:t xml:space="preserve">mentioned above, not filing exactly the same material may also lead to priority issues.</w:t>
      </w:r>
      <w:r>
        <w:br/>
      </w:r>
      <w:r>
        <w:t xml:space="preserve">(c) Option and length of deferment of publication</w:t>
      </w:r>
      <w:r>
        <w:br/>
      </w:r>
      <w:r>
        <w:t xml:space="preserve">Many but not all Member States have provisions on deferred publication of a design</w:t>
      </w:r>
      <w:r>
        <w:t xml:space="preserve"> </w:t>
      </w:r>
      <w:r>
        <w:t xml:space="preserve">registration74. Such a deferral helps prevent copycats while a product is launched. The</w:t>
      </w:r>
      <w:r>
        <w:t xml:space="preserve"> </w:t>
      </w:r>
      <w:r>
        <w:t xml:space="preserve">available period of publication deferral varies significantly from 6 to 30 months75. Most</w:t>
      </w:r>
      <w:r>
        <w:t xml:space="preserve"> </w:t>
      </w:r>
      <w:r>
        <w:t xml:space="preserve">respondents to the public consultation (76%) are in favour of harmonisation of the rules</w:t>
      </w:r>
      <w:r>
        <w:t xml:space="preserve"> </w:t>
      </w:r>
      <w:r>
        <w:t xml:space="preserve">on deferment of publication, and some respondents suggest making the option to request</w:t>
      </w:r>
      <w:r>
        <w:t xml:space="preserve"> </w:t>
      </w:r>
      <w:r>
        <w:t xml:space="preserve">a deferral mandatory at national level. Different national rules create legal uncertainty,</w:t>
      </w:r>
      <w:r>
        <w:t xml:space="preserve"> </w:t>
      </w:r>
      <w:r>
        <w:t xml:space="preserve">extra costs in managing design portfolios, and an uneven level playing field for</w:t>
      </w:r>
      <w:r>
        <w:t xml:space="preserve"> </w:t>
      </w:r>
      <w:r>
        <w:t xml:space="preserve">businesses.</w:t>
      </w:r>
      <w:r>
        <w:t xml:space="preserve"> </w:t>
      </w:r>
      <w:r>
        <w:t xml:space="preserve">Due to the different deferment periods, a design applicant wanting to make use of this</w:t>
      </w:r>
      <w:r>
        <w:t xml:space="preserve"> </w:t>
      </w:r>
      <w:r>
        <w:t xml:space="preserve">option in several Member States can only benefit of the minimum deferment period</w:t>
      </w:r>
      <w:r>
        <w:t xml:space="preserve"> </w:t>
      </w:r>
      <w:r>
        <w:t xml:space="preserve">available if these countries offer this possibility at all.</w:t>
      </w:r>
      <w:r>
        <w:br/>
      </w:r>
      <w:r>
        <w:t xml:space="preserve">Box 5: Deferment of publication – practical example</w:t>
      </w:r>
      <w:r>
        <w:t xml:space="preserve"> </w:t>
      </w:r>
      <w:r>
        <w:t xml:space="preserve">If company X wants to prevent competitors in Slovenia and the Czech Republic from</w:t>
      </w:r>
      <w:r>
        <w:t xml:space="preserve"> </w:t>
      </w:r>
      <w:r>
        <w:t xml:space="preserve">knowing which product X is about to launch on the market, X can ask for deferment of</w:t>
      </w:r>
      <w:r>
        <w:t xml:space="preserve"> </w:t>
      </w:r>
      <w:r>
        <w:t xml:space="preserve">publication in both countries. However, X will have to bear in mind that the period for</w:t>
      </w:r>
      <w:r>
        <w:t xml:space="preserve"> </w:t>
      </w:r>
      <w:r>
        <w:t xml:space="preserve">deferral in Slovenia is 18 months shorter than in the Czech Republic. Therefore, after</w:t>
      </w:r>
      <w:r>
        <w:t xml:space="preserve"> </w:t>
      </w:r>
      <w:r>
        <w:t xml:space="preserve">the shortest period, i.e. 12 months in the case of Slovenia, application of X will get</w:t>
      </w:r>
      <w:r>
        <w:t xml:space="preserve"> </w:t>
      </w:r>
      <w:r>
        <w:t xml:space="preserve">published and the competitor in the Czech Republic may become aware of X’s</w:t>
      </w:r>
      <w:r>
        <w:t xml:space="preserve"> </w:t>
      </w:r>
      <w:r>
        <w:t xml:space="preserve">Slovenian design application. But also for competing undertakings that are merely active</w:t>
      </w:r>
      <w:r>
        <w:t xml:space="preserve"> </w:t>
      </w:r>
      <w:r>
        <w:t xml:space="preserve">in one territory this lack of harmonisation may be detrimental, for instance in the case</w:t>
      </w:r>
      <w:r>
        <w:t xml:space="preserve"> </w:t>
      </w:r>
      <w:r>
        <w:t xml:space="preserve">that company X does not have the possibility to request for deferment of publication,</w:t>
      </w:r>
      <w:r>
        <w:t xml:space="preserve"> </w:t>
      </w:r>
      <w:r>
        <w:t xml:space="preserve">while company Y can avail of this option for 30 months and thus has an advantage over</w:t>
      </w:r>
      <w:r>
        <w:t xml:space="preserve"> </w:t>
      </w:r>
      <w:r>
        <w:t xml:space="preserve">the competitor.</w:t>
      </w:r>
      <w:r>
        <w:t xml:space="preserve"> </w:t>
      </w:r>
      <w:r>
        <w:t xml:space="preserve">(d) Extent of substantive examination</w:t>
      </w:r>
      <w:r>
        <w:t xml:space="preserve"> </w:t>
      </w:r>
      <w:r>
        <w:t xml:space="preserve">In contrast to the EUIPO and the large majority in other Member States, five national IP</w:t>
      </w:r>
      <w:r>
        <w:t xml:space="preserve"> </w:t>
      </w:r>
      <w:r>
        <w:t xml:space="preserve">Offices still examine ex officio whether a design applied for meets the requirements of</w:t>
      </w:r>
      <w:r>
        <w:t xml:space="preserve"> </w:t>
      </w:r>
      <w:r>
        <w:t xml:space="preserve">novelty and individual character. These are the offices in the Czech Republic, Finland,</w:t>
      </w:r>
    </w:p>
    <w:p>
      <w:pPr>
        <w:pStyle w:val="BodyText"/>
      </w:pPr>
      <w:r>
        <w:t xml:space="preserve">74 The option of deferring the publication serves avoiding that the normal publication following registration</w:t>
      </w:r>
      <w:r>
        <w:t xml:space="preserve"> </w:t>
      </w:r>
      <w:r>
        <w:t xml:space="preserve">of a design could in some cases destroy or jeopardise the success of a commercial operation involving a</w:t>
      </w:r>
      <w:r>
        <w:t xml:space="preserve"> </w:t>
      </w:r>
      <w:r>
        <w:t xml:space="preserve">design (Recital 26 CDR).</w:t>
      </w:r>
      <w:r>
        <w:br/>
      </w:r>
      <w:r>
        <w:t xml:space="preserve">75 The period of deferral is 6 months in Denmark and Sweden; 12 months in the Benelux countries, and</w:t>
      </w:r>
      <w:r>
        <w:t xml:space="preserve"> </w:t>
      </w:r>
      <w:r>
        <w:t xml:space="preserve">Slovenia; 18 months in Austria; and 30 months in the Czech Republic, Spain and Lithuania.</w:t>
      </w:r>
    </w:p>
    <w:p>
      <w:pPr>
        <w:pStyle w:val="BodyText"/>
      </w:pPr>
      <w:r>
        <w:t xml:space="preserve">19</w:t>
      </w:r>
      <w:r>
        <w:t xml:space="preserve"> </w:t>
      </w:r>
      <w:r>
        <w:t xml:space="preserve">Hungary, Romania and Slovakia. While the benefit of that examination is quite limited</w:t>
      </w:r>
      <w:r>
        <w:t xml:space="preserve"> </w:t>
      </w:r>
      <w:r>
        <w:t xml:space="preserve">for design applicants, given that it only extends to prior registered designs (without</w:t>
      </w:r>
      <w:r>
        <w:t xml:space="preserve"> </w:t>
      </w:r>
      <w:r>
        <w:t xml:space="preserve">coverage of non-registered designs), it negatively affects the overall duration of</w:t>
      </w:r>
      <w:r>
        <w:t xml:space="preserve"> </w:t>
      </w:r>
      <w:r>
        <w:t xml:space="preserve">registration proceedings in the offices concerned, causes extra burdens and costs for both</w:t>
      </w:r>
      <w:r>
        <w:t xml:space="preserve"> </w:t>
      </w:r>
      <w:r>
        <w:t xml:space="preserve">IP offices and businesses seeking design protection at national level76, and prevents them</w:t>
      </w:r>
      <w:r>
        <w:t xml:space="preserve"> </w:t>
      </w:r>
      <w:r>
        <w:t xml:space="preserve">from enjoying a level playing field compared to the Community design. On average time</w:t>
      </w:r>
      <w:r>
        <w:t xml:space="preserve"> </w:t>
      </w:r>
      <w:r>
        <w:t xml:space="preserve">to register design in those five Member States was 2.1 times longer in 2019 than in the</w:t>
      </w:r>
      <w:r>
        <w:t xml:space="preserve"> </w:t>
      </w:r>
      <w:r>
        <w:t xml:space="preserve">remaining countries.77 Around 750 to 1000 applications annually are affected78.</w:t>
      </w:r>
      <w:r>
        <w:t xml:space="preserve"> </w:t>
      </w:r>
      <w:r>
        <w:t xml:space="preserve">Box 6: Extent of substantive examination – practical examples</w:t>
      </w:r>
      <w:r>
        <w:t xml:space="preserve"> </w:t>
      </w:r>
      <w:r>
        <w:t xml:space="preserve">While company X would be able to get a registration in Spain within a few days,</w:t>
      </w:r>
      <w:r>
        <w:t xml:space="preserve"> </w:t>
      </w:r>
      <w:r>
        <w:t xml:space="preserve">company Y in Hungary would need to wait at least three months before being able to</w:t>
      </w:r>
      <w:r>
        <w:t xml:space="preserve"> </w:t>
      </w:r>
      <w:r>
        <w:t xml:space="preserve">enforce its design right79. This puts competitors in these countries in an unequal</w:t>
      </w:r>
      <w:r>
        <w:t xml:space="preserve"> </w:t>
      </w:r>
      <w:r>
        <w:t xml:space="preserve">position. If company X needs to enforce its design right urgently and has no time to</w:t>
      </w:r>
      <w:r>
        <w:t xml:space="preserve"> </w:t>
      </w:r>
      <w:r>
        <w:t xml:space="preserve">wait, it may decide to apply for an RCD as this would cover the whole EU and be</w:t>
      </w:r>
      <w:r>
        <w:t xml:space="preserve"> </w:t>
      </w:r>
      <w:r>
        <w:t xml:space="preserve">registered within a few days. Not only does this lead to extra filing costs, X also runs the</w:t>
      </w:r>
      <w:r>
        <w:t xml:space="preserve"> </w:t>
      </w:r>
      <w:r>
        <w:t xml:space="preserve">risk that priority may not be successfully claimed due to different formal requirement as</w:t>
      </w:r>
      <w:r>
        <w:t xml:space="preserve"> </w:t>
      </w:r>
      <w:r>
        <w:t xml:space="preserve">to the maximum number of views, being 7 for RCDs and 100 in Hungary for electronic</w:t>
      </w:r>
      <w:r>
        <w:t xml:space="preserve"> </w:t>
      </w:r>
      <w:r>
        <w:t xml:space="preserve">filings. As a consequence, the RCD may be invalidated due to lack of novelty and</w:t>
      </w:r>
      <w:r>
        <w:t xml:space="preserve"> </w:t>
      </w:r>
      <w:r>
        <w:t xml:space="preserve">individual character vis-à-vis the previous Hungarian filing and the extra costs for the</w:t>
      </w:r>
      <w:r>
        <w:t xml:space="preserve"> </w:t>
      </w:r>
      <w:r>
        <w:t xml:space="preserve">filing of the RCD were thus made in vain.</w:t>
      </w:r>
      <w:r>
        <w:t xml:space="preserve"> </w:t>
      </w:r>
      <w:r>
        <w:t xml:space="preserve">(e) Administrative invalidity procedures</w:t>
      </w:r>
      <w:r>
        <w:t xml:space="preserve"> </w:t>
      </w:r>
      <w:r>
        <w:t xml:space="preserve">While at Union level and in part of the Member States proceedings to invalidate a</w:t>
      </w:r>
      <w:r>
        <w:t xml:space="preserve"> </w:t>
      </w:r>
      <w:r>
        <w:t xml:space="preserve">registered design can be brought directly before the EUIPO and national IP offices80</w:t>
      </w:r>
      <w:r>
        <w:t xml:space="preserve"> </w:t>
      </w:r>
      <w:r>
        <w:t xml:space="preserve">respectively, in other Member States proceedings to invalidate a registered national</w:t>
      </w:r>
      <w:r>
        <w:t xml:space="preserve"> </w:t>
      </w:r>
      <w:r>
        <w:t xml:space="preserve">design may only be brought before a judicial body81.</w:t>
      </w:r>
      <w:r>
        <w:br/>
      </w:r>
      <w:r>
        <w:t xml:space="preserve">Applications to court for injunctions or declarations of invalidity can add to the overall</w:t>
      </w:r>
      <w:r>
        <w:t xml:space="preserve"> </w:t>
      </w:r>
      <w:r>
        <w:t xml:space="preserve">transaction costs involved in obtaining and maintaining a registered design in the EU.</w:t>
      </w:r>
      <w:r>
        <w:t xml:space="preserve"> </w:t>
      </w:r>
      <w:r>
        <w:t xml:space="preserve">The results from both the First and the Second Public Consultation clearly show that</w:t>
      </w:r>
      <w:r>
        <w:t xml:space="preserve"> </w:t>
      </w:r>
      <w:r>
        <w:t xml:space="preserve">harmonisation of the approach is desired. The absence of administrative invalidity</w:t>
      </w:r>
      <w:r>
        <w:t xml:space="preserve"> </w:t>
      </w:r>
      <w:r>
        <w:t xml:space="preserve">procedures in some Member States also hinders a further harmonisation of practices and</w:t>
      </w:r>
      <w:r>
        <w:t xml:space="preserve"> </w:t>
      </w:r>
      <w:r>
        <w:t xml:space="preserve">tools as developed in the EUIPN.</w:t>
      </w:r>
    </w:p>
    <w:p>
      <w:pPr>
        <w:pStyle w:val="BodyText"/>
      </w:pPr>
      <w:r>
        <w:t xml:space="preserve">76 Even deploying AI-based search tools makes it impossible for novelty examination to be exhaustive, as</w:t>
      </w:r>
      <w:r>
        <w:t xml:space="preserve"> </w:t>
      </w:r>
      <w:r>
        <w:t xml:space="preserve">any earlier design in the world (registered or not) can be novelty destroying. Benefits are thus of limited</w:t>
      </w:r>
      <w:r>
        <w:t xml:space="preserve"> </w:t>
      </w:r>
      <w:r>
        <w:t xml:space="preserve">value for applicants.</w:t>
      </w:r>
      <w:r>
        <w:t xml:space="preserve"> </w:t>
      </w:r>
      <w:r>
        <w:t xml:space="preserve">77 Based on EUIPO data, in 2019 simple average time from application to registration of a design in five</w:t>
      </w:r>
      <w:r>
        <w:t xml:space="preserve"> </w:t>
      </w:r>
      <w:r>
        <w:t xml:space="preserve">Member States with prior examination was 168 days, while in 19 others for which data was available – 80</w:t>
      </w:r>
      <w:r>
        <w:t xml:space="preserve"> </w:t>
      </w:r>
      <w:r>
        <w:t xml:space="preserve">days. The difference was even higher in preceding years.</w:t>
      </w:r>
      <w:r>
        <w:t xml:space="preserve"> </w:t>
      </w:r>
      <w:r>
        <w:t xml:space="preserve">78 In CZ these would affect between 150 and 250 applications each year, in Finland between 100 and 140 ,</w:t>
      </w:r>
      <w:r>
        <w:t xml:space="preserve"> </w:t>
      </w:r>
      <w:r>
        <w:t xml:space="preserve">around 130 in Hungary , from 100 to 170 in SK , between 270 and 370 in RO (based on annual reports of</w:t>
      </w:r>
      <w:r>
        <w:t xml:space="preserve"> </w:t>
      </w:r>
      <w:r>
        <w:t xml:space="preserve">the respective IP officies).</w:t>
      </w:r>
      <w:r>
        <w:br/>
      </w:r>
      <w:r>
        <w:t xml:space="preserve">79 In case no deficiencies are found. If there are deficiencies in the application the average time it takes for</w:t>
      </w:r>
      <w:r>
        <w:t xml:space="preserve"> </w:t>
      </w:r>
      <w:r>
        <w:t xml:space="preserve">an application to be registered is 12 months for Hungary and 38 days in Spain.</w:t>
      </w:r>
      <w:r>
        <w:br/>
      </w:r>
      <w:r>
        <w:t xml:space="preserve">80 According to data obtained through a targeted questionnaire prepared by the Commission and addressed</w:t>
      </w:r>
      <w:r>
        <w:t xml:space="preserve"> </w:t>
      </w:r>
      <w:r>
        <w:t xml:space="preserve">to national IP Offices in 2019 (IPO Questionnaire), office-based invalidity procedures are currently</w:t>
      </w:r>
      <w:r>
        <w:t xml:space="preserve"> </w:t>
      </w:r>
      <w:r>
        <w:t xml:space="preserve">available in Austria, Bulgaria, Croatia, the Czech Republic, Denmark, Germany, Hungary, Ireland, Poland</w:t>
      </w:r>
      <w:r>
        <w:t xml:space="preserve"> </w:t>
      </w:r>
      <w:r>
        <w:t xml:space="preserve">and Portugal.</w:t>
      </w:r>
      <w:r>
        <w:br/>
      </w:r>
      <w:r>
        <w:t xml:space="preserve">81 According to the IPO Qurestionnaire, a judicial procedure with the competent court to get a registered</w:t>
      </w:r>
      <w:r>
        <w:t xml:space="preserve"> </w:t>
      </w:r>
      <w:r>
        <w:t xml:space="preserve">design invalidated is required in the Benelux countries, Cyprus, Estonia, Finland, France, Greece, Italy,</w:t>
      </w:r>
      <w:r>
        <w:t xml:space="preserve"> </w:t>
      </w:r>
      <w:r>
        <w:t xml:space="preserve">Latvia, Lithuania, Romania, Slovenia, Spain, and Sweden.</w:t>
      </w:r>
    </w:p>
    <w:p>
      <w:pPr>
        <w:pStyle w:val="BodyText"/>
      </w:pPr>
      <w:r>
        <w:t xml:space="preserve">20</w:t>
      </w:r>
      <w:r>
        <w:t xml:space="preserve"> </w:t>
      </w:r>
      <w:r>
        <w:t xml:space="preserve">Moreover, litigation costs for pursuing infringement cases/invalidity cases is considered</w:t>
      </w:r>
      <w:r>
        <w:t xml:space="preserve"> </w:t>
      </w:r>
      <w:r>
        <w:t xml:space="preserve">as one of the top three costs of having a design. Also the clear majority of respondents to</w:t>
      </w:r>
      <w:r>
        <w:t xml:space="preserve"> </w:t>
      </w:r>
      <w:r>
        <w:t xml:space="preserve">the Second Public Consultation stressed the importance of introducing quick and</w:t>
      </w:r>
      <w:r>
        <w:t xml:space="preserve"> </w:t>
      </w:r>
      <w:r>
        <w:t xml:space="preserve">inexpensive invalidity proceedings in all the national IP offices and see no reason why</w:t>
      </w:r>
      <w:r>
        <w:t xml:space="preserve"> </w:t>
      </w:r>
      <w:r>
        <w:t xml:space="preserve">the situation for designs should differ from that of trade marks82. The non-availability of</w:t>
      </w:r>
      <w:r>
        <w:t xml:space="preserve"> </w:t>
      </w:r>
      <w:r>
        <w:t xml:space="preserve">office-based proceedings in a part of the Union makes the design system in the EU</w:t>
      </w:r>
      <w:r>
        <w:t xml:space="preserve"> </w:t>
      </w:r>
      <w:r>
        <w:t xml:space="preserve">particularly burdensome and expensive for SMEs and individual designers to go against</w:t>
      </w:r>
      <w:r>
        <w:t xml:space="preserve"> </w:t>
      </w:r>
      <w:r>
        <w:t xml:space="preserve">registered designs not meriting protection in these countries.</w:t>
      </w:r>
      <w:r>
        <w:t xml:space="preserve"> </w:t>
      </w:r>
      <w:r>
        <w:t xml:space="preserve">In particular, the costs for the required legal representation by lawyers, including</w:t>
      </w:r>
      <w:r>
        <w:t xml:space="preserve"> </w:t>
      </w:r>
      <w:r>
        <w:t xml:space="preserve">procurators, which normally exceed those involved by the representation through trade</w:t>
      </w:r>
      <w:r>
        <w:t xml:space="preserve"> </w:t>
      </w:r>
      <w:r>
        <w:t xml:space="preserve">mark and design attorneys admitted to act before national IP offices (not least due to the</w:t>
      </w:r>
      <w:r>
        <w:t xml:space="preserve"> </w:t>
      </w:r>
      <w:r>
        <w:t xml:space="preserve">greater legal complexity involved in court proceedings), is a reason for SMEs or</w:t>
      </w:r>
      <w:r>
        <w:t xml:space="preserve"> </w:t>
      </w:r>
      <w:r>
        <w:t xml:space="preserve">individual designers not to go to court. In addition, the court fees are usually higher than</w:t>
      </w:r>
      <w:r>
        <w:t xml:space="preserve"> </w:t>
      </w:r>
      <w:r>
        <w:t xml:space="preserve">the fees for invalidity proceedings requested by national offices being on average 285</w:t>
      </w:r>
      <w:r>
        <w:t xml:space="preserve"> </w:t>
      </w:r>
      <w:r>
        <w:t xml:space="preserve">EUR83. Backlogs at courts may also additionally delay the rendering of final decisions.</w:t>
      </w:r>
      <w:r>
        <w:t xml:space="preserve"> </w:t>
      </w:r>
      <w:r>
        <w:t xml:space="preserve">The result is that in countries with administrative invalid proceedings the hurdle to start</w:t>
      </w:r>
      <w:r>
        <w:t xml:space="preserve"> </w:t>
      </w:r>
      <w:r>
        <w:t xml:space="preserve">such proceedings is lower and the register is more likely to be cleaned of invalid designs.</w:t>
      </w:r>
      <w:r>
        <w:t xml:space="preserve"> </w:t>
      </w:r>
      <w:r>
        <w:t xml:space="preserve">It also means that in countries where competitors can get a registered design declared</w:t>
      </w:r>
      <w:r>
        <w:t xml:space="preserve"> </w:t>
      </w:r>
      <w:r>
        <w:t xml:space="preserve">invalid only through complex and costly court proceedings, the economic costs of</w:t>
      </w:r>
      <w:r>
        <w:t xml:space="preserve"> </w:t>
      </w:r>
      <w:r>
        <w:t xml:space="preserve">registering invalid designs are “passed on” to them.</w:t>
      </w:r>
      <w:r>
        <w:t xml:space="preserve"> </w:t>
      </w:r>
      <w:r>
        <w:t xml:space="preserve">Box 7: Invalidity proceedings – practical example</w:t>
      </w:r>
      <w:r>
        <w:t xml:space="preserve"> </w:t>
      </w:r>
      <w:r>
        <w:t xml:space="preserve">Company X intends to put a new design product into the whole EU market. However, X</w:t>
      </w:r>
      <w:r>
        <w:t xml:space="preserve"> </w:t>
      </w:r>
      <w:r>
        <w:t xml:space="preserve">is concerned that the product could infringe both a registered trade mark and design in</w:t>
      </w:r>
      <w:r>
        <w:t xml:space="preserve"> </w:t>
      </w:r>
      <w:r>
        <w:t xml:space="preserve">Finland. If X is of the view that neither of these registrations merit protection and wants</w:t>
      </w:r>
      <w:r>
        <w:t xml:space="preserve"> </w:t>
      </w:r>
      <w:r>
        <w:t xml:space="preserve">to have them cancelled by the competent authorities, it would have to proceed</w:t>
      </w:r>
      <w:r>
        <w:t xml:space="preserve"> </w:t>
      </w:r>
      <w:r>
        <w:t xml:space="preserve">differently. While for cancelling the registered trade mark X could file an application for</w:t>
      </w:r>
      <w:r>
        <w:t xml:space="preserve"> </w:t>
      </w:r>
      <w:r>
        <w:t xml:space="preserve">a declaration of invalidity before the Finnish Patent and Registration Office, paying an</w:t>
      </w:r>
      <w:r>
        <w:t xml:space="preserve"> </w:t>
      </w:r>
      <w:r>
        <w:t xml:space="preserve">official fee of EUR400 if done electronically, X would have to initiate judicial invalidity</w:t>
      </w:r>
      <w:r>
        <w:t xml:space="preserve"> </w:t>
      </w:r>
      <w:r>
        <w:t xml:space="preserve">proceedings before the competent Market Court in Finland to get the registered design</w:t>
      </w:r>
      <w:r>
        <w:t xml:space="preserve"> </w:t>
      </w:r>
      <w:r>
        <w:t xml:space="preserve">declared invalid, paying a much higher official fee of EUR2050 as legal entity.</w:t>
      </w:r>
      <w:r>
        <w:br/>
      </w:r>
      <w:r>
        <w:t xml:space="preserve">Conclusion</w:t>
      </w:r>
      <w:r>
        <w:t xml:space="preserve"> </w:t>
      </w:r>
      <w:r>
        <w:t xml:space="preserve">The non-harmonisation of procedures, including the resulting limited convergence of</w:t>
      </w:r>
      <w:r>
        <w:t xml:space="preserve"> </w:t>
      </w:r>
      <w:r>
        <w:t xml:space="preserve">practices, have a series of significant adverse consequences for all businesses and</w:t>
      </w:r>
      <w:r>
        <w:t xml:space="preserve"> </w:t>
      </w:r>
      <w:r>
        <w:t xml:space="preserve">individual designers. This applies both to applicants active in different markets in</w:t>
      </w:r>
      <w:r>
        <w:t xml:space="preserve"> </w:t>
      </w:r>
      <w:r>
        <w:t xml:space="preserve">Europe84 and users of a single national system. Indeed, the differences between the</w:t>
      </w:r>
      <w:r>
        <w:t xml:space="preserve"> </w:t>
      </w:r>
      <w:r>
        <w:t xml:space="preserve">existing regimes, for example, the availability of certain procedures and tools, legal</w:t>
      </w:r>
      <w:r>
        <w:t xml:space="preserve"> </w:t>
      </w:r>
      <w:r>
        <w:t xml:space="preserve">uncertainty as well as speed of registration, lead to an uneven level playing field which is</w:t>
      </w:r>
      <w:r>
        <w:t xml:space="preserve"> </w:t>
      </w:r>
      <w:r>
        <w:t xml:space="preserve">to the detriment of all users of the European design system, regardless of the</w:t>
      </w:r>
      <w:r>
        <w:t xml:space="preserve"> </w:t>
      </w:r>
      <w:r>
        <w:t xml:space="preserve">geographical scope of design protection they seek to obtain. As a result, a company,</w:t>
      </w:r>
    </w:p>
    <w:p>
      <w:pPr>
        <w:pStyle w:val="BodyText"/>
      </w:pPr>
      <w:r>
        <w:t xml:space="preserve">82 Following the trade mark reform, Member States are required to provide for office-based procedures for</w:t>
      </w:r>
      <w:r>
        <w:t xml:space="preserve"> </w:t>
      </w:r>
      <w:r>
        <w:t xml:space="preserve">the revocation and declaration of invalidity of a registered trade mark (Article 45 of Directive (EU)</w:t>
      </w:r>
      <w:r>
        <w:t xml:space="preserve"> </w:t>
      </w:r>
      <w:r>
        <w:t xml:space="preserve">2015/2436 of 16 December 2015 of the European Parliament and of the Council to approximate the laws of</w:t>
      </w:r>
      <w:r>
        <w:t xml:space="preserve"> </w:t>
      </w:r>
      <w:r>
        <w:t xml:space="preserve">Member States relating to trade marks).</w:t>
      </w:r>
      <w:r>
        <w:t xml:space="preserve"> </w:t>
      </w:r>
      <w:r>
        <w:t xml:space="preserve">83 Fees range from EUR 77,70 in Czech Republic to EUR 550 in Austria. Data taken from the IPO survey.</w:t>
      </w:r>
      <w:r>
        <w:br/>
      </w:r>
      <w:r>
        <w:t xml:space="preserve">84 As also confirmed by the responses to the Second Public Consultation, in particular SMEs partly apply</w:t>
      </w:r>
      <w:r>
        <w:t xml:space="preserve"> </w:t>
      </w:r>
      <w:r>
        <w:t xml:space="preserve">first for the registration of their designs at national level to save costs before applying also for protection in</w:t>
      </w:r>
      <w:r>
        <w:t xml:space="preserve"> </w:t>
      </w:r>
      <w:r>
        <w:t xml:space="preserve">the form of an RCD based on so-called convention priority, or make use of several national systems in</w:t>
      </w:r>
      <w:r>
        <w:t xml:space="preserve"> </w:t>
      </w:r>
      <w:r>
        <w:t xml:space="preserve">parallel to register a number of national designs, as part of their company’s marketing strategy.</w:t>
      </w:r>
    </w:p>
    <w:p>
      <w:pPr>
        <w:pStyle w:val="BodyText"/>
      </w:pPr>
      <w:r>
        <w:t xml:space="preserve">21</w:t>
      </w:r>
      <w:r>
        <w:t xml:space="preserve"> </w:t>
      </w:r>
      <w:r>
        <w:t xml:space="preserve">planning its design strategy, already faces a multitude of unevenly regulated regimes,</w:t>
      </w:r>
      <w:r>
        <w:t xml:space="preserve"> </w:t>
      </w:r>
      <w:r>
        <w:t xml:space="preserve">which present applicants with different degrees of accessibility, difficulty, predictability</w:t>
      </w:r>
      <w:r>
        <w:t xml:space="preserve"> </w:t>
      </w:r>
      <w:r>
        <w:t xml:space="preserve">and speed in obtaining design protection leading to: higher costs and delays; underuse of</w:t>
      </w:r>
      <w:r>
        <w:t xml:space="preserve"> </w:t>
      </w:r>
      <w:r>
        <w:t xml:space="preserve">(part of) the design systems and distortion of competition.</w:t>
      </w:r>
      <w:r>
        <w:br/>
      </w:r>
      <w:r>
        <w:t xml:space="preserve">First, there is a direct increase in costs for cross-border filers. Due to divergent</w:t>
      </w:r>
      <w:r>
        <w:t xml:space="preserve"> </w:t>
      </w:r>
      <w:r>
        <w:t xml:space="preserve">procedures applicants cannot use the same material across jurisdictions, have to manage</w:t>
      </w:r>
      <w:r>
        <w:t xml:space="preserve"> </w:t>
      </w:r>
      <w:r>
        <w:t xml:space="preserve">portfolios of rights of different scope and be aware of the specificities of the different</w:t>
      </w:r>
      <w:r>
        <w:t xml:space="preserve"> </w:t>
      </w:r>
      <w:r>
        <w:t xml:space="preserve">protection systems. As a consequence, they are obliged to: (a) increase in-house expertise</w:t>
      </w:r>
      <w:r>
        <w:t xml:space="preserve"> </w:t>
      </w:r>
      <w:r>
        <w:t xml:space="preserve">so as to be in a position to internalise the knowledge necessary for effectively dealing</w:t>
      </w:r>
      <w:r>
        <w:t xml:space="preserve"> </w:t>
      </w:r>
      <w:r>
        <w:t xml:space="preserve">with the various aspects of the system in all Member States, (b) seek expensive</w:t>
      </w:r>
      <w:r>
        <w:t xml:space="preserve"> </w:t>
      </w:r>
      <w:r>
        <w:t xml:space="preserve">professional advice, often in the form of an international network of external consultants,</w:t>
      </w:r>
      <w:r>
        <w:t xml:space="preserve"> </w:t>
      </w:r>
      <w:r>
        <w:t xml:space="preserve">especially when the issues involved require local legal expertise, and (c) develop and</w:t>
      </w:r>
      <w:r>
        <w:t xml:space="preserve"> </w:t>
      </w:r>
      <w:r>
        <w:t xml:space="preserve">maintain overcomplicated data management tools in order to manage its designs portfolio</w:t>
      </w:r>
      <w:r>
        <w:t xml:space="preserve"> </w:t>
      </w:r>
      <w:r>
        <w:t xml:space="preserve">efficiently, taking due account of the divergent rules applicable.</w:t>
      </w:r>
      <w:r>
        <w:br/>
      </w:r>
      <w:r>
        <w:t xml:space="preserve">Second, the different standards applicable in different jurisdictions lead to an</w:t>
      </w:r>
      <w:r>
        <w:t xml:space="preserve"> </w:t>
      </w:r>
      <w:r>
        <w:t xml:space="preserve">increased danger of forum shopping, since companies are often tempted to use one</w:t>
      </w:r>
      <w:r>
        <w:t xml:space="preserve"> </w:t>
      </w:r>
      <w:r>
        <w:t xml:space="preserve">system instead of another, not on the basis of their marketing needs, but rather on the</w:t>
      </w:r>
      <w:r>
        <w:t xml:space="preserve"> </w:t>
      </w:r>
      <w:r>
        <w:t xml:space="preserve">basis of convenience criteria like the ease or speed with which design registration can be</w:t>
      </w:r>
      <w:r>
        <w:t xml:space="preserve"> </w:t>
      </w:r>
      <w:r>
        <w:t xml:space="preserve">obtained in a particular territory. For example, it may be known among design users that</w:t>
      </w:r>
      <w:r>
        <w:t xml:space="preserve"> </w:t>
      </w:r>
      <w:r>
        <w:t xml:space="preserve">the examination practice is more rigorous in one Member State than in another (as e.g. </w:t>
      </w:r>
      <w:r>
        <w:t xml:space="preserve"> </w:t>
      </w:r>
      <w:r>
        <w:t xml:space="preserve">not including the assessment of prior art), and, consequently, decide to obtain design</w:t>
      </w:r>
      <w:r>
        <w:t xml:space="preserve"> </w:t>
      </w:r>
      <w:r>
        <w:t xml:space="preserve">protection at the latter IP office (or, alternatively, at the EUIPO, which for example does</w:t>
      </w:r>
      <w:r>
        <w:t xml:space="preserve"> </w:t>
      </w:r>
      <w:r>
        <w:t xml:space="preserve">not examine prior art ex officio either). As a possible consequence thereof, the situations</w:t>
      </w:r>
      <w:r>
        <w:t xml:space="preserve"> </w:t>
      </w:r>
      <w:r>
        <w:t xml:space="preserve">of some national IP offices might become unsustainable which would be to the detriment</w:t>
      </w:r>
      <w:r>
        <w:t xml:space="preserve"> </w:t>
      </w:r>
      <w:r>
        <w:t xml:space="preserve">of individual designers and SMEs that apply in one or two member states only or first</w:t>
      </w:r>
      <w:r>
        <w:t xml:space="preserve"> </w:t>
      </w:r>
      <w:r>
        <w:t xml:space="preserve">obtain design protection at national level before deciding to apply elsewhere on the basis</w:t>
      </w:r>
      <w:r>
        <w:t xml:space="preserve"> </w:t>
      </w:r>
      <w:r>
        <w:t xml:space="preserve">of convention priority. Moreover, it would endanger the fundamental principle of</w:t>
      </w:r>
      <w:r>
        <w:t xml:space="preserve"> </w:t>
      </w:r>
      <w:r>
        <w:t xml:space="preserve">coexistence (including harmonious complementarity and free choice) between RCD and</w:t>
      </w:r>
      <w:r>
        <w:t xml:space="preserve"> </w:t>
      </w:r>
      <w:r>
        <w:t xml:space="preserve">national design systems, which is so much supported by stakeholders (as in the trade</w:t>
      </w:r>
      <w:r>
        <w:t xml:space="preserve"> </w:t>
      </w:r>
      <w:r>
        <w:t xml:space="preserve">mark field), could be put at risk.</w:t>
      </w:r>
      <w:r>
        <w:br/>
      </w:r>
      <w:r>
        <w:t xml:space="preserve">Third, the above mentioned deficiencies also distort the level playing field for</w:t>
      </w:r>
      <w:r>
        <w:t xml:space="preserve"> </w:t>
      </w:r>
      <w:r>
        <w:t xml:space="preserve">companies, with further negative consequences on the competitiveness of EU</w:t>
      </w:r>
      <w:r>
        <w:t xml:space="preserve"> </w:t>
      </w:r>
      <w:r>
        <w:t xml:space="preserve">companies and the competiveness of the EU as a whole. It should also be noted that</w:t>
      </w:r>
      <w:r>
        <w:t xml:space="preserve"> </w:t>
      </w:r>
      <w:r>
        <w:t xml:space="preserve">the above effects are more acute for SMEs and individual applicants, even if active in</w:t>
      </w:r>
      <w:r>
        <w:t xml:space="preserve"> </w:t>
      </w:r>
      <w:r>
        <w:t xml:space="preserve">only one or two markets and thus are more impacted by less efficient national protection</w:t>
      </w:r>
      <w:r>
        <w:t xml:space="preserve"> </w:t>
      </w:r>
      <w:r>
        <w:t xml:space="preserve">systems. To the extent that they are active on several markets, they have less resources to</w:t>
      </w:r>
      <w:r>
        <w:t xml:space="preserve"> </w:t>
      </w:r>
      <w:r>
        <w:t xml:space="preserve">hire expensive teams of international professional consultants to cater for their different</w:t>
      </w:r>
      <w:r>
        <w:t xml:space="preserve"> </w:t>
      </w:r>
      <w:r>
        <w:t xml:space="preserve">filing needs. This leads to discrimination and artificial barriers, since small companies</w:t>
      </w:r>
      <w:r>
        <w:t xml:space="preserve"> </w:t>
      </w:r>
      <w:r>
        <w:t xml:space="preserve">find it increasingly difficult to compete with big multinationals.</w:t>
      </w:r>
      <w:r>
        <w:t xml:space="preserve"> </w:t>
      </w:r>
      <w:r>
        <w:t xml:space="preserve">2.2.</w:t>
      </w:r>
      <w:r>
        <w:t xml:space="preserve"> </w:t>
      </w:r>
      <w:r>
        <w:t xml:space="preserve">How will the problems evolve?</w:t>
      </w:r>
      <w:r>
        <w:t xml:space="preserve"> </w:t>
      </w:r>
      <w:r>
        <w:t xml:space="preserve">2.2.1. Single market and competition in spare parts market</w:t>
      </w:r>
      <w:r>
        <w:t xml:space="preserve"> </w:t>
      </w:r>
      <w:r>
        <w:t xml:space="preserve">Figure 2.1 illustrates the structure of the automotive aftermarket. Competition in the</w:t>
      </w:r>
      <w:r>
        <w:t xml:space="preserve"> </w:t>
      </w:r>
      <w:r>
        <w:t xml:space="preserve">European aftermarket of auto parts would continue to occur across two channels:</w:t>
      </w:r>
      <w:r>
        <w:t xml:space="preserve"> </w:t>
      </w:r>
      <w:r>
        <w:t xml:space="preserve">authorised and independent. The former includes vehicle manufacturers (VM) and their</w:t>
      </w:r>
      <w:r>
        <w:t xml:space="preserve"> </w:t>
      </w:r>
      <w:r>
        <w:t xml:space="preserve">affiliated repair shops. Spare parts distributed in this channel are manufactured either by</w:t>
      </w:r>
      <w:r>
        <w:t xml:space="preserve"> </w:t>
      </w:r>
      <w:r>
        <w:t xml:space="preserve">the VM themselves or by original equipment suppliers (OESs) that supply the parts for</w:t>
      </w:r>
      <w:r>
        <w:t xml:space="preserve"> </w:t>
      </w:r>
      <w:r>
        <w:t xml:space="preserve">the vehicle assembly. The independent aftermarket includes OES that supply spare parts</w:t>
      </w:r>
    </w:p>
    <w:p>
      <w:pPr>
        <w:pStyle w:val="BodyText"/>
      </w:pPr>
      <w:r>
        <w:t xml:space="preserve">22</w:t>
      </w:r>
      <w:r>
        <w:t xml:space="preserve"> </w:t>
      </w:r>
      <w:r>
        <w:t xml:space="preserve">under their own brands and independent suppliers that do not supply parts for vehicle</w:t>
      </w:r>
      <w:r>
        <w:t xml:space="preserve"> </w:t>
      </w:r>
      <w:r>
        <w:t xml:space="preserve">assembly i.e. have no formal contractual arrangements with vehicle manufacturers</w:t>
      </w:r>
      <w:r>
        <w:t xml:space="preserve"> </w:t>
      </w:r>
      <w:r>
        <w:t xml:space="preserve">(hereafter “non-OES”). Suppliers in this independent market rely on wholesale</w:t>
      </w:r>
      <w:r>
        <w:t xml:space="preserve"> </w:t>
      </w:r>
      <w:r>
        <w:t xml:space="preserve">distributors to deliver parts to repair shops.</w:t>
      </w:r>
      <w:r>
        <w:t xml:space="preserve"> </w:t>
      </w:r>
      <w:r>
        <w:t xml:space="preserve">Figure 2.1. Aftermarket separated into authorised and independent channels</w:t>
      </w:r>
    </w:p>
    <w:p>
      <w:pPr>
        <w:pStyle w:val="BodyText"/>
      </w:pPr>
      <w:r>
        <w:t xml:space="preserve">Source: Exhibit 1 in BCG, CLEPA and Wolk After Sales (March, 2021) At the crossroads: The European</w:t>
      </w:r>
      <w:r>
        <w:t xml:space="preserve"> </w:t>
      </w:r>
      <w:r>
        <w:t xml:space="preserve">Aftermarket 2030.</w:t>
      </w:r>
      <w:r>
        <w:t xml:space="preserve"> </w:t>
      </w:r>
      <w:r>
        <w:t xml:space="preserve">Producers</w:t>
      </w:r>
      <w:r>
        <w:t xml:space="preserve"> </w:t>
      </w:r>
      <w:r>
        <w:t xml:space="preserve">In Member States without a repair clause, VM would continue prohibiting the</w:t>
      </w:r>
      <w:r>
        <w:t xml:space="preserve"> </w:t>
      </w:r>
      <w:r>
        <w:t xml:space="preserve">production, putting on the market and offering for sale of identical parts by independent</w:t>
      </w:r>
      <w:r>
        <w:t xml:space="preserve"> </w:t>
      </w:r>
      <w:r>
        <w:t xml:space="preserve">manufacturers on the basis of their national design rights.</w:t>
      </w:r>
      <w:r>
        <w:t xml:space="preserve"> </w:t>
      </w:r>
      <w:r>
        <w:t xml:space="preserve">Location of production: Non-OES continue foregoing production in these markets. The</w:t>
      </w:r>
      <w:r>
        <w:t xml:space="preserve"> </w:t>
      </w:r>
      <w:r>
        <w:t xml:space="preserve">evidence point that this is indeed the case as fewer production sites are owned by the</w:t>
      </w:r>
      <w:r>
        <w:t xml:space="preserve"> </w:t>
      </w:r>
      <w:r>
        <w:t xml:space="preserve">non-OES parts producers in markets without a repair clause.85 OES, on the contrary,</w:t>
      </w:r>
      <w:r>
        <w:t xml:space="preserve"> </w:t>
      </w:r>
      <w:r>
        <w:t xml:space="preserve">would keep production sites often located in the protected markets. This is because of</w:t>
      </w:r>
      <w:r>
        <w:t xml:space="preserve"> </w:t>
      </w:r>
      <w:r>
        <w:t xml:space="preserve">geographical proximity of OES and VM car assembly sites.</w:t>
      </w:r>
      <w:r>
        <w:t xml:space="preserve"> </w:t>
      </w:r>
      <w:r>
        <w:t xml:space="preserve">Putting on the market: OES’ contractual arrangements with VM may continue to prevent</w:t>
      </w:r>
      <w:r>
        <w:t xml:space="preserve"> </w:t>
      </w:r>
      <w:r>
        <w:t xml:space="preserve">or hamper the former from supplying the aftermarket directly. Figure 2.2 shows that this</w:t>
      </w:r>
      <w:r>
        <w:t xml:space="preserve"> </w:t>
      </w:r>
      <w:r>
        <w:t xml:space="preserve">is indeed the case for the segment of body parts where there is very limited presence of</w:t>
      </w:r>
      <w:r>
        <w:t xml:space="preserve"> </w:t>
      </w:r>
      <w:r>
        <w:t xml:space="preserve">OES brands but not for lighting and auto glass segments where competition from OES</w:t>
      </w:r>
      <w:r>
        <w:t xml:space="preserve"> </w:t>
      </w:r>
      <w:r>
        <w:t xml:space="preserve">brands is much stronger as reflected in higher market shares. Still, OES would continue</w:t>
      </w:r>
      <w:r>
        <w:t xml:space="preserve"> </w:t>
      </w:r>
      <w:r>
        <w:t xml:space="preserve">to be barred by VM from directly supplying lighting and glass segments in MS without a</w:t>
      </w:r>
      <w:r>
        <w:t xml:space="preserve"> </w:t>
      </w:r>
      <w:r>
        <w:t xml:space="preserve">repair clause; the distribution of their spare parts production shifts exclusively to the VM</w:t>
      </w:r>
      <w:r>
        <w:t xml:space="preserve"> </w:t>
      </w:r>
      <w:r>
        <w:t xml:space="preserve">resulting in undiversified customer portfolio. Finally, even if the OES are allowed to</w:t>
      </w:r>
      <w:r>
        <w:t xml:space="preserve"> </w:t>
      </w:r>
      <w:r>
        <w:t xml:space="preserve">market spare parts in the EU aftermarkets, they might remain prohibited to produce on</w:t>
      </w:r>
      <w:r>
        <w:t xml:space="preserve"> </w:t>
      </w:r>
      <w:r>
        <w:t xml:space="preserve">EU territory parts supposed to be exported to third countries (e.g. Australia) where no</w:t>
      </w:r>
      <w:r>
        <w:t xml:space="preserve"> </w:t>
      </w:r>
      <w:r>
        <w:t xml:space="preserve">design protection of spare parts exists.</w:t>
      </w:r>
      <w:r>
        <w:t xml:space="preserve"> </w:t>
      </w:r>
      <w:r>
        <w:t xml:space="preserve">Figure 2.2. Market shares by segment and origin of the brand (whole EU, 2019)</w:t>
      </w:r>
    </w:p>
    <w:p>
      <w:pPr>
        <w:pStyle w:val="BodyText"/>
      </w:pPr>
      <w:r>
        <w:t xml:space="preserve">85 Wolk After Sales (2021), supra note. Section 3.1.2. Purchasing criteria.</w:t>
      </w:r>
    </w:p>
    <w:p>
      <w:pPr>
        <w:pStyle w:val="BodyText"/>
      </w:pPr>
      <w:r>
        <w:t xml:space="preserve">23</w:t>
      </w:r>
    </w:p>
    <w:p>
      <w:pPr>
        <w:pStyle w:val="BodyText"/>
      </w:pPr>
      <w:r>
        <w:t xml:space="preserve">Note(s): (*) Total value reflect three market segments: body, lighting and auto glass. The production of</w:t>
      </w:r>
      <w:r>
        <w:t xml:space="preserve"> </w:t>
      </w:r>
      <w:r>
        <w:t xml:space="preserve">body panels was traditionally a core activity of VM. Metal body panels are still mostly produced by the</w:t>
      </w:r>
      <w:r>
        <w:t xml:space="preserve"> </w:t>
      </w:r>
      <w:r>
        <w:t xml:space="preserve">OEM whereas plastic panels, such as bumpers, are fully sourced to OES on the basis of exclusivity</w:t>
      </w:r>
      <w:r>
        <w:t xml:space="preserve"> </w:t>
      </w:r>
      <w:r>
        <w:t xml:space="preserve">contracts. Still, OES do not supply parts with their own logo to the aftermarket in parallel. The only</w:t>
      </w:r>
      <w:r>
        <w:t xml:space="preserve"> </w:t>
      </w:r>
      <w:r>
        <w:t xml:space="preserve">competition in this segment comes from non-OES who hold 22% of the market.</w:t>
      </w:r>
      <w:r>
        <w:t xml:space="preserve"> </w:t>
      </w:r>
      <w:r>
        <w:t xml:space="preserve">Source: VVA et al. (2021) Tables 16-18.</w:t>
      </w:r>
      <w:r>
        <w:t xml:space="preserve"> </w:t>
      </w:r>
      <w:r>
        <w:t xml:space="preserve">In Member States with a repair clause, the aftermarket would be sustained but as these</w:t>
      </w:r>
      <w:r>
        <w:t xml:space="preserve"> </w:t>
      </w:r>
      <w:r>
        <w:t xml:space="preserve">markets would not comprise the entire internal market, it will continue to suffer from the</w:t>
      </w:r>
      <w:r>
        <w:t xml:space="preserve"> </w:t>
      </w:r>
      <w:r>
        <w:t xml:space="preserve">lack of economies of scale. Limited access to EU-wide market with the growing</w:t>
      </w:r>
      <w:r>
        <w:t xml:space="preserve"> </w:t>
      </w:r>
      <w:r>
        <w:t xml:space="preserve">technological complexity of spare part production will make it harder for independent</w:t>
      </w:r>
      <w:r>
        <w:t xml:space="preserve"> </w:t>
      </w:r>
      <w:r>
        <w:t xml:space="preserve">producers to cover increasing fixed cost of bringing visible spare parts to the market.</w:t>
      </w:r>
      <w:r>
        <w:t xml:space="preserve"> </w:t>
      </w:r>
      <w:r>
        <w:t xml:space="preserve">In Member States with a repair clause, independent producers (non-OES) will continue to</w:t>
      </w:r>
      <w:r>
        <w:t xml:space="preserve"> </w:t>
      </w:r>
      <w:r>
        <w:t xml:space="preserve">compete equally with OES. They would be still, however, at disadvantage as they cannot</w:t>
      </w:r>
      <w:r>
        <w:t xml:space="preserve"> </w:t>
      </w:r>
      <w:r>
        <w:t xml:space="preserve">benefit from the economies of scale offered by a single market. They would not be</w:t>
      </w:r>
      <w:r>
        <w:t xml:space="preserve"> </w:t>
      </w:r>
      <w:r>
        <w:t xml:space="preserve">allowed to place their products in 16 Member States that represent 49% of the visible</w:t>
      </w:r>
      <w:r>
        <w:t xml:space="preserve"> </w:t>
      </w:r>
      <w:r>
        <w:t xml:space="preserve">spare part market in the EU. Since they do not have supply contracts with VMs they</w:t>
      </w:r>
      <w:r>
        <w:t xml:space="preserve"> </w:t>
      </w:r>
      <w:r>
        <w:t xml:space="preserve">would keep struggling for higher market volumes to recuperate fixed costs of</w:t>
      </w:r>
      <w:r>
        <w:t xml:space="preserve"> </w:t>
      </w:r>
      <w:r>
        <w:t xml:space="preserve">investments i.e. investments into product development and production lines.</w:t>
      </w:r>
      <w:r>
        <w:t xml:space="preserve"> </w:t>
      </w:r>
      <w:r>
        <w:t xml:space="preserve">The cost of reverse engineering86 is expected to increase in the future. This is driven by</w:t>
      </w:r>
      <w:r>
        <w:t xml:space="preserve"> </w:t>
      </w:r>
      <w:r>
        <w:t xml:space="preserve">the increased use of composite materials in the production of vehicles. Composite</w:t>
      </w:r>
      <w:r>
        <w:t xml:space="preserve"> </w:t>
      </w:r>
      <w:r>
        <w:t xml:space="preserve">materials reduce weight of the car increasing their performance and generating savings</w:t>
      </w:r>
      <w:r>
        <w:t xml:space="preserve"> </w:t>
      </w:r>
      <w:r>
        <w:t xml:space="preserve">on the use. On one hand, the production of composites is becoming increasingly cheaper</w:t>
      </w:r>
      <w:r>
        <w:t xml:space="preserve"> </w:t>
      </w:r>
      <w:r>
        <w:t xml:space="preserve">and is being done by an increasing number of manufacturers. On the other, processing</w:t>
      </w:r>
      <w:r>
        <w:t xml:space="preserve"> </w:t>
      </w:r>
      <w:r>
        <w:t xml:space="preserve">higher-quality composites requires high temperatures, an extremely clean work</w:t>
      </w:r>
      <w:r>
        <w:t xml:space="preserve"> </w:t>
      </w:r>
      <w:r>
        <w:t xml:space="preserve">environment, and labour-intensive processes. Finally, in contrast to, parts made of</w:t>
      </w:r>
      <w:r>
        <w:t xml:space="preserve"> </w:t>
      </w:r>
      <w:r>
        <w:t xml:space="preserve">rubber, plastic, tool steel, stainless steel, and aluminium alloys composites cannot be 3D</w:t>
      </w:r>
      <w:r>
        <w:t xml:space="preserve"> </w:t>
      </w:r>
      <w:r>
        <w:t xml:space="preserve">printed.87 This growing technological complexity favours VMs and their affiliates.</w:t>
      </w:r>
      <w:r>
        <w:t xml:space="preserve"> </w:t>
      </w:r>
      <w:r>
        <w:t xml:space="preserve">Wholesale distributors</w:t>
      </w:r>
    </w:p>
    <w:p>
      <w:pPr>
        <w:pStyle w:val="BodyText"/>
      </w:pPr>
      <w:r>
        <w:t xml:space="preserve">86 A process by which the design of an object (visible part) is re-created through the analysis of its</w:t>
      </w:r>
      <w:r>
        <w:t xml:space="preserve"> </w:t>
      </w:r>
      <w:r>
        <w:t xml:space="preserve">structure, function and operation using a physical part as a starting point.</w:t>
      </w:r>
      <w:r>
        <w:t xml:space="preserve"> </w:t>
      </w:r>
      <w:r>
        <w:t xml:space="preserve">87 Hoberg, F. (2020, October 10) Ersatzteile aus dem Drucker – doch das Problem liegt in der Stabilität.</w:t>
      </w:r>
      <w:r>
        <w:t xml:space="preserve"> </w:t>
      </w:r>
      <w:r>
        <w:t xml:space="preserve">Die Welt.</w:t>
      </w:r>
      <w:r>
        <w:t xml:space="preserve"> </w:t>
      </w:r>
      <w:r>
        <w:t xml:space="preserve">0%</w:t>
      </w:r>
      <w:r>
        <w:t xml:space="preserve"> </w:t>
      </w:r>
      <w:r>
        <w:t xml:space="preserve">20%</w:t>
      </w:r>
      <w:r>
        <w:t xml:space="preserve"> </w:t>
      </w:r>
      <w:r>
        <w:t xml:space="preserve">40%</w:t>
      </w:r>
      <w:r>
        <w:t xml:space="preserve"> </w:t>
      </w:r>
      <w:r>
        <w:t xml:space="preserve">60%</w:t>
      </w:r>
      <w:r>
        <w:t xml:space="preserve"> </w:t>
      </w:r>
      <w:r>
        <w:t xml:space="preserve">80%</w:t>
      </w:r>
      <w:r>
        <w:t xml:space="preserve"> </w:t>
      </w:r>
      <w:r>
        <w:t xml:space="preserve">100%</w:t>
      </w:r>
      <w:r>
        <w:t xml:space="preserve"> </w:t>
      </w:r>
      <w:r>
        <w:t xml:space="preserve">Auto Glass</w:t>
      </w:r>
      <w:r>
        <w:t xml:space="preserve"> </w:t>
      </w:r>
      <w:r>
        <w:t xml:space="preserve">Lighting</w:t>
      </w:r>
      <w:r>
        <w:t xml:space="preserve"> </w:t>
      </w:r>
      <w:r>
        <w:t xml:space="preserve">Body</w:t>
      </w:r>
      <w:r>
        <w:t xml:space="preserve"> </w:t>
      </w:r>
      <w:r>
        <w:t xml:space="preserve">TOTAL*</w:t>
      </w:r>
      <w:r>
        <w:t xml:space="preserve"> </w:t>
      </w:r>
      <w:r>
        <w:t xml:space="preserve">OEM</w:t>
      </w:r>
      <w:r>
        <w:t xml:space="preserve"> </w:t>
      </w:r>
      <w:r>
        <w:t xml:space="preserve">OES</w:t>
      </w:r>
      <w:r>
        <w:t xml:space="preserve"> </w:t>
      </w:r>
      <w:r>
        <w:t xml:space="preserve">IAM</w:t>
      </w:r>
      <w:r>
        <w:t xml:space="preserve"> </w:t>
      </w:r>
      <w:r>
        <w:t xml:space="preserve">Other</w:t>
      </w:r>
    </w:p>
    <w:p>
      <w:pPr>
        <w:pStyle w:val="BodyText"/>
      </w:pPr>
      <w:r>
        <w:t xml:space="preserve">24</w:t>
      </w:r>
      <w:r>
        <w:t xml:space="preserve"> </w:t>
      </w:r>
      <w:r>
        <w:t xml:space="preserve">Sourcing from a single supplier will continue as an important factor in repairer</w:t>
      </w:r>
      <w:r>
        <w:t xml:space="preserve"> </w:t>
      </w:r>
      <w:r>
        <w:t xml:space="preserve">purchasing decisions.88 It is linked to the process convenience by ordering, delivery and</w:t>
      </w:r>
      <w:r>
        <w:t xml:space="preserve"> </w:t>
      </w:r>
      <w:r>
        <w:t xml:space="preserve">generating price discounts. Independent parts distributors will remain at</w:t>
      </w:r>
      <w:r>
        <w:t xml:space="preserve"> </w:t>
      </w:r>
      <w:r>
        <w:t xml:space="preserve">disadvantage as they are no longer in the position to offer their customers a full</w:t>
      </w:r>
      <w:r>
        <w:t xml:space="preserve"> </w:t>
      </w:r>
      <w:r>
        <w:t xml:space="preserve">range of spare parts, i.e. including visible spare parts. The same is true for OES with</w:t>
      </w:r>
      <w:r>
        <w:t xml:space="preserve"> </w:t>
      </w:r>
      <w:r>
        <w:t xml:space="preserve">regard to car makers or models where they have no supply contracts with but would</w:t>
      </w:r>
      <w:r>
        <w:t xml:space="preserve"> </w:t>
      </w:r>
      <w:r>
        <w:t xml:space="preserve">nevertheless prefer to offer a full range of spare parts.</w:t>
      </w:r>
      <w:r>
        <w:t xml:space="preserve"> </w:t>
      </w:r>
      <w:r>
        <w:t xml:space="preserve">There are additional knock-on effects resulting from design protection. The elimination</w:t>
      </w:r>
      <w:r>
        <w:t xml:space="preserve"> </w:t>
      </w:r>
      <w:r>
        <w:t xml:space="preserve">of competition in the submarket of visible spare parts necessarily affects the whole EUR</w:t>
      </w:r>
      <w:r>
        <w:t xml:space="preserve"> </w:t>
      </w:r>
      <w:r>
        <w:t xml:space="preserve">50.7 billion market of automotive spare parts (as of 2019) by shifting the balance of</w:t>
      </w:r>
      <w:r>
        <w:t xml:space="preserve"> </w:t>
      </w:r>
      <w:r>
        <w:t xml:space="preserve">power, fragile as it is there anyway, in favour of the VMs. More specifically, distribution</w:t>
      </w:r>
      <w:r>
        <w:t xml:space="preserve"> </w:t>
      </w:r>
      <w:r>
        <w:t xml:space="preserve">channels in the European automotive market would remain below efficiency frontier. In</w:t>
      </w:r>
      <w:r>
        <w:t xml:space="preserve"> </w:t>
      </w:r>
      <w:r>
        <w:t xml:space="preserve">2017, the three leading aftermarket players together control just 15 percent of the market.</w:t>
      </w:r>
      <w:r>
        <w:t xml:space="preserve"> </w:t>
      </w:r>
      <w:r>
        <w:t xml:space="preserve">By contrast, the consolidation process in the US is already well advanced with the top</w:t>
      </w:r>
      <w:r>
        <w:t xml:space="preserve"> </w:t>
      </w:r>
      <w:r>
        <w:t xml:space="preserve">three players boosting a combined market share of almost 50 percent.89 The financial</w:t>
      </w:r>
      <w:r>
        <w:t xml:space="preserve"> </w:t>
      </w:r>
      <w:r>
        <w:t xml:space="preserve">pressure that companies experienced due to reduced sales during the covid-19 pandemic</w:t>
      </w:r>
      <w:r>
        <w:t xml:space="preserve"> </w:t>
      </w:r>
      <w:r>
        <w:t xml:space="preserve">will likely accelerate industry consolidation across the value chain in the EU. Current</w:t>
      </w:r>
      <w:r>
        <w:t xml:space="preserve"> </w:t>
      </w:r>
      <w:r>
        <w:t xml:space="preserve">divergent rules on design protection may constrain this healthy consolidation process, in</w:t>
      </w:r>
      <w:r>
        <w:t xml:space="preserve"> </w:t>
      </w:r>
      <w:r>
        <w:t xml:space="preserve">particular when it comes to independent players, leading to suboptimal outcomes.</w:t>
      </w:r>
      <w:r>
        <w:t xml:space="preserve"> </w:t>
      </w:r>
      <w:r>
        <w:t xml:space="preserve">Economies of scale are needed to generate savings in parts procurement, to optimize</w:t>
      </w:r>
      <w:r>
        <w:t xml:space="preserve"> </w:t>
      </w:r>
      <w:r>
        <w:t xml:space="preserve">logistics and warehousing costs.</w:t>
      </w:r>
      <w:r>
        <w:t xml:space="preserve"> </w:t>
      </w:r>
      <w:r>
        <w:t xml:space="preserve">Repairers</w:t>
      </w:r>
      <w:r>
        <w:br/>
      </w:r>
      <w:r>
        <w:t xml:space="preserve">Independent (body) repairers would continue to be forced to buy design protected visible</w:t>
      </w:r>
      <w:r>
        <w:t xml:space="preserve"> </w:t>
      </w:r>
      <w:r>
        <w:t xml:space="preserve">spare parts from their competitors, the authorised car dealers, necessarily at considerable</w:t>
      </w:r>
      <w:r>
        <w:t xml:space="preserve"> </w:t>
      </w:r>
      <w:r>
        <w:t xml:space="preserve">margins. At the same time, authorised car dealers may keep discounts from VMs.</w:t>
      </w:r>
      <w:r>
        <w:t xml:space="preserve"> </w:t>
      </w:r>
      <w:r>
        <w:t xml:space="preserve">Accordingly, rivalry in the aftermarkets remains weakened.</w:t>
      </w:r>
      <w:r>
        <w:t xml:space="preserve"> </w:t>
      </w:r>
      <w:r>
        <w:t xml:space="preserve">In the future, competition between the repairers will be shaped with the secularly</w:t>
      </w:r>
      <w:r>
        <w:t xml:space="preserve"> </w:t>
      </w:r>
      <w:r>
        <w:t xml:space="preserve">stagnating demand for collision repairs on one hand and increased connectivity on</w:t>
      </w:r>
      <w:r>
        <w:t xml:space="preserve"> </w:t>
      </w:r>
      <w:r>
        <w:t xml:space="preserve">the other. Fewer miles driven every year and improved security technology (Advanced</w:t>
      </w:r>
      <w:r>
        <w:t xml:space="preserve"> </w:t>
      </w:r>
      <w:r>
        <w:t xml:space="preserve">Driver Assistance Systems – ADAS) will reduce collision rates by ~15% until 2030</w:t>
      </w:r>
      <w:r>
        <w:t xml:space="preserve"> </w:t>
      </w:r>
      <w:r>
        <w:t xml:space="preserve">leading to fewer repairs90. Furthermore, competition between VM affiliated and</w:t>
      </w:r>
      <w:r>
        <w:t xml:space="preserve"> </w:t>
      </w:r>
      <w:r>
        <w:t xml:space="preserve">independent repairers will be impacted by fleet connectivity. By 2030, around 50% of the</w:t>
      </w:r>
      <w:r>
        <w:t xml:space="preserve"> </w:t>
      </w:r>
      <w:r>
        <w:t xml:space="preserve">fleet will have connectivity that includes direct data streaming, processing, and</w:t>
      </w:r>
      <w:r>
        <w:t xml:space="preserve"> </w:t>
      </w:r>
      <w:r>
        <w:t xml:space="preserve">communication with external parties.91 The VMs have an advantage over the independent</w:t>
      </w:r>
      <w:r>
        <w:t xml:space="preserve"> </w:t>
      </w:r>
      <w:r>
        <w:t xml:space="preserve">channel because of their direct data access.92</w:t>
      </w:r>
      <w:r>
        <w:t xml:space="preserve"> </w:t>
      </w:r>
      <w:r>
        <w:t xml:space="preserve">Consumers</w:t>
      </w:r>
      <w:r>
        <w:t xml:space="preserve"> </w:t>
      </w:r>
      <w:r>
        <w:t xml:space="preserve">In Member States without a repair clause, consumers would continue to be forced to buy</w:t>
      </w:r>
      <w:r>
        <w:t xml:space="preserve"> </w:t>
      </w:r>
      <w:r>
        <w:t xml:space="preserve">visible spare parts exclusively from the VM and their distribution channel as supplying</w:t>
      </w:r>
    </w:p>
    <w:p>
      <w:pPr>
        <w:pStyle w:val="BodyText"/>
      </w:pPr>
      <w:r>
        <w:t xml:space="preserve">88 Work After Sales (2020), supra note. Section 4.1. Manufacturing sites for visible parts.</w:t>
      </w:r>
      <w:r>
        <w:t xml:space="preserve"> </w:t>
      </w:r>
      <w:r>
        <w:t xml:space="preserve">89 Roland Berger (2018, June) Survival of the Fittest.</w:t>
      </w:r>
      <w:r>
        <w:t xml:space="preserve"> </w:t>
      </w:r>
      <w:r>
        <w:t xml:space="preserve">90 BCG, CLEPA &amp; Wolk After Sales (2021, March) At the crossroads: The European Aftermarket 2030.</w:t>
      </w:r>
      <w:r>
        <w:t xml:space="preserve"> </w:t>
      </w:r>
      <w:r>
        <w:t xml:space="preserve">91 Ibidem.</w:t>
      </w:r>
      <w:r>
        <w:t xml:space="preserve"> </w:t>
      </w:r>
      <w:r>
        <w:t xml:space="preserve">92 The recent MVBER Evaluation COM(2021)264 has concluded that independent repairers will only be</w:t>
      </w:r>
      <w:r>
        <w:t xml:space="preserve"> </w:t>
      </w:r>
      <w:r>
        <w:t xml:space="preserve">able to continue to exert competitive pressure if they have access to key inputs such as spare parts, tools,</w:t>
      </w:r>
      <w:r>
        <w:t xml:space="preserve"> </w:t>
      </w:r>
      <w:r>
        <w:t xml:space="preserve">training, technical information and vehicle-generated data.</w:t>
      </w:r>
    </w:p>
    <w:p>
      <w:pPr>
        <w:pStyle w:val="BodyText"/>
      </w:pPr>
      <w:r>
        <w:t xml:space="preserve">25</w:t>
      </w:r>
      <w:r>
        <w:t xml:space="preserve"> </w:t>
      </w:r>
      <w:r>
        <w:t xml:space="preserve">from another source would constitute an IP infringement. Since visible spare parts are not</w:t>
      </w:r>
      <w:r>
        <w:t xml:space="preserve"> </w:t>
      </w:r>
      <w:r>
        <w:t xml:space="preserve">interchangeable between VM competition may only work indirectly through the primary</w:t>
      </w:r>
      <w:r>
        <w:t xml:space="preserve"> </w:t>
      </w:r>
      <w:r>
        <w:t xml:space="preserve">automotive market, mainly through brand reputation effects and the proportion of buyers</w:t>
      </w:r>
      <w:r>
        <w:t xml:space="preserve"> </w:t>
      </w:r>
      <w:r>
        <w:t xml:space="preserve">who make their choice taking into account the lifetime costs of a car. However, as</w:t>
      </w:r>
      <w:r>
        <w:t xml:space="preserve"> </w:t>
      </w:r>
      <w:r>
        <w:t xml:space="preserve">suggested in the Evaluation of the MVBER, at least for passenger cars, links would</w:t>
      </w:r>
      <w:r>
        <w:t xml:space="preserve"> </w:t>
      </w:r>
      <w:r>
        <w:t xml:space="preserve">remain weak between the primary automotive markets and the aftermarkets.93 As</w:t>
      </w:r>
      <w:r>
        <w:t xml:space="preserve"> </w:t>
      </w:r>
      <w:r>
        <w:t xml:space="preserve">explained above (see Section 2.1.1), the vehicle owner remains a captive consumer,</w:t>
      </w:r>
      <w:r>
        <w:t xml:space="preserve"> </w:t>
      </w:r>
      <w:r>
        <w:t xml:space="preserve">subject to a tied pricing system and the inherent risk to be overcharged for spare parts.</w:t>
      </w:r>
      <w:r>
        <w:t xml:space="preserve"> </w:t>
      </w:r>
      <w:r>
        <w:t xml:space="preserve">Online sales are restricted by the fragmented IP and represents an average share of 2.3%</w:t>
      </w:r>
      <w:r>
        <w:t xml:space="preserve"> </w:t>
      </w:r>
      <w:r>
        <w:t xml:space="preserve">of total purchasing value.94 Buying via the internet in the MS with a repair clause, a</w:t>
      </w:r>
      <w:r>
        <w:t xml:space="preserve"> </w:t>
      </w:r>
      <w:r>
        <w:t xml:space="preserve">consumer in a Member States without repair clause has to demonstrate that such order is</w:t>
      </w:r>
      <w:r>
        <w:t xml:space="preserve"> </w:t>
      </w:r>
      <w:r>
        <w:t xml:space="preserve">done privately and for non-commercial purposes, otherwise such purchase would</w:t>
      </w:r>
      <w:r>
        <w:t xml:space="preserve"> </w:t>
      </w:r>
      <w:r>
        <w:t xml:space="preserve">constitute an IP infringement. The risk of being sued for IP infringement discourages</w:t>
      </w:r>
      <w:r>
        <w:t xml:space="preserve"> </w:t>
      </w:r>
      <w:r>
        <w:t xml:space="preserve">repair service providers to buy cross-border. Furthermore, to benefit from discounts</w:t>
      </w:r>
      <w:r>
        <w:t xml:space="preserve"> </w:t>
      </w:r>
      <w:r>
        <w:t xml:space="preserve">workshops have an incentive to stick to the specific distributor (supplier) rather than</w:t>
      </w:r>
      <w:r>
        <w:t xml:space="preserve"> </w:t>
      </w:r>
      <w:r>
        <w:t xml:space="preserve">looking for ad-hoc more competitive offers. Therefore, online (cross-border) sales are</w:t>
      </w:r>
      <w:r>
        <w:t xml:space="preserve"> </w:t>
      </w:r>
      <w:r>
        <w:t xml:space="preserve">expected to have limited impact on increasing competition on the spare parts market.</w:t>
      </w:r>
      <w:r>
        <w:t xml:space="preserve"> </w:t>
      </w:r>
      <w:r>
        <w:t xml:space="preserve">The degree to which car manufactures exploit design protection in their pricing strategies</w:t>
      </w:r>
      <w:r>
        <w:t xml:space="preserve"> </w:t>
      </w:r>
      <w:r>
        <w:t xml:space="preserve">varies substantially. Until recently, the usual approach of carmakers to price spare parts</w:t>
      </w:r>
      <w:r>
        <w:t xml:space="preserve"> </w:t>
      </w:r>
      <w:r>
        <w:t xml:space="preserve">was rather simple: in most cases, carmakers simply set the prices of spare parts equal to a</w:t>
      </w:r>
      <w:r>
        <w:t xml:space="preserve"> </w:t>
      </w:r>
      <w:r>
        <w:t xml:space="preserve">fixed multiplier of the respective manufacturing costs. The innovation was brought in</w:t>
      </w:r>
      <w:r>
        <w:t xml:space="preserve"> </w:t>
      </w:r>
      <w:r>
        <w:t xml:space="preserve">2008 by algorithmic pricing (Partneo). According to publically available information,</w:t>
      </w:r>
      <w:r>
        <w:t xml:space="preserve"> </w:t>
      </w:r>
      <w:r>
        <w:t xml:space="preserve">five major carmakers used an algorithmic pricing software (Partneo) to identify the</w:t>
      </w:r>
      <w:r>
        <w:t xml:space="preserve"> </w:t>
      </w:r>
      <w:r>
        <w:t xml:space="preserve">maximum price consumers would be willing to pay for automotive spare parts. Thanks to</w:t>
      </w:r>
      <w:r>
        <w:t xml:space="preserve"> </w:t>
      </w:r>
      <w:r>
        <w:t xml:space="preserve">this software, between 2008 and 2013 these major carmakers increased prices of visible</w:t>
      </w:r>
      <w:r>
        <w:t xml:space="preserve"> </w:t>
      </w:r>
      <w:r>
        <w:t xml:space="preserve">spare parts by 15% on average, boosting their total revenues by around EUR 1.5 billion</w:t>
      </w:r>
      <w:r>
        <w:t xml:space="preserve"> </w:t>
      </w:r>
      <w:r>
        <w:t xml:space="preserve">over nearly ten years.95 In consequence, without the design reform, one could expect</w:t>
      </w:r>
      <w:r>
        <w:t xml:space="preserve"> </w:t>
      </w:r>
      <w:r>
        <w:t xml:space="preserve">OEM to extract even more spare parts rent than currently, thanks to sophisticated price</w:t>
      </w:r>
      <w:r>
        <w:t xml:space="preserve"> </w:t>
      </w:r>
      <w:r>
        <w:t xml:space="preserve">differentiation techniques.</w:t>
      </w:r>
      <w:r>
        <w:t xml:space="preserve"> </w:t>
      </w:r>
      <w:r>
        <w:t xml:space="preserve">2.2.2. Regulatory burdens</w:t>
      </w:r>
      <w:r>
        <w:t xml:space="preserve"> </w:t>
      </w:r>
      <w:r>
        <w:t xml:space="preserve">Outdated procedures</w:t>
      </w:r>
      <w:r>
        <w:t xml:space="preserve"> </w:t>
      </w:r>
      <w:r>
        <w:t xml:space="preserve">Without update and simplification of RCD procedures, the RCD system would continue</w:t>
      </w:r>
      <w:r>
        <w:t xml:space="preserve"> </w:t>
      </w:r>
      <w:r>
        <w:t xml:space="preserve">not meeting modern business needs and unnecessarily impose burdens on businesses,</w:t>
      </w:r>
      <w:r>
        <w:t xml:space="preserve"> </w:t>
      </w:r>
      <w:r>
        <w:t xml:space="preserve">SMEs and individual designers to make effective and efficient use of the system.</w:t>
      </w:r>
    </w:p>
    <w:p>
      <w:pPr>
        <w:pStyle w:val="BodyText"/>
      </w:pPr>
      <w:r>
        <w:t xml:space="preserve">93 This may be the case for the passenger cars. See Section 2.1. in COM(2021)264.</w:t>
      </w:r>
      <w:r>
        <w:t xml:space="preserve"> </w:t>
      </w:r>
      <w:r>
        <w:t xml:space="preserve">94 Ibidem. Wolk After Sales Report (2021).</w:t>
      </w:r>
      <w:r>
        <w:t xml:space="preserve"> </w:t>
      </w:r>
      <w:r>
        <w:t xml:space="preserve">95 For media coverage of this case, we refer to: Philippin, Y. (2018, May 31). How Renault and PSA</w:t>
      </w:r>
      <w:r>
        <w:t xml:space="preserve"> </w:t>
      </w:r>
      <w:r>
        <w:t xml:space="preserve">Peugeot Citroën secretly hiked global cost of spare parts by €1.5bn. Mediapart; Gnirke, K. (2018a, May</w:t>
      </w:r>
      <w:r>
        <w:t xml:space="preserve"> </w:t>
      </w:r>
      <w:r>
        <w:t xml:space="preserve">31). Unternehmensberatung soll Renault und Peugeot bei Preisabsprachen geholfen haben. Der Spiegel</w:t>
      </w:r>
      <w:r>
        <w:t xml:space="preserve"> </w:t>
      </w:r>
      <w:r>
        <w:t xml:space="preserve">Mobilität; Gnirke, K. (2018, June 1). Die Abzock-Konzerne. Der Spiegel Mobilität; Bergin T. &amp; Frost L.</w:t>
      </w:r>
      <w:r>
        <w:t xml:space="preserve"> </w:t>
      </w:r>
      <w:r>
        <w:t xml:space="preserve">(2018, June 3). Software and stealth: how carmakers hike spare parts prices. Reuters Technology News;</w:t>
      </w:r>
      <w:r>
        <w:t xml:space="preserve"> </w:t>
      </w:r>
      <w:r>
        <w:t xml:space="preserve">Mandrescu, D. (2018, June 7). When algorithmic pricing meets concerted practices - the case of Partneo.</w:t>
      </w:r>
      <w:r>
        <w:t xml:space="preserve"> </w:t>
      </w:r>
      <w:r>
        <w:t xml:space="preserve">CoRe Blog.</w:t>
      </w:r>
    </w:p>
    <w:p>
      <w:pPr>
        <w:pStyle w:val="BodyText"/>
      </w:pPr>
      <w:r>
        <w:t xml:space="preserve">26</w:t>
      </w:r>
      <w:r>
        <w:t xml:space="preserve"> </w:t>
      </w:r>
      <w:r>
        <w:t xml:space="preserve">RCD fees</w:t>
      </w:r>
      <w:r>
        <w:br/>
      </w:r>
      <w:r>
        <w:t xml:space="preserve">Without changes, the real cost of fees would continue to decline together with inflation.</w:t>
      </w:r>
      <w:r>
        <w:t xml:space="preserve"> </w:t>
      </w:r>
      <w:r>
        <w:t xml:space="preserve">Already in 2020 the fees were 26% lower in real terms than in 2002. Taking into account</w:t>
      </w:r>
      <w:r>
        <w:t xml:space="preserve"> </w:t>
      </w:r>
      <w:r>
        <w:t xml:space="preserve">ECB inflation forecast, in 2023 they are expected to be 30% lower than in 200296.</w:t>
      </w:r>
      <w:r>
        <w:t xml:space="preserve"> </w:t>
      </w:r>
      <w:r>
        <w:t xml:space="preserve">However, without streamlining of the RCD fee structure and in particular an adjustment</w:t>
      </w:r>
      <w:r>
        <w:t xml:space="preserve"> </w:t>
      </w:r>
      <w:r>
        <w:t xml:space="preserve">of the amount of fees to be paid for the registration of RCDs, the Community design</w:t>
      </w:r>
      <w:r>
        <w:t xml:space="preserve"> </w:t>
      </w:r>
      <w:r>
        <w:t xml:space="preserve">system would not meet its objective of presenting the minimum cost and difficulty to</w:t>
      </w:r>
      <w:r>
        <w:t xml:space="preserve"> </w:t>
      </w:r>
      <w:r>
        <w:t xml:space="preserve">applicants, so as to make it readily accessible to SMEs as well as to individual</w:t>
      </w:r>
      <w:r>
        <w:t xml:space="preserve"> </w:t>
      </w:r>
      <w:r>
        <w:t xml:space="preserve">designers97, stifling innovation and the development of new products.</w:t>
      </w:r>
      <w:r>
        <w:t xml:space="preserve"> </w:t>
      </w:r>
      <w:r>
        <w:t xml:space="preserve">Specifically, without creating a more balanced, less complex and more transparent RCD</w:t>
      </w:r>
      <w:r>
        <w:t xml:space="preserve"> </w:t>
      </w:r>
      <w:r>
        <w:t xml:space="preserve">fee system benefiting small and large entities equally, SMEs and individual designers</w:t>
      </w:r>
      <w:r>
        <w:t xml:space="preserve"> </w:t>
      </w:r>
      <w:r>
        <w:t xml:space="preserve">would continue to be discouraged from seeking Union-wide design protection in</w:t>
      </w:r>
      <w:r>
        <w:t xml:space="preserve"> </w:t>
      </w:r>
      <w:r>
        <w:t xml:space="preserve">registered form. Larger entities filing numerous designs would continue to be privileged</w:t>
      </w:r>
      <w:r>
        <w:t xml:space="preserve"> </w:t>
      </w:r>
      <w:r>
        <w:t xml:space="preserve">and smaller ones continue cross-subsidising the former.</w:t>
      </w:r>
      <w:r>
        <w:br/>
      </w:r>
      <w:r>
        <w:t xml:space="preserve">In addition, applicants of all types would continue facing unnecessary administrative</w:t>
      </w:r>
      <w:r>
        <w:t xml:space="preserve"> </w:t>
      </w:r>
      <w:r>
        <w:t xml:space="preserve">burdens when having to pay a separate publication fee shortly after the application fee.</w:t>
      </w:r>
      <w:r>
        <w:t xml:space="preserve"> </w:t>
      </w:r>
      <w:r>
        <w:t xml:space="preserve">Also, certain fees would continue to be charged in relation to the design registry that do</w:t>
      </w:r>
      <w:r>
        <w:t xml:space="preserve"> </w:t>
      </w:r>
      <w:r>
        <w:t xml:space="preserve">not apply for EUTMs, such differences unnecessarily complicating the work of both</w:t>
      </w:r>
      <w:r>
        <w:t xml:space="preserve"> </w:t>
      </w:r>
      <w:r>
        <w:t xml:space="preserve">applicants and the EUIPO, and increasing costs to maintain different (operations)</w:t>
      </w:r>
      <w:r>
        <w:t xml:space="preserve"> </w:t>
      </w:r>
      <w:r>
        <w:t xml:space="preserve">management tools.</w:t>
      </w:r>
      <w:r>
        <w:t xml:space="preserve"> </w:t>
      </w:r>
      <w:r>
        <w:t xml:space="preserve">Divergent national rules</w:t>
      </w:r>
      <w:r>
        <w:t xml:space="preserve"> </w:t>
      </w:r>
      <w:r>
        <w:t xml:space="preserve">Without appropriate changes, the current sub-optimal conditions for European businesses</w:t>
      </w:r>
      <w:r>
        <w:t xml:space="preserve"> </w:t>
      </w:r>
      <w:r>
        <w:t xml:space="preserve">and the under-developed complementarity between the various design systems are not</w:t>
      </w:r>
      <w:r>
        <w:t xml:space="preserve"> </w:t>
      </w:r>
      <w:r>
        <w:t xml:space="preserve">likely to improve. It is true that there could be some promising further convergence on</w:t>
      </w:r>
      <w:r>
        <w:t xml:space="preserve"> </w:t>
      </w:r>
      <w:r>
        <w:t xml:space="preserve">design law aspects achieved through the EUIPN based on the cooperation framework</w:t>
      </w:r>
      <w:r>
        <w:t xml:space="preserve"> </w:t>
      </w:r>
      <w:r>
        <w:t xml:space="preserve">established in the context of the trade mark reform98. However, such collaboration among</w:t>
      </w:r>
      <w:r>
        <w:t xml:space="preserve"> </w:t>
      </w:r>
      <w:r>
        <w:t xml:space="preserve">IP Offices in the EU also clearly revealed that the existing legal differences in the laws of</w:t>
      </w:r>
      <w:r>
        <w:t xml:space="preserve"> </w:t>
      </w:r>
      <w:r>
        <w:t xml:space="preserve">the Member States are a hindrance to further alignment of practices in the EU. National</w:t>
      </w:r>
      <w:r>
        <w:t xml:space="preserve"> </w:t>
      </w:r>
      <w:r>
        <w:t xml:space="preserve">IP offices, which due to existing legal differences are prevented from participating in</w:t>
      </w:r>
      <w:r>
        <w:t xml:space="preserve"> </w:t>
      </w:r>
      <w:r>
        <w:t xml:space="preserve">cooperation projects with the EUIPO and other IP offices, run the risk of falling behind</w:t>
      </w:r>
      <w:r>
        <w:t xml:space="preserve"> </w:t>
      </w:r>
      <w:r>
        <w:t xml:space="preserve">in terms of automation, timeliness, reliability, predictability and user-friendliness. The</w:t>
      </w:r>
      <w:r>
        <w:t xml:space="preserve"> </w:t>
      </w:r>
      <w:r>
        <w:t xml:space="preserve">less attractive they become, compared to the RCD system, the greater is the risk that</w:t>
      </w:r>
      <w:r>
        <w:t xml:space="preserve"> </w:t>
      </w:r>
      <w:r>
        <w:t xml:space="preserve">design owners cease to use them altogether, opting for RCD protection instead. In the</w:t>
      </w:r>
      <w:r>
        <w:t xml:space="preserve"> </w:t>
      </w:r>
      <w:r>
        <w:t xml:space="preserve">long run, this may threaten the viability of certain national systems and the harmonious</w:t>
      </w:r>
      <w:r>
        <w:t xml:space="preserve"> </w:t>
      </w:r>
      <w:r>
        <w:t xml:space="preserve">and complementary coexistence of the two systems which ensures the principle of free</w:t>
      </w:r>
      <w:r>
        <w:t xml:space="preserve"> </w:t>
      </w:r>
      <w:r>
        <w:t xml:space="preserve">choice. This applies all the more so as there is no harmonisation achieved at international</w:t>
      </w:r>
      <w:r>
        <w:t xml:space="preserve"> </w:t>
      </w:r>
      <w:r>
        <w:t xml:space="preserve">level either (i.e. EU action remains necessary). The long-pending Draft Design Law</w:t>
      </w:r>
      <w:r>
        <w:t xml:space="preserve"> </w:t>
      </w:r>
      <w:r>
        <w:t xml:space="preserve">Treaty (similar to the Singapore Treaty on the Law of Trademarks), aiming at</w:t>
      </w:r>
      <w:r>
        <w:t xml:space="preserve"> </w:t>
      </w:r>
      <w:r>
        <w:t xml:space="preserve">simplifying and harmonising administrative procedures in respect of national design</w:t>
      </w:r>
      <w:r>
        <w:t xml:space="preserve"> </w:t>
      </w:r>
      <w:r>
        <w:t xml:space="preserve">applications, is still far from being adopted.</w:t>
      </w:r>
    </w:p>
    <w:p>
      <w:pPr>
        <w:pStyle w:val="BodyText"/>
      </w:pPr>
      <w:r>
        <w:t xml:space="preserve">96 ECB staff macroeconomic projections for the euro area (September 2021): Inflation in 2021 of 2.2%, in</w:t>
      </w:r>
      <w:r>
        <w:t xml:space="preserve"> </w:t>
      </w:r>
      <w:r>
        <w:t xml:space="preserve">2022 of 1.7% and in 2023 of 1.5%.</w:t>
      </w:r>
      <w:r>
        <w:t xml:space="preserve"> </w:t>
      </w:r>
      <w:r>
        <w:t xml:space="preserve">97 Recital 24.</w:t>
      </w:r>
      <w:r>
        <w:t xml:space="preserve"> </w:t>
      </w:r>
      <w:r>
        <w:t xml:space="preserve">98 See information provided in footnote 65.</w:t>
      </w:r>
    </w:p>
    <w:p>
      <w:pPr>
        <w:pStyle w:val="BodyText"/>
      </w:pPr>
      <w:r>
        <w:t xml:space="preserve">27</w:t>
      </w:r>
      <w:r>
        <w:t xml:space="preserve"> </w:t>
      </w:r>
      <w:r>
        <w:t xml:space="preserve">3.</w:t>
      </w:r>
      <w:r>
        <w:t xml:space="preserve"> </w:t>
      </w:r>
      <w:r>
        <w:t xml:space="preserve">WHY SHOULD THE EU ACT?</w:t>
      </w:r>
      <w:r>
        <w:t xml:space="preserve"> </w:t>
      </w:r>
      <w:r>
        <w:t xml:space="preserve">3.1.</w:t>
      </w:r>
      <w:r>
        <w:t xml:space="preserve"> </w:t>
      </w:r>
      <w:r>
        <w:t xml:space="preserve">Legal basis</w:t>
      </w:r>
      <w:r>
        <w:t xml:space="preserve"> </w:t>
      </w:r>
      <w:r>
        <w:t xml:space="preserve">In the context of the establishment and functioning of the internal market, Article 118(1)</w:t>
      </w:r>
      <w:r>
        <w:t xml:space="preserve"> </w:t>
      </w:r>
      <w:r>
        <w:t xml:space="preserve">TFEU empowers the European Parliament and the Council to establish measures for the</w:t>
      </w:r>
      <w:r>
        <w:t xml:space="preserve"> </w:t>
      </w:r>
      <w:r>
        <w:t xml:space="preserve">creation of European intellectual property rights to provide uniform protection of</w:t>
      </w:r>
      <w:r>
        <w:t xml:space="preserve"> </w:t>
      </w:r>
      <w:r>
        <w:t xml:space="preserve">intellectual property rights throughout the EU, including the setting up of centralised</w:t>
      </w:r>
      <w:r>
        <w:t xml:space="preserve"> </w:t>
      </w:r>
      <w:r>
        <w:t xml:space="preserve">Union-wide authorisation, coordination and supervision arrangements.</w:t>
      </w:r>
      <w:r>
        <w:br/>
      </w:r>
      <w:r>
        <w:t xml:space="preserve">Furthermore, Article 114(1) TFEU empowers the European Parliament and the Council</w:t>
      </w:r>
      <w:r>
        <w:t xml:space="preserve"> </w:t>
      </w:r>
      <w:r>
        <w:t xml:space="preserve">to adopt measures for the approximation of the provisions laid down by law, regulation</w:t>
      </w:r>
      <w:r>
        <w:t xml:space="preserve"> </w:t>
      </w:r>
      <w:r>
        <w:t xml:space="preserve">or administrative action in Member States, which have as their object the establishment</w:t>
      </w:r>
      <w:r>
        <w:t xml:space="preserve"> </w:t>
      </w:r>
      <w:r>
        <w:t xml:space="preserve">and functioning of the internal market.</w:t>
      </w:r>
      <w:r>
        <w:br/>
      </w:r>
      <w:r>
        <w:t xml:space="preserve">3.2.</w:t>
      </w:r>
      <w:r>
        <w:t xml:space="preserve"> </w:t>
      </w:r>
      <w:r>
        <w:t xml:space="preserve">Subsidiarity: Necessity of EU action</w:t>
      </w:r>
      <w:r>
        <w:t xml:space="preserve"> </w:t>
      </w:r>
      <w:r>
        <w:t xml:space="preserve">The Community design (in registered and unregistered form) is a self-standing EU</w:t>
      </w:r>
      <w:r>
        <w:t xml:space="preserve"> </w:t>
      </w:r>
      <w:r>
        <w:t xml:space="preserve">intellectual property title which has been created by an EU Regulation. In as much as the</w:t>
      </w:r>
      <w:r>
        <w:t xml:space="preserve"> </w:t>
      </w:r>
      <w:r>
        <w:t xml:space="preserve">analysis carried out as part of this impact assessment proved that the modification of</w:t>
      </w:r>
      <w:r>
        <w:t xml:space="preserve"> </w:t>
      </w:r>
      <w:r>
        <w:t xml:space="preserve">certain provisions of the Regulation is necessary in order to improve and streamline in</w:t>
      </w:r>
      <w:r>
        <w:t xml:space="preserve"> </w:t>
      </w:r>
      <w:r>
        <w:t xml:space="preserve">particular the RCD system, only the EU legislator is entitled to make the necessary</w:t>
      </w:r>
      <w:r>
        <w:t xml:space="preserve"> </w:t>
      </w:r>
      <w:r>
        <w:t xml:space="preserve">amendments99.</w:t>
      </w:r>
      <w:r>
        <w:br/>
      </w:r>
      <w:r>
        <w:t xml:space="preserve">The same goes for (simultaneously) necessary amendments of corresponding provisions,</w:t>
      </w:r>
      <w:r>
        <w:t xml:space="preserve"> </w:t>
      </w:r>
      <w:r>
        <w:t xml:space="preserve">which form already part of the DDir.</w:t>
      </w:r>
      <w:r>
        <w:br/>
      </w:r>
      <w:r>
        <w:t xml:space="preserve">Moreover, taking into account that the identified problems related to the significant</w:t>
      </w:r>
      <w:r>
        <w:t xml:space="preserve"> </w:t>
      </w:r>
      <w:r>
        <w:t xml:space="preserve">divergences of the regulatory framework either do not allow, or notably distort, a level</w:t>
      </w:r>
      <w:r>
        <w:t xml:space="preserve"> </w:t>
      </w:r>
      <w:r>
        <w:t xml:space="preserve">playing field for EU companies with further negative consequences on their</w:t>
      </w:r>
      <w:r>
        <w:t xml:space="preserve"> </w:t>
      </w:r>
      <w:r>
        <w:t xml:space="preserve">competitiveness and that of the EU as a whole (e.g. spare parts), it is advisable to adopt</w:t>
      </w:r>
      <w:r>
        <w:t xml:space="preserve"> </w:t>
      </w:r>
      <w:r>
        <w:t xml:space="preserve">measures that can improve the relevant conditions for the functioning of the internal</w:t>
      </w:r>
      <w:r>
        <w:t xml:space="preserve"> </w:t>
      </w:r>
      <w:r>
        <w:t xml:space="preserve">market. Such measures aiming to extend the current level of approximation through the</w:t>
      </w:r>
      <w:r>
        <w:t xml:space="preserve"> </w:t>
      </w:r>
      <w:r>
        <w:t xml:space="preserve">DDir can only be taken at EU level, all the more so given the need to ensure coherence</w:t>
      </w:r>
      <w:r>
        <w:t xml:space="preserve"> </w:t>
      </w:r>
      <w:r>
        <w:t xml:space="preserve">with the RCD system. It has to be considered in this context that the RCD system is</w:t>
      </w:r>
      <w:r>
        <w:t xml:space="preserve"> </w:t>
      </w:r>
      <w:r>
        <w:t xml:space="preserve">embedded in the European design system which is built on the principle of coexistence</w:t>
      </w:r>
      <w:r>
        <w:t xml:space="preserve"> </w:t>
      </w:r>
      <w:r>
        <w:t xml:space="preserve">and complementarity between national and Union-wide design protection. While the CD</w:t>
      </w:r>
      <w:r>
        <w:t xml:space="preserve"> </w:t>
      </w:r>
      <w:r>
        <w:t xml:space="preserve">Regulation provides a complete system where all issues of substantive and procedural</w:t>
      </w:r>
      <w:r>
        <w:t xml:space="preserve"> </w:t>
      </w:r>
      <w:r>
        <w:t xml:space="preserve">law are provided for, the current level of legislative approximation reflected in the DDir</w:t>
      </w:r>
      <w:r>
        <w:t xml:space="preserve"> </w:t>
      </w:r>
      <w:r>
        <w:t xml:space="preserve">is only limited to selected provisions of substantive law. In order to be able to ensure</w:t>
      </w:r>
      <w:r>
        <w:t xml:space="preserve"> </w:t>
      </w:r>
      <w:r>
        <w:t xml:space="preserve">effective and sustainable coexistence and complementarity between the components</w:t>
      </w:r>
      <w:r>
        <w:t xml:space="preserve"> </w:t>
      </w:r>
      <w:r>
        <w:t xml:space="preserve">involved, it is necessary to create an overall harmonious system of design protection in</w:t>
      </w:r>
      <w:r>
        <w:t xml:space="preserve"> </w:t>
      </w:r>
      <w:r>
        <w:t xml:space="preserve">Europe with similar substantive rules and at least principal procedural provisions which</w:t>
      </w:r>
      <w:r>
        <w:t xml:space="preserve"> </w:t>
      </w:r>
      <w:r>
        <w:t xml:space="preserve">are compatible.</w:t>
      </w:r>
      <w:r>
        <w:br/>
      </w:r>
      <w:r>
        <w:t xml:space="preserve">As regards the issue of design protection for spare parts specifically, it is to be added that</w:t>
      </w:r>
      <w:r>
        <w:t xml:space="preserve"> </w:t>
      </w:r>
      <w:r>
        <w:t xml:space="preserve">the completion of the internal market for spare parts can only be achieved at EU level.</w:t>
      </w:r>
      <w:r>
        <w:t xml:space="preserve"> </w:t>
      </w:r>
      <w:r>
        <w:t xml:space="preserve">The more than 20 years of experience with the provisions of Article 14 DDir has shown</w:t>
      </w:r>
      <w:r>
        <w:t xml:space="preserve"> </w:t>
      </w:r>
      <w:r>
        <w:t xml:space="preserve">no strong trend towards harmonisation among Member States on a voluntary basis</w:t>
      </w:r>
    </w:p>
    <w:p>
      <w:pPr>
        <w:pStyle w:val="BodyText"/>
      </w:pPr>
      <w:r>
        <w:t xml:space="preserve">99 This is all the more valid in view of the EUIPO being a regulatory Agency of the EU with legal,</w:t>
      </w:r>
      <w:r>
        <w:t xml:space="preserve"> </w:t>
      </w:r>
      <w:r>
        <w:t xml:space="preserve">administrative and financial autonomy, which was created by the Council to manage the RCD system (in</w:t>
      </w:r>
      <w:r>
        <w:t xml:space="preserve"> </w:t>
      </w:r>
      <w:r>
        <w:t xml:space="preserve">addition to that of the EU trade mark).</w:t>
      </w:r>
    </w:p>
    <w:p>
      <w:pPr>
        <w:pStyle w:val="BodyText"/>
      </w:pPr>
      <w:r>
        <w:t xml:space="preserve">28</w:t>
      </w:r>
      <w:r>
        <w:t xml:space="preserve"> </w:t>
      </w:r>
      <w:r>
        <w:t xml:space="preserve">(despite the introduction of a repair clause in a few more Member States) or through self-</w:t>
      </w:r>
      <w:r>
        <w:t xml:space="preserve"> </w:t>
      </w:r>
      <w:r>
        <w:t xml:space="preserve">regulation by the industry. In terms of proportionality, action at EU level does not cause</w:t>
      </w:r>
      <w:r>
        <w:t xml:space="preserve"> </w:t>
      </w:r>
      <w:r>
        <w:t xml:space="preserve">any immediate costs. Aftermarket liberalisation only requires legal acts in those Member</w:t>
      </w:r>
      <w:r>
        <w:t xml:space="preserve"> </w:t>
      </w:r>
      <w:r>
        <w:t xml:space="preserve">States that currently protect spare parts to lift this protection and hence causes the lowest</w:t>
      </w:r>
      <w:r>
        <w:t xml:space="preserve"> </w:t>
      </w:r>
      <w:r>
        <w:t xml:space="preserve">administrative costs of all options considered.</w:t>
      </w:r>
      <w:r>
        <w:br/>
      </w:r>
      <w:r>
        <w:t xml:space="preserve">3.3.</w:t>
      </w:r>
      <w:r>
        <w:t xml:space="preserve"> </w:t>
      </w:r>
      <w:r>
        <w:t xml:space="preserve">Subsidiarity: Added value of EU action</w:t>
      </w:r>
      <w:r>
        <w:t xml:space="preserve"> </w:t>
      </w:r>
      <w:r>
        <w:t xml:space="preserve">Action at EU level would ensure that the design protection system in Europe as a whole</w:t>
      </w:r>
      <w:r>
        <w:t xml:space="preserve"> </w:t>
      </w:r>
      <w:r>
        <w:t xml:space="preserve">gets substantially more accessible and efficient for businesses, in particular SMEs and</w:t>
      </w:r>
      <w:r>
        <w:t xml:space="preserve"> </w:t>
      </w:r>
      <w:r>
        <w:t xml:space="preserve">individual designers. It would further ensure the outstanding completion of the single</w:t>
      </w:r>
      <w:r>
        <w:t xml:space="preserve"> </w:t>
      </w:r>
      <w:r>
        <w:t xml:space="preserve">market for repair spare parts to the substantial benefit of consumers being able to choose</w:t>
      </w:r>
      <w:r>
        <w:t xml:space="preserve"> </w:t>
      </w:r>
      <w:r>
        <w:t xml:space="preserve">between competing parts at lower prices.</w:t>
      </w:r>
      <w:r>
        <w:br/>
      </w:r>
      <w:r>
        <w:t xml:space="preserve">4.</w:t>
      </w:r>
      <w:r>
        <w:t xml:space="preserve"> </w:t>
      </w:r>
      <w:r>
        <w:t xml:space="preserve">OBJECTIVES: WHAT IS TO BE ACHIEVED?</w:t>
      </w:r>
      <w:r>
        <w:t xml:space="preserve"> </w:t>
      </w:r>
      <w:r>
        <w:t xml:space="preserve">4.1.</w:t>
      </w:r>
      <w:r>
        <w:t xml:space="preserve"> </w:t>
      </w:r>
      <w:r>
        <w:t xml:space="preserve">General objectives</w:t>
      </w:r>
      <w:r>
        <w:t xml:space="preserve"> </w:t>
      </w:r>
      <w:r>
        <w:t xml:space="preserve">The general aim of the reform initiative on the legislation on industrial designs is to</w:t>
      </w:r>
      <w:r>
        <w:t xml:space="preserve"> </w:t>
      </w:r>
      <w:r>
        <w:t xml:space="preserve">promote contribution to design excellence, innovation and competitiveness in the EU by</w:t>
      </w:r>
      <w:r>
        <w:t xml:space="preserve"> </w:t>
      </w:r>
      <w:r>
        <w:t xml:space="preserve">ensuring that the design protection system is fit for purpose in the digital age and</w:t>
      </w:r>
      <w:r>
        <w:t xml:space="preserve"> </w:t>
      </w:r>
      <w:r>
        <w:t xml:space="preserve">becomes more accessible and efficient for individual designers, SMEs and design</w:t>
      </w:r>
      <w:r>
        <w:t xml:space="preserve"> </w:t>
      </w:r>
      <w:r>
        <w:t xml:space="preserve">intensive industries. Furthermore, it aims at completing the single market for repair spare</w:t>
      </w:r>
      <w:r>
        <w:t xml:space="preserve"> </w:t>
      </w:r>
      <w:r>
        <w:t xml:space="preserve">parts.</w:t>
      </w:r>
      <w:r>
        <w:br/>
      </w:r>
      <w:r>
        <w:t xml:space="preserve">4.2.</w:t>
      </w:r>
      <w:r>
        <w:t xml:space="preserve"> </w:t>
      </w:r>
      <w:r>
        <w:t xml:space="preserve">Specific objective</w:t>
      </w:r>
      <w:r>
        <w:t xml:space="preserve"> </w:t>
      </w:r>
      <w:r>
        <w:t xml:space="preserve">This initiative has three specific objectives linked to the respective problems identified:</w:t>
      </w:r>
      <w:r>
        <w:t xml:space="preserve"> </w:t>
      </w:r>
      <w:r>
        <w:t xml:space="preserve"> Opening up the spare parts aftermarket for competition (Objective 1);</w:t>
      </w:r>
      <w:r>
        <w:br/>
      </w:r>
      <w:r>
        <w:t xml:space="preserve"> Improving the accessibility, efficiency and affordability of registered Community</w:t>
      </w:r>
      <w:r>
        <w:t xml:space="preserve"> </w:t>
      </w:r>
      <w:r>
        <w:t xml:space="preserve">design protection (Objective 2);</w:t>
      </w:r>
      <w:r>
        <w:t xml:space="preserve"> </w:t>
      </w:r>
      <w:r>
        <w:t xml:space="preserve"> Enhancing complementarity and interoperability between the Community and</w:t>
      </w:r>
      <w:r>
        <w:t xml:space="preserve"> </w:t>
      </w:r>
      <w:r>
        <w:t xml:space="preserve">national design systems, in particular through harmonisation of procedural rules</w:t>
      </w:r>
      <w:r>
        <w:t xml:space="preserve"> </w:t>
      </w:r>
      <w:r>
        <w:t xml:space="preserve">(Objective 3).</w:t>
      </w:r>
      <w:r>
        <w:t xml:space="preserve"> </w:t>
      </w:r>
      <w:r>
        <w:t xml:space="preserve">5.</w:t>
      </w:r>
      <w:r>
        <w:t xml:space="preserve"> </w:t>
      </w:r>
      <w:r>
        <w:t xml:space="preserve">WHAT ARE THE AVAILABLE POLICY OPTIONS?</w:t>
      </w:r>
      <w:r>
        <w:t xml:space="preserve"> </w:t>
      </w:r>
      <w:r>
        <w:t xml:space="preserve">5.1.</w:t>
      </w:r>
      <w:r>
        <w:t xml:space="preserve"> </w:t>
      </w:r>
      <w:r>
        <w:t xml:space="preserve">What is the baseline from which options are assessed?</w:t>
      </w:r>
      <w:r>
        <w:t xml:space="preserve"> </w:t>
      </w:r>
      <w:r>
        <w:t xml:space="preserve">The respective baselines from which options are assessed are already described above in</w:t>
      </w:r>
      <w:r>
        <w:t xml:space="preserve"> </w:t>
      </w:r>
      <w:r>
        <w:t xml:space="preserve">Section 2.2.</w:t>
      </w:r>
      <w:r>
        <w:br/>
      </w:r>
      <w:r>
        <w:t xml:space="preserve">5.2.</w:t>
      </w:r>
      <w:r>
        <w:t xml:space="preserve"> </w:t>
      </w:r>
      <w:r>
        <w:t xml:space="preserve">Description of the policy options</w:t>
      </w:r>
      <w:r>
        <w:t xml:space="preserve"> </w:t>
      </w:r>
      <w:r>
        <w:t xml:space="preserve">5.2.1. Options to tackle Objective 1 on spare parts protection</w:t>
      </w:r>
      <w:r>
        <w:t xml:space="preserve"> </w:t>
      </w:r>
      <w:r>
        <w:t xml:space="preserve">The decision to open up the aftermarket for competition was already taken at the moment</w:t>
      </w:r>
      <w:r>
        <w:t xml:space="preserve"> </w:t>
      </w:r>
      <w:r>
        <w:t xml:space="preserve">of adoption of the DDir. The latter does not require any harmonisation with respect to the</w:t>
      </w:r>
      <w:r>
        <w:t xml:space="preserve"> </w:t>
      </w:r>
      <w:r>
        <w:t xml:space="preserve">protection of spare parts by a design right. Article 14 stipulates that Member States shall</w:t>
      </w:r>
      <w:r>
        <w:t xml:space="preserve"> </w:t>
      </w:r>
      <w:r>
        <w:t xml:space="preserve">maintain their existing laws in this regard. They may, however, change those provisions</w:t>
      </w:r>
      <w:r>
        <w:t xml:space="preserve"> </w:t>
      </w:r>
      <w:r>
        <w:t xml:space="preserve">only in a way that liberalises the spare parts market (the “freeze plus” solution). A</w:t>
      </w:r>
    </w:p>
    <w:p>
      <w:pPr>
        <w:pStyle w:val="BodyText"/>
      </w:pPr>
      <w:r>
        <w:t xml:space="preserve">29</w:t>
      </w:r>
      <w:r>
        <w:t xml:space="preserve"> </w:t>
      </w:r>
      <w:r>
        <w:t xml:space="preserve">Member State that, at the time of adoption of the DDir, did not grant design protection of</w:t>
      </w:r>
      <w:r>
        <w:t xml:space="preserve"> </w:t>
      </w:r>
      <w:r>
        <w:t xml:space="preserve">spare parts could thus not reintroduce such protection.</w:t>
      </w:r>
      <w:r>
        <w:t xml:space="preserve"> </w:t>
      </w:r>
      <w:r>
        <w:t xml:space="preserve">Against that background, the options for consideration are the following:</w:t>
      </w:r>
      <w:r>
        <w:t xml:space="preserve"> </w:t>
      </w:r>
      <w:r>
        <w:t xml:space="preserve">Baseline: The current status quo, as provided for by Article 14 DDir and Article 110(1)</w:t>
      </w:r>
      <w:r>
        <w:t xml:space="preserve"> </w:t>
      </w:r>
      <w:r>
        <w:t xml:space="preserve">CDR, would continue on a permanent basis, i.e. Member States remain free to retain</w:t>
      </w:r>
      <w:r>
        <w:t xml:space="preserve"> </w:t>
      </w:r>
      <w:r>
        <w:t xml:space="preserve">national rules extending design protection to the reproduction of spare parts for the</w:t>
      </w:r>
      <w:r>
        <w:t xml:space="preserve"> </w:t>
      </w:r>
      <w:r>
        <w:t xml:space="preserve">purpose of repair, while no such protection should continue to exist at Union level.</w:t>
      </w:r>
      <w:r>
        <w:t xml:space="preserve"> </w:t>
      </w:r>
      <w:r>
        <w:t xml:space="preserve">Option 1.1: Full liberalisation for all designs, i.e. the market of ‘must-match’ spare</w:t>
      </w:r>
      <w:r>
        <w:t xml:space="preserve"> </w:t>
      </w:r>
      <w:r>
        <w:t xml:space="preserve">parts would be opened for competition in the entire EU, extending it to both existing and</w:t>
      </w:r>
      <w:r>
        <w:t xml:space="preserve"> </w:t>
      </w:r>
      <w:r>
        <w:t xml:space="preserve">new designs. This option would involve inserting into the DDir a ‘repair clause’, as</w:t>
      </w:r>
      <w:r>
        <w:t xml:space="preserve"> </w:t>
      </w:r>
      <w:r>
        <w:t xml:space="preserve">contained in Article 110(1) CDR, and allowing the identical reproduction of protected</w:t>
      </w:r>
      <w:r>
        <w:t xml:space="preserve"> </w:t>
      </w:r>
      <w:r>
        <w:t xml:space="preserve">parts of complex products for the purpose of repair. The inserted repair clause would</w:t>
      </w:r>
      <w:r>
        <w:t xml:space="preserve"> </w:t>
      </w:r>
      <w:r>
        <w:t xml:space="preserve">have legal effect for both the future and the past (i.e. be applicable to designs granted</w:t>
      </w:r>
      <w:r>
        <w:t xml:space="preserve"> </w:t>
      </w:r>
      <w:r>
        <w:t xml:space="preserve">before and after its entry into force). Both the CDR and DDir would be explicit in that</w:t>
      </w:r>
      <w:r>
        <w:t xml:space="preserve"> </w:t>
      </w:r>
      <w:r>
        <w:t xml:space="preserve">the repair clause only extends to parts of complex products whose shape is dictated by</w:t>
      </w:r>
      <w:r>
        <w:t xml:space="preserve"> </w:t>
      </w:r>
      <w:r>
        <w:t xml:space="preserve">the product’s overall appearance (so-called ‘must-match’ parts). As it is already the case</w:t>
      </w:r>
      <w:r>
        <w:t xml:space="preserve"> </w:t>
      </w:r>
      <w:r>
        <w:t xml:space="preserve">in liberalised national aftermarkets, parts manufacturers would have to inform consumers</w:t>
      </w:r>
      <w:r>
        <w:t xml:space="preserve"> </w:t>
      </w:r>
      <w:r>
        <w:t xml:space="preserve">about the origin of the parts so that they can make an informed choice between</w:t>
      </w:r>
      <w:r>
        <w:t xml:space="preserve"> </w:t>
      </w:r>
      <w:r>
        <w:t xml:space="preserve">competing spare parts100.</w:t>
      </w:r>
      <w:r>
        <w:br/>
      </w:r>
      <w:r>
        <w:t xml:space="preserve">Option 1.2: Instant full liberalisation for new designs followed by full liberalisation</w:t>
      </w:r>
      <w:r>
        <w:t xml:space="preserve"> </w:t>
      </w:r>
      <w:r>
        <w:t xml:space="preserve">for old designs after transitional ten-year period: Same changes as previous option,</w:t>
      </w:r>
      <w:r>
        <w:t xml:space="preserve"> </w:t>
      </w:r>
      <w:r>
        <w:t xml:space="preserve">except that the repair clause to be inserted into the DDir would have instant legal effect</w:t>
      </w:r>
      <w:r>
        <w:t xml:space="preserve"> </w:t>
      </w:r>
      <w:r>
        <w:t xml:space="preserve">only for the future (i.e. be applicable only to designs applied for after entry into force).</w:t>
      </w:r>
      <w:r>
        <w:t xml:space="preserve"> </w:t>
      </w:r>
      <w:r>
        <w:t xml:space="preserve">Designs already granted before entry into force would continue to be protected for a</w:t>
      </w:r>
      <w:r>
        <w:t xml:space="preserve"> </w:t>
      </w:r>
      <w:r>
        <w:t xml:space="preserve">transitional period of ten years.</w:t>
      </w:r>
      <w:r>
        <w:t xml:space="preserve"> </w:t>
      </w:r>
      <w:r>
        <w:t xml:space="preserve">Option 1.3: Full liberalisation for new designs: As in the previous option, the repair</w:t>
      </w:r>
      <w:r>
        <w:t xml:space="preserve"> </w:t>
      </w:r>
      <w:r>
        <w:t xml:space="preserve">clause to be inserted into the DDir would have legal effect only for the future. Designs</w:t>
      </w:r>
      <w:r>
        <w:t xml:space="preserve"> </w:t>
      </w:r>
      <w:r>
        <w:t xml:space="preserve">already granted before entry into force would not be touched and thus be allowed to be</w:t>
      </w:r>
      <w:r>
        <w:t xml:space="preserve"> </w:t>
      </w:r>
      <w:r>
        <w:t xml:space="preserve">protected for the maximum term of 25 years.</w:t>
      </w:r>
      <w:r>
        <w:br/>
      </w:r>
      <w:r>
        <w:t xml:space="preserve">5.2.2. Options to tackle Objective 2 on complex procedures and sub-</w:t>
      </w:r>
      <w:r>
        <w:t xml:space="preserve"> </w:t>
      </w:r>
      <w:r>
        <w:t xml:space="preserve">optimal fees</w:t>
      </w:r>
      <w:r>
        <w:t xml:space="preserve"> </w:t>
      </w:r>
      <w:r>
        <w:t xml:space="preserve">5.2.2.1 Update and simplification of rules</w:t>
      </w:r>
      <w:r>
        <w:t xml:space="preserve"> </w:t>
      </w:r>
      <w:r>
        <w:t xml:space="preserve">Baseline: Current procedures are maintained.</w:t>
      </w:r>
      <w:r>
        <w:t xml:space="preserve"> </w:t>
      </w:r>
      <w:r>
        <w:t xml:space="preserve">Sole Option 2: Simplification and streamlining of RCD procedures (including</w:t>
      </w:r>
      <w:r>
        <w:t xml:space="preserve"> </w:t>
      </w:r>
      <w:r>
        <w:t xml:space="preserve">through alignment with trade mark reform).</w:t>
      </w:r>
      <w:r>
        <w:br/>
      </w:r>
      <w:r>
        <w:t xml:space="preserve"> Update of requirements for the representation of designs (e.g. inclusion of</w:t>
      </w:r>
      <w:r>
        <w:t xml:space="preserve"> </w:t>
      </w:r>
      <w:r>
        <w:t xml:space="preserve">dynamic 3D-representation and video filing)</w:t>
      </w:r>
      <w:r>
        <w:br/>
      </w:r>
      <w:r>
        <w:t xml:space="preserve"> Deletion of “unity of class” requirement for multiple applications</w:t>
      </w:r>
      <w:r>
        <w:br/>
      </w:r>
      <w:r>
        <w:t xml:space="preserve"> Alignment of RCD proceedings with EU trade mark proceedings.</w:t>
      </w:r>
    </w:p>
    <w:p>
      <w:pPr>
        <w:pStyle w:val="BodyText"/>
      </w:pPr>
      <w:r>
        <w:t xml:space="preserve">100 According to the CJEU in Joined Cases C-397/16 and C-435/16, Acacia, persons relying on the repair</w:t>
      </w:r>
      <w:r>
        <w:t xml:space="preserve"> </w:t>
      </w:r>
      <w:r>
        <w:t xml:space="preserve">clause exemption laid down in Article 110 CDR must contribute, as far as possible, to ensuring compliance</w:t>
      </w:r>
      <w:r>
        <w:t xml:space="preserve"> </w:t>
      </w:r>
      <w:r>
        <w:t xml:space="preserve">with the conditions laid down in that provision.</w:t>
      </w:r>
    </w:p>
    <w:p>
      <w:pPr>
        <w:pStyle w:val="BodyText"/>
      </w:pPr>
      <w:r>
        <w:t xml:space="preserve">30</w:t>
      </w:r>
      <w:r>
        <w:t xml:space="preserve"> </w:t>
      </w:r>
      <w:r>
        <w:t xml:space="preserve">5.2.2.2 Fees payable for RCD</w:t>
      </w:r>
      <w:r>
        <w:t xml:space="preserve"> </w:t>
      </w:r>
      <w:r>
        <w:t xml:space="preserve">Baseline: Current fee structure and levels are maintained.</w:t>
      </w:r>
      <w:r>
        <w:t xml:space="preserve"> </w:t>
      </w:r>
      <w:r>
        <w:t xml:space="preserve">Option 3: Lower RCD registration fee and easier multiple applications: This option</w:t>
      </w:r>
      <w:r>
        <w:t xml:space="preserve"> </w:t>
      </w:r>
      <w:r>
        <w:t xml:space="preserve">would require the removal of the unity of class requirement in the CDR for multiple</w:t>
      </w:r>
      <w:r>
        <w:t xml:space="preserve"> </w:t>
      </w:r>
      <w:r>
        <w:t xml:space="preserve">applications and the amendment of the Fees Regulation for the adjustment of fee</w:t>
      </w:r>
      <w:r>
        <w:t xml:space="preserve"> </w:t>
      </w:r>
      <w:r>
        <w:t xml:space="preserve">amounts. In order to ensure equal treatment of applicants with smaller and larger filing</w:t>
      </w:r>
      <w:r>
        <w:t xml:space="preserve"> </w:t>
      </w:r>
      <w:r>
        <w:t xml:space="preserve">volumes, the latter would also involve the introduction of a flat fee per additional design</w:t>
      </w:r>
      <w:r>
        <w:t xml:space="preserve"> </w:t>
      </w:r>
      <w:r>
        <w:t xml:space="preserve">and thus the abolition of bulk discounts being granted at different levels dependent on the</w:t>
      </w:r>
      <w:r>
        <w:t xml:space="preserve"> </w:t>
      </w:r>
      <w:r>
        <w:t xml:space="preserve">number of designs contained in a multiple application. To counterbalance these benefits</w:t>
      </w:r>
      <w:r>
        <w:t xml:space="preserve"> </w:t>
      </w:r>
      <w:r>
        <w:t xml:space="preserve">at filing stage, the above would be coupled with an increase of subsequent renewal fees.</w:t>
      </w:r>
      <w:r>
        <w:t xml:space="preserve"> </w:t>
      </w:r>
      <w:r>
        <w:t xml:space="preserve">This model would allow easier access to RCD protection, in particular for SMEs</w:t>
      </w:r>
      <w:r>
        <w:t xml:space="preserve"> </w:t>
      </w:r>
      <w:r>
        <w:t xml:space="preserve">(cheaper acquisition of the right and first renewal), while at the same time it would</w:t>
      </w:r>
      <w:r>
        <w:t xml:space="preserve"> </w:t>
      </w:r>
      <w:r>
        <w:t xml:space="preserve">safeguard that only those RCDs utilised in the market place remain on the register by</w:t>
      </w:r>
      <w:r>
        <w:t xml:space="preserve"> </w:t>
      </w:r>
      <w:r>
        <w:t xml:space="preserve">increasing subsequent renewals fees for second to fourth renewal.</w:t>
      </w:r>
      <w:r>
        <w:t xml:space="preserve"> </w:t>
      </w:r>
      <w:r>
        <w:t xml:space="preserve">Sub-option 3.1: According to the first sub-option, the headline fee to obtain a single</w:t>
      </w:r>
      <w:r>
        <w:t xml:space="preserve"> </w:t>
      </w:r>
      <w:r>
        <w:t xml:space="preserve">RCD would be reduced from EUR 350 to EUR 250. For each additional design forming</w:t>
      </w:r>
      <w:r>
        <w:t xml:space="preserve"> </w:t>
      </w:r>
      <w:r>
        <w:t xml:space="preserve">part of a multiple application, the fee would be EUR 125 101leading to savings of EUR</w:t>
      </w:r>
      <w:r>
        <w:t xml:space="preserve"> </w:t>
      </w:r>
      <w:r>
        <w:t xml:space="preserve">125 vis-à-vis a single design application per design. The fee for renewals under this</w:t>
      </w:r>
      <w:r>
        <w:t xml:space="preserve"> </w:t>
      </w:r>
      <w:r>
        <w:t xml:space="preserve">option would be as follows: first renewal – EUR 70; second renewal – EUR 140; third</w:t>
      </w:r>
      <w:r>
        <w:t xml:space="preserve"> </w:t>
      </w:r>
      <w:r>
        <w:t xml:space="preserve">renewal – EUR 280; fourth renewal EUR 560102. For this option, the sum of fees for the</w:t>
      </w:r>
      <w:r>
        <w:t xml:space="preserve"> </w:t>
      </w:r>
      <w:r>
        <w:t xml:space="preserve">first two renewals would be equivalent to those under the current fee level, that is EUR</w:t>
      </w:r>
      <w:r>
        <w:t xml:space="preserve"> </w:t>
      </w:r>
      <w:r>
        <w:t xml:space="preserve">210 in total103.</w:t>
      </w:r>
      <w:r>
        <w:t xml:space="preserve"> </w:t>
      </w:r>
      <w:r>
        <w:t xml:space="preserve">Sub-option 3.2: Under the second sub-option, the headline fee would be also EUR 250</w:t>
      </w:r>
      <w:r>
        <w:t xml:space="preserve"> </w:t>
      </w:r>
      <w:r>
        <w:t xml:space="preserve">but each additional design of a multiple application further discounted to EUR 100</w:t>
      </w:r>
      <w:r>
        <w:t xml:space="preserve"> </w:t>
      </w:r>
      <w:r>
        <w:t xml:space="preserve">instead of the proposed EUR 125 under sub-option 3.1. This would further promote easy</w:t>
      </w:r>
      <w:r>
        <w:t xml:space="preserve"> </w:t>
      </w:r>
      <w:r>
        <w:t xml:space="preserve">access to RCD protection. However, unlike sub-option 3.1 all renewal fees would be</w:t>
      </w:r>
      <w:r>
        <w:t xml:space="preserve"> </w:t>
      </w:r>
      <w:r>
        <w:t xml:space="preserve">higher than under the current system in order to counterbalance the likely increase of</w:t>
      </w:r>
      <w:r>
        <w:t xml:space="preserve"> </w:t>
      </w:r>
      <w:r>
        <w:t xml:space="preserve">design applications at filing stage. The fees for renewals under this option would be as</w:t>
      </w:r>
      <w:r>
        <w:t xml:space="preserve"> </w:t>
      </w:r>
      <w:r>
        <w:t xml:space="preserve">follows: first renewal – EUR 80; second renewal – EUR 160; third renewal – EUR 320;</w:t>
      </w:r>
      <w:r>
        <w:t xml:space="preserve"> </w:t>
      </w:r>
      <w:r>
        <w:t xml:space="preserve">fourth renewal EUR 640. This option would effectively allow applicants to register two</w:t>
      </w:r>
      <w:r>
        <w:t xml:space="preserve"> </w:t>
      </w:r>
      <w:r>
        <w:t xml:space="preserve">RCDs for the same fee as currently required for a single RCD.</w:t>
      </w:r>
      <w:r>
        <w:br/>
      </w:r>
      <w:r>
        <w:t xml:space="preserve">In both cases adjustment of fees would be coupled with a simplification of the fee</w:t>
      </w:r>
      <w:r>
        <w:t xml:space="preserve"> </w:t>
      </w:r>
      <w:r>
        <w:t xml:space="preserve">structure by abolishing the separate publication fee and adding this fee to the registration</w:t>
      </w:r>
      <w:r>
        <w:t xml:space="preserve"> </w:t>
      </w:r>
      <w:r>
        <w:t xml:space="preserve">fee (so that in the above sub-options the reduced headline fee would include the</w:t>
      </w:r>
      <w:r>
        <w:t xml:space="preserve"> </w:t>
      </w:r>
      <w:r>
        <w:t xml:space="preserve">publication fee amount). In order to align RCD rules with those for the EUTM, the</w:t>
      </w:r>
      <w:r>
        <w:t xml:space="preserve"> </w:t>
      </w:r>
      <w:r>
        <w:t xml:space="preserve">transfer fee for RCDs is proposed to be abolished as well. Additionally a cap of 50</w:t>
      </w:r>
      <w:r>
        <w:t xml:space="preserve"> </w:t>
      </w:r>
      <w:r>
        <w:t xml:space="preserve">designs per application would be introduced to keep expected loss of revenues limited</w:t>
      </w:r>
    </w:p>
    <w:p>
      <w:pPr>
        <w:pStyle w:val="BodyText"/>
      </w:pPr>
      <w:r>
        <w:t xml:space="preserve">101 Under the current system it is EUR 115 for each design from the second to the tenth design and EUR 50</w:t>
      </w:r>
      <w:r>
        <w:t xml:space="preserve"> </w:t>
      </w:r>
      <w:r>
        <w:t xml:space="preserve">for each design from the eleventh design onwards.</w:t>
      </w:r>
      <w:r>
        <w:t xml:space="preserve"> </w:t>
      </w:r>
      <w:r>
        <w:t xml:space="preserve">102 Under the current system it is EUR 90 for the first renewal, EUR 120 for the second, EUR 150 for the</w:t>
      </w:r>
      <w:r>
        <w:t xml:space="preserve"> </w:t>
      </w:r>
      <w:r>
        <w:t xml:space="preserve">third and EUR 180 for the fourth period of renewal.</w:t>
      </w:r>
      <w:r>
        <w:t xml:space="preserve"> </w:t>
      </w:r>
      <w:r>
        <w:t xml:space="preserve">103 EUR 90 + EUR 120.</w:t>
      </w:r>
    </w:p>
    <w:p>
      <w:pPr>
        <w:pStyle w:val="BodyText"/>
      </w:pPr>
      <w:r>
        <w:t xml:space="preserve">31</w:t>
      </w:r>
      <w:r>
        <w:t xml:space="preserve"> </w:t>
      </w:r>
      <w:r>
        <w:t xml:space="preserve">and prevent potential abuses of multiple applications due to abolition of the transfer</w:t>
      </w:r>
      <w:r>
        <w:t xml:space="preserve"> </w:t>
      </w:r>
      <w:r>
        <w:t xml:space="preserve">fee104.</w:t>
      </w:r>
      <w:r>
        <w:br/>
      </w:r>
      <w:r>
        <w:t xml:space="preserve">5.2.3. Options to tackle Objective 3 on divergent procedural rules</w:t>
      </w:r>
      <w:r>
        <w:br/>
      </w:r>
      <w:r>
        <w:t xml:space="preserve">When it comes to consideration of available policy options, the necessary level and focus</w:t>
      </w:r>
      <w:r>
        <w:t xml:space="preserve"> </w:t>
      </w:r>
      <w:r>
        <w:t xml:space="preserve">of approximation of national laws should be assessed. The options under consideration</w:t>
      </w:r>
      <w:r>
        <w:t xml:space="preserve"> </w:t>
      </w:r>
      <w:r>
        <w:t xml:space="preserve">are the following:</w:t>
      </w:r>
      <w:r>
        <w:br/>
      </w:r>
      <w:r>
        <w:t xml:space="preserve">Baseline: No further approximation of national design laws and procedures.</w:t>
      </w:r>
      <w:r>
        <w:br/>
      </w:r>
      <w:r>
        <w:t xml:space="preserve">Option 4.1: Partial further approximation of national laws and their coherence with</w:t>
      </w:r>
      <w:r>
        <w:t xml:space="preserve"> </w:t>
      </w:r>
      <w:r>
        <w:t xml:space="preserve">the RCD system. This option would involve the addition of provisions to the DDir on</w:t>
      </w:r>
      <w:r>
        <w:t xml:space="preserve"> </w:t>
      </w:r>
      <w:r>
        <w:t xml:space="preserve">selected design law aspects not yet addressed therein and identified by stakeholders in</w:t>
      </w:r>
      <w:r>
        <w:t xml:space="preserve"> </w:t>
      </w:r>
      <w:r>
        <w:t xml:space="preserve">greatest need of harmonisation, in particular, concerning procedures, in alignment with</w:t>
      </w:r>
      <w:r>
        <w:t xml:space="preserve"> </w:t>
      </w:r>
      <w:r>
        <w:t xml:space="preserve">relevant provisions contained in the CDR. In terms of procedures, this would allow, inter</w:t>
      </w:r>
      <w:r>
        <w:t xml:space="preserve"> </w:t>
      </w:r>
      <w:r>
        <w:t xml:space="preserve">alia, users of all national design protection systems also to a) represent their designs by</w:t>
      </w:r>
      <w:r>
        <w:t xml:space="preserve"> </w:t>
      </w:r>
      <w:r>
        <w:t xml:space="preserve">other means that merely static graphic or photographic reproduction when applying for</w:t>
      </w:r>
      <w:r>
        <w:t xml:space="preserve"> </w:t>
      </w:r>
      <w:r>
        <w:t xml:space="preserve">registration, b) file multiple applications at domestic level by combining several designs</w:t>
      </w:r>
      <w:r>
        <w:t xml:space="preserve"> </w:t>
      </w:r>
      <w:r>
        <w:t xml:space="preserve">in one application, and without being restricted to products belonging to the same</w:t>
      </w:r>
      <w:r>
        <w:t xml:space="preserve"> </w:t>
      </w:r>
      <w:r>
        <w:t xml:space="preserve">Locarno Class, c) request deferment of the publication of a design application for a</w:t>
      </w:r>
      <w:r>
        <w:t xml:space="preserve"> </w:t>
      </w:r>
      <w:r>
        <w:t xml:space="preserve">period of 30 months from the date of filing, d) rapidly obtain a design registration</w:t>
      </w:r>
      <w:r>
        <w:t xml:space="preserve"> </w:t>
      </w:r>
      <w:r>
        <w:t xml:space="preserve">without being subject to prior art examination, and, e) seek for the invalidation of a</w:t>
      </w:r>
      <w:r>
        <w:t xml:space="preserve"> </w:t>
      </w:r>
      <w:r>
        <w:t xml:space="preserve">registered design before the IP office. The addition of principal procedural rules to the</w:t>
      </w:r>
      <w:r>
        <w:t xml:space="preserve"> </w:t>
      </w:r>
      <w:r>
        <w:t xml:space="preserve">DDir would be combined with the further alignment of a few selected substantive law</w:t>
      </w:r>
      <w:r>
        <w:t xml:space="preserve"> </w:t>
      </w:r>
      <w:r>
        <w:t xml:space="preserve">aspects (apart from the spare parts issue) in accordance with the provisions of the CDR.</w:t>
      </w:r>
      <w:r>
        <w:t xml:space="preserve"> </w:t>
      </w:r>
      <w:r>
        <w:t xml:space="preserve">These few additional substantive law aspects concern the legal relevance of the product</w:t>
      </w:r>
      <w:r>
        <w:t xml:space="preserve"> </w:t>
      </w:r>
      <w:r>
        <w:t xml:space="preserve">indication for the scope of design protection, the right to prior use, and the presumptions</w:t>
      </w:r>
      <w:r>
        <w:t xml:space="preserve"> </w:t>
      </w:r>
      <w:r>
        <w:t xml:space="preserve">of ownership and validity.</w:t>
      </w:r>
      <w:r>
        <w:br/>
      </w:r>
      <w:r>
        <w:t xml:space="preserve">Option 4.2: Full approximation of national design laws and procedures. This approach</w:t>
      </w:r>
      <w:r>
        <w:t xml:space="preserve"> </w:t>
      </w:r>
      <w:r>
        <w:t xml:space="preserve">would be based on Option 4.1, encompassing its above components, but include all</w:t>
      </w:r>
      <w:r>
        <w:t xml:space="preserve"> </w:t>
      </w:r>
      <w:r>
        <w:t xml:space="preserve">remaining aspects of substantive design law and procedures which are part of the CDR</w:t>
      </w:r>
      <w:r>
        <w:t xml:space="preserve"> </w:t>
      </w:r>
      <w:r>
        <w:t xml:space="preserve">but not of the DDir, such as specific rules on unregistered design protection, designs as</w:t>
      </w:r>
      <w:r>
        <w:t xml:space="preserve"> </w:t>
      </w:r>
      <w:r>
        <w:t xml:space="preserve">objects of property, surrender of a registered design, appeal procedures, general</w:t>
      </w:r>
      <w:r>
        <w:t xml:space="preserve"> </w:t>
      </w:r>
      <w:r>
        <w:t xml:space="preserve">procedures before the IP Office (e.g. oral proceedings, taking of evidence, or</w:t>
      </w:r>
      <w:r>
        <w:t xml:space="preserve"> </w:t>
      </w:r>
      <w:r>
        <w:t xml:space="preserve">notification), or apportionment of costs.</w:t>
      </w:r>
      <w:r>
        <w:br/>
      </w:r>
      <w:r>
        <w:t xml:space="preserve">When it comes to options 4.1 and 4.2 it should be furthermore assessed how such an</w:t>
      </w:r>
      <w:r>
        <w:t xml:space="preserve"> </w:t>
      </w:r>
      <w:r>
        <w:t xml:space="preserve">approximation could be pursued. Even though this question touches upon the choice of</w:t>
      </w:r>
      <w:r>
        <w:t xml:space="preserve"> </w:t>
      </w:r>
      <w:r>
        <w:t xml:space="preserve">legal instrument, it is considered that this issue is of crucial importance to addressing the</w:t>
      </w:r>
      <w:r>
        <w:t xml:space="preserve"> </w:t>
      </w:r>
      <w:r>
        <w:t xml:space="preserve">effectiveness and efficiency of both policy options and should be tackled here.</w:t>
      </w:r>
      <w:r>
        <w:br/>
      </w:r>
      <w:r>
        <w:t xml:space="preserve">– It could be envisaged that the approximation would be carried out on a voluntary basis</w:t>
      </w:r>
      <w:r>
        <w:t xml:space="preserve"> </w:t>
      </w:r>
      <w:r>
        <w:t xml:space="preserve">(sub-options 4.1a and 4.2a, respectively). In such a case, there would be no further</w:t>
      </w:r>
      <w:r>
        <w:t xml:space="preserve"> </w:t>
      </w:r>
      <w:r>
        <w:t xml:space="preserve">approximation in formal terms, i.e. no changes to the DDir. National offices would be</w:t>
      </w:r>
      <w:r>
        <w:t xml:space="preserve"> </w:t>
      </w:r>
      <w:r>
        <w:t xml:space="preserve">encouraged, by non-legislative means, to align their design laws and procedures. To this</w:t>
      </w:r>
    </w:p>
    <w:p>
      <w:pPr>
        <w:pStyle w:val="BodyText"/>
      </w:pPr>
      <w:r>
        <w:t xml:space="preserve">104 The included abolition of the fee to be paid for the transfer of an application for a RCD to another party</w:t>
      </w:r>
      <w:r>
        <w:t xml:space="preserve"> </w:t>
      </w:r>
      <w:r>
        <w:t xml:space="preserve">will open a possibility that ‘design application service providers’ arise encouraged to make profit from</w:t>
      </w:r>
      <w:r>
        <w:t xml:space="preserve"> </w:t>
      </w:r>
      <w:r>
        <w:t xml:space="preserve">filing multiple applications (collecting design applications from third parties, gathering them in a single</w:t>
      </w:r>
      <w:r>
        <w:t xml:space="preserve"> </w:t>
      </w:r>
      <w:r>
        <w:t xml:space="preserve">application, applying in their own name and subsequently transferring them back to the actual applicants).</w:t>
      </w:r>
    </w:p>
    <w:p>
      <w:pPr>
        <w:pStyle w:val="BodyText"/>
      </w:pPr>
      <w:r>
        <w:t xml:space="preserve">32</w:t>
      </w:r>
      <w:r>
        <w:t xml:space="preserve"> </w:t>
      </w:r>
      <w:r>
        <w:t xml:space="preserve">end, the Commission would issue a Communication (Recommendation) and/or Member</w:t>
      </w:r>
      <w:r>
        <w:t xml:space="preserve"> </w:t>
      </w:r>
      <w:r>
        <w:t xml:space="preserve">States would agree to approximate their national laws on a voluntary basis. In this</w:t>
      </w:r>
      <w:r>
        <w:t xml:space="preserve"> </w:t>
      </w:r>
      <w:r>
        <w:t xml:space="preserve">context the possibility of converging selected issues within the EUIPN based on the</w:t>
      </w:r>
      <w:r>
        <w:t xml:space="preserve"> </w:t>
      </w:r>
      <w:r>
        <w:t xml:space="preserve">specific cooperation framework to promote convergence of practices, as established</w:t>
      </w:r>
      <w:r>
        <w:t xml:space="preserve"> </w:t>
      </w:r>
      <w:r>
        <w:t xml:space="preserve">under Article 152 of the EUTMR, should be considered. This course of action could be</w:t>
      </w:r>
      <w:r>
        <w:t xml:space="preserve"> </w:t>
      </w:r>
      <w:r>
        <w:t xml:space="preserve">suitable in particular for very technical issues such as the formal requirements for</w:t>
      </w:r>
      <w:r>
        <w:t xml:space="preserve"> </w:t>
      </w:r>
      <w:r>
        <w:t xml:space="preserve">representation of a design.</w:t>
      </w:r>
      <w:r>
        <w:br/>
      </w:r>
      <w:r>
        <w:t xml:space="preserve">– Alternatively, the approximation could be mandatory, i.e. driven by an EU legislative</w:t>
      </w:r>
      <w:r>
        <w:t xml:space="preserve"> </w:t>
      </w:r>
      <w:r>
        <w:t xml:space="preserve">measure which would oblige Member States to align their design laws (sub-options 4.1b</w:t>
      </w:r>
      <w:r>
        <w:t xml:space="preserve"> </w:t>
      </w:r>
      <w:r>
        <w:t xml:space="preserve">and 4.2b, respectively).</w:t>
      </w:r>
      <w:r>
        <w:br/>
      </w:r>
      <w:r>
        <w:t xml:space="preserve">5.3.</w:t>
      </w:r>
      <w:r>
        <w:t xml:space="preserve"> </w:t>
      </w:r>
      <w:r>
        <w:t xml:space="preserve">Options discarded at an early stage</w:t>
      </w:r>
      <w:r>
        <w:t xml:space="preserve"> </w:t>
      </w:r>
      <w:r>
        <w:t xml:space="preserve">5.3.1. Spare parts protection</w:t>
      </w:r>
      <w:r>
        <w:t xml:space="preserve"> </w:t>
      </w:r>
      <w:r>
        <w:t xml:space="preserve">Option 1.4: A system seeking a short term of design protection: Under this alternative,</w:t>
      </w:r>
      <w:r>
        <w:t xml:space="preserve"> </w:t>
      </w:r>
      <w:r>
        <w:t xml:space="preserve">design protection for spare parts would be effective for only a limited period of time</w:t>
      </w:r>
      <w:r>
        <w:t xml:space="preserve"> </w:t>
      </w:r>
      <w:r>
        <w:t xml:space="preserve">(such as five years). After this period, the spare parts could no longer be covered by</w:t>
      </w:r>
      <w:r>
        <w:t xml:space="preserve"> </w:t>
      </w:r>
      <w:r>
        <w:t xml:space="preserve">design protection and any third party would be free to produce and/or market them.</w:t>
      </w:r>
      <w:r>
        <w:br/>
      </w:r>
      <w:r>
        <w:t xml:space="preserve">Option 1.5: A remuneration system for the use of protected designs, including the</w:t>
      </w:r>
      <w:r>
        <w:t xml:space="preserve"> </w:t>
      </w:r>
      <w:r>
        <w:t xml:space="preserve">appropriate level for remuneration. In the context of this option, independent producers</w:t>
      </w:r>
      <w:r>
        <w:t xml:space="preserve"> </w:t>
      </w:r>
      <w:r>
        <w:t xml:space="preserve">could produce spare parts in exchange for a reasonable remuneration to be paid to the</w:t>
      </w:r>
      <w:r>
        <w:t xml:space="preserve"> </w:t>
      </w:r>
      <w:r>
        <w:t xml:space="preserve">holder of the design right.</w:t>
      </w:r>
      <w:r>
        <w:br/>
      </w:r>
      <w:r>
        <w:t xml:space="preserve">As already pointed out above, the decision to open up the spare parts aftermarket for</w:t>
      </w:r>
      <w:r>
        <w:t xml:space="preserve"> </w:t>
      </w:r>
      <w:r>
        <w:t xml:space="preserve">competition was already taken at the moment of adoption of the DDir, obliging Member</w:t>
      </w:r>
      <w:r>
        <w:t xml:space="preserve"> </w:t>
      </w:r>
      <w:r>
        <w:t xml:space="preserve">States to “freeze” the legal status quo and permitting them to amend their existing laws</w:t>
      </w:r>
      <w:r>
        <w:t xml:space="preserve"> </w:t>
      </w:r>
      <w:r>
        <w:t xml:space="preserve">only in a way that liberalises the spare parts market. Given that both Options 1.4 and 1.5</w:t>
      </w:r>
      <w:r>
        <w:t xml:space="preserve"> </w:t>
      </w:r>
      <w:r>
        <w:t xml:space="preserve">would imply the re-introduction of design protection for repair spare parts (at least) to</w:t>
      </w:r>
      <w:r>
        <w:t xml:space="preserve"> </w:t>
      </w:r>
      <w:r>
        <w:t xml:space="preserve">certain extent in Member States that already fully liberalised their aftermarkets (either in</w:t>
      </w:r>
      <w:r>
        <w:t xml:space="preserve"> </w:t>
      </w:r>
      <w:r>
        <w:t xml:space="preserve">form of time-restricted protection when opting for a shorter term of protection or in form</w:t>
      </w:r>
      <w:r>
        <w:t xml:space="preserve"> </w:t>
      </w:r>
      <w:r>
        <w:t xml:space="preserve">of a license fee to be paid to right holders on terms to be agreed), it is deemed appropriate</w:t>
      </w:r>
      <w:r>
        <w:t xml:space="preserve"> </w:t>
      </w:r>
      <w:r>
        <w:t xml:space="preserve">to discard these options at an early stage as clearly going against the “freeze plus”</w:t>
      </w:r>
      <w:r>
        <w:t xml:space="preserve"> </w:t>
      </w:r>
      <w:r>
        <w:t xml:space="preserve">agreement reflected in Article 14 of the DDir. It appears also politically unrealistic to</w:t>
      </w:r>
      <w:r>
        <w:t xml:space="preserve"> </w:t>
      </w:r>
      <w:r>
        <w:t xml:space="preserve">contemplate the implementation of these options any further in view of the strong</w:t>
      </w:r>
      <w:r>
        <w:t xml:space="preserve"> </w:t>
      </w:r>
      <w:r>
        <w:t xml:space="preserve">opposition to be expected from the Member States that have already opened up their</w:t>
      </w:r>
      <w:r>
        <w:t xml:space="preserve"> </w:t>
      </w:r>
      <w:r>
        <w:t xml:space="preserve">aftermarkets by means of a repair clause. Furthermore, these options were already tested</w:t>
      </w:r>
      <w:r>
        <w:t xml:space="preserve"> </w:t>
      </w:r>
      <w:r>
        <w:t xml:space="preserve">in the context of past initiatives in vain105. The introduction of a remuneration system</w:t>
      </w:r>
      <w:r>
        <w:t xml:space="preserve"> </w:t>
      </w:r>
      <w:r>
        <w:t xml:space="preserve">proved in addition to be too complicated and thus unfeasible in practice as the Greek</w:t>
      </w:r>
      <w:r>
        <w:t xml:space="preserve"> </w:t>
      </w:r>
      <w:r>
        <w:t xml:space="preserve">example has shown106. The responses to the two public consultations, and, in particular,</w:t>
      </w:r>
      <w:r>
        <w:t xml:space="preserve"> </w:t>
      </w:r>
      <w:r>
        <w:t xml:space="preserve">to the Second Public Consultation in the context of which potential options for solving</w:t>
      </w:r>
    </w:p>
    <w:p>
      <w:pPr>
        <w:pStyle w:val="BodyText"/>
      </w:pPr>
      <w:r>
        <w:t xml:space="preserve">105 In order to prevent the creation of a captive market in spare parts, the Commission originally proposed</w:t>
      </w:r>
      <w:r>
        <w:t xml:space="preserve"> </w:t>
      </w:r>
      <w:r>
        <w:t xml:space="preserve">in 1993 (COM(93) 344 final) the inclusion of a limited term of protection for spare parts of only three</w:t>
      </w:r>
      <w:r>
        <w:t xml:space="preserve"> </w:t>
      </w:r>
      <w:r>
        <w:t xml:space="preserve">years. In response to amendments proposed by the European Parliament, the Commission subsequently</w:t>
      </w:r>
      <w:r>
        <w:t xml:space="preserve"> </w:t>
      </w:r>
      <w:r>
        <w:t xml:space="preserve">proposed in an amended proposal of 1996 (COM(96) 66 final) the introduction of a remuneration system to</w:t>
      </w:r>
      <w:r>
        <w:t xml:space="preserve"> </w:t>
      </w:r>
      <w:r>
        <w:t xml:space="preserve">operate as from the date of registration of the design. However, that amended proposal did not meet with</w:t>
      </w:r>
      <w:r>
        <w:t xml:space="preserve"> </w:t>
      </w:r>
      <w:r>
        <w:t xml:space="preserve">approval by the Council either.</w:t>
      </w:r>
      <w:r>
        <w:br/>
      </w:r>
      <w:r>
        <w:t xml:space="preserve">106 Greek design law provides for a repair clause combined with a five-year term of protection and</w:t>
      </w:r>
      <w:r>
        <w:t xml:space="preserve"> </w:t>
      </w:r>
      <w:r>
        <w:t xml:space="preserve">remuneration. However, the remuneration system has never been implemented due to failure of vehicle</w:t>
      </w:r>
      <w:r>
        <w:t xml:space="preserve"> </w:t>
      </w:r>
      <w:r>
        <w:t xml:space="preserve">manufacturers and equipment suppliers in finding an agreement on the amount of royalties.</w:t>
      </w:r>
    </w:p>
    <w:p>
      <w:pPr>
        <w:pStyle w:val="BodyText"/>
      </w:pPr>
      <w:r>
        <w:t xml:space="preserve">33</w:t>
      </w:r>
      <w:r>
        <w:t xml:space="preserve"> </w:t>
      </w:r>
      <w:r>
        <w:t xml:space="preserve">the problem were consulted with stakeholders also confirmed that there is actually no real</w:t>
      </w:r>
      <w:r>
        <w:t xml:space="preserve"> </w:t>
      </w:r>
      <w:r>
        <w:t xml:space="preserve">support for them.107</w:t>
      </w:r>
      <w:r>
        <w:t xml:space="preserve"> </w:t>
      </w:r>
      <w:r>
        <w:t xml:space="preserve">5.3.2. Further harmonisation of national rules</w:t>
      </w:r>
      <w:r>
        <w:t xml:space="preserve"> </w:t>
      </w:r>
      <w:r>
        <w:t xml:space="preserve">Option 4.3: A single design rulebook which would entirely replace Member States’</w:t>
      </w:r>
      <w:r>
        <w:t xml:space="preserve"> </w:t>
      </w:r>
      <w:r>
        <w:t xml:space="preserve">design laws by setting uniform rules across the EU. As a result, all national IP offices</w:t>
      </w:r>
      <w:r>
        <w:t xml:space="preserve"> </w:t>
      </w:r>
      <w:r>
        <w:t xml:space="preserve">would apply identical provisions when it comes to their national designs.</w:t>
      </w:r>
      <w:r>
        <w:t xml:space="preserve"> </w:t>
      </w:r>
      <w:r>
        <w:t xml:space="preserve">This option would be clearly disproportionate in view of the demonstrated needs. It</w:t>
      </w:r>
      <w:r>
        <w:t xml:space="preserve"> </w:t>
      </w:r>
      <w:r>
        <w:t xml:space="preserve">would not take into account at all the historical development of laws in Member States</w:t>
      </w:r>
      <w:r>
        <w:t xml:space="preserve"> </w:t>
      </w:r>
      <w:r>
        <w:t xml:space="preserve">and would unduly deprive them from any kind of flexibility at national level.</w:t>
      </w:r>
      <w:r>
        <w:t xml:space="preserve"> </w:t>
      </w:r>
      <w:r>
        <w:t xml:space="preserve">Accordingly, this option will not be considered any further.</w:t>
      </w:r>
      <w:r>
        <w:br/>
      </w:r>
      <w:r>
        <w:t xml:space="preserve">6.</w:t>
      </w:r>
      <w:r>
        <w:t xml:space="preserve"> </w:t>
      </w:r>
      <w:r>
        <w:t xml:space="preserve">WHAT ARE THE IMPACTS OF THE POLICY OPTIONS?</w:t>
      </w:r>
      <w:r>
        <w:t xml:space="preserve"> </w:t>
      </w:r>
      <w:r>
        <w:t xml:space="preserve">6.1.</w:t>
      </w:r>
      <w:r>
        <w:t xml:space="preserve"> </w:t>
      </w:r>
      <w:r>
        <w:t xml:space="preserve">Spare parts protection</w:t>
      </w:r>
      <w:r>
        <w:br/>
      </w:r>
      <w:r>
        <w:t xml:space="preserve">The different options would have varying impacts on single market performance.</w:t>
      </w:r>
      <w:r>
        <w:br/>
      </w:r>
      <w:r>
        <w:t xml:space="preserve">6.1.1. Full liberalisation for all designs (Option 1.1)</w:t>
      </w:r>
      <w:r>
        <w:t xml:space="preserve"> </w:t>
      </w:r>
      <w:r>
        <w:t xml:space="preserve">Abolition of design protection in the aftermarket would lead to increased competition in</w:t>
      </w:r>
      <w:r>
        <w:t xml:space="preserve"> </w:t>
      </w:r>
      <w:r>
        <w:t xml:space="preserve">across the value chain. This option would assure maximum allocative efficiency.</w:t>
      </w:r>
      <w:r>
        <w:br/>
      </w:r>
      <w:r>
        <w:t xml:space="preserve">Impact on prices</w:t>
      </w:r>
      <w:r>
        <w:t xml:space="preserve"> </w:t>
      </w:r>
      <w:r>
        <w:t xml:space="preserve">The impact on car manufacturers will most probably be limited to downstream</w:t>
      </w:r>
      <w:r>
        <w:t xml:space="preserve"> </w:t>
      </w:r>
      <w:r>
        <w:t xml:space="preserve">price competition and will be heterogeneous across VMs. Herz &amp; Mejer (2020) show</w:t>
      </w:r>
      <w:r>
        <w:t xml:space="preserve"> </w:t>
      </w:r>
      <w:r>
        <w:t xml:space="preserve">that there are differences in the degree to which car manufacturers exploit design</w:t>
      </w:r>
      <w:r>
        <w:t xml:space="preserve"> </w:t>
      </w:r>
      <w:r>
        <w:t xml:space="preserve">protection in their pricing strategies. VMs that exploit design protection in their pricing</w:t>
      </w:r>
      <w:r>
        <w:t xml:space="preserve"> </w:t>
      </w:r>
      <w:r>
        <w:t xml:space="preserve">strategies today to a significant degree, will need to adjust their strategies and set lower</w:t>
      </w:r>
      <w:r>
        <w:t xml:space="preserve"> </w:t>
      </w:r>
      <w:r>
        <w:t xml:space="preserve">prices as otherwise the final customers would switch to alternatives.</w:t>
      </w:r>
      <w:r>
        <w:t xml:space="preserve"> </w:t>
      </w:r>
      <w:r>
        <w:t xml:space="preserve">Still, despite full liberalisation, OEM and OES producers will be able to charge</w:t>
      </w:r>
      <w:r>
        <w:t xml:space="preserve"> </w:t>
      </w:r>
      <w:r>
        <w:t xml:space="preserve">higher prices than that of independent suppliers. According to Wolk After Sales</w:t>
      </w:r>
      <w:r>
        <w:t xml:space="preserve"> </w:t>
      </w:r>
      <w:r>
        <w:t xml:space="preserve">survey,108 the perceived quality of the product is a very important factor, along with</w:t>
      </w:r>
      <w:r>
        <w:t xml:space="preserve"> </w:t>
      </w:r>
      <w:r>
        <w:t xml:space="preserve">fitting accuracy, that both repairers and customers take into account in their purchasing</w:t>
      </w:r>
      <w:r>
        <w:t xml:space="preserve"> </w:t>
      </w:r>
      <w:r>
        <w:t xml:space="preserve">decisions. Furthermore, the same survey shows that in the perception of the repairers,</w:t>
      </w:r>
      <w:r>
        <w:t xml:space="preserve"> </w:t>
      </w:r>
      <w:r>
        <w:t xml:space="preserve">OEM and OES parts are of higher quality compared to parts produced by independent</w:t>
      </w:r>
      <w:r>
        <w:t xml:space="preserve"> </w:t>
      </w:r>
      <w:r>
        <w:t xml:space="preserve">suppliers.</w:t>
      </w:r>
      <w:r>
        <w:t xml:space="preserve"> </w:t>
      </w:r>
      <w:r>
        <w:t xml:space="preserve">There will be potential savings to customers in markets where currently no repair</w:t>
      </w:r>
      <w:r>
        <w:t xml:space="preserve"> </w:t>
      </w:r>
      <w:r>
        <w:t xml:space="preserve">clause is in place ranging between EUR 415 and 664 million annually due to price</w:t>
      </w:r>
      <w:r>
        <w:t xml:space="preserve"> </w:t>
      </w:r>
      <w:r>
        <w:t xml:space="preserve">competition (for details see Annex 4). According to Insurance Europe109, around 12</w:t>
      </w:r>
      <w:r>
        <w:t xml:space="preserve"> </w:t>
      </w:r>
      <w:r>
        <w:t xml:space="preserve">million motor third-party liability claims are made annually. Assuming that 60%110 of</w:t>
      </w:r>
      <w:r>
        <w:t xml:space="preserve"> </w:t>
      </w:r>
      <w:r>
        <w:t xml:space="preserve">those claims, i.e. 7.2 million, are made in Member States without a repair clause</w:t>
      </w:r>
    </w:p>
    <w:p>
      <w:pPr>
        <w:pStyle w:val="BodyText"/>
      </w:pPr>
      <w:r>
        <w:t xml:space="preserve">107 It is revealing in that context that even the European Automobile Manufaturers’ Accociation rather</w:t>
      </w:r>
      <w:r>
        <w:t xml:space="preserve"> </w:t>
      </w:r>
      <w:r>
        <w:t xml:space="preserve">expressed its preference for maintaining the current status quo instead of pleading for these other options.</w:t>
      </w:r>
      <w:r>
        <w:br/>
      </w:r>
      <w:r>
        <w:t xml:space="preserve">108 Wolk After Sales (2021), supra note, Section 3.1. Purchasing behaviour of workshops.</w:t>
      </w:r>
      <w:r>
        <w:t xml:space="preserve"> </w:t>
      </w:r>
      <w:r>
        <w:t xml:space="preserve">109 Insurance Europe. (2019, February). Report on European Motor Insurance Markets.</w:t>
      </w:r>
      <w:r>
        <w:t xml:space="preserve"> </w:t>
      </w:r>
      <w:r>
        <w:t xml:space="preserve">110 Proxy with the share of the EU car fleet. Eurostat, Passenger cars, by age.</w:t>
      </w:r>
    </w:p>
    <w:p>
      <w:pPr>
        <w:pStyle w:val="BodyText"/>
      </w:pPr>
      <w:r>
        <w:t xml:space="preserve">34</w:t>
      </w:r>
      <w:r>
        <w:t xml:space="preserve"> </w:t>
      </w:r>
      <w:r>
        <w:t xml:space="preserve">(including DE and FR), one arrives at a saving per insurance claim in Member States</w:t>
      </w:r>
      <w:r>
        <w:t xml:space="preserve"> </w:t>
      </w:r>
      <w:r>
        <w:t xml:space="preserve">without a repair clause between EUR 58 and 92.</w:t>
      </w:r>
      <w:r>
        <w:t xml:space="preserve"> </w:t>
      </w:r>
      <w:r>
        <w:t xml:space="preserve">VMs may try to compensate for their loss of profits drawn from their market power in the</w:t>
      </w:r>
      <w:r>
        <w:t xml:space="preserve"> </w:t>
      </w:r>
      <w:r>
        <w:t xml:space="preserve">spare parts market by increasing their prices for new cars. However, the possibility of</w:t>
      </w:r>
      <w:r>
        <w:t xml:space="preserve"> </w:t>
      </w:r>
      <w:r>
        <w:t xml:space="preserve">passing on higher costs to the primary market will be limited by competition in that</w:t>
      </w:r>
      <w:r>
        <w:t xml:space="preserve"> </w:t>
      </w:r>
      <w:r>
        <w:t xml:space="preserve">primary market. If so, with around 12 million new cars registered111 annually in pre-</w:t>
      </w:r>
      <w:r>
        <w:t xml:space="preserve"> </w:t>
      </w:r>
      <w:r>
        <w:t xml:space="preserve">Covid years, the potential annual loss of revenues per car sold is between EUR 34</w:t>
      </w:r>
      <w:r>
        <w:t xml:space="preserve"> </w:t>
      </w:r>
      <w:r>
        <w:t xml:space="preserve">and 55.112</w:t>
      </w:r>
      <w:r>
        <w:t xml:space="preserve"> </w:t>
      </w:r>
      <w:r>
        <w:t xml:space="preserve">Impact on competition</w:t>
      </w:r>
      <w:r>
        <w:t xml:space="preserve"> </w:t>
      </w:r>
      <w:r>
        <w:t xml:space="preserve">Both OES and independent suppliers (non-OES) will benefit from greater</w:t>
      </w:r>
      <w:r>
        <w:t xml:space="preserve"> </w:t>
      </w:r>
      <w:r>
        <w:t xml:space="preserve">operational freedom that will allow them to strengthen their market position and to</w:t>
      </w:r>
      <w:r>
        <w:t xml:space="preserve"> </w:t>
      </w:r>
      <w:r>
        <w:t xml:space="preserve">consolidate. First, OES parts producers in their capacity as VM-suppliers enjoy direct</w:t>
      </w:r>
      <w:r>
        <w:t xml:space="preserve"> </w:t>
      </w:r>
      <w:r>
        <w:t xml:space="preserve">access to the aftermarket. In their capacity as “independent” producers they should be</w:t>
      </w:r>
      <w:r>
        <w:t xml:space="preserve"> </w:t>
      </w:r>
      <w:r>
        <w:t xml:space="preserve">able to offer a full range of spare parts. Second, independent parts producers will be able</w:t>
      </w:r>
      <w:r>
        <w:t xml:space="preserve"> </w:t>
      </w:r>
      <w:r>
        <w:t xml:space="preserve">to sell their parts in the entire EU market. This may lead to more investments in the EU.</w:t>
      </w:r>
      <w:r>
        <w:t xml:space="preserve"> </w:t>
      </w:r>
      <w:r>
        <w:t xml:space="preserve">Third, independent distributors can offer complete lines of spare parts in the entire EU</w:t>
      </w:r>
      <w:r>
        <w:t xml:space="preserve"> </w:t>
      </w:r>
      <w:r>
        <w:t xml:space="preserve">market and benefit from the economies of scale. Finally, independent repairers retain</w:t>
      </w:r>
      <w:r>
        <w:t xml:space="preserve"> </w:t>
      </w:r>
      <w:r>
        <w:t xml:space="preserve">their chance to compete, with prospect of success, against the networks of authorised car</w:t>
      </w:r>
      <w:r>
        <w:t xml:space="preserve"> </w:t>
      </w:r>
      <w:r>
        <w:t xml:space="preserve">dealers/repairers.113</w:t>
      </w:r>
      <w:r>
        <w:t xml:space="preserve"> </w:t>
      </w:r>
      <w:r>
        <w:t xml:space="preserve">In contrast to the situation in 2004, the introduction of a repair clause today may help the</w:t>
      </w:r>
      <w:r>
        <w:t xml:space="preserve"> </w:t>
      </w:r>
      <w:r>
        <w:t xml:space="preserve">independent aftermarket channel remain competitive in the world characterised by</w:t>
      </w:r>
      <w:r>
        <w:t xml:space="preserve"> </w:t>
      </w:r>
      <w:r>
        <w:t xml:space="preserve">reduced profit margins due to declining demand for collision repairs (see Section 2.2.1).</w:t>
      </w:r>
      <w:r>
        <w:t xml:space="preserve"> </w:t>
      </w:r>
      <w:r>
        <w:t xml:space="preserve">Economies of scale that will result from market liberalisation as well as efficiency gains</w:t>
      </w:r>
      <w:r>
        <w:t xml:space="preserve"> </w:t>
      </w:r>
      <w:r>
        <w:t xml:space="preserve">due to possible consolidation may help the independent sector maintain their</w:t>
      </w:r>
      <w:r>
        <w:t xml:space="preserve"> </w:t>
      </w:r>
      <w:r>
        <w:t xml:space="preserve">competitiveness, allowing for investments needed to keep up with digital transformation</w:t>
      </w:r>
      <w:r>
        <w:t xml:space="preserve"> </w:t>
      </w:r>
      <w:r>
        <w:t xml:space="preserve">of the industry. In case the independent channel becomes more competitive, the impact</w:t>
      </w:r>
      <w:r>
        <w:t xml:space="preserve"> </w:t>
      </w:r>
      <w:r>
        <w:t xml:space="preserve">on VMs will go beyond price competition in the downstream market.</w:t>
      </w:r>
      <w:r>
        <w:br/>
      </w:r>
      <w:r>
        <w:t xml:space="preserve">First, certain amount of turnover will shift from the VMs to the independent sector.</w:t>
      </w:r>
      <w:r>
        <w:t xml:space="preserve"> </w:t>
      </w:r>
      <w:r>
        <w:t xml:space="preserve">This will presumably happen relatively less in the lighting and glass markets where the</w:t>
      </w:r>
      <w:r>
        <w:t xml:space="preserve"> </w:t>
      </w:r>
      <w:r>
        <w:t xml:space="preserve">market share of VMs brands is the smallest. It may, above all, occur in the market which</w:t>
      </w:r>
      <w:r>
        <w:t xml:space="preserve"> </w:t>
      </w:r>
      <w:r>
        <w:t xml:space="preserve">is of key interest to the car industry: the body panel. Among three visible spare parts</w:t>
      </w:r>
      <w:r>
        <w:t xml:space="preserve"> </w:t>
      </w:r>
      <w:r>
        <w:t xml:space="preserve">segments, body parts is the largest one with the value of EUR 9.7 billion (60% of total)</w:t>
      </w:r>
      <w:r>
        <w:t xml:space="preserve"> </w:t>
      </w:r>
      <w:r>
        <w:t xml:space="preserve">in 2019. The VMs have a very strong position in this market. 75% of sales are OEM</w:t>
      </w:r>
    </w:p>
    <w:p>
      <w:pPr>
        <w:pStyle w:val="BodyText"/>
      </w:pPr>
      <w:r>
        <w:t xml:space="preserve">111 DG Mobility and Transport (European Commission) (2021), supra note.</w:t>
      </w:r>
      <w:r>
        <w:t xml:space="preserve"> </w:t>
      </w:r>
      <w:r>
        <w:t xml:space="preserve">112 Loss of revenue per car is calculated by dividing savings to consumers by the number of new cars</w:t>
      </w:r>
      <w:r>
        <w:t xml:space="preserve"> </w:t>
      </w:r>
      <w:r>
        <w:t xml:space="preserve">registered.</w:t>
      </w:r>
      <w:r>
        <w:t xml:space="preserve"> </w:t>
      </w:r>
      <w:r>
        <w:t xml:space="preserve">113 There is a total of 309,172 workshops in the EU27 and only 19% of them are authorised workshops of</w:t>
      </w:r>
      <w:r>
        <w:t xml:space="preserve"> </w:t>
      </w:r>
      <w:r>
        <w:t xml:space="preserve">the VMs. Among them there are 147,039 multi-brand mechanic workshops, 35,966 body/paint workshops</w:t>
      </w:r>
      <w:r>
        <w:t xml:space="preserve"> </w:t>
      </w:r>
      <w:r>
        <w:t xml:space="preserve">and 9,978 car glass workshops (Work After Sales (2021), supra note. p. 18.). Yet, the number of</w:t>
      </w:r>
      <w:r>
        <w:t xml:space="preserve"> </w:t>
      </w:r>
      <w:r>
        <w:t xml:space="preserve">independent garages differ between Member States reflecting the age of the car fleet. Based on data from</w:t>
      </w:r>
      <w:r>
        <w:t xml:space="preserve"> </w:t>
      </w:r>
      <w:r>
        <w:t xml:space="preserve">2014 in DE, ES, NL and BE – 58% of garages (around 55,500) are not connected to manufacturers, going</w:t>
      </w:r>
      <w:r>
        <w:t xml:space="preserve"> </w:t>
      </w:r>
      <w:r>
        <w:t xml:space="preserve">up to 93- 96% of workshops in Baltic States “. In Eastern Europe, independent workshops are dominant. In</w:t>
      </w:r>
      <w:r>
        <w:t xml:space="preserve"> </w:t>
      </w:r>
      <w:r>
        <w:t xml:space="preserve">Southern Europe there tend to be a large number of independent repairers, while there are a larger number</w:t>
      </w:r>
      <w:r>
        <w:t xml:space="preserve"> </w:t>
      </w:r>
      <w:r>
        <w:t xml:space="preserve">of authorised dealers in France and Germany. Motorists across much of Northern Europe are traditionally</w:t>
      </w:r>
      <w:r>
        <w:t xml:space="preserve"> </w:t>
      </w:r>
      <w:r>
        <w:t xml:space="preserve">loyal to local garages and generally prefer to let professionals choose the appropriate parts rather than</w:t>
      </w:r>
      <w:r>
        <w:t xml:space="preserve"> </w:t>
      </w:r>
      <w:r>
        <w:t xml:space="preserve">fitting it themselves”. For details see Study on the operation of the system of access to vehicle repair and</w:t>
      </w:r>
      <w:r>
        <w:t xml:space="preserve"> </w:t>
      </w:r>
      <w:r>
        <w:t xml:space="preserve">maintenance information (2014), page 132.</w:t>
      </w:r>
    </w:p>
    <w:p>
      <w:pPr>
        <w:pStyle w:val="BodyText"/>
      </w:pPr>
      <w:r>
        <w:t xml:space="preserve">35</w:t>
      </w:r>
      <w:r>
        <w:t xml:space="preserve"> </w:t>
      </w:r>
      <w:r>
        <w:t xml:space="preserve">parts out of which 73.33% is sold via authorised networks of car manufacturers114.</w:t>
      </w:r>
      <w:r>
        <w:t xml:space="preserve"> </w:t>
      </w:r>
      <w:r>
        <w:t xml:space="preserve">Today, in this segment, the main competition comes from independent players (as shown</w:t>
      </w:r>
      <w:r>
        <w:t xml:space="preserve"> </w:t>
      </w:r>
      <w:r>
        <w:t xml:space="preserve">in Section 2.2.1) who have manufacturing sites located both in the EU (16 sites) and</w:t>
      </w:r>
      <w:r>
        <w:t xml:space="preserve"> </w:t>
      </w:r>
      <w:r>
        <w:t xml:space="preserve">outside the EU (14 sites in Turkey, China, and Taiwan) 115.</w:t>
      </w:r>
      <w:r>
        <w:br/>
      </w:r>
      <w:r>
        <w:t xml:space="preserve">Assuming that market liberalisation will bring the current VM market share (75%) down</w:t>
      </w:r>
      <w:r>
        <w:t xml:space="preserve"> </w:t>
      </w:r>
      <w:r>
        <w:t xml:space="preserve">to the levels of lighting (67%) or glass (57%) segments, between 8% (EUR 0.78 billion)</w:t>
      </w:r>
      <w:r>
        <w:t xml:space="preserve"> </w:t>
      </w:r>
      <w:r>
        <w:t xml:space="preserve">and 18% (EUR 1.75 billion) of the overall body part segment is at stake. Yet the impact</w:t>
      </w:r>
      <w:r>
        <w:t xml:space="preserve"> </w:t>
      </w:r>
      <w:r>
        <w:t xml:space="preserve">will differ between plastic (bumper) and metal body parts (wings, bonnets, doors). Today</w:t>
      </w:r>
      <w:r>
        <w:t xml:space="preserve"> </w:t>
      </w:r>
      <w:r>
        <w:t xml:space="preserve">production of plastic body parts for the first assembly and for aftermarket is fully</w:t>
      </w:r>
      <w:r>
        <w:t xml:space="preserve"> </w:t>
      </w:r>
      <w:r>
        <w:t xml:space="preserve">outsourced to OES who do not engage themselves in the aftermarket. Metal body parts,</w:t>
      </w:r>
      <w:r>
        <w:t xml:space="preserve"> </w:t>
      </w:r>
      <w:r>
        <w:t xml:space="preserve">on the contrary, are produced for the most part by VMs which implies that OES will need</w:t>
      </w:r>
      <w:r>
        <w:t xml:space="preserve"> </w:t>
      </w:r>
      <w:r>
        <w:t xml:space="preserve">to make a necessary investment for setting up production lines if they wish to market</w:t>
      </w:r>
      <w:r>
        <w:t xml:space="preserve"> </w:t>
      </w:r>
      <w:r>
        <w:t xml:space="preserve">metal body parts under their own brand116. Still, how much of the body market</w:t>
      </w:r>
      <w:r>
        <w:t xml:space="preserve"> </w:t>
      </w:r>
      <w:r>
        <w:t xml:space="preserve">independent producers will be able to capture depends on how close substitute parts</w:t>
      </w:r>
      <w:r>
        <w:t xml:space="preserve"> </w:t>
      </w:r>
      <w:r>
        <w:t xml:space="preserve">produced by independent parts are. Under a full liberalisation scenario, VMs will be able</w:t>
      </w:r>
      <w:r>
        <w:t xml:space="preserve"> </w:t>
      </w:r>
      <w:r>
        <w:t xml:space="preserve">to rely on the strength of their trade marks and their dealer networks; independent body</w:t>
      </w:r>
      <w:r>
        <w:t xml:space="preserve"> </w:t>
      </w:r>
      <w:r>
        <w:t xml:space="preserve">parts producers, on the other hand, face a severe handicap in amortizing the expensive</w:t>
      </w:r>
      <w:r>
        <w:t xml:space="preserve"> </w:t>
      </w:r>
      <w:r>
        <w:t xml:space="preserve">production tools compared to the VM and their OES. Looking beyond the body part</w:t>
      </w:r>
      <w:r>
        <w:t xml:space="preserve"> </w:t>
      </w:r>
      <w:r>
        <w:t xml:space="preserve">segment, there will be little impact on lighting and glass segments where there is already</w:t>
      </w:r>
      <w:r>
        <w:t xml:space="preserve"> </w:t>
      </w:r>
      <w:r>
        <w:t xml:space="preserve">a strong presence of OES brands (see Figure 2 in Section 2.2.1). Against this</w:t>
      </w:r>
      <w:r>
        <w:t xml:space="preserve"> </w:t>
      </w:r>
      <w:r>
        <w:t xml:space="preserve">background, VMs would rather favour a reform that foresees the direct opening for</w:t>
      </w:r>
      <w:r>
        <w:t xml:space="preserve"> </w:t>
      </w:r>
      <w:r>
        <w:t xml:space="preserve">lighting and glass and delays opening for body parts. This is precisely what the partial</w:t>
      </w:r>
      <w:r>
        <w:t xml:space="preserve"> </w:t>
      </w:r>
      <w:r>
        <w:t xml:space="preserve">repair clause recently adopted in France provides for.</w:t>
      </w:r>
      <w:r>
        <w:t xml:space="preserve"> </w:t>
      </w:r>
      <w:r>
        <w:t xml:space="preserve">Second, full liberalisation may facilitate the process of consolidation of distribution</w:t>
      </w:r>
      <w:r>
        <w:t xml:space="preserve"> </w:t>
      </w:r>
      <w:r>
        <w:t xml:space="preserve">networks (a trend explained in Section 2.2). In such situation, car manufacturers may</w:t>
      </w:r>
      <w:r>
        <w:t xml:space="preserve"> </w:t>
      </w:r>
      <w:r>
        <w:t xml:space="preserve">face stronger bargaining power from wholesales who buying larger volumes will be</w:t>
      </w:r>
      <w:r>
        <w:t xml:space="preserve"> </w:t>
      </w:r>
      <w:r>
        <w:t xml:space="preserve">able to negotiate lower prices. Economies of scale can reach considerable dimensions in</w:t>
      </w:r>
      <w:r>
        <w:t xml:space="preserve"> </w:t>
      </w:r>
      <w:r>
        <w:t xml:space="preserve">the automotive aftermarket. According to Roland Berger117, savings of between 10 and</w:t>
      </w:r>
      <w:r>
        <w:t xml:space="preserve"> </w:t>
      </w:r>
      <w:r>
        <w:t xml:space="preserve">20% are possible in the procurement of original parts and the cost of private label parts</w:t>
      </w:r>
      <w:r>
        <w:t xml:space="preserve"> </w:t>
      </w:r>
      <w:r>
        <w:t xml:space="preserve">can be cut by 5–10%. Olivier Wyman118 finds that in 2014 total after sales (incl. services</w:t>
      </w:r>
      <w:r>
        <w:t xml:space="preserve"> </w:t>
      </w:r>
      <w:r>
        <w:t xml:space="preserve">by branded repair shops, OEM import activities and sales of OEM parts) accounted for a</w:t>
      </w:r>
      <w:r>
        <w:t xml:space="preserve"> </w:t>
      </w:r>
      <w:r>
        <w:t xml:space="preserve">modest share of revenues (11%) but for a significant share (38%) of profits of</w:t>
      </w:r>
      <w:r>
        <w:t xml:space="preserve"> </w:t>
      </w:r>
      <w:r>
        <w:t xml:space="preserve">automakers.</w:t>
      </w:r>
      <w:r>
        <w:t xml:space="preserve"> </w:t>
      </w:r>
      <w:r>
        <w:t xml:space="preserve">Third, it is to be further expected that full market liberalisation may intensify</w:t>
      </w:r>
      <w:r>
        <w:t xml:space="preserve"> </w:t>
      </w:r>
      <w:r>
        <w:t xml:space="preserve">competition between independent and authorised repairers. On one hand,</w:t>
      </w:r>
      <w:r>
        <w:t xml:space="preserve"> </w:t>
      </w:r>
      <w:r>
        <w:t xml:space="preserve">independent repairers are now in a better competitive position as they are free to choose</w:t>
      </w:r>
      <w:r>
        <w:t xml:space="preserve"> </w:t>
      </w:r>
      <w:r>
        <w:t xml:space="preserve">spare parts and not be obliged to use OEM parts (in line with the objectives of the</w:t>
      </w:r>
      <w:r>
        <w:t xml:space="preserve"> </w:t>
      </w:r>
      <w:r>
        <w:t xml:space="preserve">MVBER). On the other, authorised repairers remain the main distributors of the OEM</w:t>
      </w:r>
      <w:r>
        <w:t xml:space="preserve"> </w:t>
      </w:r>
      <w:r>
        <w:t xml:space="preserve">parts.119 In order to attract customers, repairers will compete not only by prices but also</w:t>
      </w:r>
      <w:r>
        <w:t xml:space="preserve"> </w:t>
      </w:r>
      <w:r>
        <w:t xml:space="preserve">via other instruments like service (density of networks, availability over time) and</w:t>
      </w:r>
    </w:p>
    <w:p>
      <w:pPr>
        <w:pStyle w:val="BodyText"/>
      </w:pPr>
      <w:r>
        <w:t xml:space="preserve">114 Wolk After Sales (2021), supra note. p. 40.</w:t>
      </w:r>
      <w:r>
        <w:t xml:space="preserve"> </w:t>
      </w:r>
      <w:r>
        <w:t xml:space="preserve">115 Ibidem, p. 49.</w:t>
      </w:r>
      <w:r>
        <w:t xml:space="preserve"> </w:t>
      </w:r>
      <w:r>
        <w:t xml:space="preserve">116 Ibidem, p. 50.</w:t>
      </w:r>
      <w:r>
        <w:t xml:space="preserve"> </w:t>
      </w:r>
      <w:r>
        <w:t xml:space="preserve">117 Roland Berger (2018, June) supra note.</w:t>
      </w:r>
      <w:r>
        <w:t xml:space="preserve"> </w:t>
      </w:r>
      <w:r>
        <w:t xml:space="preserve">118 Olivier Wyman (2015, September) Graphics System Profit 2035 - Reinvent Sales.</w:t>
      </w:r>
      <w:r>
        <w:t xml:space="preserve"> </w:t>
      </w:r>
      <w:r>
        <w:t xml:space="preserve">119 In the markets with a repair clause 29% of visible parts are sold to the customers via VM authorised</w:t>
      </w:r>
      <w:r>
        <w:t xml:space="preserve"> </w:t>
      </w:r>
      <w:r>
        <w:t xml:space="preserve">workshops. It is 41% in markets without repair clause. Wolk After Sales (2021), supra note.</w:t>
      </w:r>
    </w:p>
    <w:p>
      <w:pPr>
        <w:pStyle w:val="BodyText"/>
      </w:pPr>
      <w:r>
        <w:t xml:space="preserve">36</w:t>
      </w:r>
      <w:r>
        <w:t xml:space="preserve"> </w:t>
      </w:r>
      <w:r>
        <w:t xml:space="preserve">product quality (quality of material, warranties). This opening up of the market will also</w:t>
      </w:r>
      <w:r>
        <w:t xml:space="preserve"> </w:t>
      </w:r>
      <w:r>
        <w:t xml:space="preserve">require that consumers pay more attention to the products they purchase. Results of a</w:t>
      </w:r>
      <w:r>
        <w:t xml:space="preserve"> </w:t>
      </w:r>
      <w:r>
        <w:t xml:space="preserve">survey conveyed by Wolk After Sales120 show that customers actually exert high</w:t>
      </w:r>
      <w:r>
        <w:t xml:space="preserve"> </w:t>
      </w:r>
      <w:r>
        <w:t xml:space="preserve">influence on the repairers’ purchasing decisions.</w:t>
      </w:r>
      <w:r>
        <w:br/>
      </w:r>
      <w:r>
        <w:t xml:space="preserve">Impact on legal uncertainty</w:t>
      </w:r>
      <w:r>
        <w:t xml:space="preserve"> </w:t>
      </w:r>
      <w:r>
        <w:t xml:space="preserve">Full harmonisation of rules and their application to all designs would bring legal</w:t>
      </w:r>
      <w:r>
        <w:t xml:space="preserve"> </w:t>
      </w:r>
      <w:r>
        <w:t xml:space="preserve">certainty and predictability to the aftermarket (see further also in relation to</w:t>
      </w:r>
      <w:r>
        <w:t xml:space="preserve"> </w:t>
      </w:r>
      <w:r>
        <w:t xml:space="preserve">administrative and compliance cost).</w:t>
      </w:r>
      <w:r>
        <w:t xml:space="preserve"> </w:t>
      </w:r>
      <w:r>
        <w:t xml:space="preserve">Impact on investment and innovation</w:t>
      </w:r>
      <w:r>
        <w:t xml:space="preserve"> </w:t>
      </w:r>
      <w:r>
        <w:t xml:space="preserve">It is inherently difficult to precisely assess the impact of IPR protection on car market</w:t>
      </w:r>
      <w:r>
        <w:t xml:space="preserve"> </w:t>
      </w:r>
      <w:r>
        <w:t xml:space="preserve">innovation. IPRs do not guarantee that the right holder can amortize its investment. They</w:t>
      </w:r>
      <w:r>
        <w:t xml:space="preserve"> </w:t>
      </w:r>
      <w:r>
        <w:t xml:space="preserve">only give it a zone of exclusivity, but the “reward” is exclusively fixed by the market as a</w:t>
      </w:r>
      <w:r>
        <w:t xml:space="preserve"> </w:t>
      </w:r>
      <w:r>
        <w:t xml:space="preserve">result of consumer preference. This preference is exercised at the primary market (new</w:t>
      </w:r>
      <w:r>
        <w:t xml:space="preserve"> </w:t>
      </w:r>
      <w:r>
        <w:t xml:space="preserve">cars) when the car is sold but not on the spare parts market.</w:t>
      </w:r>
      <w:r>
        <w:br/>
      </w:r>
      <w:r>
        <w:t xml:space="preserve">VMs will certainly continue to use design as a marketing instrument for their core</w:t>
      </w:r>
      <w:r>
        <w:t xml:space="preserve"> </w:t>
      </w:r>
      <w:r>
        <w:t xml:space="preserve">business irrespective of whether or not there is protection in the aftermarket. Secondly,</w:t>
      </w:r>
      <w:r>
        <w:t xml:space="preserve"> </w:t>
      </w:r>
      <w:r>
        <w:t xml:space="preserve">available evidence at the time of the 2004 impact assessment suggests that the investment</w:t>
      </w:r>
      <w:r>
        <w:t xml:space="preserve"> </w:t>
      </w:r>
      <w:r>
        <w:t xml:space="preserve">in the design of the outer skin of a car is relatively modest. It is at best 0.7 % of a vehicle</w:t>
      </w:r>
      <w:r>
        <w:t xml:space="preserve"> </w:t>
      </w:r>
      <w:r>
        <w:t xml:space="preserve">maker’s turnover121. This can be compared with profit margins expected by car</w:t>
      </w:r>
      <w:r>
        <w:t xml:space="preserve"> </w:t>
      </w:r>
      <w:r>
        <w:t xml:space="preserve">manufacturers, forecasted for 2021 at 10-12% for Daimler, 10% for PSA, 7-9% for</w:t>
      </w:r>
      <w:r>
        <w:t xml:space="preserve"> </w:t>
      </w:r>
      <w:r>
        <w:t xml:space="preserve">BMW, 6-7.5% for VW, 2.8% for Renault122. Related to the number of cars sold the cost</w:t>
      </w:r>
      <w:r>
        <w:t xml:space="preserve"> </w:t>
      </w:r>
      <w:r>
        <w:t xml:space="preserve">of the body design on average is EUR 50 – 60 per car in the upper segment and</w:t>
      </w:r>
      <w:r>
        <w:t xml:space="preserve"> </w:t>
      </w:r>
      <w:r>
        <w:t xml:space="preserve">significantly less for mass produced cars. These figures suggest that the impact of</w:t>
      </w:r>
      <w:r>
        <w:t xml:space="preserve"> </w:t>
      </w:r>
      <w:r>
        <w:t xml:space="preserve">introducing a repair clause would be most significant for independent producers that will</w:t>
      </w:r>
      <w:r>
        <w:t xml:space="preserve"> </w:t>
      </w:r>
      <w:r>
        <w:t xml:space="preserve">benefit from a potentially bigger market share. It is also likely that these independent</w:t>
      </w:r>
      <w:r>
        <w:t xml:space="preserve"> </w:t>
      </w:r>
      <w:r>
        <w:t xml:space="preserve">producers, benefiting from the scale of the internal market, will step up their investment</w:t>
      </w:r>
      <w:r>
        <w:t xml:space="preserve"> </w:t>
      </w:r>
      <w:r>
        <w:t xml:space="preserve">and innovation efforts.</w:t>
      </w:r>
      <w:r>
        <w:br/>
      </w:r>
      <w:r>
        <w:t xml:space="preserve">Impact on employment</w:t>
      </w:r>
      <w:r>
        <w:t xml:space="preserve"> </w:t>
      </w:r>
      <w:r>
        <w:t xml:space="preserve">Table 6.1 shows that visible parts for vehicle assembly in the EU are produced at 1,388</w:t>
      </w:r>
      <w:r>
        <w:t xml:space="preserve"> </w:t>
      </w:r>
      <w:r>
        <w:t xml:space="preserve">unique manufacturing sites worldwide. Out of these, 268 are OEM (VM sites) locations,</w:t>
      </w:r>
      <w:r>
        <w:t xml:space="preserve"> </w:t>
      </w:r>
      <w:r>
        <w:t xml:space="preserve">1,066 are OES locations. Only about 7% of the sites are located outside the EU and their</w:t>
      </w:r>
      <w:r>
        <w:t xml:space="preserve"> </w:t>
      </w:r>
      <w:r>
        <w:t xml:space="preserve">import accounts for 11% of the EU27 total production.123 One would expect that OES</w:t>
      </w:r>
      <w:r>
        <w:t xml:space="preserve"> </w:t>
      </w:r>
      <w:r>
        <w:t xml:space="preserve">and independent sites are located in Member States with a repair clause. Yet, the opposite</w:t>
      </w:r>
      <w:r>
        <w:t xml:space="preserve"> </w:t>
      </w:r>
      <w:r>
        <w:t xml:space="preserve">is true as almost 70% of OES sites are located in Member States without a repair clause</w:t>
      </w:r>
      <w:r>
        <w:t xml:space="preserve"> </w:t>
      </w:r>
      <w:r>
        <w:t xml:space="preserve">(Table 6.1). That can be explained by the presence of automotive assembly plants in</w:t>
      </w:r>
      <w:r>
        <w:t xml:space="preserve"> </w:t>
      </w:r>
      <w:r>
        <w:t xml:space="preserve">these Member States.124 Unfortunately, the available data, does not allow to distinguish</w:t>
      </w:r>
      <w:r>
        <w:t xml:space="preserve"> </w:t>
      </w:r>
      <w:r>
        <w:t xml:space="preserve">how many of the OES manufacturing sites are producing for the first assembly and which</w:t>
      </w:r>
    </w:p>
    <w:p>
      <w:pPr>
        <w:pStyle w:val="BodyText"/>
      </w:pPr>
      <w:r>
        <w:t xml:space="preserve">120 Work After Sales (2021), supra note. Section 3.1.2. Purchasing criteria.</w:t>
      </w:r>
      <w:r>
        <w:t xml:space="preserve"> </w:t>
      </w:r>
      <w:r>
        <w:t xml:space="preserve">121 2004 Extended Impact Assessment, supra note. p. 30.</w:t>
      </w:r>
      <w:r>
        <w:t xml:space="preserve"> </w:t>
      </w:r>
      <w:r>
        <w:t xml:space="preserve">122 Forbes, (2021, August 19) “European Auto Profit Outlook Could Be Undermined By Price Inflation,</w:t>
      </w:r>
      <w:r>
        <w:t xml:space="preserve"> </w:t>
      </w:r>
      <w:r>
        <w:t xml:space="preserve">Chip Shortage”</w:t>
      </w:r>
      <w:r>
        <w:t xml:space="preserve"> </w:t>
      </w:r>
      <w:r>
        <w:t xml:space="preserve">123 Wolk After Sales Experts (2021), supra note, Table 27.</w:t>
      </w:r>
      <w:r>
        <w:t xml:space="preserve"> </w:t>
      </w:r>
      <w:r>
        <w:t xml:space="preserve">124 ACEA, Interactive map – Automobile assembly and production plants in Europe.</w:t>
      </w:r>
    </w:p>
    <w:p>
      <w:pPr>
        <w:pStyle w:val="BodyText"/>
      </w:pPr>
      <w:r>
        <w:t xml:space="preserve">37</w:t>
      </w:r>
      <w:r>
        <w:t xml:space="preserve"> </w:t>
      </w:r>
      <w:r>
        <w:t xml:space="preserve">for aftermarket. Accordingly, reliable forecasts on what is the impact of extended design</w:t>
      </w:r>
      <w:r>
        <w:t xml:space="preserve"> </w:t>
      </w:r>
      <w:r>
        <w:t xml:space="preserve">protection to spare parts on the location of production sites are not viable.</w:t>
      </w:r>
      <w:r>
        <w:t xml:space="preserve"> </w:t>
      </w:r>
      <w:r>
        <w:t xml:space="preserve">Table 6.1. Geographical location of visible parts manufacturing sites (2019)</w:t>
      </w:r>
    </w:p>
    <w:p>
      <w:pPr>
        <w:pStyle w:val="BodyText"/>
      </w:pPr>
      <w:r>
        <w:t xml:space="preserve">EU27</w:t>
      </w:r>
      <w:r>
        <w:t xml:space="preserve"> </w:t>
      </w:r>
      <w:r>
        <w:t xml:space="preserve">With</w:t>
      </w:r>
      <w:r>
        <w:t xml:space="preserve"> </w:t>
      </w:r>
      <w:r>
        <w:t xml:space="preserve">repair</w:t>
      </w:r>
      <w:r>
        <w:t xml:space="preserve"> </w:t>
      </w:r>
      <w:r>
        <w:t xml:space="preserve">clause</w:t>
      </w:r>
      <w:r>
        <w:t xml:space="preserve"> </w:t>
      </w:r>
      <w:r>
        <w:t xml:space="preserve">Without</w:t>
      </w:r>
      <w:r>
        <w:t xml:space="preserve"> </w:t>
      </w:r>
      <w:r>
        <w:t xml:space="preserve">Repair</w:t>
      </w:r>
      <w:r>
        <w:t xml:space="preserve"> </w:t>
      </w:r>
      <w:r>
        <w:t xml:space="preserve">clause</w:t>
      </w:r>
      <w:r>
        <w:t xml:space="preserve"> </w:t>
      </w:r>
      <w:r>
        <w:t xml:space="preserve">Non-</w:t>
      </w:r>
      <w:r>
        <w:t xml:space="preserve"> </w:t>
      </w:r>
      <w:r>
        <w:t xml:space="preserve">EU27</w:t>
      </w:r>
      <w:r>
        <w:t xml:space="preserve"> </w:t>
      </w:r>
      <w:r>
        <w:t xml:space="preserve">Total</w:t>
      </w:r>
      <w:r>
        <w:t xml:space="preserve"> </w:t>
      </w:r>
      <w:r>
        <w:t xml:space="preserve">OEM1,2</w:t>
      </w:r>
      <w:r>
        <w:t xml:space="preserve"> </w:t>
      </w:r>
      <w:r>
        <w:t xml:space="preserve">215</w:t>
      </w:r>
      <w:r>
        <w:t xml:space="preserve"> </w:t>
      </w:r>
      <w:r>
        <w:t xml:space="preserve">69</w:t>
      </w:r>
      <w:r>
        <w:t xml:space="preserve"> </w:t>
      </w:r>
      <w:r>
        <w:t xml:space="preserve">146</w:t>
      </w:r>
      <w:r>
        <w:t xml:space="preserve"> </w:t>
      </w:r>
      <w:r>
        <w:t xml:space="preserve">53</w:t>
      </w:r>
      <w:r>
        <w:t xml:space="preserve"> </w:t>
      </w:r>
      <w:r>
        <w:t xml:space="preserve">268</w:t>
      </w:r>
      <w:r>
        <w:t xml:space="preserve"> </w:t>
      </w:r>
      <w:r>
        <w:t xml:space="preserve">OES1,3</w:t>
      </w:r>
      <w:r>
        <w:t xml:space="preserve"> </w:t>
      </w:r>
      <w:r>
        <w:t xml:space="preserve">1025</w:t>
      </w:r>
      <w:r>
        <w:t xml:space="preserve"> </w:t>
      </w:r>
      <w:r>
        <w:t xml:space="preserve">308</w:t>
      </w:r>
      <w:r>
        <w:t xml:space="preserve"> </w:t>
      </w:r>
      <w:r>
        <w:t xml:space="preserve">717</w:t>
      </w:r>
      <w:r>
        <w:t xml:space="preserve"> </w:t>
      </w:r>
      <w:r>
        <w:t xml:space="preserve">41</w:t>
      </w:r>
      <w:r>
        <w:t xml:space="preserve"> </w:t>
      </w:r>
      <w:r>
        <w:t xml:space="preserve">1066</w:t>
      </w:r>
      <w:r>
        <w:t xml:space="preserve"> </w:t>
      </w:r>
      <w:r>
        <w:t xml:space="preserve">Non-OES</w:t>
      </w:r>
      <w:r>
        <w:t xml:space="preserve"> </w:t>
      </w:r>
      <w:r>
        <w:t xml:space="preserve">28</w:t>
      </w:r>
      <w:r>
        <w:t xml:space="preserve"> </w:t>
      </w:r>
      <w:r>
        <w:t xml:space="preserve">18</w:t>
      </w:r>
      <w:r>
        <w:t xml:space="preserve"> </w:t>
      </w:r>
      <w:r>
        <w:t xml:space="preserve">10</w:t>
      </w:r>
      <w:r>
        <w:t xml:space="preserve"> </w:t>
      </w:r>
      <w:r>
        <w:t xml:space="preserve">27</w:t>
      </w:r>
      <w:r>
        <w:t xml:space="preserve"> </w:t>
      </w:r>
      <w:r>
        <w:t xml:space="preserve">55</w:t>
      </w:r>
      <w:r>
        <w:t xml:space="preserve"> </w:t>
      </w:r>
      <w:r>
        <w:t xml:space="preserve">Total</w:t>
      </w:r>
      <w:r>
        <w:br/>
      </w:r>
      <w:r>
        <w:t xml:space="preserve">1265</w:t>
      </w:r>
      <w:r>
        <w:t xml:space="preserve"> </w:t>
      </w:r>
      <w:r>
        <w:t xml:space="preserve">394</w:t>
      </w:r>
      <w:r>
        <w:t xml:space="preserve"> </w:t>
      </w:r>
      <w:r>
        <w:t xml:space="preserve">871</w:t>
      </w:r>
      <w:r>
        <w:t xml:space="preserve"> </w:t>
      </w:r>
      <w:r>
        <w:t xml:space="preserve">121</w:t>
      </w:r>
      <w:r>
        <w:t xml:space="preserve"> </w:t>
      </w:r>
      <w:r>
        <w:t xml:space="preserve">1388</w:t>
      </w:r>
      <w:r>
        <w:t xml:space="preserve"> </w:t>
      </w:r>
      <w:r>
        <w:t xml:space="preserve">Source: (1) Reflect location of sites that supplies for first assembly in the EU; (2) Sites producing “metal”</w:t>
      </w:r>
      <w:r>
        <w:t xml:space="preserve"> </w:t>
      </w:r>
      <w:r>
        <w:t xml:space="preserve">body parts. (3) Including sites producing “plastic” body parts. Table 19 Wolk After Sale Report. Analysis</w:t>
      </w:r>
      <w:r>
        <w:t xml:space="preserve"> </w:t>
      </w:r>
      <w:r>
        <w:t xml:space="preserve">based on MarkLines database.</w:t>
      </w:r>
      <w:r>
        <w:t xml:space="preserve"> </w:t>
      </w:r>
      <w:r>
        <w:t xml:space="preserve">Looking at production and trade statistics, Wolk After Sales Experts125 evaluated what is</w:t>
      </w:r>
      <w:r>
        <w:t xml:space="preserve"> </w:t>
      </w:r>
      <w:r>
        <w:t xml:space="preserve">a share of visible parts production that is put on aftermarket in the total production of</w:t>
      </w:r>
      <w:r>
        <w:t xml:space="preserve"> </w:t>
      </w:r>
      <w:r>
        <w:t xml:space="preserve">visible parts. Results of their analysis shows that in 2019, in the EU-27, total domestic</w:t>
      </w:r>
      <w:r>
        <w:t xml:space="preserve"> </w:t>
      </w:r>
      <w:r>
        <w:t xml:space="preserve">consumption of visible parts (both first assembly and aftermarket) was EUR 50.7 billion.</w:t>
      </w:r>
      <w:r>
        <w:t xml:space="preserve"> </w:t>
      </w:r>
      <w:r>
        <w:t xml:space="preserve">Out of this, EUR 6.8 billion, which reflects value of aftermarket at manufacturing level,</w:t>
      </w:r>
      <w:r>
        <w:t xml:space="preserve"> </w:t>
      </w:r>
      <w:r>
        <w:t xml:space="preserve">is put on the aftermarket. The value of non-OES aftermarket at this level totals EUR 1.3</w:t>
      </w:r>
      <w:r>
        <w:t xml:space="preserve"> </w:t>
      </w:r>
      <w:r>
        <w:t xml:space="preserve">billion126. The share of aftermarket in domestic consumption of visible parts is therefore</w:t>
      </w:r>
      <w:r>
        <w:t xml:space="preserve"> </w:t>
      </w:r>
      <w:r>
        <w:t xml:space="preserve">rather small and amount to 13.4%.</w:t>
      </w:r>
      <w:r>
        <w:t xml:space="preserve"> </w:t>
      </w:r>
      <w:r>
        <w:t xml:space="preserve">Against this background, and taking into account the stagnating demand, consumer</w:t>
      </w:r>
      <w:r>
        <w:t xml:space="preserve"> </w:t>
      </w:r>
      <w:r>
        <w:t xml:space="preserve">preference for quality, strong position of VM in the visible spare parts market (see</w:t>
      </w:r>
      <w:r>
        <w:t xml:space="preserve"> </w:t>
      </w:r>
      <w:r>
        <w:t xml:space="preserve">Section 2.2.) and employment creation by independent producers, we expect limited net</w:t>
      </w:r>
      <w:r>
        <w:t xml:space="preserve"> </w:t>
      </w:r>
      <w:r>
        <w:t xml:space="preserve">impact on manufacturing employment.</w:t>
      </w:r>
      <w:r>
        <w:t xml:space="preserve"> </w:t>
      </w:r>
      <w:r>
        <w:t xml:space="preserve">Impact on consumer safety</w:t>
      </w:r>
      <w:r>
        <w:t xml:space="preserve"> </w:t>
      </w:r>
      <w:r>
        <w:t xml:space="preserve">Safety concerns have always been raised by opponents to a repair clause defending car</w:t>
      </w:r>
      <w:r>
        <w:t xml:space="preserve"> </w:t>
      </w:r>
      <w:r>
        <w:t xml:space="preserve">manufacturers’ interests, including in reply to the two public consultations. It is argued</w:t>
      </w:r>
      <w:r>
        <w:t xml:space="preserve"> </w:t>
      </w:r>
      <w:r>
        <w:t xml:space="preserve">that the clause constitutes a danger for consumer protection, as allowing spare parts of</w:t>
      </w:r>
      <w:r>
        <w:t xml:space="preserve"> </w:t>
      </w:r>
      <w:r>
        <w:t xml:space="preserve">inferior quality to enter the market. No evidence was however presented in support of</w:t>
      </w:r>
      <w:r>
        <w:t xml:space="preserve"> </w:t>
      </w:r>
      <w:r>
        <w:t xml:space="preserve">that allegation127. There is no evidence either that more, or more serious injuries resulting</w:t>
      </w:r>
      <w:r>
        <w:t xml:space="preserve"> </w:t>
      </w:r>
      <w:r>
        <w:t xml:space="preserve">from a car crash occurred in Member States without design protection as compared to</w:t>
      </w:r>
      <w:r>
        <w:t xml:space="preserve"> </w:t>
      </w:r>
      <w:r>
        <w:t xml:space="preserve">Member States with design protection for spare parts128. While it is clear that both safety</w:t>
      </w:r>
      <w:r>
        <w:t xml:space="preserve"> </w:t>
      </w:r>
      <w:r>
        <w:t xml:space="preserve">and quality of spare parts are matters of proper concern and must be taken seriously, it</w:t>
      </w:r>
      <w:r>
        <w:t xml:space="preserve"> </w:t>
      </w:r>
      <w:r>
        <w:t xml:space="preserve">must be noted though that the function of design protection is not to generate and</w:t>
      </w:r>
    </w:p>
    <w:p>
      <w:pPr>
        <w:pStyle w:val="BodyText"/>
      </w:pPr>
      <w:r>
        <w:t xml:space="preserve">125 Wolk After Sales Experts (2021), supra note, Section 4.</w:t>
      </w:r>
      <w:r>
        <w:t xml:space="preserve"> </w:t>
      </w:r>
      <w:r>
        <w:t xml:space="preserve">126 Ibidem, Section 4.3.</w:t>
      </w:r>
      <w:r>
        <w:t xml:space="preserve"> </w:t>
      </w:r>
      <w:r>
        <w:t xml:space="preserve">127 Search on Safety Gate for dangerous non-food products (europa.eu) did not reveal any relevant result.</w:t>
      </w:r>
      <w:r>
        <w:t xml:space="preserve"> </w:t>
      </w:r>
      <w:r>
        <w:t xml:space="preserve">As far as car manufacturers have also sporadically alleged that market liberalisation would contribute to</w:t>
      </w:r>
      <w:r>
        <w:t xml:space="preserve"> </w:t>
      </w:r>
      <w:r>
        <w:t xml:space="preserve">more counterfeiting, no relevant evidence was presented either. The Commission nevertheless tried to</w:t>
      </w:r>
      <w:r>
        <w:t xml:space="preserve"> </w:t>
      </w:r>
      <w:r>
        <w:t xml:space="preserve">measure that by means of customs data, which however, turned out practically impossible.</w:t>
      </w:r>
      <w:r>
        <w:t xml:space="preserve"> </w:t>
      </w:r>
      <w:r>
        <w:t xml:space="preserve">128 A Study on ‘The consequences for the safety of consumers and third parties of the proposed directive</w:t>
      </w:r>
      <w:r>
        <w:t xml:space="preserve"> </w:t>
      </w:r>
      <w:r>
        <w:t xml:space="preserve">amending Directive 98/71/EC on the legal protection of design rights’ commissioned by the EP’s Legal</w:t>
      </w:r>
      <w:r>
        <w:t xml:space="preserve"> </w:t>
      </w:r>
      <w:r>
        <w:t xml:space="preserve">Affairs Committee concluded in 2006 that there was no anecdotal or statistical evidence that aftermarket</w:t>
      </w:r>
      <w:r>
        <w:t xml:space="preserve"> </w:t>
      </w:r>
      <w:r>
        <w:t xml:space="preserve">parts had created more safety risks in practice than OE-parts and that it was remarkable that the vehicle</w:t>
      </w:r>
      <w:r>
        <w:t xml:space="preserve"> </w:t>
      </w:r>
      <w:r>
        <w:t xml:space="preserve">industry that had advanced the charge of safety problems was unable to provide any evidence.</w:t>
      </w:r>
    </w:p>
    <w:p>
      <w:pPr>
        <w:pStyle w:val="BodyText"/>
      </w:pPr>
      <w:r>
        <w:t xml:space="preserve">38</w:t>
      </w:r>
      <w:r>
        <w:t xml:space="preserve"> </w:t>
      </w:r>
      <w:r>
        <w:t xml:space="preserve">safeguard safety and a particular product quality129. Provided the substantive</w:t>
      </w:r>
      <w:r>
        <w:t xml:space="preserve"> </w:t>
      </w:r>
      <w:r>
        <w:t xml:space="preserve">requirements are met (novelty and individual character of the given design), design law</w:t>
      </w:r>
      <w:r>
        <w:t xml:space="preserve"> </w:t>
      </w:r>
      <w:r>
        <w:t xml:space="preserve">only protects the outside (visible) “appearance” of a product. The structural</w:t>
      </w:r>
      <w:r>
        <w:t xml:space="preserve"> </w:t>
      </w:r>
      <w:r>
        <w:t xml:space="preserve">characteristics of a product (materials, processing methods, fit or specifications, i.e. all</w:t>
      </w:r>
      <w:r>
        <w:t xml:space="preserve"> </w:t>
      </w:r>
      <w:r>
        <w:t xml:space="preserve">relevant factors for safety and quality) are not covered and not taken into account.</w:t>
      </w:r>
      <w:r>
        <w:t xml:space="preserve"> </w:t>
      </w:r>
      <w:r>
        <w:t xml:space="preserve">The EU Motor Vehicle Type-Approval System provided for in Regulation (EU)</w:t>
      </w:r>
      <w:r>
        <w:t xml:space="preserve"> </w:t>
      </w:r>
      <w:r>
        <w:t xml:space="preserve">2018/858130 ensures high levels of road safety and environmental protection for vehicles</w:t>
      </w:r>
      <w:r>
        <w:t xml:space="preserve"> </w:t>
      </w:r>
      <w:r>
        <w:t xml:space="preserve">equipped with new original parts. Therefore, in some cases, the use of non-original spare</w:t>
      </w:r>
      <w:r>
        <w:t xml:space="preserve"> </w:t>
      </w:r>
      <w:r>
        <w:t xml:space="preserve">parts may raise concerns, as they have not been tested in appointed technical laboratories</w:t>
      </w:r>
      <w:r>
        <w:t xml:space="preserve"> </w:t>
      </w:r>
      <w:r>
        <w:t xml:space="preserve">as original parts are. This affects mainly bumpers, bonnets, windscreens, side body</w:t>
      </w:r>
      <w:r>
        <w:t xml:space="preserve"> </w:t>
      </w:r>
      <w:r>
        <w:t xml:space="preserve">panels and side glazing with regard to the tests on pedestrian protection, frontal impact</w:t>
      </w:r>
      <w:r>
        <w:t xml:space="preserve"> </w:t>
      </w:r>
      <w:r>
        <w:t xml:space="preserve">and side impact. Nevertheless, this should not influence design protection legislation,</w:t>
      </w:r>
      <w:r>
        <w:t xml:space="preserve"> </w:t>
      </w:r>
      <w:r>
        <w:t xml:space="preserve">since road safety and environmental protection for vehicles fall under the responsibility</w:t>
      </w:r>
      <w:r>
        <w:t xml:space="preserve"> </w:t>
      </w:r>
      <w:r>
        <w:t xml:space="preserve">of both vehicle homologation and road use authorities, who would need to adopt the</w:t>
      </w:r>
      <w:r>
        <w:t xml:space="preserve"> </w:t>
      </w:r>
      <w:r>
        <w:t xml:space="preserve">necessary measures, if any131. In this context, it is worth underlining the role of market</w:t>
      </w:r>
      <w:r>
        <w:t xml:space="preserve"> </w:t>
      </w:r>
      <w:r>
        <w:t xml:space="preserve">surveillance authorities and the mandatory periodic Vehicle Technical Inspections</w:t>
      </w:r>
      <w:r>
        <w:t xml:space="preserve"> </w:t>
      </w:r>
      <w:r>
        <w:t xml:space="preserve">ensuring that all vehicles in use meet given road safety and environmental protection</w:t>
      </w:r>
      <w:r>
        <w:t xml:space="preserve"> </w:t>
      </w:r>
      <w:r>
        <w:t xml:space="preserve">levels.</w:t>
      </w:r>
      <w:r>
        <w:t xml:space="preserve"> </w:t>
      </w:r>
      <w:r>
        <w:t xml:space="preserve">Apart from that, it is not comprehensible why it should be only a concern of original</w:t>
      </w:r>
      <w:r>
        <w:t xml:space="preserve"> </w:t>
      </w:r>
      <w:r>
        <w:t xml:space="preserve">manufacturers and design right holders respectively to guarantee the safety of the spare</w:t>
      </w:r>
      <w:r>
        <w:t xml:space="preserve"> </w:t>
      </w:r>
      <w:r>
        <w:t xml:space="preserve">parts offered in the market. It can be presumed that independent manufacturers do not</w:t>
      </w:r>
      <w:r>
        <w:t xml:space="preserve"> </w:t>
      </w:r>
      <w:r>
        <w:t xml:space="preserve">only wish to produce inexpensive but also safe and robust spare parts. This is all the</w:t>
      </w:r>
      <w:r>
        <w:t xml:space="preserve"> </w:t>
      </w:r>
      <w:r>
        <w:t xml:space="preserve">more valid if they are genuinely interested to compete in the market on a permanent</w:t>
      </w:r>
      <w:r>
        <w:t xml:space="preserve"> </w:t>
      </w:r>
      <w:r>
        <w:t xml:space="preserve">basis.132</w:t>
      </w:r>
      <w:r>
        <w:t xml:space="preserve"> </w:t>
      </w:r>
      <w:r>
        <w:t xml:space="preserve">Administrative and compliance cost</w:t>
      </w:r>
      <w:r>
        <w:t xml:space="preserve"> </w:t>
      </w:r>
      <w:r>
        <w:t xml:space="preserve">The ‘full liberalisation for all designs option’ requires amendment of the Design</w:t>
      </w:r>
      <w:r>
        <w:t xml:space="preserve"> </w:t>
      </w:r>
      <w:r>
        <w:t xml:space="preserve">Directive (i.e. inclusion of repair clause) and transposition into national laws of the</w:t>
      </w:r>
      <w:r>
        <w:t xml:space="preserve"> </w:t>
      </w:r>
      <w:r>
        <w:t xml:space="preserve">Member States. It does not involve the creation of new administrative nor compliance</w:t>
      </w:r>
      <w:r>
        <w:t xml:space="preserve"> </w:t>
      </w:r>
      <w:r>
        <w:t xml:space="preserve">costs on producers. The completion of the single market in this area would result in a</w:t>
      </w:r>
      <w:r>
        <w:t xml:space="preserve"> </w:t>
      </w:r>
      <w:r>
        <w:t xml:space="preserve">simplification of daily lives of administrations/courts, companies and consumers. Firstly,</w:t>
      </w:r>
      <w:r>
        <w:t xml:space="preserve"> </w:t>
      </w:r>
      <w:r>
        <w:t xml:space="preserve">there would be no more uncertainty about the applicable law across the EU. Hence,</w:t>
      </w:r>
      <w:r>
        <w:t xml:space="preserve"> </w:t>
      </w:r>
      <w:r>
        <w:t xml:space="preserve">administrative (search) costs, resulting from the existence of different national regimes in</w:t>
      </w:r>
      <w:r>
        <w:t xml:space="preserve"> </w:t>
      </w:r>
      <w:r>
        <w:t xml:space="preserve">parallel, for independent producers and distributors to find out about the legal situation in</w:t>
      </w:r>
      <w:r>
        <w:t xml:space="preserve"> </w:t>
      </w:r>
      <w:r>
        <w:t xml:space="preserve">a given Member State where they want to do business, would fall away. The same holds</w:t>
      </w:r>
      <w:r>
        <w:t xml:space="preserve"> </w:t>
      </w:r>
      <w:r>
        <w:t xml:space="preserve">for the corresponding costs of repair for consumers and repairers in need of finding out if</w:t>
      </w:r>
      <w:r>
        <w:t xml:space="preserve"> </w:t>
      </w:r>
      <w:r>
        <w:t xml:space="preserve">a part has been legally produced within the EU and if they are allowed to use it in their</w:t>
      </w:r>
      <w:r>
        <w:t xml:space="preserve"> </w:t>
      </w:r>
      <w:r>
        <w:t xml:space="preserve">home country or possibly in other Member States they want to travel to or through.</w:t>
      </w:r>
    </w:p>
    <w:p>
      <w:pPr>
        <w:pStyle w:val="BodyText"/>
      </w:pPr>
      <w:r>
        <w:t xml:space="preserve">129 Josef Drexl, supra note, p. 243; Annnette Kur, Die Reparaturklausel im Designrecht – ein Ende der</w:t>
      </w:r>
      <w:r>
        <w:t xml:space="preserve"> </w:t>
      </w:r>
      <w:r>
        <w:t xml:space="preserve">Blockade in Sicht?, Mitt. 2019, p. 301, 306.</w:t>
      </w:r>
      <w:r>
        <w:br/>
      </w:r>
      <w:r>
        <w:t xml:space="preserve">130 Regulation (EU) 2018/858 of 30 May 2018 on the approval and market surveillance of motor vehicles</w:t>
      </w:r>
      <w:r>
        <w:t xml:space="preserve"> </w:t>
      </w:r>
      <w:r>
        <w:t xml:space="preserve">and their trailers, and of systems, components and separate technical units intended for such vehicles,</w:t>
      </w:r>
      <w:r>
        <w:t xml:space="preserve"> </w:t>
      </w:r>
      <w:r>
        <w:t xml:space="preserve">amending Reg. (EC) No 715/2007 and (EC) No 595/2009 and repealing Directive 2007/46/EC, OJ L 151,</w:t>
      </w:r>
      <w:r>
        <w:t xml:space="preserve"> </w:t>
      </w:r>
      <w:r>
        <w:t xml:space="preserve">14.6.2018, p. 1 -218.</w:t>
      </w:r>
      <w:r>
        <w:t xml:space="preserve"> </w:t>
      </w:r>
      <w:r>
        <w:t xml:space="preserve">131 The 2006 EP Study found that type approval and authorisation “are more than adequate means to ensure</w:t>
      </w:r>
      <w:r>
        <w:t xml:space="preserve"> </w:t>
      </w:r>
      <w:r>
        <w:t xml:space="preserve">safety” and that vehicle manufacturers were unjustified in invoking a general risk to safety from the use of</w:t>
      </w:r>
      <w:r>
        <w:t xml:space="preserve"> </w:t>
      </w:r>
      <w:r>
        <w:t xml:space="preserve">non-original parts to protect their profit margins.</w:t>
      </w:r>
      <w:r>
        <w:t xml:space="preserve"> </w:t>
      </w:r>
      <w:r>
        <w:t xml:space="preserve">132 Jutta Figge/Nadine Kahlberg, supra note, p. 250.</w:t>
      </w:r>
    </w:p>
    <w:p>
      <w:pPr>
        <w:pStyle w:val="BodyText"/>
      </w:pPr>
      <w:r>
        <w:t xml:space="preserve">39</w:t>
      </w:r>
      <w:r>
        <w:t xml:space="preserve"> </w:t>
      </w:r>
      <w:r>
        <w:t xml:space="preserve">Secondly, the removal of design protection would imply the disappearance of litigation</w:t>
      </w:r>
      <w:r>
        <w:t xml:space="preserve"> </w:t>
      </w:r>
      <w:r>
        <w:t xml:space="preserve">cases, resulting in a reduction of burdens for administrations and courts.</w:t>
      </w:r>
      <w:r>
        <w:br/>
      </w:r>
      <w:r>
        <w:t xml:space="preserve">Impact on existing design rights</w:t>
      </w:r>
      <w:r>
        <w:br/>
      </w:r>
      <w:r>
        <w:t xml:space="preserve">The ‘full liberalisation for all designs’ option, exempting protection not only for future</w:t>
      </w:r>
      <w:r>
        <w:t xml:space="preserve"> </w:t>
      </w:r>
      <w:r>
        <w:t xml:space="preserve">but also already registered designs in Member States currently not having a repair clause,</w:t>
      </w:r>
      <w:r>
        <w:t xml:space="preserve"> </w:t>
      </w:r>
      <w:r>
        <w:t xml:space="preserve">might conflict with fundamental rights’ protection under Article 17 of the Charter of</w:t>
      </w:r>
      <w:r>
        <w:t xml:space="preserve"> </w:t>
      </w:r>
      <w:r>
        <w:t xml:space="preserve">Fundamental Rights of the European Union (CFREU) and the principle of protection of</w:t>
      </w:r>
      <w:r>
        <w:t xml:space="preserve"> </w:t>
      </w:r>
      <w:r>
        <w:t xml:space="preserve">legitimate expectations.</w:t>
      </w:r>
      <w:r>
        <w:t xml:space="preserve"> </w:t>
      </w:r>
      <w:r>
        <w:t xml:space="preserve">While this question is not entirely clear from the case law of the Court of Justice of the</w:t>
      </w:r>
      <w:r>
        <w:t xml:space="preserve"> </w:t>
      </w:r>
      <w:r>
        <w:t xml:space="preserve">European Union (CJEU), it could be argued in that context that the full extent of</w:t>
      </w:r>
      <w:r>
        <w:t xml:space="preserve"> </w:t>
      </w:r>
      <w:r>
        <w:t xml:space="preserve">guarantees associated with the classic right to property and provided in Article 17(1)</w:t>
      </w:r>
      <w:r>
        <w:t xml:space="preserve"> </w:t>
      </w:r>
      <w:r>
        <w:t xml:space="preserve">CFREU is also available to protected intellectual property under Article 17(2) CFREU.</w:t>
      </w:r>
      <w:r>
        <w:t xml:space="preserve"> </w:t>
      </w:r>
      <w:r>
        <w:t xml:space="preserve">According to CJEU case law, Article 17 CFREU “applies to rights with an asset value</w:t>
      </w:r>
      <w:r>
        <w:t xml:space="preserve"> </w:t>
      </w:r>
      <w:r>
        <w:t xml:space="preserve">creating, under the legal system, an established legal position enabling the holder to</w:t>
      </w:r>
      <w:r>
        <w:t xml:space="preserve"> </w:t>
      </w:r>
      <w:r>
        <w:t xml:space="preserve">exercise those rights autonomously and for his benefit”.133 It is true that the intended</w:t>
      </w:r>
      <w:r>
        <w:t xml:space="preserve"> </w:t>
      </w:r>
      <w:r>
        <w:t xml:space="preserve">encroachment upon already protected design rights would only be “partial”, as affecting</w:t>
      </w:r>
      <w:r>
        <w:t xml:space="preserve"> </w:t>
      </w:r>
      <w:r>
        <w:t xml:space="preserve">existing rights only in the aftermarket (only component parts specifically used for repair</w:t>
      </w:r>
      <w:r>
        <w:t xml:space="preserve"> </w:t>
      </w:r>
      <w:r>
        <w:t xml:space="preserve">would be non-infringing) while leaving them untouched in the primary market where the</w:t>
      </w:r>
      <w:r>
        <w:t xml:space="preserve"> </w:t>
      </w:r>
      <w:r>
        <w:t xml:space="preserve">relevant parts are used for the assembly of new cars. However, even though the latter</w:t>
      </w:r>
      <w:r>
        <w:t xml:space="preserve"> </w:t>
      </w:r>
      <w:r>
        <w:t xml:space="preserve">implies that “expropriation” of rights to property can safely be excluded, inserting a</w:t>
      </w:r>
      <w:r>
        <w:t xml:space="preserve"> </w:t>
      </w:r>
      <w:r>
        <w:t xml:space="preserve">repair clause with retrospective legal effect would still constitute an interference with</w:t>
      </w:r>
      <w:r>
        <w:t xml:space="preserve"> </w:t>
      </w:r>
      <w:r>
        <w:t xml:space="preserve">existing rights.</w:t>
      </w:r>
      <w:r>
        <w:t xml:space="preserve"> </w:t>
      </w:r>
      <w:r>
        <w:t xml:space="preserve">Under the case law of the European Court of Human Rights (ECHR)134, in order to be</w:t>
      </w:r>
      <w:r>
        <w:t xml:space="preserve"> </w:t>
      </w:r>
      <w:r>
        <w:t xml:space="preserve">lawful, an interference must be “in the public interest”, “subject to the conditions</w:t>
      </w:r>
      <w:r>
        <w:t xml:space="preserve"> </w:t>
      </w:r>
      <w:r>
        <w:t xml:space="preserve">provided by law and by the general principles of international law” and must strike a</w:t>
      </w:r>
      <w:r>
        <w:t xml:space="preserve"> </w:t>
      </w:r>
      <w:r>
        <w:t xml:space="preserve">“fair balance” between the demands of the general interest of the Union and the</w:t>
      </w:r>
      <w:r>
        <w:t xml:space="preserve"> </w:t>
      </w:r>
      <w:r>
        <w:t xml:space="preserve">requirements of the protection of the individual’s fundamental rights. It is considered that</w:t>
      </w:r>
      <w:r>
        <w:t xml:space="preserve"> </w:t>
      </w:r>
      <w:r>
        <w:t xml:space="preserve">such fair balance and required proportionality could only be ensured by providing for an</w:t>
      </w:r>
      <w:r>
        <w:t xml:space="preserve"> </w:t>
      </w:r>
      <w:r>
        <w:t xml:space="preserve">appropriate transitional period to safeguard the legitimate interests of right holders,</w:t>
      </w:r>
      <w:r>
        <w:t xml:space="preserve"> </w:t>
      </w:r>
      <w:r>
        <w:t xml:space="preserve">which takes us to option 1.2 below.</w:t>
      </w:r>
      <w:r>
        <w:t xml:space="preserve"> </w:t>
      </w:r>
      <w:r>
        <w:t xml:space="preserve">6.1.2. Instant full liberalisation for new designs followed by full</w:t>
      </w:r>
      <w:r>
        <w:t xml:space="preserve"> </w:t>
      </w:r>
      <w:r>
        <w:t xml:space="preserve">liberalisation for old designs after transitional ten-year period</w:t>
      </w:r>
      <w:r>
        <w:t xml:space="preserve"> </w:t>
      </w:r>
      <w:r>
        <w:t xml:space="preserve">(Option 1.2)</w:t>
      </w:r>
      <w:r>
        <w:t xml:space="preserve"> </w:t>
      </w:r>
      <w:r>
        <w:t xml:space="preserve">Economic impacts of this option will be the same as for Option 1.1. but they will fully</w:t>
      </w:r>
      <w:r>
        <w:t xml:space="preserve"> </w:t>
      </w:r>
      <w:r>
        <w:t xml:space="preserve">realise only after the transition period of 10 years.</w:t>
      </w:r>
      <w:r>
        <w:t xml:space="preserve"> </w:t>
      </w:r>
      <w:r>
        <w:t xml:space="preserve">Impact on competition</w:t>
      </w:r>
      <w:r>
        <w:t xml:space="preserve"> </w:t>
      </w:r>
      <w:r>
        <w:t xml:space="preserve">During the ten-year transition period, competition will be limited to the new car designs</w:t>
      </w:r>
      <w:r>
        <w:t xml:space="preserve"> </w:t>
      </w:r>
      <w:r>
        <w:t xml:space="preserve">put on the market. Full liberalisation for new designs will promote competition and</w:t>
      </w:r>
      <w:r>
        <w:t xml:space="preserve"> </w:t>
      </w:r>
      <w:r>
        <w:t xml:space="preserve">entry in collision parts for the new, connected cars, a market that is characterised with</w:t>
      </w:r>
      <w:r>
        <w:t xml:space="preserve"> </w:t>
      </w:r>
      <w:r>
        <w:t xml:space="preserve">declining demand (due to ADAS) and higher entry cost (due to the use of new/composite</w:t>
      </w:r>
      <w:r>
        <w:t xml:space="preserve"> </w:t>
      </w:r>
      <w:r>
        <w:t xml:space="preserve">materials) when compared to traditional combustion engine cars. Furthermore, instant</w:t>
      </w:r>
    </w:p>
    <w:p>
      <w:pPr>
        <w:pStyle w:val="BodyText"/>
      </w:pPr>
      <w:r>
        <w:t xml:space="preserve">133 See Case C-283/11, Sky Osterreich GmbH v. Osterreichischer Rundfunk, para. 34; also, Case T-614/13,</w:t>
      </w:r>
      <w:r>
        <w:t xml:space="preserve"> </w:t>
      </w:r>
      <w:r>
        <w:t xml:space="preserve">Romonta GmbH v Commission, para. 57.</w:t>
      </w:r>
      <w:r>
        <w:t xml:space="preserve"> </w:t>
      </w:r>
      <w:r>
        <w:t xml:space="preserve">134 For example, ECHR Judgement of 30 May 2000, Alberghiera v. Italy, Application No. 31524/96, §55.</w:t>
      </w:r>
    </w:p>
    <w:p>
      <w:pPr>
        <w:pStyle w:val="BodyText"/>
      </w:pPr>
      <w:r>
        <w:t xml:space="preserve">40</w:t>
      </w:r>
      <w:r>
        <w:t xml:space="preserve"> </w:t>
      </w:r>
      <w:r>
        <w:t xml:space="preserve">liberalisation for new designs will promote, more broadly, competition in repair services</w:t>
      </w:r>
      <w:r>
        <w:t xml:space="preserve"> </w:t>
      </w:r>
      <w:r>
        <w:t xml:space="preserve">for connected cars, a market where car manufacturers have a stronger competitive</w:t>
      </w:r>
      <w:r>
        <w:t xml:space="preserve"> </w:t>
      </w:r>
      <w:r>
        <w:t xml:space="preserve">position because of their direct access to the data (see Section 2.2.1.). It has the potential</w:t>
      </w:r>
      <w:r>
        <w:t xml:space="preserve"> </w:t>
      </w:r>
      <w:r>
        <w:t xml:space="preserve">to limit control VMs could gain over aftermarket in the future.</w:t>
      </w:r>
      <w:r>
        <w:t xml:space="preserve"> </w:t>
      </w:r>
      <w:r>
        <w:t xml:space="preserve">As far as VMs are concerned, today, the VM authorised repair channel capturers a very</w:t>
      </w:r>
      <w:r>
        <w:t xml:space="preserve"> </w:t>
      </w:r>
      <w:r>
        <w:t xml:space="preserve">high share of parts and services for vehicles that are four years and younger.135</w:t>
      </w:r>
      <w:r>
        <w:t xml:space="preserve"> </w:t>
      </w:r>
      <w:r>
        <w:t xml:space="preserve">According to BCG et al. Report136, incumbent automakers (i.e. producers of cars with</w:t>
      </w:r>
      <w:r>
        <w:t xml:space="preserve"> </w:t>
      </w:r>
      <w:r>
        <w:t xml:space="preserve">combustion engines) are looking for additional profit pools as they face increased</w:t>
      </w:r>
      <w:r>
        <w:t xml:space="preserve"> </w:t>
      </w:r>
      <w:r>
        <w:t xml:space="preserve">competition from electric/connected car manufacturers (e.g. Tesla). They may therefore</w:t>
      </w:r>
      <w:r>
        <w:t xml:space="preserve"> </w:t>
      </w:r>
      <w:r>
        <w:t xml:space="preserve">go for a deeper penetration in the aftermarket – and in particular for vehicles that are</w:t>
      </w:r>
      <w:r>
        <w:t xml:space="preserve"> </w:t>
      </w:r>
      <w:r>
        <w:t xml:space="preserve">older than five years – to generate additional profits and revenues. The transitional</w:t>
      </w:r>
      <w:r>
        <w:t xml:space="preserve"> </w:t>
      </w:r>
      <w:r>
        <w:t xml:space="preserve">period of 10 years may help them to capture higher shares in the old (combustion engine)</w:t>
      </w:r>
      <w:r>
        <w:t xml:space="preserve"> </w:t>
      </w:r>
      <w:r>
        <w:t xml:space="preserve">aftermarket.</w:t>
      </w:r>
      <w:r>
        <w:t xml:space="preserve"> </w:t>
      </w:r>
      <w:r>
        <w:t xml:space="preserve">Impact on consumers</w:t>
      </w:r>
      <w:r>
        <w:t xml:space="preserve"> </w:t>
      </w:r>
      <w:r>
        <w:t xml:space="preserve">Most VMs launch a new generation of a given model (‘redesign’) every five to eight</w:t>
      </w:r>
      <w:r>
        <w:t xml:space="preserve"> </w:t>
      </w:r>
      <w:r>
        <w:t xml:space="preserve">years.137 In the meantime, they may add small changes to the skin and/or interior design</w:t>
      </w:r>
      <w:r>
        <w:t xml:space="preserve"> </w:t>
      </w:r>
      <w:r>
        <w:t xml:space="preserve">of a car to boost consumer interest in a model. Those changes tend to be made to the</w:t>
      </w:r>
      <w:r>
        <w:t xml:space="preserve"> </w:t>
      </w:r>
      <w:r>
        <w:t xml:space="preserve">bumpers, lights and grille and are called ‘a facelift’. As a result among new cars there are</w:t>
      </w:r>
      <w:r>
        <w:t xml:space="preserve"> </w:t>
      </w:r>
      <w:r>
        <w:t xml:space="preserve">‘redesigned’, ‘facelifted’ and existing models. The two first will be subject to a new</w:t>
      </w:r>
      <w:r>
        <w:t xml:space="preserve"> </w:t>
      </w:r>
      <w:r>
        <w:t xml:space="preserve">repair clause but not the third one as it will benefit from existing protection.</w:t>
      </w:r>
      <w:r>
        <w:t xml:space="preserve"> </w:t>
      </w:r>
      <w:r>
        <w:t xml:space="preserve">Calculation put forward in Annex 4 shows that at the end of the transition period between</w:t>
      </w:r>
      <w:r>
        <w:t xml:space="preserve"> </w:t>
      </w:r>
      <w:r>
        <w:t xml:space="preserve">10 and 20% of the passenger car fleet in newly liberalised markets will benefit from a</w:t>
      </w:r>
      <w:r>
        <w:t xml:space="preserve"> </w:t>
      </w:r>
      <w:r>
        <w:t xml:space="preserve">repair clause. Furthermore, during the first five years there will be little room for</w:t>
      </w:r>
      <w:r>
        <w:t xml:space="preserve"> </w:t>
      </w:r>
      <w:r>
        <w:t xml:space="preserve">competition since, as it was mentioned earlier, it is the VM authorised repair channel</w:t>
      </w:r>
      <w:r>
        <w:t xml:space="preserve"> </w:t>
      </w:r>
      <w:r>
        <w:t xml:space="preserve">which capturers a very high share of parts and services for vehicles that are four years</w:t>
      </w:r>
      <w:r>
        <w:t xml:space="preserve"> </w:t>
      </w:r>
      <w:r>
        <w:t xml:space="preserve">and younger. The time where consumers could benefit most today (5-10 years old cars)</w:t>
      </w:r>
      <w:r>
        <w:t xml:space="preserve"> </w:t>
      </w:r>
      <w:r>
        <w:t xml:space="preserve">will not be open to competition.</w:t>
      </w:r>
      <w:r>
        <w:t xml:space="preserve"> </w:t>
      </w:r>
      <w:r>
        <w:t xml:space="preserve">Impact on legal uncertainty</w:t>
      </w:r>
      <w:r>
        <w:t xml:space="preserve"> </w:t>
      </w:r>
      <w:r>
        <w:t xml:space="preserve">The clear cut-off date will bring legal certainty to the market and will promote</w:t>
      </w:r>
      <w:r>
        <w:t xml:space="preserve"> </w:t>
      </w:r>
      <w:r>
        <w:t xml:space="preserve">investment.</w:t>
      </w:r>
      <w:r>
        <w:t xml:space="preserve"> </w:t>
      </w:r>
      <w:r>
        <w:t xml:space="preserve">Impact on existing design rights</w:t>
      </w:r>
      <w:r>
        <w:t xml:space="preserve"> </w:t>
      </w:r>
      <w:r>
        <w:t xml:space="preserve">As stated above in relation to Option 1.1, the introduction of a repair clause with</w:t>
      </w:r>
      <w:r>
        <w:t xml:space="preserve"> </w:t>
      </w:r>
      <w:r>
        <w:t xml:space="preserve">retrospective effect would interfere with existing design rights which enjoy protection</w:t>
      </w:r>
      <w:r>
        <w:t xml:space="preserve"> </w:t>
      </w:r>
      <w:r>
        <w:t xml:space="preserve">under Article 17(2) CFREU. This does however not mean that these rights are inviolable</w:t>
      </w:r>
      <w:r>
        <w:t xml:space="preserve"> </w:t>
      </w:r>
      <w:r>
        <w:t xml:space="preserve">and must for that reason be absolutely protected138. In order to be justifiable, the</w:t>
      </w:r>
      <w:r>
        <w:t xml:space="preserve"> </w:t>
      </w:r>
      <w:r>
        <w:t xml:space="preserve">interference would have to strike a “fair balance” of interests involved and be</w:t>
      </w:r>
      <w:r>
        <w:t xml:space="preserve"> </w:t>
      </w:r>
      <w:r>
        <w:t xml:space="preserve">proportional to be admissible139.</w:t>
      </w:r>
    </w:p>
    <w:p>
      <w:pPr>
        <w:pStyle w:val="BodyText"/>
      </w:pPr>
      <w:r>
        <w:t xml:space="preserve">135 Ibidem.</w:t>
      </w:r>
      <w:r>
        <w:t xml:space="preserve"> </w:t>
      </w:r>
      <w:r>
        <w:t xml:space="preserve">136 BCG, CLEPA &amp; Wolk After Sales (2021, March), supra note. Trend 10 on page 14.</w:t>
      </w:r>
      <w:r>
        <w:t xml:space="preserve"> </w:t>
      </w:r>
      <w:r>
        <w:t xml:space="preserve">137 See specialised press: https://www.autotrader.com/car-shopping/buying-car-why-you-should-pay-</w:t>
      </w:r>
      <w:r>
        <w:t xml:space="preserve"> </w:t>
      </w:r>
      <w:r>
        <w:t xml:space="preserve">attention-model-cycles-239246;</w:t>
      </w:r>
      <w:r>
        <w:t xml:space="preserve"> </w:t>
      </w:r>
      <w:r>
        <w:t xml:space="preserve">or</w:t>
      </w:r>
      <w:r>
        <w:t xml:space="preserve"> </w:t>
      </w:r>
      <w:r>
        <w:t xml:space="preserve">https://www.carwow.co.uk/guides/glossary/car-facelift-explained-</w:t>
      </w:r>
      <w:r>
        <w:t xml:space="preserve"> </w:t>
      </w:r>
      <w:r>
        <w:t xml:space="preserve">0658#gref.</w:t>
      </w:r>
      <w:r>
        <w:br/>
      </w:r>
      <w:r>
        <w:t xml:space="preserve">138 See CJEU in Case C-360/10 SABAM, para 41.</w:t>
      </w:r>
      <w:r>
        <w:t xml:space="preserve"> </w:t>
      </w:r>
      <w:r>
        <w:t xml:space="preserve">139 See also Jarass, Charta der Grundrechte der Europäischen Union, 3. Aufl. 2016, Art. 17, Rn. 31ff.</w:t>
      </w:r>
    </w:p>
    <w:p>
      <w:pPr>
        <w:pStyle w:val="BodyText"/>
      </w:pPr>
      <w:r>
        <w:t xml:space="preserve">41</w:t>
      </w:r>
      <w:r>
        <w:t xml:space="preserve"> </w:t>
      </w:r>
      <w:r>
        <w:t xml:space="preserve">A repair clause would pursue a public interest being well founded in the transitional</w:t>
      </w:r>
      <w:r>
        <w:t xml:space="preserve"> </w:t>
      </w:r>
      <w:r>
        <w:t xml:space="preserve">provision contained in Article 14 of the DDir140, which is to liberalise the spare parts</w:t>
      </w:r>
      <w:r>
        <w:t xml:space="preserve"> </w:t>
      </w:r>
      <w:r>
        <w:t xml:space="preserve">aftermarket for the purposes of fair and effective competition (linked also to consumer</w:t>
      </w:r>
      <w:r>
        <w:t xml:space="preserve"> </w:t>
      </w:r>
      <w:r>
        <w:t xml:space="preserve">protection and competition as broader public interests). Furthermore, such clause would</w:t>
      </w:r>
      <w:r>
        <w:t xml:space="preserve"> </w:t>
      </w:r>
      <w:r>
        <w:t xml:space="preserve">only involve a partial restriction of design rights in the aftermarket, i.e. only to the extent</w:t>
      </w:r>
      <w:r>
        <w:t xml:space="preserve"> </w:t>
      </w:r>
      <w:r>
        <w:t xml:space="preserve">that relevant parts are used for repair purposes so as to restore the original appearance of</w:t>
      </w:r>
      <w:r>
        <w:t xml:space="preserve"> </w:t>
      </w:r>
      <w:r>
        <w:t xml:space="preserve">the product. The scope and exercise of rights in the primary market would be left entirely</w:t>
      </w:r>
      <w:r>
        <w:t xml:space="preserve"> </w:t>
      </w:r>
      <w:r>
        <w:t xml:space="preserve">untouched. Therefore, it is considered that the legitimate interests of right owners would</w:t>
      </w:r>
      <w:r>
        <w:t xml:space="preserve"> </w:t>
      </w:r>
      <w:r>
        <w:t xml:space="preserve">be sufficiently safeguarded, and that the required fair balance and proportionality would</w:t>
      </w:r>
      <w:r>
        <w:t xml:space="preserve"> </w:t>
      </w:r>
      <w:r>
        <w:t xml:space="preserve">be ensured, under the condition that an appropriate transitional period is provided during</w:t>
      </w:r>
      <w:r>
        <w:t xml:space="preserve"> </w:t>
      </w:r>
      <w:r>
        <w:t xml:space="preserve">which existing design rights would remain unaffected also in the aftermarket141.</w:t>
      </w:r>
      <w:r>
        <w:br/>
      </w:r>
      <w:r>
        <w:t xml:space="preserve">In the light also of the minimum term of design protection to be granted for under Article</w:t>
      </w:r>
      <w:r>
        <w:t xml:space="preserve"> </w:t>
      </w:r>
      <w:r>
        <w:t xml:space="preserve">26(3) of the TRIPS Agreement (see also Section 8.2 on compatibility with international</w:t>
      </w:r>
      <w:r>
        <w:t xml:space="preserve"> </w:t>
      </w:r>
      <w:r>
        <w:t xml:space="preserve">obligations), which is ten years, it appears to be both appropriate and sufficient that the</w:t>
      </w:r>
      <w:r>
        <w:t xml:space="preserve"> </w:t>
      </w:r>
      <w:r>
        <w:t xml:space="preserve">duration of that transitional period corresponds to that same term of ten years from the</w:t>
      </w:r>
      <w:r>
        <w:t xml:space="preserve"> </w:t>
      </w:r>
      <w:r>
        <w:t xml:space="preserve">date of entry into force of the recast Directive to safeguard the interests of right</w:t>
      </w:r>
      <w:r>
        <w:t xml:space="preserve"> </w:t>
      </w:r>
      <w:r>
        <w:t xml:space="preserve">owners142. Even proceeding from the (hardly realistic) assumption that (actually low)</w:t>
      </w:r>
      <w:r>
        <w:t xml:space="preserve"> </w:t>
      </w:r>
      <w:r>
        <w:t xml:space="preserve">design development costs would not be entirely amortisable on the primary market, such</w:t>
      </w:r>
      <w:r>
        <w:t xml:space="preserve"> </w:t>
      </w:r>
      <w:r>
        <w:t xml:space="preserve">transitional period would still offer the chance in particular to owners of “younger”</w:t>
      </w:r>
      <w:r>
        <w:t xml:space="preserve"> </w:t>
      </w:r>
      <w:r>
        <w:t xml:space="preserve">designs (i.e. registered since not long ago) to compensate possible investments which</w:t>
      </w:r>
      <w:r>
        <w:t xml:space="preserve"> </w:t>
      </w:r>
      <w:r>
        <w:t xml:space="preserve">could not be amortised in the primary market.</w:t>
      </w:r>
      <w:r>
        <w:br/>
      </w:r>
      <w:r>
        <w:t xml:space="preserve">6.1.3. Full liberalisation for new designs (Option 1.3)</w:t>
      </w:r>
      <w:r>
        <w:t xml:space="preserve"> </w:t>
      </w:r>
      <w:r>
        <w:t xml:space="preserve">Economic impacts of this option would be the same as for Option 1.1. only if all cars on</w:t>
      </w:r>
      <w:r>
        <w:t xml:space="preserve"> </w:t>
      </w:r>
      <w:r>
        <w:t xml:space="preserve">the market were those newly designed. Taking into account that the new generation of a</w:t>
      </w:r>
      <w:r>
        <w:t xml:space="preserve"> </w:t>
      </w:r>
      <w:r>
        <w:t xml:space="preserve">given model is introduced on average every six to eight years, and that it takes on</w:t>
      </w:r>
      <w:r>
        <w:t xml:space="preserve"> </w:t>
      </w:r>
      <w:r>
        <w:t xml:space="preserve">average 14 years to renew the fleet of vehicles in the EU143, we can expect to see full</w:t>
      </w:r>
      <w:r>
        <w:t xml:space="preserve"> </w:t>
      </w:r>
      <w:r>
        <w:t xml:space="preserve">benefits of this option after 20 to 25 years (in cases where maximum protection is sought</w:t>
      </w:r>
      <w:r>
        <w:t xml:space="preserve"> </w:t>
      </w:r>
      <w:r>
        <w:t xml:space="preserve">by producers). Calculations in Annex 4 show that 20 years after less than half of the</w:t>
      </w:r>
      <w:r>
        <w:t xml:space="preserve"> </w:t>
      </w:r>
      <w:r>
        <w:t xml:space="preserve">passenger car fleet will benefit from a repair clause. One cannot exclude that in order to</w:t>
      </w:r>
      <w:r>
        <w:t xml:space="preserve"> </w:t>
      </w:r>
      <w:r>
        <w:t xml:space="preserve">maintain profits on spare parts, manufactures might avoid changes to visible spare parts</w:t>
      </w:r>
      <w:r>
        <w:t xml:space="preserve"> </w:t>
      </w:r>
      <w:r>
        <w:t xml:space="preserve">designs and seek protection for the full term of 25 years. Given competitive pressure and</w:t>
      </w:r>
      <w:r>
        <w:t xml:space="preserve"> </w:t>
      </w:r>
      <w:r>
        <w:t xml:space="preserve">fast evolving car designs, this seems, however, rather an unlikely scenario.</w:t>
      </w:r>
      <w:r>
        <w:br/>
      </w:r>
      <w:r>
        <w:t xml:space="preserve">6.2.</w:t>
      </w:r>
      <w:r>
        <w:t xml:space="preserve"> </w:t>
      </w:r>
      <w:r>
        <w:t xml:space="preserve">Simplification and streamlining of RCD procedures (Option 2)</w:t>
      </w:r>
      <w:r>
        <w:t xml:space="preserve"> </w:t>
      </w:r>
      <w:r>
        <w:t xml:space="preserve">Impact on the EUIPO and users of the registration system</w:t>
      </w:r>
      <w:r>
        <w:br/>
      </w:r>
      <w:r>
        <w:t xml:space="preserve">The proposed modernisation of the filing system by overhauling the requirements for the</w:t>
      </w:r>
      <w:r>
        <w:t xml:space="preserve"> </w:t>
      </w:r>
      <w:r>
        <w:t xml:space="preserve">design representation in an application for a RCD will be greatly beneficial both for</w:t>
      </w:r>
      <w:r>
        <w:t xml:space="preserve"> </w:t>
      </w:r>
      <w:r>
        <w:t xml:space="preserve">applying businesses and the EUIPO. Around a quarter of RCD applications filed in</w:t>
      </w:r>
      <w:r>
        <w:t xml:space="preserve"> </w:t>
      </w:r>
      <w:r>
        <w:t xml:space="preserve">2019/2020 were deficient. More than half of these (14% of all applications) lacked a</w:t>
      </w:r>
    </w:p>
    <w:p>
      <w:pPr>
        <w:pStyle w:val="BodyText"/>
      </w:pPr>
      <w:r>
        <w:t xml:space="preserve">140 Article 14 explicitly permits Member States to change their existing design laws only “if the purpose is</w:t>
      </w:r>
      <w:r>
        <w:t xml:space="preserve"> </w:t>
      </w:r>
      <w:r>
        <w:t xml:space="preserve">to liberalise the market for such parts”.</w:t>
      </w:r>
      <w:r>
        <w:t xml:space="preserve"> </w:t>
      </w:r>
      <w:r>
        <w:t xml:space="preserve">141 Cf. Verfassungsrechtliche Anforderungen an die Beschränkung bestehender Designrechte bei der</w:t>
      </w:r>
      <w:r>
        <w:t xml:space="preserve"> </w:t>
      </w:r>
      <w:r>
        <w:t xml:space="preserve">Einführung der Reparaturklausel, Gutachten im Auftrag des Gesamtverbands Autoteile-Handel e. V.</w:t>
      </w:r>
      <w:r>
        <w:t xml:space="preserve"> </w:t>
      </w:r>
      <w:r>
        <w:t xml:space="preserve">(GVA), erstattet von Prof. Dr. Foroud Shirvani (März 2009).</w:t>
      </w:r>
      <w:r>
        <w:t xml:space="preserve"> </w:t>
      </w:r>
      <w:r>
        <w:t xml:space="preserve">142 Ibidem, p. 44.</w:t>
      </w:r>
      <w:r>
        <w:br/>
      </w:r>
      <w:r>
        <w:t xml:space="preserve">143 SWD/2018/190 final, “Impact Assessment on general safety and the protection of vehicle occupants and</w:t>
      </w:r>
      <w:r>
        <w:t xml:space="preserve"> </w:t>
      </w:r>
      <w:r>
        <w:t xml:space="preserve">vulnerable road users” (2018), page 10</w:t>
      </w:r>
    </w:p>
    <w:p>
      <w:pPr>
        <w:pStyle w:val="BodyText"/>
      </w:pPr>
      <w:r>
        <w:t xml:space="preserve">42</w:t>
      </w:r>
      <w:r>
        <w:t xml:space="preserve"> </w:t>
      </w:r>
      <w:r>
        <w:t xml:space="preserve">proper representation of the design so as to permit all the details of the matter for which</w:t>
      </w:r>
      <w:r>
        <w:t xml:space="preserve"> </w:t>
      </w:r>
      <w:r>
        <w:t xml:space="preserve">protection is sought to be clearly distinguished and allow for publication. The</w:t>
      </w:r>
      <w:r>
        <w:t xml:space="preserve"> </w:t>
      </w:r>
      <w:r>
        <w:t xml:space="preserve">modernised regime on the representation of designs (both allowing and requiring a clear</w:t>
      </w:r>
      <w:r>
        <w:t xml:space="preserve"> </w:t>
      </w:r>
      <w:r>
        <w:t xml:space="preserve">and precise design representation) will facilitate the filing of designs by businesses and</w:t>
      </w:r>
      <w:r>
        <w:t xml:space="preserve"> </w:t>
      </w:r>
      <w:r>
        <w:t xml:space="preserve">individual designers while significantly reducing the potential for deficiencies and</w:t>
      </w:r>
      <w:r>
        <w:t xml:space="preserve"> </w:t>
      </w:r>
      <w:r>
        <w:t xml:space="preserve">increasing legal certainty. Applicants will consequently have to pay less to their lawyers</w:t>
      </w:r>
      <w:r>
        <w:t xml:space="preserve"> </w:t>
      </w:r>
      <w:r>
        <w:t xml:space="preserve">for settling deficiencies in applications.</w:t>
      </w:r>
    </w:p>
    <w:p>
      <w:pPr>
        <w:pStyle w:val="BodyText"/>
      </w:pPr>
      <w:r>
        <w:t xml:space="preserve">The new regime on design representation shall involve savings for design applicants</w:t>
      </w:r>
      <w:r>
        <w:t xml:space="preserve"> </w:t>
      </w:r>
      <w:r>
        <w:t xml:space="preserve">of between EUR 160 and EUR 200 per application. Savings are annual, in 2024 they</w:t>
      </w:r>
      <w:r>
        <w:t xml:space="preserve"> </w:t>
      </w:r>
      <w:r>
        <w:t xml:space="preserve">are expected to amount at EUR 0.8 to 1.02 million in total.</w:t>
      </w:r>
      <w:r>
        <w:t xml:space="preserve"> </w:t>
      </w:r>
      <w:r>
        <w:t xml:space="preserve">Table 6.2. Savings from simplification of requirements for the representation of designs</w:t>
      </w:r>
      <w:r>
        <w:t xml:space="preserve"> </w:t>
      </w:r>
      <w:r>
        <w:t xml:space="preserve">Saving per owner (application) (EUR)</w:t>
      </w:r>
      <w:r>
        <w:t xml:space="preserve"> </w:t>
      </w:r>
      <w:r>
        <w:t xml:space="preserve">160 to 200</w:t>
      </w:r>
      <w:r>
        <w:t xml:space="preserve"> </w:t>
      </w:r>
      <w:r>
        <w:t xml:space="preserve">Applications affected</w:t>
      </w:r>
      <w:r>
        <w:t xml:space="preserve"> </w:t>
      </w:r>
      <w:r>
        <w:t xml:space="preserve">14.3%</w:t>
      </w:r>
    </w:p>
    <w:p>
      <w:pPr>
        <w:pStyle w:val="BodyText"/>
      </w:pPr>
      <w:r>
        <w:t xml:space="preserve">Year 2024 impact</w:t>
      </w:r>
      <w:r>
        <w:t xml:space="preserve"> </w:t>
      </w:r>
      <w:r>
        <w:t xml:space="preserve">Applications affected</w:t>
      </w:r>
      <w:r>
        <w:br/>
      </w:r>
      <w:r>
        <w:t xml:space="preserve">5,112</w:t>
      </w:r>
      <w:r>
        <w:t xml:space="preserve"> </w:t>
      </w:r>
      <w:r>
        <w:t xml:space="preserve">Total savings (EUR million)</w:t>
      </w:r>
      <w:r>
        <w:t xml:space="preserve"> </w:t>
      </w:r>
      <w:r>
        <w:t xml:space="preserve">0.82 to 1.02</w:t>
      </w:r>
      <w:r>
        <w:t xml:space="preserve"> </w:t>
      </w:r>
      <w:r>
        <w:t xml:space="preserve">Source: Own calculations based on EUIPO data (see Annex 9).</w:t>
      </w:r>
      <w:r>
        <w:t xml:space="preserve"> </w:t>
      </w:r>
      <w:r>
        <w:t xml:space="preserve">The proposed abolition of the “unity of class requirement” for businesses wishing to</w:t>
      </w:r>
      <w:r>
        <w:t xml:space="preserve"> </w:t>
      </w:r>
      <w:r>
        <w:t xml:space="preserve">apply for RCD protection by means of a multiple application will have different impacts</w:t>
      </w:r>
      <w:r>
        <w:t xml:space="preserve"> </w:t>
      </w:r>
      <w:r>
        <w:t xml:space="preserve">on the EUIPO and users of the RCD system. In fact, the majority of RCDs filed form part</w:t>
      </w:r>
      <w:r>
        <w:t xml:space="preserve"> </w:t>
      </w:r>
      <w:r>
        <w:t xml:space="preserve">of multiple applications. The abolition of the “unity of class requirement” should result in</w:t>
      </w:r>
      <w:r>
        <w:t xml:space="preserve"> </w:t>
      </w:r>
      <w:r>
        <w:t xml:space="preserve">an increase of such applications. This will entail losses of revenue for EUIPO and</w:t>
      </w:r>
      <w:r>
        <w:t xml:space="preserve"> </w:t>
      </w:r>
      <w:r>
        <w:t xml:space="preserve">savings for the users of the RCD system.</w:t>
      </w:r>
      <w:r>
        <w:br/>
      </w:r>
      <w:r>
        <w:t xml:space="preserve">According to EUIPO calculations, around 20% of owners might be affected. The</w:t>
      </w:r>
      <w:r>
        <w:t xml:space="preserve"> </w:t>
      </w:r>
      <w:r>
        <w:t xml:space="preserve">simplification of the filing of multiple applications is expected to produce savings</w:t>
      </w:r>
      <w:r>
        <w:t xml:space="preserve"> </w:t>
      </w:r>
      <w:r>
        <w:t xml:space="preserve">annually, in 2024 between EUR 0.6 and 1.35 million depending on the fee system chosen</w:t>
      </w:r>
      <w:r>
        <w:t xml:space="preserve"> </w:t>
      </w:r>
      <w:r>
        <w:t xml:space="preserve">(Options 3 described below).</w:t>
      </w:r>
      <w:r>
        <w:br/>
      </w:r>
      <w:r>
        <w:t xml:space="preserve">Table. 6.3. Savings from abolition of unity of class requirement</w:t>
      </w:r>
      <w:r>
        <w:br/>
      </w:r>
      <w:r>
        <w:t xml:space="preserve">Fee structure </w:t>
      </w:r>
      <w:r>
        <w:t xml:space="preserve"> </w:t>
      </w:r>
      <w:r>
        <w:t xml:space="preserve">Current</w:t>
      </w:r>
      <w:r>
        <w:br/>
      </w:r>
      <w:r>
        <w:t xml:space="preserve">Opt. 3.1</w:t>
      </w:r>
      <w:r>
        <w:t xml:space="preserve"> </w:t>
      </w:r>
      <w:r>
        <w:t xml:space="preserve">Opt. 3.2</w:t>
      </w:r>
      <w:r>
        <w:t xml:space="preserve"> </w:t>
      </w:r>
      <w:r>
        <w:t xml:space="preserve">Saving per owner (application) (EUR)</w:t>
      </w:r>
      <w:r>
        <w:t xml:space="preserve"> </w:t>
      </w:r>
      <w:r>
        <w:t xml:space="preserve">492</w:t>
      </w:r>
      <w:r>
        <w:t xml:space="preserve"> </w:t>
      </w:r>
      <w:r>
        <w:t xml:space="preserve">234</w:t>
      </w:r>
      <w:r>
        <w:t xml:space="preserve"> </w:t>
      </w:r>
      <w:r>
        <w:t xml:space="preserve">281</w:t>
      </w:r>
    </w:p>
    <w:p>
      <w:pPr>
        <w:pStyle w:val="BodyText"/>
      </w:pPr>
      <w:r>
        <w:t xml:space="preserve">Year 2024 impact</w:t>
      </w:r>
      <w:r>
        <w:t xml:space="preserve"> </w:t>
      </w:r>
      <w:r>
        <w:t xml:space="preserve">Applications affected</w:t>
      </w:r>
      <w:r>
        <w:br/>
      </w:r>
      <w:r>
        <w:t xml:space="preserve">2746 (7.7% of all applications, 20% of owners)</w:t>
      </w:r>
      <w:r>
        <w:t xml:space="preserve"> </w:t>
      </w:r>
      <w:r>
        <w:t xml:space="preserve">Total savings (EUR million)</w:t>
      </w:r>
      <w:r>
        <w:t xml:space="preserve"> </w:t>
      </w:r>
      <w:r>
        <w:t xml:space="preserve">1.35</w:t>
      </w:r>
      <w:r>
        <w:t xml:space="preserve"> </w:t>
      </w:r>
      <w:r>
        <w:t xml:space="preserve">0.64</w:t>
      </w:r>
      <w:r>
        <w:t xml:space="preserve"> </w:t>
      </w:r>
      <w:r>
        <w:t xml:space="preserve">0.77</w:t>
      </w:r>
      <w:r>
        <w:t xml:space="preserve"> </w:t>
      </w:r>
      <w:r>
        <w:t xml:space="preserve">Source: Own calculations based on EUIPO data (see Annex 9).</w:t>
      </w:r>
      <w:r>
        <w:t xml:space="preserve"> </w:t>
      </w:r>
      <w:r>
        <w:t xml:space="preserve">6.3 RCD fees</w:t>
      </w:r>
      <w:r>
        <w:t xml:space="preserve"> </w:t>
      </w:r>
      <w:r>
        <w:t xml:space="preserve">Sub-options 3.1 and 3.2</w:t>
      </w:r>
      <w:r>
        <w:br/>
      </w:r>
      <w:r>
        <w:t xml:space="preserve">Impact on users of the registration system</w:t>
      </w:r>
      <w:r>
        <w:br/>
      </w:r>
      <w:r>
        <w:t xml:space="preserve">Table. 6.4. Overview of current and proposed fee structure for RCD (in EUR)</w:t>
      </w:r>
      <w:r>
        <w:t xml:space="preserve"> </w:t>
      </w:r>
      <w:r>
        <w:t xml:space="preserve">First 5 year period</w:t>
      </w:r>
      <w:r>
        <w:t xml:space="preserve"> </w:t>
      </w:r>
      <w:r>
        <w:t xml:space="preserve">Number of designs per application</w:t>
      </w:r>
      <w:r>
        <w:t xml:space="preserve"> </w:t>
      </w:r>
      <w:r>
        <w:t xml:space="preserve">Current</w:t>
      </w:r>
      <w:r>
        <w:br/>
      </w:r>
      <w:r>
        <w:t xml:space="preserve">Option 3.1</w:t>
      </w:r>
      <w:r>
        <w:t xml:space="preserve"> </w:t>
      </w:r>
      <w:r>
        <w:t xml:space="preserve">Option 3.2</w:t>
      </w:r>
      <w:r>
        <w:t xml:space="preserve"> </w:t>
      </w:r>
      <w:r>
        <w:t xml:space="preserve">1</w:t>
      </w:r>
      <w:r>
        <w:t xml:space="preserve"> </w:t>
      </w:r>
      <w:r>
        <w:t xml:space="preserve">350</w:t>
      </w:r>
      <w:r>
        <w:t xml:space="preserve"> </w:t>
      </w:r>
      <w:r>
        <w:t xml:space="preserve">250</w:t>
      </w:r>
      <w:r>
        <w:t xml:space="preserve"> </w:t>
      </w:r>
      <w:r>
        <w:t xml:space="preserve">250</w:t>
      </w:r>
      <w:r>
        <w:t xml:space="preserve"> </w:t>
      </w:r>
      <w:r>
        <w:t xml:space="preserve">2-10</w:t>
      </w:r>
      <w:r>
        <w:t xml:space="preserve"> </w:t>
      </w:r>
      <w:r>
        <w:t xml:space="preserve">175</w:t>
      </w:r>
      <w:r>
        <w:t xml:space="preserve"> </w:t>
      </w:r>
      <w:r>
        <w:t xml:space="preserve">125</w:t>
      </w:r>
      <w:r>
        <w:t xml:space="preserve"> </w:t>
      </w:r>
      <w:r>
        <w:t xml:space="preserve">100</w:t>
      </w:r>
      <w:r>
        <w:t xml:space="preserve"> </w:t>
      </w:r>
      <w:r>
        <w:t xml:space="preserve">11 and more*</w:t>
      </w:r>
      <w:r>
        <w:t xml:space="preserve"> </w:t>
      </w:r>
      <w:r>
        <w:t xml:space="preserve">80</w:t>
      </w:r>
    </w:p>
    <w:p>
      <w:pPr>
        <w:pStyle w:val="BodyText"/>
      </w:pPr>
      <w:r>
        <w:t xml:space="preserve">43</w:t>
      </w:r>
      <w:r>
        <w:t xml:space="preserve"> </w:t>
      </w:r>
      <w:r>
        <w:t xml:space="preserve">First 5 year period</w:t>
      </w:r>
      <w:r>
        <w:t xml:space="preserve"> </w:t>
      </w:r>
      <w:r>
        <w:t xml:space="preserve">Number of designs per application</w:t>
      </w:r>
      <w:r>
        <w:t xml:space="preserve"> </w:t>
      </w:r>
      <w:r>
        <w:t xml:space="preserve">Current</w:t>
      </w:r>
      <w:r>
        <w:br/>
      </w:r>
      <w:r>
        <w:t xml:space="preserve">Option 3.1</w:t>
      </w:r>
      <w:r>
        <w:t xml:space="preserve"> </w:t>
      </w:r>
      <w:r>
        <w:t xml:space="preserve">Option 3.2</w:t>
      </w:r>
      <w:r>
        <w:t xml:space="preserve"> </w:t>
      </w:r>
      <w:r>
        <w:t xml:space="preserve">Cost of each renewal (each for 5 years)</w:t>
      </w:r>
      <w:r>
        <w:t xml:space="preserve"> </w:t>
      </w:r>
      <w:r>
        <w:t xml:space="preserve">1st</w:t>
      </w:r>
      <w:r>
        <w:t xml:space="preserve"> </w:t>
      </w:r>
      <w:r>
        <w:t xml:space="preserve">90</w:t>
      </w:r>
      <w:r>
        <w:t xml:space="preserve"> </w:t>
      </w:r>
      <w:r>
        <w:t xml:space="preserve">70</w:t>
      </w:r>
      <w:r>
        <w:t xml:space="preserve"> </w:t>
      </w:r>
      <w:r>
        <w:t xml:space="preserve">80</w:t>
      </w:r>
      <w:r>
        <w:t xml:space="preserve"> </w:t>
      </w:r>
      <w:r>
        <w:t xml:space="preserve">2nd</w:t>
      </w:r>
      <w:r>
        <w:br/>
      </w:r>
      <w:r>
        <w:t xml:space="preserve">120</w:t>
      </w:r>
      <w:r>
        <w:t xml:space="preserve"> </w:t>
      </w:r>
      <w:r>
        <w:t xml:space="preserve">140</w:t>
      </w:r>
      <w:r>
        <w:t xml:space="preserve"> </w:t>
      </w:r>
      <w:r>
        <w:t xml:space="preserve">160</w:t>
      </w:r>
      <w:r>
        <w:t xml:space="preserve"> </w:t>
      </w:r>
      <w:r>
        <w:t xml:space="preserve">3rd</w:t>
      </w:r>
      <w:r>
        <w:br/>
      </w:r>
      <w:r>
        <w:t xml:space="preserve">150</w:t>
      </w:r>
      <w:r>
        <w:t xml:space="preserve"> </w:t>
      </w:r>
      <w:r>
        <w:t xml:space="preserve">280</w:t>
      </w:r>
      <w:r>
        <w:t xml:space="preserve"> </w:t>
      </w:r>
      <w:r>
        <w:t xml:space="preserve">320</w:t>
      </w:r>
      <w:r>
        <w:t xml:space="preserve"> </w:t>
      </w:r>
      <w:r>
        <w:t xml:space="preserve">4th</w:t>
      </w:r>
      <w:r>
        <w:br/>
      </w:r>
      <w:r>
        <w:t xml:space="preserve">180</w:t>
      </w:r>
      <w:r>
        <w:t xml:space="preserve"> </w:t>
      </w:r>
      <w:r>
        <w:t xml:space="preserve">560</w:t>
      </w:r>
      <w:r>
        <w:t xml:space="preserve"> </w:t>
      </w:r>
      <w:r>
        <w:t xml:space="preserve">640</w:t>
      </w:r>
      <w:r>
        <w:t xml:space="preserve"> </w:t>
      </w:r>
      <w:r>
        <w:t xml:space="preserve">Note(s): * no limit currently, in case of Option 3.1 and 3.2 limit of 50 designs per application.</w:t>
      </w:r>
      <w:r>
        <w:t xml:space="preserve"> </w:t>
      </w:r>
      <w:r>
        <w:t xml:space="preserve">Source: Own calculations based on EUIPO data (see Annex 9).</w:t>
      </w:r>
      <w:r>
        <w:t xml:space="preserve"> </w:t>
      </w:r>
      <w:r>
        <w:t xml:space="preserve">The new fee structure would benefit those with lower number of designs per application</w:t>
      </w:r>
      <w:r>
        <w:t xml:space="preserve"> </w:t>
      </w:r>
      <w:r>
        <w:t xml:space="preserve">and those who renew protection only once. Excluding the 4th renewal (on which no data</w:t>
      </w:r>
      <w:r>
        <w:t xml:space="preserve"> </w:t>
      </w:r>
      <w:r>
        <w:t xml:space="preserve">is yet available) Sub-option 3.1 promises to deliver net savings in 2024 to the amount of</w:t>
      </w:r>
      <w:r>
        <w:t xml:space="preserve"> </w:t>
      </w:r>
      <w:r>
        <w:t xml:space="preserve">around EUR 4.1 million and sub-option 3.2 of EUR 4.6 million144. Businesses would get</w:t>
      </w:r>
      <w:r>
        <w:t xml:space="preserve"> </w:t>
      </w:r>
      <w:r>
        <w:t xml:space="preserve">more value for money and would not pay more for the EUIPO services than is strictly</w:t>
      </w:r>
      <w:r>
        <w:t xml:space="preserve"> </w:t>
      </w:r>
      <w:r>
        <w:t xml:space="preserve">necessary. This would enable in particular SMEs and individual designers to limit their</w:t>
      </w:r>
      <w:r>
        <w:t xml:space="preserve"> </w:t>
      </w:r>
      <w:r>
        <w:t xml:space="preserve">costs and to compete with larger firms on more advantageous conditions, which, in turn,</w:t>
      </w:r>
      <w:r>
        <w:t xml:space="preserve"> </w:t>
      </w:r>
      <w:r>
        <w:t xml:space="preserve">is in the benefit of consumers and, eventually of society as a whole.</w:t>
      </w:r>
      <w:r>
        <w:t xml:space="preserve"> </w:t>
      </w:r>
      <w:r>
        <w:t xml:space="preserve">The new fee structure will benefit designers who include up to 22 designs in a single</w:t>
      </w:r>
      <w:r>
        <w:t xml:space="preserve"> </w:t>
      </w:r>
      <w:r>
        <w:t xml:space="preserve">application in case of Opt 3.1 and up to 48 designs in case of Opt. 3.2. Taking into</w:t>
      </w:r>
      <w:r>
        <w:t xml:space="preserve"> </w:t>
      </w:r>
      <w:r>
        <w:t xml:space="preserve">account the historical distribution of number of designs per application, 97.7% of</w:t>
      </w:r>
      <w:r>
        <w:t xml:space="preserve"> </w:t>
      </w:r>
      <w:r>
        <w:t xml:space="preserve">applications will experience cost saving in case of Opt 3.1 and 99% in case of Opt. 3.2.</w:t>
      </w:r>
      <w:r>
        <w:br/>
      </w:r>
      <w:r>
        <w:t xml:space="preserve">As fees will be updated in the Regulation, they will enter into force immediately after</w:t>
      </w:r>
      <w:r>
        <w:t xml:space="preserve"> </w:t>
      </w:r>
      <w:r>
        <w:t xml:space="preserve">adoption. We expect that this could be as early as mid-2023, with 2024 as the first full</w:t>
      </w:r>
      <w:r>
        <w:t xml:space="preserve"> </w:t>
      </w:r>
      <w:r>
        <w:t xml:space="preserve">year of the new system.</w:t>
      </w:r>
      <w:r>
        <w:br/>
      </w:r>
      <w:r>
        <w:t xml:space="preserve">Savings for new owners applying for design protection in 2024 are expected at around</w:t>
      </w:r>
      <w:r>
        <w:t xml:space="preserve"> </w:t>
      </w:r>
      <w:r>
        <w:t xml:space="preserve">EUR 345 (Opt.3.1.) to EUR 494 (Opt. 3.2). Savings for the owners making 1st renewal</w:t>
      </w:r>
      <w:r>
        <w:t xml:space="preserve"> </w:t>
      </w:r>
      <w:r>
        <w:t xml:space="preserve">(extending protection to 10 years) at EUR 173 and EUR 88 respectively. The owners</w:t>
      </w:r>
      <w:r>
        <w:t xml:space="preserve"> </w:t>
      </w:r>
      <w:r>
        <w:t xml:space="preserve">wishing to protect their designs for 15, 20 and 25 years will pay significantly more than</w:t>
      </w:r>
      <w:r>
        <w:t xml:space="preserve"> </w:t>
      </w:r>
      <w:r>
        <w:t xml:space="preserve">currently. The cap in the number of applications in a single filing set at 50 is expected to</w:t>
      </w:r>
      <w:r>
        <w:t xml:space="preserve"> </w:t>
      </w:r>
      <w:r>
        <w:t xml:space="preserve">affect just a small fraction of all owners, nevertheless increasing their cost significantly.</w:t>
      </w:r>
      <w:r>
        <w:t xml:space="preserve"> </w:t>
      </w:r>
      <w:r>
        <w:t xml:space="preserve">Elimination of the transfer fee should produce savings of around EUR 200 per each</w:t>
      </w:r>
      <w:r>
        <w:t xml:space="preserve"> </w:t>
      </w:r>
      <w:r>
        <w:t xml:space="preserve">transferred design. Summary of the expected changes and impacts is provided in the table</w:t>
      </w:r>
      <w:r>
        <w:t xml:space="preserve"> </w:t>
      </w:r>
      <w:r>
        <w:t xml:space="preserve">below and in Annex 9.</w:t>
      </w:r>
      <w:r>
        <w:t xml:space="preserve"> </w:t>
      </w:r>
      <w:r>
        <w:t xml:space="preserve">Table 6.5. Overview of maximum expected impact of options on fees in year 2024.</w:t>
      </w:r>
      <w:r>
        <w:t xml:space="preserve"> </w:t>
      </w:r>
      <w:r>
        <w:t xml:space="preserve">Fee structure:</w:t>
      </w:r>
      <w:r>
        <w:t xml:space="preserve"> </w:t>
      </w:r>
      <w:r>
        <w:t xml:space="preserve">Current</w:t>
      </w:r>
      <w:r>
        <w:t xml:space="preserve"> </w:t>
      </w:r>
      <w:r>
        <w:t xml:space="preserve">Option 3.1</w:t>
      </w:r>
      <w:r>
        <w:t xml:space="preserve"> </w:t>
      </w:r>
      <w:r>
        <w:t xml:space="preserve">Option 3.2</w:t>
      </w:r>
    </w:p>
    <w:p>
      <w:pPr>
        <w:pStyle w:val="BodyText"/>
      </w:pPr>
      <w:r>
        <w:t xml:space="preserve">Design</w:t>
      </w:r>
      <w:r>
        <w:t xml:space="preserve"> </w:t>
      </w:r>
      <w:r>
        <w:t xml:space="preserve">owners</w:t>
      </w:r>
      <w:r>
        <w:t xml:space="preserve"> </w:t>
      </w:r>
      <w:r>
        <w:t xml:space="preserve">affected</w:t>
      </w:r>
      <w:r>
        <w:t xml:space="preserve"> </w:t>
      </w:r>
      <w:r>
        <w:t xml:space="preserve">per owner</w:t>
      </w:r>
      <w:r>
        <w:t xml:space="preserve"> </w:t>
      </w:r>
      <w:r>
        <w:t xml:space="preserve">(EUR)</w:t>
      </w:r>
      <w:r>
        <w:t xml:space="preserve"> </w:t>
      </w:r>
      <w:r>
        <w:t xml:space="preserve">Total</w:t>
      </w:r>
      <w:r>
        <w:br/>
      </w:r>
      <w:r>
        <w:t xml:space="preserve">(EUR</w:t>
      </w:r>
      <w:r>
        <w:t xml:space="preserve"> </w:t>
      </w:r>
      <w:r>
        <w:t xml:space="preserve">million)</w:t>
      </w:r>
      <w:r>
        <w:t xml:space="preserve"> </w:t>
      </w:r>
      <w:r>
        <w:t xml:space="preserve">per owner</w:t>
      </w:r>
      <w:r>
        <w:t xml:space="preserve"> </w:t>
      </w:r>
      <w:r>
        <w:t xml:space="preserve">(EUR)</w:t>
      </w:r>
      <w:r>
        <w:t xml:space="preserve"> </w:t>
      </w:r>
      <w:r>
        <w:t xml:space="preserve">Total</w:t>
      </w:r>
      <w:r>
        <w:br/>
      </w:r>
      <w:r>
        <w:t xml:space="preserve">(EUR</w:t>
      </w:r>
      <w:r>
        <w:t xml:space="preserve"> </w:t>
      </w:r>
      <w:r>
        <w:t xml:space="preserve">million)</w:t>
      </w:r>
      <w:r>
        <w:t xml:space="preserve"> </w:t>
      </w:r>
      <w:r>
        <w:t xml:space="preserve">per owner</w:t>
      </w:r>
      <w:r>
        <w:t xml:space="preserve"> </w:t>
      </w:r>
      <w:r>
        <w:t xml:space="preserve">(EUR)</w:t>
      </w:r>
      <w:r>
        <w:t xml:space="preserve"> </w:t>
      </w:r>
      <w:r>
        <w:t xml:space="preserve">Total</w:t>
      </w:r>
      <w:r>
        <w:br/>
      </w:r>
      <w:r>
        <w:t xml:space="preserve">(EUR</w:t>
      </w:r>
      <w:r>
        <w:t xml:space="preserve"> </w:t>
      </w:r>
      <w:r>
        <w:t xml:space="preserve">million)</w:t>
      </w:r>
    </w:p>
    <w:p>
      <w:pPr>
        <w:pStyle w:val="BodyText"/>
      </w:pPr>
      <w:r>
        <w:t xml:space="preserve">144 The impact of the 4th renewal depends on RCD owners demand. At the time of writing this IA there was</w:t>
      </w:r>
      <w:r>
        <w:t xml:space="preserve"> </w:t>
      </w:r>
      <w:r>
        <w:t xml:space="preserve">no historical experience with the 4th renewal, so its impact is based solely on assumptions. With the 4th</w:t>
      </w:r>
      <w:r>
        <w:t xml:space="preserve"> </w:t>
      </w:r>
      <w:r>
        <w:t xml:space="preserve">renewal the net impact of option 3.1 and 3.2 amounts to average savings of EUR 1.8 million (see also table</w:t>
      </w:r>
      <w:r>
        <w:t xml:space="preserve"> </w:t>
      </w:r>
      <w:r>
        <w:t xml:space="preserve">6.5). EUIPO provided estimations of the impact of fee changes on their budget (without the 4th renewal).</w:t>
      </w:r>
      <w:r>
        <w:t xml:space="preserve"> </w:t>
      </w:r>
      <w:r>
        <w:t xml:space="preserve">According to EUIPO, the impact of both options 3.1 and 3.2 is around EUR 3.2 million – see Annex 7. The</w:t>
      </w:r>
      <w:r>
        <w:t xml:space="preserve"> </w:t>
      </w:r>
      <w:r>
        <w:t xml:space="preserve">difference comes from using a slightly different methodology. EUIPO calculations are based on individual</w:t>
      </w:r>
      <w:r>
        <w:t xml:space="preserve"> </w:t>
      </w:r>
      <w:r>
        <w:t xml:space="preserve">designs, while the calculations used in this impact assessment are based on number of applications and</w:t>
      </w:r>
      <w:r>
        <w:t xml:space="preserve"> </w:t>
      </w:r>
      <w:r>
        <w:t xml:space="preserve">owners, which required additional assumptions but allowed for identification of the number of entities</w:t>
      </w:r>
      <w:r>
        <w:t xml:space="preserve"> </w:t>
      </w:r>
      <w:r>
        <w:t xml:space="preserve">affected (see also Annex 9).</w:t>
      </w:r>
    </w:p>
    <w:p>
      <w:pPr>
        <w:pStyle w:val="BodyText"/>
      </w:pPr>
      <w:r>
        <w:t xml:space="preserve">44</w:t>
      </w:r>
      <w:r>
        <w:t xml:space="preserve"> </w:t>
      </w:r>
      <w:r>
        <w:t xml:space="preserve">Application fee</w:t>
      </w:r>
      <w:r>
        <w:br/>
      </w:r>
      <w:r>
        <w:t xml:space="preserve">14,659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-345.79</w:t>
      </w:r>
      <w:r>
        <w:br/>
      </w:r>
      <w:r>
        <w:t xml:space="preserve">-5.1</w:t>
      </w:r>
      <w:r>
        <w:t xml:space="preserve"> </w:t>
      </w:r>
      <w:r>
        <w:t xml:space="preserve">-494.34</w:t>
      </w:r>
      <w:r>
        <w:br/>
      </w:r>
      <w:r>
        <w:t xml:space="preserve">-7.2</w:t>
      </w:r>
      <w:r>
        <w:t xml:space="preserve"> </w:t>
      </w:r>
      <w:r>
        <w:t xml:space="preserve">1st renewal fee*</w:t>
      </w:r>
      <w:r>
        <w:br/>
      </w:r>
      <w:r>
        <w:t xml:space="preserve">6,155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-172.90</w:t>
      </w:r>
      <w:r>
        <w:br/>
      </w:r>
      <w:r>
        <w:t xml:space="preserve">-1.1</w:t>
      </w:r>
      <w:r>
        <w:t xml:space="preserve"> </w:t>
      </w:r>
      <w:r>
        <w:t xml:space="preserve">-87.67</w:t>
      </w:r>
      <w:r>
        <w:br/>
      </w:r>
      <w:r>
        <w:t xml:space="preserve">-0.5</w:t>
      </w:r>
      <w:r>
        <w:t xml:space="preserve"> </w:t>
      </w:r>
      <w:r>
        <w:t xml:space="preserve">2nd renewal fee*</w:t>
      </w:r>
      <w:r>
        <w:br/>
      </w:r>
      <w:r>
        <w:t xml:space="preserve">3,157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175.33</w:t>
      </w:r>
      <w:r>
        <w:br/>
      </w:r>
      <w:r>
        <w:t xml:space="preserve">0.6</w:t>
      </w:r>
      <w:r>
        <w:t xml:space="preserve"> </w:t>
      </w:r>
      <w:r>
        <w:t xml:space="preserve">350.66</w:t>
      </w:r>
      <w:r>
        <w:br/>
      </w:r>
      <w:r>
        <w:t xml:space="preserve">1.1</w:t>
      </w:r>
      <w:r>
        <w:t xml:space="preserve"> </w:t>
      </w:r>
      <w:r>
        <w:t xml:space="preserve">3rd renewal fee*</w:t>
      </w:r>
      <w:r>
        <w:br/>
      </w:r>
      <w:r>
        <w:t xml:space="preserve">1,351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1,139.66</w:t>
      </w:r>
      <w:r>
        <w:br/>
      </w:r>
      <w:r>
        <w:t xml:space="preserve">1.5</w:t>
      </w:r>
      <w:r>
        <w:t xml:space="preserve"> </w:t>
      </w:r>
      <w:r>
        <w:t xml:space="preserve">1,490.33</w:t>
      </w:r>
      <w:r>
        <w:br/>
      </w:r>
      <w:r>
        <w:t xml:space="preserve">2</w:t>
      </w:r>
      <w:r>
        <w:t xml:space="preserve"> </w:t>
      </w:r>
      <w:r>
        <w:t xml:space="preserve">4th renewal fee*</w:t>
      </w:r>
      <w:r>
        <w:t xml:space="preserve"> </w:t>
      </w:r>
      <w:r>
        <w:t xml:space="preserve">701**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3,345.93</w:t>
      </w:r>
      <w:r>
        <w:br/>
      </w:r>
      <w:r>
        <w:t xml:space="preserve">2.3</w:t>
      </w:r>
      <w:r>
        <w:t xml:space="preserve"> </w:t>
      </w:r>
      <w:r>
        <w:t xml:space="preserve">4,049.69</w:t>
      </w:r>
      <w:r>
        <w:br/>
      </w:r>
      <w:r>
        <w:t xml:space="preserve">2.8</w:t>
      </w:r>
      <w:r>
        <w:t xml:space="preserve"> </w:t>
      </w:r>
      <w:r>
        <w:t xml:space="preserve">Cap at 50</w:t>
      </w:r>
      <w:r>
        <w:t xml:space="preserve"> </w:t>
      </w:r>
      <w:r>
        <w:t xml:space="preserve">71</w:t>
      </w:r>
      <w:r>
        <w:t xml:space="preserve"> </w:t>
      </w:r>
      <w:r>
        <w:t xml:space="preserve">2,539.88</w:t>
      </w:r>
      <w:r>
        <w:br/>
      </w:r>
      <w:r>
        <w:t xml:space="preserve">0.18</w:t>
      </w:r>
      <w:r>
        <w:t xml:space="preserve"> </w:t>
      </w:r>
      <w:r>
        <w:t xml:space="preserve">2,539.88</w:t>
      </w:r>
      <w:r>
        <w:br/>
      </w:r>
      <w:r>
        <w:t xml:space="preserve">0.18</w:t>
      </w:r>
      <w:r>
        <w:t xml:space="preserve"> </w:t>
      </w:r>
      <w:r>
        <w:t xml:space="preserve">2,539.88</w:t>
      </w:r>
      <w:r>
        <w:br/>
      </w:r>
      <w:r>
        <w:t xml:space="preserve">0.18</w:t>
      </w:r>
      <w:r>
        <w:t xml:space="preserve"> </w:t>
      </w:r>
      <w:r>
        <w:t xml:space="preserve">No transfer fee*</w:t>
      </w:r>
      <w:r>
        <w:t xml:space="preserve"> </w:t>
      </w:r>
      <w:r>
        <w:t xml:space="preserve">375</w:t>
      </w:r>
      <w:r>
        <w:t xml:space="preserve"> </w:t>
      </w:r>
      <w:r>
        <w:t xml:space="preserve">-1,665</w:t>
      </w:r>
      <w:r>
        <w:t xml:space="preserve"> </w:t>
      </w:r>
      <w:r>
        <w:t xml:space="preserve">-0.6</w:t>
      </w:r>
      <w:r>
        <w:t xml:space="preserve"> </w:t>
      </w:r>
      <w:r>
        <w:t xml:space="preserve">-1665.18</w:t>
      </w:r>
      <w:r>
        <w:t xml:space="preserve"> </w:t>
      </w:r>
      <w:r>
        <w:t xml:space="preserve">-0.6</w:t>
      </w:r>
      <w:r>
        <w:t xml:space="preserve"> </w:t>
      </w:r>
      <w:r>
        <w:t xml:space="preserve">-1665.18</w:t>
      </w:r>
      <w:r>
        <w:t xml:space="preserve"> </w:t>
      </w:r>
      <w:r>
        <w:t xml:space="preserve">-0.6</w:t>
      </w:r>
      <w:r>
        <w:t xml:space="preserve"> </w:t>
      </w:r>
      <w:r>
        <w:t xml:space="preserve">Total</w:t>
      </w:r>
    </w:p>
    <w:p>
      <w:pPr>
        <w:pStyle w:val="BodyText"/>
      </w:pPr>
      <w:r>
        <w:t xml:space="preserve">-0.45</w:t>
      </w:r>
    </w:p>
    <w:p>
      <w:pPr>
        <w:pStyle w:val="BodyText"/>
      </w:pPr>
      <w:r>
        <w:t xml:space="preserve">-2.25</w:t>
      </w:r>
    </w:p>
    <w:p>
      <w:pPr>
        <w:pStyle w:val="BodyText"/>
      </w:pPr>
      <w:r>
        <w:t xml:space="preserve">-2.25</w:t>
      </w:r>
      <w:r>
        <w:t xml:space="preserve"> </w:t>
      </w:r>
      <w:r>
        <w:t xml:space="preserve">Total without 4th</w:t>
      </w:r>
      <w:r>
        <w:t xml:space="preserve"> </w:t>
      </w:r>
      <w:r>
        <w:t xml:space="preserve">renewal</w:t>
      </w:r>
    </w:p>
    <w:p>
      <w:pPr>
        <w:pStyle w:val="BodyText"/>
      </w:pPr>
      <w:r>
        <w:t xml:space="preserve">-0.45</w:t>
      </w:r>
    </w:p>
    <w:p>
      <w:pPr>
        <w:pStyle w:val="BodyText"/>
      </w:pPr>
      <w:r>
        <w:t xml:space="preserve">-4.55</w:t>
      </w:r>
    </w:p>
    <w:p>
      <w:pPr>
        <w:pStyle w:val="BodyText"/>
      </w:pPr>
      <w:r>
        <w:t xml:space="preserve">-5.05</w:t>
      </w:r>
      <w:r>
        <w:t xml:space="preserve"> </w:t>
      </w:r>
      <w:r>
        <w:t xml:space="preserve">Note(s): * renewals and transfers are made on individual designs, this is an approximation of affected</w:t>
      </w:r>
      <w:r>
        <w:t xml:space="preserve"> </w:t>
      </w:r>
      <w:r>
        <w:t xml:space="preserve">owners based on proportion of designs per application per owner; ** full assumption, there is no</w:t>
      </w:r>
      <w:r>
        <w:t xml:space="preserve"> </w:t>
      </w:r>
      <w:r>
        <w:t xml:space="preserve">experience yet with 4th renewal</w:t>
      </w:r>
      <w:r>
        <w:t xml:space="preserve"> </w:t>
      </w:r>
      <w:r>
        <w:t xml:space="preserve">Source: Own assessment see Annex 9.</w:t>
      </w:r>
      <w:r>
        <w:t xml:space="preserve"> </w:t>
      </w:r>
      <w:r>
        <w:t xml:space="preserve">Consequently, the new fee structure will benefit new design owners and those that</w:t>
      </w:r>
      <w:r>
        <w:t xml:space="preserve"> </w:t>
      </w:r>
      <w:r>
        <w:t xml:space="preserve">prolong protection only once. With the average (2019-2020) number of designs per</w:t>
      </w:r>
      <w:r>
        <w:t xml:space="preserve"> </w:t>
      </w:r>
      <w:r>
        <w:t xml:space="preserve">application standing at 3.4 for companies and 2.3 for natural persons (including also</w:t>
      </w:r>
      <w:r>
        <w:t xml:space="preserve"> </w:t>
      </w:r>
      <w:r>
        <w:t xml:space="preserve">small companies without legal entity), the benefits from the application fee reduction will</w:t>
      </w:r>
      <w:r>
        <w:t xml:space="preserve"> </w:t>
      </w:r>
      <w:r>
        <w:t xml:space="preserve">be slightly higher for an average company. Taking into account that companies renew</w:t>
      </w:r>
      <w:r>
        <w:t xml:space="preserve"> </w:t>
      </w:r>
      <w:r>
        <w:t xml:space="preserve">their designs from 2.5 (1st renewal) to 3.3 (3rd renewal) times more often than persons,</w:t>
      </w:r>
      <w:r>
        <w:t xml:space="preserve"> </w:t>
      </w:r>
      <w:r>
        <w:t xml:space="preserve">the bulk of savings (1st renewal) and costs (2nd and subsequent renewals) will affect them,</w:t>
      </w:r>
      <w:r>
        <w:t xml:space="preserve"> </w:t>
      </w:r>
      <w:r>
        <w:t xml:space="preserve">with negligible impact on persons (see Annex 9).</w:t>
      </w:r>
      <w:r>
        <w:t xml:space="preserve"> </w:t>
      </w:r>
      <w:r>
        <w:t xml:space="preserve">According to the EUIPO, the lowering of fees is not expected to significantly increase the</w:t>
      </w:r>
      <w:r>
        <w:t xml:space="preserve"> </w:t>
      </w:r>
      <w:r>
        <w:t xml:space="preserve">number of designs protected (based on experience with EUTM fee reductions) at least in</w:t>
      </w:r>
      <w:r>
        <w:t xml:space="preserve"> </w:t>
      </w:r>
      <w:r>
        <w:t xml:space="preserve">2024 and 2025. In an optimistic scenario however, the new fee system could lead to an</w:t>
      </w:r>
      <w:r>
        <w:t xml:space="preserve"> </w:t>
      </w:r>
      <w:r>
        <w:t xml:space="preserve">increase in the number of design owners in 2030 from 15% (Opt. 3.1) to 21% (Opt.3.2)</w:t>
      </w:r>
      <w:r>
        <w:t xml:space="preserve"> </w:t>
      </w:r>
      <w:r>
        <w:t xml:space="preserve">in comparison to the number expected under the current system. This could translate into</w:t>
      </w:r>
      <w:r>
        <w:t xml:space="preserve"> </w:t>
      </w:r>
      <w:r>
        <w:t xml:space="preserve">additional 2,300-2,500 design owners (Opt. 3.1) to 3,200 to 3,400 (Opt 3.2) in 2030.</w:t>
      </w:r>
      <w:r>
        <w:t xml:space="preserve"> </w:t>
      </w:r>
      <w:r>
        <w:t xml:space="preserve">Unintended effects</w:t>
      </w:r>
      <w:r>
        <w:t xml:space="preserve"> </w:t>
      </w:r>
      <w:r>
        <w:t xml:space="preserve">Among the disadvantages of the proposed fee reduction is the allegation that a lower cost</w:t>
      </w:r>
      <w:r>
        <w:t xml:space="preserve"> </w:t>
      </w:r>
      <w:r>
        <w:t xml:space="preserve">for the registration of a RCD could lead to more “frivolous” or “abusive” registrations of</w:t>
      </w:r>
      <w:r>
        <w:t xml:space="preserve"> </w:t>
      </w:r>
      <w:r>
        <w:t xml:space="preserve">designs. However, there is no data which would support such a position. Furthermore,</w:t>
      </w:r>
      <w:r>
        <w:t xml:space="preserve"> </w:t>
      </w:r>
      <w:r>
        <w:t xml:space="preserve">under sub-options 3.1 and 3.2 a flat fee for each additional design in a multiple</w:t>
      </w:r>
      <w:r>
        <w:t xml:space="preserve"> </w:t>
      </w:r>
      <w:r>
        <w:t xml:space="preserve">application applies. In addition, increasing the higher level of renewal fees for RCDs</w:t>
      </w:r>
      <w:r>
        <w:t xml:space="preserve"> </w:t>
      </w:r>
      <w:r>
        <w:t xml:space="preserve">would discourage the maintenance of designs that are not intended to be utilised.</w:t>
      </w:r>
      <w:r>
        <w:t xml:space="preserve"> </w:t>
      </w:r>
      <w:r>
        <w:t xml:space="preserve">Could fees be further reduced?</w:t>
      </w:r>
      <w:r>
        <w:t xml:space="preserve"> </w:t>
      </w:r>
      <w:r>
        <w:t xml:space="preserve">Fees for an exclusive unitary IP title like the RCD extending to the whole EU territory</w:t>
      </w:r>
      <w:r>
        <w:t xml:space="preserve"> </w:t>
      </w:r>
      <w:r>
        <w:t xml:space="preserve">need to reflect the economic value of the right granted in order not to distort competition</w:t>
      </w:r>
      <w:r>
        <w:t xml:space="preserve"> </w:t>
      </w:r>
      <w:r>
        <w:t xml:space="preserve">and prevent innovation. Lower fees could encourage flagrant applications, put</w:t>
      </w:r>
      <w:r>
        <w:t xml:space="preserve"> </w:t>
      </w:r>
      <w:r>
        <w:t xml:space="preserve">sustainability of national design protection systems at risk and cut supporting activities of</w:t>
      </w:r>
      <w:r>
        <w:t xml:space="preserve"> </w:t>
      </w:r>
      <w:r>
        <w:t xml:space="preserve">the EUIPO (such as e.g. IP awareness raising campaigns or SME support). Moreover,</w:t>
      </w:r>
      <w:r>
        <w:t xml:space="preserve"> </w:t>
      </w:r>
      <w:r>
        <w:t xml:space="preserve">respondents to the First Public Consultation (including IP owners and their</w:t>
      </w:r>
      <w:r>
        <w:t xml:space="preserve"> </w:t>
      </w:r>
      <w:r>
        <w:t xml:space="preserve">representatives) did not call for drastically lower fees and considered that fees at the EU</w:t>
      </w:r>
      <w:r>
        <w:t xml:space="preserve"> </w:t>
      </w:r>
      <w:r>
        <w:t xml:space="preserve">level should be sufficiently higher than national fees to ensure a proper balance between</w:t>
      </w:r>
      <w:r>
        <w:t xml:space="preserve"> </w:t>
      </w:r>
      <w:r>
        <w:t xml:space="preserve">the protection systems.</w:t>
      </w:r>
      <w:r>
        <w:t xml:space="preserve"> </w:t>
      </w:r>
      <w:r>
        <w:t xml:space="preserve">Impact on administrative burdens</w:t>
      </w:r>
    </w:p>
    <w:p>
      <w:pPr>
        <w:pStyle w:val="BodyText"/>
      </w:pPr>
      <w:r>
        <w:t xml:space="preserve">45</w:t>
      </w:r>
      <w:r>
        <w:t xml:space="preserve"> </w:t>
      </w:r>
      <w:r>
        <w:t xml:space="preserve">The abolition of the publication fee would reduce administrative burdens as it</w:t>
      </w:r>
      <w:r>
        <w:t xml:space="preserve"> </w:t>
      </w:r>
      <w:r>
        <w:t xml:space="preserve">unifies the registration and publication fee to a single filing fee, and thus simplifies</w:t>
      </w:r>
      <w:r>
        <w:t xml:space="preserve"> </w:t>
      </w:r>
      <w:r>
        <w:t xml:space="preserve">the registration process of design applications. Applicants would no longer be obliged</w:t>
      </w:r>
      <w:r>
        <w:t xml:space="preserve"> </w:t>
      </w:r>
      <w:r>
        <w:t xml:space="preserve">to pay a separate publication fee at the moment of filing the design application but</w:t>
      </w:r>
      <w:r>
        <w:t xml:space="preserve"> </w:t>
      </w:r>
      <w:r>
        <w:t xml:space="preserve">instead pay only the registration fee. This will in particular make the payment of fees for</w:t>
      </w:r>
      <w:r>
        <w:t xml:space="preserve"> </w:t>
      </w:r>
      <w:r>
        <w:t xml:space="preserve">multiple applications simpler whose publication fees currently decrease in proportion to</w:t>
      </w:r>
      <w:r>
        <w:t xml:space="preserve"> </w:t>
      </w:r>
      <w:r>
        <w:t xml:space="preserve">the number of designs.</w:t>
      </w:r>
      <w:r>
        <w:br/>
      </w:r>
      <w:r>
        <w:t xml:space="preserve">Regarding multiple applications, the above proposal to introduce a flat fee per</w:t>
      </w:r>
      <w:r>
        <w:t xml:space="preserve"> </w:t>
      </w:r>
      <w:r>
        <w:t xml:space="preserve">additional design instead of staggering them in two brackets (2nd to 10th design, 11th</w:t>
      </w:r>
      <w:r>
        <w:t xml:space="preserve"> </w:t>
      </w:r>
      <w:r>
        <w:t xml:space="preserve">design upwards), is therefore also warranted for reasons of simplification. In the</w:t>
      </w:r>
      <w:r>
        <w:t xml:space="preserve"> </w:t>
      </w:r>
      <w:r>
        <w:t xml:space="preserve">course of application proceedings, one or more designs of a multiple application</w:t>
      </w:r>
      <w:r>
        <w:t xml:space="preserve"> </w:t>
      </w:r>
      <w:r>
        <w:t xml:space="preserve">pertaining to one or both brackets are frequently dropped, requiring a re-calculation of</w:t>
      </w:r>
      <w:r>
        <w:t xml:space="preserve"> </w:t>
      </w:r>
      <w:r>
        <w:t xml:space="preserve">the additional fees. This would be facilitated by a flat fee.</w:t>
      </w:r>
      <w:r>
        <w:t xml:space="preserve"> </w:t>
      </w:r>
      <w:r>
        <w:t xml:space="preserve">Impact on the EUIPO</w:t>
      </w:r>
      <w:r>
        <w:t xml:space="preserve"> </w:t>
      </w:r>
      <w:r>
        <w:t xml:space="preserve">According to Article 172(2) of the EUTMR, the amounts of the EU trade mark and</w:t>
      </w:r>
      <w:r>
        <w:t xml:space="preserve"> </w:t>
      </w:r>
      <w:r>
        <w:t xml:space="preserve">design fees shall be fixed at such a level as to ensure that the subsequent revenue is, in</w:t>
      </w:r>
      <w:r>
        <w:t xml:space="preserve"> </w:t>
      </w:r>
      <w:r>
        <w:t xml:space="preserve">principle, sufficient to balance the EUIPO’s budget. A potential adjustment of fees in</w:t>
      </w:r>
      <w:r>
        <w:t xml:space="preserve"> </w:t>
      </w:r>
      <w:r>
        <w:t xml:space="preserve">order to make the system more accessible in particular for SMEs and individual designers</w:t>
      </w:r>
      <w:r>
        <w:t xml:space="preserve"> </w:t>
      </w:r>
      <w:r>
        <w:t xml:space="preserve">will therefore need to ensure that this budgetary principle is complied with.</w:t>
      </w:r>
      <w:r>
        <w:t xml:space="preserve"> </w:t>
      </w:r>
      <w:r>
        <w:t xml:space="preserve">This budgetary principle aims at the Community design system to be financially</w:t>
      </w:r>
      <w:r>
        <w:t xml:space="preserve"> </w:t>
      </w:r>
      <w:r>
        <w:t xml:space="preserve">independent of the revenues from EU trade mark fees but does not strive to be cost-based</w:t>
      </w:r>
      <w:r>
        <w:t xml:space="preserve"> </w:t>
      </w:r>
      <w:r>
        <w:t xml:space="preserve">at a granular level to cover the costs of specific administrative acts. Therefore, policy</w:t>
      </w:r>
      <w:r>
        <w:t xml:space="preserve"> </w:t>
      </w:r>
      <w:r>
        <w:t xml:space="preserve">considerations come into play when determining the levels of individual fees, for</w:t>
      </w:r>
      <w:r>
        <w:t xml:space="preserve"> </w:t>
      </w:r>
      <w:r>
        <w:t xml:space="preserve">instance with respect to the fact that fees for renewals also aim at avoiding an extended</w:t>
      </w:r>
      <w:r>
        <w:t xml:space="preserve"> </w:t>
      </w:r>
      <w:r>
        <w:t xml:space="preserve">protection for RCDs which are actually not commercialised.</w:t>
      </w:r>
      <w:r>
        <w:br/>
      </w:r>
      <w:r>
        <w:t xml:space="preserve">RCD revenues account for around 11% of the total fee revenues of the EUIPO – and</w:t>
      </w:r>
      <w:r>
        <w:t xml:space="preserve"> </w:t>
      </w:r>
      <w:r>
        <w:t xml:space="preserve">stood at around EUR 30m145 in 2020. Expenditures directly attributable to RCD account</w:t>
      </w:r>
      <w:r>
        <w:t xml:space="preserve"> </w:t>
      </w:r>
      <w:r>
        <w:t xml:space="preserve">for around 1/3 of the income. The rest is used to finance certain “non-fee producing”</w:t>
      </w:r>
      <w:r>
        <w:t xml:space="preserve"> </w:t>
      </w:r>
      <w:r>
        <w:t xml:space="preserve">activities, including awareness raising activities to promote knowledge and</w:t>
      </w:r>
      <w:r>
        <w:t xml:space="preserve"> </w:t>
      </w:r>
      <w:r>
        <w:t xml:space="preserve">understanding of design protection, and cooperation projects to foster convergence and</w:t>
      </w:r>
      <w:r>
        <w:t xml:space="preserve"> </w:t>
      </w:r>
      <w:r>
        <w:t xml:space="preserve">transparency of practices to the benefit of users of the design protection systems (further</w:t>
      </w:r>
      <w:r>
        <w:t xml:space="preserve"> </w:t>
      </w:r>
      <w:r>
        <w:t xml:space="preserve">details are provided in Annex 7, Section II, 1.b). Consequently, it would be possible to</w:t>
      </w:r>
      <w:r>
        <w:t xml:space="preserve"> </w:t>
      </w:r>
      <w:r>
        <w:t xml:space="preserve">lower fees further but only at the expense of these other activities146. The proposed fee</w:t>
      </w:r>
      <w:r>
        <w:t xml:space="preserve"> </w:t>
      </w:r>
      <w:r>
        <w:t xml:space="preserve">structure aims largely at preserving EUIPO income while shifting incentives for first time</w:t>
      </w:r>
      <w:r>
        <w:t xml:space="preserve"> </w:t>
      </w:r>
      <w:r>
        <w:t xml:space="preserve">application and protection for shorter periods.</w:t>
      </w:r>
      <w:r>
        <w:t xml:space="preserve"> </w:t>
      </w:r>
      <w:r>
        <w:t xml:space="preserve">The EUIPO estimated a total loss of revenue in 2024 at EUR 3.2 million for option 3.1,</w:t>
      </w:r>
      <w:r>
        <w:t xml:space="preserve"> </w:t>
      </w:r>
      <w:r>
        <w:t xml:space="preserve">and 3.16 million for option 3.2. . The real impact on the EUIPO budget will however be</w:t>
      </w:r>
      <w:r>
        <w:t xml:space="preserve"> </w:t>
      </w:r>
      <w:r>
        <w:t xml:space="preserve">smaller due to proceeds from the 4th renewal. Using the forecast from Annex 9, the</w:t>
      </w:r>
      <w:r>
        <w:t xml:space="preserve"> </w:t>
      </w:r>
      <w:r>
        <w:t xml:space="preserve">additional proceeds from the 4th renewal should more than offset all other losses in</w:t>
      </w:r>
      <w:r>
        <w:t xml:space="preserve"> </w:t>
      </w:r>
      <w:r>
        <w:t xml:space="preserve">revenue, resulting in a revenue increase ranging from EUR 0.26 to EUR 1 million.</w:t>
      </w:r>
    </w:p>
    <w:p>
      <w:pPr>
        <w:pStyle w:val="BodyText"/>
      </w:pPr>
      <w:r>
        <w:t xml:space="preserve">145 EUIPO budget 2020 https://euipo.europa.eu/ohimportal/en/transparency-portal/economic/office-budget.</w:t>
      </w:r>
      <w:r>
        <w:br/>
      </w:r>
      <w:r>
        <w:t xml:space="preserve">146 Article 151(1)(c) EUTMR tasks the EUIPO to promote convergence of practices and tools in the area of</w:t>
      </w:r>
      <w:r>
        <w:t xml:space="preserve"> </w:t>
      </w:r>
      <w:r>
        <w:t xml:space="preserve">trade marks and designs. Under Article 152(5) EUTMR, the EUIPO has to provide financial support to</w:t>
      </w:r>
      <w:r>
        <w:t xml:space="preserve"> </w:t>
      </w:r>
      <w:r>
        <w:t xml:space="preserve">relevant cooperation projects with a ceiling of funding of 15% of its yearly revenue.</w:t>
      </w:r>
    </w:p>
    <w:p>
      <w:pPr>
        <w:pStyle w:val="BodyText"/>
      </w:pPr>
      <w:r>
        <w:t xml:space="preserve">46</w:t>
      </w:r>
      <w:r>
        <w:t xml:space="preserve"> </w:t>
      </w:r>
      <w:r>
        <w:t xml:space="preserve">According to EUIPO data, the proposed adjustment of fees following sub-option 3.1 or</w:t>
      </w:r>
      <w:r>
        <w:t xml:space="preserve"> </w:t>
      </w:r>
      <w:r>
        <w:t xml:space="preserve">3.2 does not promise to cause significant (structural) negative budgetary results with</w:t>
      </w:r>
      <w:r>
        <w:t xml:space="preserve"> </w:t>
      </w:r>
      <w:r>
        <w:t xml:space="preserve">respect to RCD related income and expenditure only. Detailed information on the</w:t>
      </w:r>
      <w:r>
        <w:t xml:space="preserve"> </w:t>
      </w:r>
      <w:r>
        <w:t xml:space="preserve">evolution of the EUIPO budget as consequence of the fee adjustments is provided in</w:t>
      </w:r>
      <w:r>
        <w:t xml:space="preserve"> </w:t>
      </w:r>
      <w:r>
        <w:t xml:space="preserve">Annex 7.</w:t>
      </w:r>
      <w:r>
        <w:t xml:space="preserve"> </w:t>
      </w:r>
      <w:r>
        <w:t xml:space="preserve">Impacts on National IP offices</w:t>
      </w:r>
      <w:r>
        <w:t xml:space="preserve"> </w:t>
      </w:r>
      <w:r>
        <w:t xml:space="preserve">In addition, with a view to the relation of coexistence between the Community and the</w:t>
      </w:r>
      <w:r>
        <w:t xml:space="preserve"> </w:t>
      </w:r>
      <w:r>
        <w:t xml:space="preserve">national design systems, it is necessary to also look at the fee levels of national IP offices</w:t>
      </w:r>
      <w:r>
        <w:t xml:space="preserve"> </w:t>
      </w:r>
      <w:r>
        <w:t xml:space="preserve">and compare those with the RCD fees. The creation of excessive benefits of the latter,</w:t>
      </w:r>
      <w:r>
        <w:t xml:space="preserve"> </w:t>
      </w:r>
      <w:r>
        <w:t xml:space="preserve">resulting in a too strong approximation with the fees demanded at national level, could</w:t>
      </w:r>
      <w:r>
        <w:t xml:space="preserve"> </w:t>
      </w:r>
      <w:r>
        <w:t xml:space="preserve">have the undesired effect that the financial advantages of registering their designs as</w:t>
      </w:r>
      <w:r>
        <w:t xml:space="preserve"> </w:t>
      </w:r>
      <w:r>
        <w:t xml:space="preserve">RCDs weigh up to any possible disadvantage of the RCD system or the advantages of</w:t>
      </w:r>
      <w:r>
        <w:t xml:space="preserve"> </w:t>
      </w:r>
      <w:r>
        <w:t xml:space="preserve">seeking national protection regardless of the filer’s actual business needs. This would go</w:t>
      </w:r>
      <w:r>
        <w:t xml:space="preserve"> </w:t>
      </w:r>
      <w:r>
        <w:t xml:space="preserve">against the intention of the Union legislator whereby national design systems shall not be</w:t>
      </w:r>
      <w:r>
        <w:t xml:space="preserve"> </w:t>
      </w:r>
      <w:r>
        <w:t xml:space="preserve">replaced by the RCD regime.</w:t>
      </w:r>
      <w:r>
        <w:br/>
      </w:r>
      <w:r>
        <w:t xml:space="preserve">National design registrations are widely used. In 2019 there were around 120,000 filings</w:t>
      </w:r>
      <w:r>
        <w:t xml:space="preserve"> </w:t>
      </w:r>
      <w:r>
        <w:t xml:space="preserve">at national IP offices, more than to EUIPO. Businesses and especially SMEs participating</w:t>
      </w:r>
      <w:r>
        <w:t xml:space="preserve"> </w:t>
      </w:r>
      <w:r>
        <w:t xml:space="preserve">in the Design evaluation welcomed the coexistence of national and EU systems. National</w:t>
      </w:r>
      <w:r>
        <w:t xml:space="preserve"> </w:t>
      </w:r>
      <w:r>
        <w:t xml:space="preserve">registration was seen as often providing the adequate territorial coverage, allowing for</w:t>
      </w:r>
      <w:r>
        <w:t xml:space="preserve"> </w:t>
      </w:r>
      <w:r>
        <w:t xml:space="preserve">best (strategic) protection of IP according to individual needs and size of company.147</w:t>
      </w:r>
      <w:r>
        <w:t xml:space="preserve"> </w:t>
      </w:r>
      <w:r>
        <w:t xml:space="preserve">A reduction of the basic RCD registration fee would not put coexistence at risk. It is true</w:t>
      </w:r>
      <w:r>
        <w:t xml:space="preserve"> </w:t>
      </w:r>
      <w:r>
        <w:t xml:space="preserve">that this fee cut would bring the RCD registration fee level closer to the registration fee</w:t>
      </w:r>
      <w:r>
        <w:t xml:space="preserve"> </w:t>
      </w:r>
      <w:r>
        <w:t xml:space="preserve">level of national offices for domestic filings. However, a reduced RCD registration fee</w:t>
      </w:r>
      <w:r>
        <w:t xml:space="preserve"> </w:t>
      </w:r>
      <w:r>
        <w:t xml:space="preserve">would still keep a clear and sufficient distance from the comparable fee at national level.</w:t>
      </w:r>
      <w:r>
        <w:t xml:space="preserve"> </w:t>
      </w:r>
      <w:r>
        <w:t xml:space="preserve">The indicative table in Annex 8 shows the levels of design fees requested in each</w:t>
      </w:r>
      <w:r>
        <w:t xml:space="preserve"> </w:t>
      </w:r>
      <w:r>
        <w:t xml:space="preserve">Member State. Taking into account the actual filing volumes of national (regional)</w:t>
      </w:r>
      <w:r>
        <w:t xml:space="preserve"> </w:t>
      </w:r>
      <w:r>
        <w:t xml:space="preserve">designs shown in the same Annex, the average cost of a national design in 2019 was well</w:t>
      </w:r>
      <w:r>
        <w:t xml:space="preserve"> </w:t>
      </w:r>
      <w:r>
        <w:t xml:space="preserve">below EUR 100 for an electronic filing. This average cost for registering a national</w:t>
      </w:r>
      <w:r>
        <w:t xml:space="preserve"> </w:t>
      </w:r>
      <w:r>
        <w:t xml:space="preserve">design is substantially lower than the basic fee of EUR 350 to be paid for the registration</w:t>
      </w:r>
      <w:r>
        <w:t xml:space="preserve"> </w:t>
      </w:r>
      <w:r>
        <w:t xml:space="preserve">of a RCD.</w:t>
      </w:r>
      <w:r>
        <w:t xml:space="preserve"> </w:t>
      </w:r>
      <w:r>
        <w:t xml:space="preserve">Under the current system the basic fee of EUR 350 is equal to (the total) average</w:t>
      </w:r>
      <w:r>
        <w:t xml:space="preserve"> </w:t>
      </w:r>
      <w:r>
        <w:t xml:space="preserve">electronic fees of 4 national offices. The proposed fee of EUR 250 is equivalent to (the</w:t>
      </w:r>
      <w:r>
        <w:t xml:space="preserve"> </w:t>
      </w:r>
      <w:r>
        <w:t xml:space="preserve">total) average fees in almost 3 Member States.</w:t>
      </w:r>
      <w:r>
        <w:br/>
      </w:r>
      <w:r>
        <w:t xml:space="preserve">The aforesaid also applies if one considers the highest current national fees for a single</w:t>
      </w:r>
      <w:r>
        <w:t xml:space="preserve"> </w:t>
      </w:r>
      <w:r>
        <w:t xml:space="preserve">design application equalling to EUR 250 (FI). The national offices currently charging an</w:t>
      </w:r>
      <w:r>
        <w:t xml:space="preserve"> </w:t>
      </w:r>
      <w:r>
        <w:t xml:space="preserve">application fee the amount of which is quite high compared to the level of the</w:t>
      </w:r>
      <w:r>
        <w:t xml:space="preserve"> </w:t>
      </w:r>
      <w:r>
        <w:t xml:space="preserve">corresponding RCD fee would be free to adjust their fee levels accordingly (by reducing</w:t>
      </w:r>
      <w:r>
        <w:t xml:space="preserve"> </w:t>
      </w:r>
      <w:r>
        <w:t xml:space="preserve">the basic registration fee) and ensure a more favourable ratio compared to the EUIPO</w:t>
      </w:r>
      <w:r>
        <w:t xml:space="preserve"> </w:t>
      </w:r>
      <w:r>
        <w:t xml:space="preserve">basic registration fee.</w:t>
      </w:r>
      <w:r>
        <w:t xml:space="preserve"> </w:t>
      </w:r>
      <w:r>
        <w:t xml:space="preserve">It is also noteworthy that during the last decade the number of design applications to</w:t>
      </w:r>
      <w:r>
        <w:t xml:space="preserve"> </w:t>
      </w:r>
      <w:r>
        <w:t xml:space="preserve">national offices remained remarkably stable at around 120,000 a year despite constant</w:t>
      </w:r>
    </w:p>
    <w:p>
      <w:pPr>
        <w:pStyle w:val="BodyText"/>
      </w:pPr>
      <w:r>
        <w:t xml:space="preserve">147 See also Annex 13 for more in-depth analysis of two systems coexistence.</w:t>
      </w:r>
    </w:p>
    <w:p>
      <w:pPr>
        <w:pStyle w:val="BodyText"/>
      </w:pPr>
      <w:r>
        <w:t xml:space="preserve">47</w:t>
      </w:r>
      <w:r>
        <w:t xml:space="preserve"> </w:t>
      </w:r>
      <w:r>
        <w:t xml:space="preserve">growth in RCD application. This could suggest that RCD is not undermining demand for</w:t>
      </w:r>
      <w:r>
        <w:t xml:space="preserve"> </w:t>
      </w:r>
      <w:r>
        <w:t xml:space="preserve">national protection.</w:t>
      </w:r>
      <w:r>
        <w:br/>
      </w:r>
      <w:r>
        <w:t xml:space="preserve">6.4 Options for further harmonisation</w:t>
      </w:r>
      <w:r>
        <w:br/>
      </w:r>
      <w:r>
        <w:t xml:space="preserve">The current scope of harmonisation of industrial design laws in Europe is significantly</w:t>
      </w:r>
      <w:r>
        <w:t xml:space="preserve"> </w:t>
      </w:r>
      <w:r>
        <w:t xml:space="preserve">restricted as the DDir follows a minimum harmonisation approach by limiting its scope</w:t>
      </w:r>
      <w:r>
        <w:t xml:space="preserve"> </w:t>
      </w:r>
      <w:r>
        <w:t xml:space="preserve">to selected substantive law aspects (baseline). The persisting negative effects associated</w:t>
      </w:r>
      <w:r>
        <w:t xml:space="preserve"> </w:t>
      </w:r>
      <w:r>
        <w:t xml:space="preserve">with this option have been clearly described under the</w:t>
      </w:r>
      <w:r>
        <w:t xml:space="preserve"> </w:t>
      </w:r>
      <w:r>
        <w:t xml:space="preserve">‘problem definition’</w:t>
      </w:r>
      <w:r>
        <w:t xml:space="preserve"> </w:t>
      </w:r>
      <w:r>
        <w:t xml:space="preserve">in Section</w:t>
      </w:r>
      <w:r>
        <w:t xml:space="preserve"> </w:t>
      </w:r>
      <w:r>
        <w:t xml:space="preserve">2.1.2 above.</w:t>
      </w:r>
      <w:r>
        <w:br/>
      </w:r>
      <w:r>
        <w:t xml:space="preserve">The First Public Consultation clearly revealed the most relevant areas for further</w:t>
      </w:r>
      <w:r>
        <w:t xml:space="preserve"> </w:t>
      </w:r>
      <w:r>
        <w:t xml:space="preserve">harmonisation. Accordingly, the approximation exercise should focus on the most</w:t>
      </w:r>
      <w:r>
        <w:t xml:space="preserve"> </w:t>
      </w:r>
      <w:r>
        <w:t xml:space="preserve">significant divergences in design laws and procedures causing major problems to the</w:t>
      </w:r>
      <w:r>
        <w:t xml:space="preserve"> </w:t>
      </w:r>
      <w:r>
        <w:t xml:space="preserve">users at both national and EU levels, as described above in section 5.2.3 (Option 4.1).</w:t>
      </w:r>
      <w:r>
        <w:t xml:space="preserve"> </w:t>
      </w:r>
      <w:r>
        <w:t xml:space="preserve">Since only a limited scope of changes would need to be done in Member States’ laws</w:t>
      </w:r>
      <w:r>
        <w:t xml:space="preserve"> </w:t>
      </w:r>
      <w:r>
        <w:t xml:space="preserve">(usually in the form of mere adjustments of existing provisions and not by creating new</w:t>
      </w:r>
      <w:r>
        <w:t xml:space="preserve"> </w:t>
      </w:r>
      <w:r>
        <w:t xml:space="preserve">rules), it is expected that the alignment exercise could be done within a reasonable period</w:t>
      </w:r>
      <w:r>
        <w:t xml:space="preserve"> </w:t>
      </w:r>
      <w:r>
        <w:t xml:space="preserve">of time. Furthermore, to the extent necessary such an approximation of Member States’</w:t>
      </w:r>
      <w:r>
        <w:t xml:space="preserve"> </w:t>
      </w:r>
      <w:r>
        <w:t xml:space="preserve">laws could be pursued together with identical modifications to the RCD regime which</w:t>
      </w:r>
      <w:r>
        <w:t xml:space="preserve"> </w:t>
      </w:r>
      <w:r>
        <w:t xml:space="preserve">would ensure coherence between the two systems. This was not possible at the time of</w:t>
      </w:r>
      <w:r>
        <w:t xml:space="preserve"> </w:t>
      </w:r>
      <w:r>
        <w:t xml:space="preserve">the adoption of the DDir as the CDR was adopted three years later. In the meantime, the</w:t>
      </w:r>
      <w:r>
        <w:t xml:space="preserve"> </w:t>
      </w:r>
      <w:r>
        <w:t xml:space="preserve">RCD system has proved well its merits (as shown by the recent evaluation) and should</w:t>
      </w:r>
      <w:r>
        <w:t xml:space="preserve"> </w:t>
      </w:r>
      <w:r>
        <w:t xml:space="preserve">therefore serve, as much as possible and appropriate, as a benchmark for future alignment</w:t>
      </w:r>
      <w:r>
        <w:t xml:space="preserve"> </w:t>
      </w:r>
      <w:r>
        <w:t xml:space="preserve">of national laws, as it was also the case when aligning Member States’ laws relating to</w:t>
      </w:r>
      <w:r>
        <w:t xml:space="preserve"> </w:t>
      </w:r>
      <w:r>
        <w:t xml:space="preserve">trade marks.</w:t>
      </w:r>
      <w:r>
        <w:br/>
      </w:r>
      <w:r>
        <w:t xml:space="preserve">Under Option 4.2, the scope of the approximation exercise would not be limited to</w:t>
      </w:r>
      <w:r>
        <w:t xml:space="preserve"> </w:t>
      </w:r>
      <w:r>
        <w:t xml:space="preserve">particular aspects of design laws but would encompass the whole range of provisions on</w:t>
      </w:r>
      <w:r>
        <w:t xml:space="preserve"> </w:t>
      </w:r>
      <w:r>
        <w:t xml:space="preserve">substantive law, procedures and practices. Accordingly, the design systems in Europe</w:t>
      </w:r>
      <w:r>
        <w:t xml:space="preserve"> </w:t>
      </w:r>
      <w:r>
        <w:t xml:space="preserve">would evolve from partially coherent and aligned to fully harmonised regimes. However,</w:t>
      </w:r>
      <w:r>
        <w:t xml:space="preserve"> </w:t>
      </w:r>
      <w:r>
        <w:t xml:space="preserve">the analysis of existing problems (Section 2.1.2) has not demonstrated an apparent need</w:t>
      </w:r>
      <w:r>
        <w:t xml:space="preserve"> </w:t>
      </w:r>
      <w:r>
        <w:t xml:space="preserve">for a full scale approximation of all design provisions. As a result, option 4.2 would be</w:t>
      </w:r>
      <w:r>
        <w:t xml:space="preserve"> </w:t>
      </w:r>
      <w:r>
        <w:t xml:space="preserve">disproportionate to the actual needs. Moreover, such a scenario would necessitate far</w:t>
      </w:r>
      <w:r>
        <w:t xml:space="preserve"> </w:t>
      </w:r>
      <w:r>
        <w:t xml:space="preserve">reaching changes at Member States’ level, involving not only amendments to national</w:t>
      </w:r>
      <w:r>
        <w:t xml:space="preserve"> </w:t>
      </w:r>
      <w:r>
        <w:t xml:space="preserve">design laws but possibly also to civil, administrative and other laws.</w:t>
      </w:r>
      <w:r>
        <w:br/>
      </w:r>
      <w:r>
        <w:t xml:space="preserve">When it comes to the implementation of options 4.1 and 4.2, one could consider that the</w:t>
      </w:r>
      <w:r>
        <w:t xml:space="preserve"> </w:t>
      </w:r>
      <w:r>
        <w:t xml:space="preserve">desired approximation of design laws and procedures could be achieved without a</w:t>
      </w:r>
      <w:r>
        <w:t xml:space="preserve"> </w:t>
      </w:r>
      <w:r>
        <w:t xml:space="preserve">legislative intervention at the EU level. In this case, Member States would have to agree</w:t>
      </w:r>
      <w:r>
        <w:t xml:space="preserve"> </w:t>
      </w:r>
      <w:r>
        <w:t xml:space="preserve">on a common approach/benchmark and align, accordingly, their laws and procedures on</w:t>
      </w:r>
      <w:r>
        <w:t xml:space="preserve"> </w:t>
      </w:r>
      <w:r>
        <w:t xml:space="preserve">a voluntary basis (sub-options 4.1a and 4.2a). However, the achievement of the</w:t>
      </w:r>
      <w:r>
        <w:t xml:space="preserve"> </w:t>
      </w:r>
      <w:r>
        <w:t xml:space="preserve">operational objectives identified in Section 4.2 is highly unlikely. Firstly, such a process</w:t>
      </w:r>
      <w:r>
        <w:t xml:space="preserve"> </w:t>
      </w:r>
      <w:r>
        <w:t xml:space="preserve">would be very lengthy given the wide range of existing divergences between national</w:t>
      </w:r>
      <w:r>
        <w:t xml:space="preserve"> </w:t>
      </w:r>
      <w:r>
        <w:t xml:space="preserve">laws. The duration and outcome of such an exercise would fully depend on the</w:t>
      </w:r>
      <w:r>
        <w:t xml:space="preserve"> </w:t>
      </w:r>
      <w:r>
        <w:t xml:space="preserve">commitment of all Member States and their willingness to find common approaches. It is</w:t>
      </w:r>
      <w:r>
        <w:t xml:space="preserve"> </w:t>
      </w:r>
      <w:r>
        <w:t xml:space="preserve">questionable how strong the incentives for this would be, taking into consideration that</w:t>
      </w:r>
      <w:r>
        <w:t xml:space="preserve"> </w:t>
      </w:r>
      <w:r>
        <w:t xml:space="preserve">further harmonisation is called for by industry but not by national administrations.</w:t>
      </w:r>
      <w:r>
        <w:t xml:space="preserve"> </w:t>
      </w:r>
      <w:r>
        <w:t xml:space="preserve">Moreover, it would be very difficult to arrive at a unanimous decision among the 27</w:t>
      </w:r>
      <w:r>
        <w:t xml:space="preserve"> </w:t>
      </w:r>
      <w:r>
        <w:t xml:space="preserve">Member States. Therefore, the process would more likely result in lowest common</w:t>
      </w:r>
      <w:r>
        <w:t xml:space="preserve"> </w:t>
      </w:r>
      <w:r>
        <w:t xml:space="preserve">denominator solutions than the most appropriate ones. Moreover, it might be easier to</w:t>
      </w:r>
    </w:p>
    <w:p>
      <w:pPr>
        <w:pStyle w:val="BodyText"/>
      </w:pPr>
      <w:r>
        <w:t xml:space="preserve">48</w:t>
      </w:r>
      <w:r>
        <w:t xml:space="preserve"> </w:t>
      </w:r>
      <w:r>
        <w:t xml:space="preserve">find a common approach on the less controversial issues whereas there would not be any</w:t>
      </w:r>
      <w:r>
        <w:t xml:space="preserve"> </w:t>
      </w:r>
      <w:r>
        <w:t xml:space="preserve">guarantee that the most serious problems would be properly addressed. Finally, the</w:t>
      </w:r>
      <w:r>
        <w:t xml:space="preserve"> </w:t>
      </w:r>
      <w:r>
        <w:t xml:space="preserve">objective of achieving coherence between national laws and the RCD system would</w:t>
      </w:r>
      <w:r>
        <w:t xml:space="preserve"> </w:t>
      </w:r>
      <w:r>
        <w:t xml:space="preserve">remain out of the reach of this exercise.</w:t>
      </w:r>
      <w:r>
        <w:br/>
      </w:r>
      <w:r>
        <w:t xml:space="preserve">Accordingly, it appears more appropriate to pursue harmonisation by means of an EU-</w:t>
      </w:r>
      <w:r>
        <w:t xml:space="preserve"> </w:t>
      </w:r>
      <w:r>
        <w:t xml:space="preserve">driven action, i.e. a legally binding instrument, to ensure the achievement of the</w:t>
      </w:r>
      <w:r>
        <w:t xml:space="preserve"> </w:t>
      </w:r>
      <w:r>
        <w:t xml:space="preserve">identified objective as regards in particular substantive design laws and procedures (sub-</w:t>
      </w:r>
      <w:r>
        <w:t xml:space="preserve"> </w:t>
      </w:r>
      <w:r>
        <w:t xml:space="preserve">options 4.1b and 4.2b). An exception should however be made with respect to selected</w:t>
      </w:r>
      <w:r>
        <w:t xml:space="preserve"> </w:t>
      </w:r>
      <w:r>
        <w:t xml:space="preserve">very technical issues, such as the divergent, detailed formality requirements for the</w:t>
      </w:r>
      <w:r>
        <w:t xml:space="preserve"> </w:t>
      </w:r>
      <w:r>
        <w:t xml:space="preserve">representation of designs. While it is for example appropriate to abolish the requirement</w:t>
      </w:r>
      <w:r>
        <w:t xml:space="preserve"> </w:t>
      </w:r>
      <w:r>
        <w:t xml:space="preserve">of (static) graphic or photographic reproduction altogether by legislative harmonisation</w:t>
      </w:r>
      <w:r>
        <w:t xml:space="preserve"> </w:t>
      </w:r>
      <w:r>
        <w:t xml:space="preserve">in the DDir148 to remove legal constraints at Member States’ level149, and allow so for the</w:t>
      </w:r>
      <w:r>
        <w:t xml:space="preserve"> </w:t>
      </w:r>
      <w:r>
        <w:t xml:space="preserve">outstanding alignment to the digital age, the use of the existing cooperation framework to</w:t>
      </w:r>
      <w:r>
        <w:t xml:space="preserve"> </w:t>
      </w:r>
      <w:r>
        <w:t xml:space="preserve">foster convergence of practices and tools under Article 152 of the EUTMR seems more</w:t>
      </w:r>
      <w:r>
        <w:t xml:space="preserve"> </w:t>
      </w:r>
      <w:r>
        <w:t xml:space="preserve">suitable for converging on specific technical standards. The latter would allow ensuring</w:t>
      </w:r>
      <w:r>
        <w:t xml:space="preserve"> </w:t>
      </w:r>
      <w:r>
        <w:t xml:space="preserve">certain flexibilities to keep abreast with technical advancement, whilst safeguarding</w:t>
      </w:r>
      <w:r>
        <w:t xml:space="preserve"> </w:t>
      </w:r>
      <w:r>
        <w:t xml:space="preserve">harmonised standards enacted by the competent national authorities, thereby also further</w:t>
      </w:r>
      <w:r>
        <w:t xml:space="preserve"> </w:t>
      </w:r>
      <w:r>
        <w:t xml:space="preserve">improving collaboration within the EUIPN.</w:t>
      </w:r>
      <w:r>
        <w:br/>
      </w:r>
      <w:r>
        <w:t xml:space="preserve">Impacts on users of the registration system</w:t>
      </w:r>
      <w:r>
        <w:t xml:space="preserve"> </w:t>
      </w:r>
      <w:r>
        <w:t xml:space="preserve">Further harmonisation of national laws, in particular procedures is strongly supported by</w:t>
      </w:r>
      <w:r>
        <w:t xml:space="preserve"> </w:t>
      </w:r>
      <w:r>
        <w:t xml:space="preserve">user organisations that represent both large and small design owners, as well as their</w:t>
      </w:r>
      <w:r>
        <w:t xml:space="preserve"> </w:t>
      </w:r>
      <w:r>
        <w:t xml:space="preserve">agents, as the feedback to the two Public Consultations clearly showed. Enhanced</w:t>
      </w:r>
      <w:r>
        <w:t xml:space="preserve"> </w:t>
      </w:r>
      <w:r>
        <w:t xml:space="preserve">harmonisation is expected to have an overwhelmingly positive effect on all those users of</w:t>
      </w:r>
      <w:r>
        <w:t xml:space="preserve"> </w:t>
      </w:r>
      <w:r>
        <w:t xml:space="preserve">the design protection systems. Moreover, there are indications that the impact of the</w:t>
      </w:r>
      <w:r>
        <w:t xml:space="preserve"> </w:t>
      </w:r>
      <w:r>
        <w:t xml:space="preserve">proposed changes will be even more significant and positive for SMEs than for LEs. As</w:t>
      </w:r>
      <w:r>
        <w:t xml:space="preserve"> </w:t>
      </w:r>
      <w:r>
        <w:t xml:space="preserve">described in Section 2.1.2 (problem definition), given the current low level of</w:t>
      </w:r>
      <w:r>
        <w:t xml:space="preserve"> </w:t>
      </w:r>
      <w:r>
        <w:t xml:space="preserve">harmonisation, applicants active in certain Member States are disadvantaged vis-à-vis</w:t>
      </w:r>
      <w:r>
        <w:t xml:space="preserve"> </w:t>
      </w:r>
      <w:r>
        <w:t xml:space="preserve">applicants in other Member States and those that apply for a RCD in terms of speed of</w:t>
      </w:r>
      <w:r>
        <w:t xml:space="preserve"> </w:t>
      </w:r>
      <w:r>
        <w:t xml:space="preserve">registration, access to and costs of the system.</w:t>
      </w:r>
      <w:r>
        <w:br/>
      </w:r>
      <w:r>
        <w:t xml:space="preserve">The proposed abandonment of ex-officio examination of prior art also at national level</w:t>
      </w:r>
      <w:r>
        <w:t xml:space="preserve"> </w:t>
      </w:r>
      <w:r>
        <w:t xml:space="preserve">promises to significantly reduce the duration of registration proceedings in those Member</w:t>
      </w:r>
      <w:r>
        <w:t xml:space="preserve"> </w:t>
      </w:r>
      <w:r>
        <w:t xml:space="preserve">States where it is still carried out (CZ, FI, HU, RO, SK). Businesses will thus be able to</w:t>
      </w:r>
      <w:r>
        <w:t xml:space="preserve"> </w:t>
      </w:r>
      <w:r>
        <w:t xml:space="preserve">ensure protection much faster and at lower costs. In CZ this would affect between 150</w:t>
      </w:r>
      <w:r>
        <w:t xml:space="preserve"> </w:t>
      </w:r>
      <w:r>
        <w:t xml:space="preserve">and 250 applications each year, in Finland between 100 and 140, around 130 in Hungary,</w:t>
      </w:r>
      <w:r>
        <w:t xml:space="preserve"> </w:t>
      </w:r>
      <w:r>
        <w:t xml:space="preserve">from 100 to 170 in SK, and, between 270 and 370 in RO150. Altogether for around 750 to</w:t>
      </w:r>
      <w:r>
        <w:t xml:space="preserve"> </w:t>
      </w:r>
      <w:r>
        <w:t xml:space="preserve">1000 applications annually in the EU, the design registration time could be more than</w:t>
      </w:r>
      <w:r>
        <w:t xml:space="preserve"> </w:t>
      </w:r>
      <w:r>
        <w:t xml:space="preserve">halved (based on comparison with an average registration time in countries without prior</w:t>
      </w:r>
      <w:r>
        <w:t xml:space="preserve"> </w:t>
      </w:r>
      <w:r>
        <w:t xml:space="preserve">art examination).</w:t>
      </w:r>
    </w:p>
    <w:p>
      <w:pPr>
        <w:pStyle w:val="BodyText"/>
      </w:pPr>
      <w:r>
        <w:t xml:space="preserve">148 This would equal the abolition of the requirement of graphic representation in the trade mark reform.</w:t>
      </w:r>
      <w:r>
        <w:t xml:space="preserve"> </w:t>
      </w:r>
      <w:r>
        <w:t xml:space="preserve">149 As identified in the context of cooperation projet CP6, see supra note 86.</w:t>
      </w:r>
      <w:r>
        <w:t xml:space="preserve"> </w:t>
      </w:r>
      <w:r>
        <w:t xml:space="preserve">150 Industrial Property Office of the Czech Republic, Annual Reports 2019 and 2020; Finish Patent and</w:t>
      </w:r>
      <w:r>
        <w:t xml:space="preserve"> </w:t>
      </w:r>
      <w:r>
        <w:t xml:space="preserve">Registration Office website; Hungarian Intellectual Property Office, Annual Report 2018-2019; The</w:t>
      </w:r>
      <w:r>
        <w:t xml:space="preserve"> </w:t>
      </w:r>
      <w:r>
        <w:t xml:space="preserve">Industrial Property Office of the Slovak Republic, Annual Report 2019; State Office for Inventions and</w:t>
      </w:r>
      <w:r>
        <w:t xml:space="preserve"> </w:t>
      </w:r>
      <w:r>
        <w:t xml:space="preserve">Trade marks Romania, Annual Report 2019.</w:t>
      </w:r>
    </w:p>
    <w:p>
      <w:pPr>
        <w:pStyle w:val="BodyText"/>
      </w:pPr>
      <w:r>
        <w:t xml:space="preserve">49</w:t>
      </w:r>
      <w:r>
        <w:t xml:space="preserve"> </w:t>
      </w:r>
      <w:r>
        <w:t xml:space="preserve">Moreover, companies who seek design protection under several national laws depend to a</w:t>
      </w:r>
      <w:r>
        <w:t xml:space="preserve"> </w:t>
      </w:r>
      <w:r>
        <w:t xml:space="preserve">large extent on external expertise. In this context, it is generally perceived, on the basis of</w:t>
      </w:r>
      <w:r>
        <w:t xml:space="preserve"> </w:t>
      </w:r>
      <w:r>
        <w:t xml:space="preserve">contacts with stakeholders, that SMEs, that do not have in-house IP experts, often pay</w:t>
      </w:r>
      <w:r>
        <w:t xml:space="preserve"> </w:t>
      </w:r>
      <w:r>
        <w:t xml:space="preserve">substantially more when it comes to</w:t>
      </w:r>
      <w:r>
        <w:t xml:space="preserve"> </w:t>
      </w:r>
      <w:r>
        <w:t xml:space="preserve">“advisers”</w:t>
      </w:r>
      <w:r>
        <w:t xml:space="preserve"> </w:t>
      </w:r>
      <w:r>
        <w:t xml:space="preserve">fees compared to larger companies which</w:t>
      </w:r>
      <w:r>
        <w:t xml:space="preserve"> </w:t>
      </w:r>
      <w:r>
        <w:t xml:space="preserve">have experienced in-house employees. According to data provided by the Member States</w:t>
      </w:r>
      <w:r>
        <w:t xml:space="preserve"> </w:t>
      </w:r>
      <w:r>
        <w:t xml:space="preserve">for the EUIPN DesignView database, around 45% of applications at national IP offices</w:t>
      </w:r>
      <w:r>
        <w:t xml:space="preserve"> </w:t>
      </w:r>
      <w:r>
        <w:t xml:space="preserve">(or around 60,400 applications) used a legal representative in 2019.</w:t>
      </w:r>
      <w:r>
        <w:br/>
      </w:r>
      <w:r>
        <w:t xml:space="preserve">Ensuring for example that all Member States provide quick and efficient office-based</w:t>
      </w:r>
      <w:r>
        <w:t xml:space="preserve"> </w:t>
      </w:r>
      <w:r>
        <w:t xml:space="preserve">procedures to get an invalid design registration cancelled without having to go to court151</w:t>
      </w:r>
      <w:r>
        <w:t xml:space="preserve"> </w:t>
      </w:r>
      <w:r>
        <w:t xml:space="preserve">at much higher expense and greater delay should be clearly beneficial for both</w:t>
      </w:r>
      <w:r>
        <w:t xml:space="preserve"> </w:t>
      </w:r>
      <w:r>
        <w:t xml:space="preserve">competitors and right holders as the following example of compared costs for respective</w:t>
      </w:r>
      <w:r>
        <w:t xml:space="preserve"> </w:t>
      </w:r>
      <w:r>
        <w:t xml:space="preserve">proceedings for trade marks in Greece illustrates.</w:t>
      </w:r>
      <w:r>
        <w:br/>
      </w:r>
      <w:r>
        <w:t xml:space="preserve">Table 6.6. Costs of invalidity proceedings in Greece</w:t>
      </w:r>
    </w:p>
    <w:p>
      <w:pPr>
        <w:pStyle w:val="BodyText"/>
      </w:pPr>
      <w:r>
        <w:t xml:space="preserve">Official costs</w:t>
      </w:r>
      <w:r>
        <w:t xml:space="preserve"> </w:t>
      </w:r>
      <w:r>
        <w:t xml:space="preserve">Professional fees</w:t>
      </w:r>
      <w:r>
        <w:t xml:space="preserve"> </w:t>
      </w:r>
      <w:r>
        <w:t xml:space="preserve">Judicial design invalidity</w:t>
      </w:r>
      <w:r>
        <w:t xml:space="preserve"> </w:t>
      </w:r>
      <w:r>
        <w:t xml:space="preserve">proceedings (first instance only)</w:t>
      </w:r>
      <w:r>
        <w:t xml:space="preserve"> </w:t>
      </w:r>
      <w:r>
        <w:t xml:space="preserve">Approx. EUR 200 (including</w:t>
      </w:r>
      <w:r>
        <w:t xml:space="preserve"> </w:t>
      </w:r>
      <w:r>
        <w:t xml:space="preserve">process-server fees)</w:t>
      </w:r>
      <w:r>
        <w:t xml:space="preserve"> </w:t>
      </w:r>
      <w:r>
        <w:t xml:space="preserve">EUR 6,000 to</w:t>
      </w:r>
      <w:r>
        <w:br/>
      </w:r>
      <w:r>
        <w:t xml:space="preserve">EUR 12,000</w:t>
      </w:r>
      <w:r>
        <w:t xml:space="preserve"> </w:t>
      </w:r>
      <w:r>
        <w:t xml:space="preserve">Administrative trade mark invalidity</w:t>
      </w:r>
      <w:r>
        <w:t xml:space="preserve"> </w:t>
      </w:r>
      <w:r>
        <w:t xml:space="preserve">proceedings (first instance only)</w:t>
      </w:r>
      <w:r>
        <w:t xml:space="preserve"> </w:t>
      </w:r>
      <w:r>
        <w:t xml:space="preserve">EUR 114 (plus process-server fees</w:t>
      </w:r>
      <w:r>
        <w:t xml:space="preserve"> </w:t>
      </w:r>
      <w:r>
        <w:t xml:space="preserve">etc., in total approx. EUR 200)</w:t>
      </w:r>
      <w:r>
        <w:t xml:space="preserve"> </w:t>
      </w:r>
      <w:r>
        <w:t xml:space="preserve">EUR 2,000 to</w:t>
      </w:r>
      <w:r>
        <w:t xml:space="preserve"> </w:t>
      </w:r>
      <w:r>
        <w:t xml:space="preserve">EUR 5,000</w:t>
      </w:r>
      <w:r>
        <w:t xml:space="preserve"> </w:t>
      </w:r>
      <w:r>
        <w:t xml:space="preserve">Source: ECTA data152, comparable complete information not available for other Member States, mainly as</w:t>
      </w:r>
      <w:r>
        <w:t xml:space="preserve"> </w:t>
      </w:r>
      <w:r>
        <w:t xml:space="preserve">Member States are still in transposition period and system and reporting is not yet set up everywhere.</w:t>
      </w:r>
      <w:r>
        <w:t xml:space="preserve"> </w:t>
      </w:r>
      <w:r>
        <w:t xml:space="preserve">The introduction of office-based design invalidity proceedings in Germany in 2015</w:t>
      </w:r>
      <w:r>
        <w:t xml:space="preserve"> </w:t>
      </w:r>
      <w:r>
        <w:t xml:space="preserve">serves as good example of substantial cost benefits achieved for businesses. While in the</w:t>
      </w:r>
      <w:r>
        <w:t xml:space="preserve"> </w:t>
      </w:r>
      <w:r>
        <w:t xml:space="preserve">past for judicial design invalidity proceedings court fees of EUR 1,638 were to be</w:t>
      </w:r>
      <w:r>
        <w:t xml:space="preserve"> </w:t>
      </w:r>
      <w:r>
        <w:t xml:space="preserve">paid153, since the reform of legislation there only an official fee of EUR 300 is payable to</w:t>
      </w:r>
      <w:r>
        <w:t xml:space="preserve"> </w:t>
      </w:r>
      <w:r>
        <w:t xml:space="preserve">the German Patent and Trade Mark Office for the filing of an application for declaration</w:t>
      </w:r>
      <w:r>
        <w:t xml:space="preserve"> </w:t>
      </w:r>
      <w:r>
        <w:t xml:space="preserve">of invalidity.</w:t>
      </w:r>
      <w:r>
        <w:br/>
      </w:r>
      <w:r>
        <w:t xml:space="preserve">In response to the Second Public Consultation an overwhelming majority of respondents,</w:t>
      </w:r>
      <w:r>
        <w:t xml:space="preserve"> </w:t>
      </w:r>
      <w:r>
        <w:t xml:space="preserve">including associations of IP right owners and IP attorneys and agents expressed strong</w:t>
      </w:r>
      <w:r>
        <w:t xml:space="preserve"> </w:t>
      </w:r>
      <w:r>
        <w:t xml:space="preserve">support for making the provision of such office-based invalidity procedures mandatory at</w:t>
      </w:r>
      <w:r>
        <w:t xml:space="preserve"> </w:t>
      </w:r>
      <w:r>
        <w:t xml:space="preserve">national level. In that context, the establishment of office-based cancellation proceedings</w:t>
      </w:r>
      <w:r>
        <w:t xml:space="preserve"> </w:t>
      </w:r>
      <w:r>
        <w:t xml:space="preserve">in the area of trade marks were much praised to have been an effective means to reduce</w:t>
      </w:r>
      <w:r>
        <w:t xml:space="preserve"> </w:t>
      </w:r>
      <w:r>
        <w:t xml:space="preserve">costs and burdens for businesses, and SMEs in particular.</w:t>
      </w:r>
      <w:r>
        <w:br/>
      </w:r>
      <w:r>
        <w:t xml:space="preserve">Impacts on National IP offices</w:t>
      </w:r>
      <w:r>
        <w:br/>
      </w:r>
      <w:r>
        <w:t xml:space="preserve">Option 4.1b would imply the obligation for Member States to adapt, accordingly, their</w:t>
      </w:r>
      <w:r>
        <w:t xml:space="preserve"> </w:t>
      </w:r>
      <w:r>
        <w:t xml:space="preserve">national legislations. Considering the heterogeneity in design systems, it is impossible to</w:t>
      </w:r>
      <w:r>
        <w:t xml:space="preserve"> </w:t>
      </w:r>
      <w:r>
        <w:t xml:space="preserve">draw a general conclusion, for example, as to whether these adaptations would be more</w:t>
      </w:r>
      <w:r>
        <w:t xml:space="preserve"> </w:t>
      </w:r>
      <w:r>
        <w:t xml:space="preserve">burdensome for small national offices than for big ones or vice versa.</w:t>
      </w:r>
      <w:r>
        <w:br/>
      </w:r>
      <w:r>
        <w:t xml:space="preserve">In terms of cost, because of the heterogeneity of national design systems, it is assumed</w:t>
      </w:r>
      <w:r>
        <w:t xml:space="preserve"> </w:t>
      </w:r>
      <w:r>
        <w:t xml:space="preserve">that certain national offices would bear variable additional costs linked to further</w:t>
      </w:r>
    </w:p>
    <w:p>
      <w:pPr>
        <w:pStyle w:val="BodyText"/>
      </w:pPr>
      <w:r>
        <w:t xml:space="preserve">151 For Member States providing office-based invalidity procedures on one side and those providing for</w:t>
      </w:r>
      <w:r>
        <w:t xml:space="preserve"> </w:t>
      </w:r>
      <w:r>
        <w:t xml:space="preserve">judicial invalidity procedures before the competent court on the other, see supra notes 80 and 81.</w:t>
      </w:r>
      <w:r>
        <w:t xml:space="preserve"> </w:t>
      </w:r>
      <w:r>
        <w:t xml:space="preserve">152 The indicated amounts of fees may fluctuate significantly, depending on the complexity of the case and</w:t>
      </w:r>
      <w:r>
        <w:t xml:space="preserve"> </w:t>
      </w:r>
      <w:r>
        <w:t xml:space="preserve">the professional representation obtained. They are based on expert experience and assume average</w:t>
      </w:r>
      <w:r>
        <w:t xml:space="preserve"> </w:t>
      </w:r>
      <w:r>
        <w:t xml:space="preserve">complexity of the case at issue.</w:t>
      </w:r>
      <w:r>
        <w:br/>
      </w:r>
      <w:r>
        <w:t xml:space="preserve">153 This concerned a case of average value of dispute of EUR 50,000.</w:t>
      </w:r>
    </w:p>
    <w:p>
      <w:pPr>
        <w:pStyle w:val="BodyText"/>
      </w:pPr>
      <w:r>
        <w:t xml:space="preserve">50</w:t>
      </w:r>
      <w:r>
        <w:t xml:space="preserve"> </w:t>
      </w:r>
      <w:r>
        <w:t xml:space="preserve">harmonisation efforts in the short to medium term. Such costs and/or cost savings for</w:t>
      </w:r>
      <w:r>
        <w:t xml:space="preserve"> </w:t>
      </w:r>
      <w:r>
        <w:t xml:space="preserve">each and every national design system can only be calculated at national level in the light</w:t>
      </w:r>
      <w:r>
        <w:t xml:space="preserve"> </w:t>
      </w:r>
      <w:r>
        <w:t xml:space="preserve">of the peculiarities of each design system. However, most changes in the EU legislation</w:t>
      </w:r>
      <w:r>
        <w:t xml:space="preserve"> </w:t>
      </w:r>
      <w:r>
        <w:t xml:space="preserve">would not entail major changes to existing laws and essentially bring more clarity,</w:t>
      </w:r>
      <w:r>
        <w:t xml:space="preserve"> </w:t>
      </w:r>
      <w:r>
        <w:t xml:space="preserve">consistency and legal certainty without any significant impact on resources and structures</w:t>
      </w:r>
      <w:r>
        <w:t xml:space="preserve"> </w:t>
      </w:r>
      <w:r>
        <w:t xml:space="preserve">(see Annex 5, Section 4).</w:t>
      </w:r>
      <w:r>
        <w:br/>
      </w:r>
      <w:r>
        <w:t xml:space="preserve">The few changes that might have a significant impact on some national systems relate</w:t>
      </w:r>
      <w:r>
        <w:t xml:space="preserve"> </w:t>
      </w:r>
      <w:r>
        <w:t xml:space="preserve">foremost to the setting up of administrative invalidity procedures in the Member States</w:t>
      </w:r>
      <w:r>
        <w:t xml:space="preserve"> </w:t>
      </w:r>
      <w:r>
        <w:t xml:space="preserve">where such procedures do not already exist. The establishment of such office-based</w:t>
      </w:r>
      <w:r>
        <w:t xml:space="preserve"> </w:t>
      </w:r>
      <w:r>
        <w:t xml:space="preserve">procedures might involve substantial expenses for smaller IP Offices. This could be</w:t>
      </w:r>
      <w:r>
        <w:t xml:space="preserve"> </w:t>
      </w:r>
      <w:r>
        <w:t xml:space="preserve">particularly problematic in countries where only very few invalidity cases are currently</w:t>
      </w:r>
      <w:r>
        <w:t xml:space="preserve"> </w:t>
      </w:r>
      <w:r>
        <w:t xml:space="preserve">brought before their courts. A reason for such low numbers could however be precisely</w:t>
      </w:r>
      <w:r>
        <w:t xml:space="preserve"> </w:t>
      </w:r>
      <w:r>
        <w:t xml:space="preserve">the existing lack of efficient proceedings to contest invalid registrations. In any case,</w:t>
      </w:r>
      <w:r>
        <w:t xml:space="preserve"> </w:t>
      </w:r>
      <w:r>
        <w:t xml:space="preserve">office-based invalidity procedures have already been established everywhere for the</w:t>
      </w:r>
      <w:r>
        <w:t xml:space="preserve"> </w:t>
      </w:r>
      <w:r>
        <w:t xml:space="preserve">cancellation of trade marks in transposition of the reformed Trade Mark Directive such</w:t>
      </w:r>
      <w:r>
        <w:t xml:space="preserve"> </w:t>
      </w:r>
      <w:r>
        <w:t xml:space="preserve">that it should be possible to use synergies in that context. Moreover, and as much</w:t>
      </w:r>
      <w:r>
        <w:t xml:space="preserve"> </w:t>
      </w:r>
      <w:r>
        <w:t xml:space="preserve">supported by stakeholders in response to the Second Public Consultation, cooperation</w:t>
      </w:r>
      <w:r>
        <w:t xml:space="preserve"> </w:t>
      </w:r>
      <w:r>
        <w:t xml:space="preserve">between the EUIPO and national IP offices could be extended appropriately to assist in</w:t>
      </w:r>
      <w:r>
        <w:t xml:space="preserve"> </w:t>
      </w:r>
      <w:r>
        <w:t xml:space="preserve">capacity building and cushion negative impacts on that part of smaller IP offices with</w:t>
      </w:r>
      <w:r>
        <w:t xml:space="preserve"> </w:t>
      </w:r>
      <w:r>
        <w:t xml:space="preserve">only few cases to deal with.</w:t>
      </w:r>
      <w:r>
        <w:br/>
      </w:r>
      <w:r>
        <w:t xml:space="preserve">Option 4.1b would contribute to improving the efficiency and effectiveness of procedures</w:t>
      </w:r>
      <w:r>
        <w:t xml:space="preserve"> </w:t>
      </w:r>
      <w:r>
        <w:t xml:space="preserve">at European IP offices and eventually lead to significant cost savings. As such, it would</w:t>
      </w:r>
      <w:r>
        <w:t xml:space="preserve"> </w:t>
      </w:r>
      <w:r>
        <w:t xml:space="preserve">also increase the competitiveness of national offices and allow them to extend the scope</w:t>
      </w:r>
      <w:r>
        <w:t xml:space="preserve"> </w:t>
      </w:r>
      <w:r>
        <w:t xml:space="preserve">of cooperation with OHIM and other IP offices to the procedural areas concerned (such</w:t>
      </w:r>
      <w:r>
        <w:t xml:space="preserve"> </w:t>
      </w:r>
      <w:r>
        <w:t xml:space="preserve">as that concerning invalidity of a design). Data supporting such costs and/or cost savings</w:t>
      </w:r>
      <w:r>
        <w:t xml:space="preserve"> </w:t>
      </w:r>
      <w:r>
        <w:t xml:space="preserve">are however not available.</w:t>
      </w:r>
      <w:r>
        <w:br/>
      </w:r>
      <w:r>
        <w:t xml:space="preserve">7.</w:t>
      </w:r>
      <w:r>
        <w:t xml:space="preserve"> </w:t>
      </w:r>
      <w:r>
        <w:t xml:space="preserve">HOW DO THE OPTIONS COMPARE?</w:t>
      </w:r>
      <w:r>
        <w:t xml:space="preserve"> </w:t>
      </w:r>
      <w:r>
        <w:t xml:space="preserve">The following tables provide information comparing the policy options in light of the</w:t>
      </w:r>
      <w:r>
        <w:t xml:space="preserve"> </w:t>
      </w:r>
      <w:r>
        <w:t xml:space="preserve">effectiveness and efficiency criteria as well as impact on most affected stakeholders.</w:t>
      </w:r>
      <w:r>
        <w:t xml:space="preserve"> </w:t>
      </w:r>
      <w:r>
        <w:t xml:space="preserve">Except for Option 2 whose efficiency depends on choice of option 3, there is no impact</w:t>
      </w:r>
      <w:r>
        <w:t xml:space="preserve"> </w:t>
      </w:r>
      <w:r>
        <w:t xml:space="preserve">of policy options on effectiveness or efficiency of other options. Thus they can be</w:t>
      </w:r>
      <w:r>
        <w:t xml:space="preserve"> </w:t>
      </w:r>
      <w:r>
        <w:t xml:space="preserve">considered independently of each other.</w:t>
      </w:r>
      <w:r>
        <w:t xml:space="preserve"> </w:t>
      </w:r>
      <w:r>
        <w:t xml:space="preserve">Table 7.1 Comparison of policy options against effectiveness and efficiency criteria</w:t>
      </w:r>
      <w:r>
        <w:t xml:space="preserve"> </w:t>
      </w:r>
      <w:r>
        <w:t xml:space="preserve">Option</w:t>
      </w:r>
      <w:r>
        <w:t xml:space="preserve"> </w:t>
      </w:r>
      <w:r>
        <w:t xml:space="preserve">Effectiveness (contribution to achieving objectives)</w:t>
      </w:r>
      <w:r>
        <w:t xml:space="preserve"> </w:t>
      </w:r>
      <w:r>
        <w:t xml:space="preserve">Efficiency</w:t>
      </w:r>
      <w:r>
        <w:t xml:space="preserve"> </w:t>
      </w:r>
      <w:r>
        <w:t xml:space="preserve">(costs and benefits)</w:t>
      </w:r>
    </w:p>
    <w:p>
      <w:pPr>
        <w:pStyle w:val="BodyText"/>
      </w:pPr>
      <w:r>
        <w:t xml:space="preserve">Objective 1: Opening up the</w:t>
      </w:r>
      <w:r>
        <w:t xml:space="preserve"> </w:t>
      </w:r>
      <w:r>
        <w:t xml:space="preserve">spare parts aftermarket to</w:t>
      </w:r>
      <w:r>
        <w:t xml:space="preserve"> </w:t>
      </w:r>
      <w:r>
        <w:t xml:space="preserve">competition</w:t>
      </w:r>
      <w:r>
        <w:t xml:space="preserve"> </w:t>
      </w:r>
      <w:r>
        <w:t xml:space="preserve">Objective 3: Enhancing</w:t>
      </w:r>
      <w:r>
        <w:t xml:space="preserve"> </w:t>
      </w:r>
      <w:r>
        <w:t xml:space="preserve">complementarity and</w:t>
      </w:r>
      <w:r>
        <w:t xml:space="preserve"> </w:t>
      </w:r>
      <w:r>
        <w:t xml:space="preserve">interoperability between the</w:t>
      </w:r>
      <w:r>
        <w:t xml:space="preserve"> </w:t>
      </w:r>
      <w:r>
        <w:t xml:space="preserve">RCD and national design</w:t>
      </w:r>
      <w:r>
        <w:t xml:space="preserve"> </w:t>
      </w:r>
      <w:r>
        <w:t xml:space="preserve">systems</w:t>
      </w:r>
      <w:r>
        <w:t xml:space="preserve"> </w:t>
      </w:r>
      <w:r>
        <w:t xml:space="preserve">Baseline</w:t>
      </w:r>
      <w:r>
        <w:t xml:space="preserve"> </w:t>
      </w:r>
      <w:r>
        <w:t xml:space="preserve">(0) Entry cost is increasing thus</w:t>
      </w:r>
      <w:r>
        <w:t xml:space="preserve"> </w:t>
      </w:r>
      <w:r>
        <w:t xml:space="preserve">status quo may result in less</w:t>
      </w:r>
      <w:r>
        <w:t xml:space="preserve"> </w:t>
      </w:r>
      <w:r>
        <w:t xml:space="preserve">competition in the future</w:t>
      </w:r>
      <w:r>
        <w:t xml:space="preserve"> </w:t>
      </w:r>
      <w:r>
        <w:t xml:space="preserve">Potential brake for the</w:t>
      </w:r>
      <w:r>
        <w:t xml:space="preserve"> </w:t>
      </w:r>
      <w:r>
        <w:t xml:space="preserve">development of repair markets</w:t>
      </w:r>
      <w:r>
        <w:t xml:space="preserve"> </w:t>
      </w:r>
      <w:r>
        <w:t xml:space="preserve">(0) Divergent rules remain in</w:t>
      </w:r>
      <w:r>
        <w:t xml:space="preserve"> </w:t>
      </w:r>
      <w:r>
        <w:t xml:space="preserve">place (due to narrower scope of</w:t>
      </w:r>
      <w:r>
        <w:t xml:space="preserve"> </w:t>
      </w:r>
      <w:r>
        <w:t xml:space="preserve">RCD rights businesses will</w:t>
      </w:r>
      <w:r>
        <w:t xml:space="preserve"> </w:t>
      </w:r>
      <w:r>
        <w:t xml:space="preserve">continue using national design</w:t>
      </w:r>
      <w:r>
        <w:t xml:space="preserve"> </w:t>
      </w:r>
      <w:r>
        <w:t xml:space="preserve">regimes instead of RCD system</w:t>
      </w:r>
      <w:r>
        <w:t xml:space="preserve"> </w:t>
      </w:r>
      <w:r>
        <w:t xml:space="preserve">despite the latter suiting EU-wide</w:t>
      </w:r>
      <w:r>
        <w:t xml:space="preserve"> </w:t>
      </w:r>
      <w:r>
        <w:t xml:space="preserve">activity much better)</w:t>
      </w:r>
    </w:p>
    <w:p>
      <w:pPr>
        <w:pStyle w:val="BodyText"/>
      </w:pPr>
      <w:r>
        <w:t xml:space="preserve">Net effect: (0)</w:t>
      </w:r>
      <w:r>
        <w:t xml:space="preserve"> </w:t>
      </w:r>
      <w:r>
        <w:t xml:space="preserve">Cost for consumers: EUR 415-663m per year,</w:t>
      </w:r>
      <w:r>
        <w:t xml:space="preserve"> </w:t>
      </w:r>
      <w:r>
        <w:t xml:space="preserve">diminishing with time if more countries decide</w:t>
      </w:r>
      <w:r>
        <w:t xml:space="preserve"> </w:t>
      </w:r>
      <w:r>
        <w:t xml:space="preserve">to liberalise (e.g. FR from 2023 for new</w:t>
      </w:r>
      <w:r>
        <w:t xml:space="preserve"> </w:t>
      </w:r>
      <w:r>
        <w:t xml:space="preserve">designs only)</w:t>
      </w:r>
    </w:p>
    <w:p>
      <w:pPr>
        <w:pStyle w:val="BodyText"/>
      </w:pPr>
      <w:r>
        <w:t xml:space="preserve">51</w:t>
      </w:r>
      <w:r>
        <w:t xml:space="preserve"> </w:t>
      </w:r>
      <w:r>
        <w:t xml:space="preserve">Option 1.1</w:t>
      </w:r>
      <w:r>
        <w:br/>
      </w:r>
      <w:r>
        <w:t xml:space="preserve">Full liberalisation</w:t>
      </w:r>
      <w:r>
        <w:t xml:space="preserve"> </w:t>
      </w:r>
      <w:r>
        <w:t xml:space="preserve">for all designs</w:t>
      </w:r>
      <w:r>
        <w:t xml:space="preserve"> </w:t>
      </w:r>
      <w:r>
        <w:t xml:space="preserve">(++) Most benefits to customers</w:t>
      </w:r>
      <w:r>
        <w:t xml:space="preserve"> </w:t>
      </w:r>
      <w:r>
        <w:t xml:space="preserve">In line with EU antitrust regime</w:t>
      </w:r>
      <w:r>
        <w:t xml:space="preserve"> </w:t>
      </w:r>
      <w:r>
        <w:t xml:space="preserve">Legal certainty from day 1</w:t>
      </w:r>
      <w:r>
        <w:t xml:space="preserve"> </w:t>
      </w:r>
      <w:r>
        <w:t xml:space="preserve">Unclear impact on investment</w:t>
      </w:r>
      <w:r>
        <w:t xml:space="preserve"> </w:t>
      </w:r>
      <w:r>
        <w:t xml:space="preserve">(++) Full harmonisation</w:t>
      </w:r>
      <w:r>
        <w:t xml:space="preserve"> </w:t>
      </w:r>
      <w:r>
        <w:t xml:space="preserve">Net effect: (++)</w:t>
      </w:r>
      <w:r>
        <w:t xml:space="preserve"> </w:t>
      </w:r>
      <w:r>
        <w:t xml:space="preserve">Benefit to consumer: EUR 415-663m per year</w:t>
      </w:r>
      <w:r>
        <w:t xml:space="preserve"> </w:t>
      </w:r>
      <w:r>
        <w:t xml:space="preserve">Cost for VM: loss of income corresponding to</w:t>
      </w:r>
      <w:r>
        <w:t xml:space="preserve"> </w:t>
      </w:r>
      <w:r>
        <w:t xml:space="preserve">consumer benefit resulting from increased</w:t>
      </w:r>
      <w:r>
        <w:t xml:space="preserve"> </w:t>
      </w:r>
      <w:r>
        <w:t xml:space="preserve">competitive pressure;</w:t>
      </w:r>
    </w:p>
    <w:p>
      <w:pPr>
        <w:pStyle w:val="BodyText"/>
      </w:pPr>
      <w:r>
        <w:t xml:space="preserve">Option 1.2</w:t>
      </w:r>
      <w:r>
        <w:t xml:space="preserve"> </w:t>
      </w:r>
      <w:r>
        <w:t xml:space="preserve">Instant full</w:t>
      </w:r>
      <w:r>
        <w:t xml:space="preserve"> </w:t>
      </w:r>
      <w:r>
        <w:t xml:space="preserve">liberalisation for</w:t>
      </w:r>
      <w:r>
        <w:t xml:space="preserve"> </w:t>
      </w:r>
      <w:r>
        <w:t xml:space="preserve">new designs</w:t>
      </w:r>
      <w:r>
        <w:t xml:space="preserve"> </w:t>
      </w:r>
      <w:r>
        <w:t xml:space="preserve">followed by full</w:t>
      </w:r>
      <w:r>
        <w:t xml:space="preserve"> </w:t>
      </w:r>
      <w:r>
        <w:t xml:space="preserve">liberalisation for old</w:t>
      </w:r>
      <w:r>
        <w:t xml:space="preserve"> </w:t>
      </w:r>
      <w:r>
        <w:t xml:space="preserve">designs after</w:t>
      </w:r>
      <w:r>
        <w:t xml:space="preserve"> </w:t>
      </w:r>
      <w:r>
        <w:t xml:space="preserve">transitional period</w:t>
      </w:r>
      <w:r>
        <w:t xml:space="preserve"> </w:t>
      </w:r>
      <w:r>
        <w:t xml:space="preserve">(+) During the 10 year</w:t>
      </w:r>
      <w:r>
        <w:t xml:space="preserve"> </w:t>
      </w:r>
      <w:r>
        <w:t xml:space="preserve">transition, benefits to</w:t>
      </w:r>
      <w:r>
        <w:t xml:space="preserve"> </w:t>
      </w:r>
      <w:r>
        <w:t xml:space="preserve">consumers limited to new</w:t>
      </w:r>
      <w:r>
        <w:t xml:space="preserve"> </w:t>
      </w:r>
      <w:r>
        <w:t xml:space="preserve">deigns</w:t>
      </w:r>
      <w:r>
        <w:t xml:space="preserve"> </w:t>
      </w:r>
      <w:r>
        <w:t xml:space="preserve">Transition allows firms to</w:t>
      </w:r>
      <w:r>
        <w:t xml:space="preserve"> </w:t>
      </w:r>
      <w:r>
        <w:t xml:space="preserve">accommodate</w:t>
      </w:r>
      <w:r>
        <w:t xml:space="preserve"> </w:t>
      </w:r>
      <w:r>
        <w:t xml:space="preserve">Limited legal certainty during</w:t>
      </w:r>
      <w:r>
        <w:t xml:space="preserve"> </w:t>
      </w:r>
      <w:r>
        <w:t xml:space="preserve">transition period</w:t>
      </w:r>
      <w:r>
        <w:t xml:space="preserve"> </w:t>
      </w:r>
      <w:r>
        <w:t xml:space="preserve">Unclear impact on investment</w:t>
      </w:r>
      <w:r>
        <w:t xml:space="preserve"> </w:t>
      </w:r>
      <w:r>
        <w:t xml:space="preserve">(+) Full harmonisation will be</w:t>
      </w:r>
      <w:r>
        <w:t xml:space="preserve"> </w:t>
      </w:r>
      <w:r>
        <w:t xml:space="preserve">achieved after the transition</w:t>
      </w:r>
      <w:r>
        <w:t xml:space="preserve"> </w:t>
      </w:r>
      <w:r>
        <w:t xml:space="preserve">period of 10 years</w:t>
      </w:r>
      <w:r>
        <w:t xml:space="preserve"> </w:t>
      </w:r>
      <w:r>
        <w:t xml:space="preserve">Net effect: (+)</w:t>
      </w:r>
      <w:r>
        <w:t xml:space="preserve"> </w:t>
      </w:r>
      <w:r>
        <w:t xml:space="preserve">Benefit to consumers: (+) During the 10 year</w:t>
      </w:r>
      <w:r>
        <w:t xml:space="preserve"> </w:t>
      </w:r>
      <w:r>
        <w:t xml:space="preserve">transition each year benefits will increase by</w:t>
      </w:r>
      <w:r>
        <w:t xml:space="preserve"> </w:t>
      </w:r>
      <w:r>
        <w:t xml:space="preserve">EUR 4 to 13 m per year to reach up to 10-20%</w:t>
      </w:r>
      <w:r>
        <w:t xml:space="preserve"> </w:t>
      </w:r>
      <w:r>
        <w:t xml:space="preserve">of Opt. 1.1 value. After the transition period</w:t>
      </w:r>
      <w:r>
        <w:t xml:space="preserve"> </w:t>
      </w:r>
      <w:r>
        <w:t xml:space="preserve">annual benefits will be net present value of</w:t>
      </w:r>
      <w:r>
        <w:t xml:space="preserve"> </w:t>
      </w:r>
      <w:r>
        <w:t xml:space="preserve">Opt. 1.1. (EUR 340-544m* after 10 years);</w:t>
      </w:r>
      <w:r>
        <w:t xml:space="preserve"> </w:t>
      </w:r>
      <w:r>
        <w:t xml:space="preserve">Cost for VM: loss of income corresponding to</w:t>
      </w:r>
      <w:r>
        <w:t xml:space="preserve"> </w:t>
      </w:r>
      <w:r>
        <w:t xml:space="preserve">consumer benefit resulting from increased</w:t>
      </w:r>
      <w:r>
        <w:t xml:space="preserve"> </w:t>
      </w:r>
      <w:r>
        <w:t xml:space="preserve">competitive pressure;</w:t>
      </w:r>
      <w:r>
        <w:t xml:space="preserve"> </w:t>
      </w:r>
      <w:r>
        <w:t xml:space="preserve">Option 1.3</w:t>
      </w:r>
      <w:r>
        <w:t xml:space="preserve"> </w:t>
      </w:r>
      <w:r>
        <w:t xml:space="preserve">Full liberalisation</w:t>
      </w:r>
      <w:r>
        <w:t xml:space="preserve"> </w:t>
      </w:r>
      <w:r>
        <w:t xml:space="preserve">for new designs</w:t>
      </w:r>
      <w:r>
        <w:t xml:space="preserve"> </w:t>
      </w:r>
      <w:r>
        <w:t xml:space="preserve">(0/+) Existing designs can be</w:t>
      </w:r>
      <w:r>
        <w:t xml:space="preserve"> </w:t>
      </w:r>
      <w:r>
        <w:t xml:space="preserve">protected up to 25 years,</w:t>
      </w:r>
      <w:r>
        <w:t xml:space="preserve"> </w:t>
      </w:r>
      <w:r>
        <w:t xml:space="preserve">liberalisation afterwards</w:t>
      </w:r>
      <w:r>
        <w:t xml:space="preserve"> </w:t>
      </w:r>
      <w:r>
        <w:t xml:space="preserve">Limited legal certainty</w:t>
      </w:r>
      <w:r>
        <w:t xml:space="preserve"> </w:t>
      </w:r>
      <w:r>
        <w:t xml:space="preserve">Unclear impact on investment</w:t>
      </w:r>
      <w:r>
        <w:t xml:space="preserve"> </w:t>
      </w:r>
      <w:r>
        <w:t xml:space="preserve">(0) Full harmonisation will not</w:t>
      </w:r>
      <w:r>
        <w:t xml:space="preserve"> </w:t>
      </w:r>
      <w:r>
        <w:t xml:space="preserve">be achieved until existing designs</w:t>
      </w:r>
      <w:r>
        <w:t xml:space="preserve"> </w:t>
      </w:r>
      <w:r>
        <w:t xml:space="preserve">are on the market (up to 25 years)</w:t>
      </w:r>
      <w:r>
        <w:t xml:space="preserve"> </w:t>
      </w:r>
      <w:r>
        <w:t xml:space="preserve">Net effect: (0/+)</w:t>
      </w:r>
      <w:r>
        <w:t xml:space="preserve"> </w:t>
      </w:r>
      <w:r>
        <w:t xml:space="preserve">Benefit to consumer: (+) After first 10 years</w:t>
      </w:r>
      <w:r>
        <w:t xml:space="preserve"> </w:t>
      </w:r>
      <w:r>
        <w:t xml:space="preserve">10-20% of Opt.1.1 benefits, after 15 years 15-</w:t>
      </w:r>
      <w:r>
        <w:t xml:space="preserve"> </w:t>
      </w:r>
      <w:r>
        <w:t xml:space="preserve">30%, after 20 years 20-40%. EUR 415-663m</w:t>
      </w:r>
      <w:r>
        <w:t xml:space="preserve"> </w:t>
      </w:r>
      <w:r>
        <w:t xml:space="preserve">per year only after current designs no longer</w:t>
      </w:r>
      <w:r>
        <w:t xml:space="preserve"> </w:t>
      </w:r>
      <w:r>
        <w:t xml:space="preserve">available on the market, thus far lower benefit</w:t>
      </w:r>
      <w:r>
        <w:t xml:space="preserve"> </w:t>
      </w:r>
      <w:r>
        <w:t xml:space="preserve">in discounted net present value terms (EUR</w:t>
      </w:r>
      <w:r>
        <w:t xml:space="preserve"> </w:t>
      </w:r>
      <w:r>
        <w:t xml:space="preserve">253-404m after 25 years</w:t>
      </w:r>
      <w:r>
        <w:rPr>
          <w:i/>
          <w:iCs/>
        </w:rPr>
        <w:t xml:space="preserve">).</w:t>
      </w:r>
      <w:r>
        <w:br/>
      </w:r>
      <w:r>
        <w:rPr>
          <w:i/>
          <w:iCs/>
        </w:rPr>
        <w:t xml:space="preserve">Cost for VM: loss of income corresponding to</w:t>
      </w:r>
      <w:r>
        <w:rPr>
          <w:i/>
          <w:iCs/>
        </w:rPr>
        <w:t xml:space="preserve"> </w:t>
      </w:r>
      <w:r>
        <w:rPr>
          <w:i/>
          <w:iCs/>
        </w:rPr>
        <w:t xml:space="preserve">consumer benefit resulting from increased</w:t>
      </w:r>
      <w:r>
        <w:rPr>
          <w:i/>
          <w:iCs/>
        </w:rPr>
        <w:t xml:space="preserve"> </w:t>
      </w:r>
      <w:r>
        <w:rPr>
          <w:i/>
          <w:iCs/>
        </w:rPr>
        <w:t xml:space="preserve">competitive pressure;</w:t>
      </w:r>
      <w:r>
        <w:rPr>
          <w:i/>
          <w:iCs/>
        </w:rPr>
        <w:t xml:space="preserve"> </w:t>
      </w:r>
      <w:r>
        <w:rPr>
          <w:i/>
          <w:iCs/>
        </w:rPr>
        <w:t xml:space="preserve">Legend: ++ significant positive impact; + positive impact; 0 neutral; - negative impact; – significant negative impact;</w:t>
      </w:r>
      <w:r>
        <w:br/>
      </w:r>
      <w:r>
        <w:t xml:space="preserve"> </w:t>
      </w:r>
      <w:r>
        <w:t xml:space="preserve">discount rate: 2% ECB inflation target</w:t>
      </w:r>
    </w:p>
    <w:p>
      <w:pPr>
        <w:pStyle w:val="BodyText"/>
      </w:pPr>
      <w:r>
        <w:t xml:space="preserve">Table 7.2 Comparison of policy options against effectiveness and efficiency criteria</w:t>
      </w:r>
    </w:p>
    <w:p>
      <w:pPr>
        <w:pStyle w:val="BodyText"/>
      </w:pPr>
      <w:r>
        <w:t xml:space="preserve">Objective 2: Improving accessibility,</w:t>
      </w:r>
      <w:r>
        <w:t xml:space="preserve"> </w:t>
      </w:r>
      <w:r>
        <w:t xml:space="preserve">efficiency and affordability of RCD</w:t>
      </w:r>
      <w:r>
        <w:t xml:space="preserve"> </w:t>
      </w:r>
      <w:r>
        <w:t xml:space="preserve">protection</w:t>
      </w:r>
      <w:r>
        <w:t xml:space="preserve"> </w:t>
      </w:r>
      <w:r>
        <w:t xml:space="preserve">Objective 3: Enhancing</w:t>
      </w:r>
      <w:r>
        <w:t xml:space="preserve"> </w:t>
      </w:r>
      <w:r>
        <w:t xml:space="preserve">complementarity and</w:t>
      </w:r>
      <w:r>
        <w:t xml:space="preserve"> </w:t>
      </w:r>
      <w:r>
        <w:t xml:space="preserve">interoperability between</w:t>
      </w:r>
      <w:r>
        <w:t xml:space="preserve"> </w:t>
      </w:r>
      <w:r>
        <w:t xml:space="preserve">the RCD and national</w:t>
      </w:r>
      <w:r>
        <w:t xml:space="preserve"> </w:t>
      </w:r>
      <w:r>
        <w:t xml:space="preserve">design systems</w:t>
      </w:r>
      <w:r>
        <w:t xml:space="preserve"> </w:t>
      </w:r>
      <w:r>
        <w:t xml:space="preserve">Efficiency</w:t>
      </w:r>
      <w:r>
        <w:t xml:space="preserve"> </w:t>
      </w:r>
      <w:r>
        <w:t xml:space="preserve">(costs and benefits)</w:t>
      </w:r>
      <w:r>
        <w:t xml:space="preserve"> </w:t>
      </w:r>
      <w:r>
        <w:t xml:space="preserve">Option 2</w:t>
      </w:r>
      <w:r>
        <w:t xml:space="preserve"> </w:t>
      </w:r>
      <w:r>
        <w:t xml:space="preserve">Simplification and</w:t>
      </w:r>
      <w:r>
        <w:t xml:space="preserve"> </w:t>
      </w:r>
      <w:r>
        <w:t xml:space="preserve">streamlining of</w:t>
      </w:r>
      <w:r>
        <w:t xml:space="preserve"> </w:t>
      </w:r>
      <w:r>
        <w:t xml:space="preserve">RCD procedures</w:t>
      </w:r>
      <w:r>
        <w:t xml:space="preserve"> </w:t>
      </w:r>
      <w:r>
        <w:t xml:space="preserve">(+) Easier/safer access to protection due</w:t>
      </w:r>
      <w:r>
        <w:t xml:space="preserve"> </w:t>
      </w:r>
      <w:r>
        <w:t xml:space="preserve">to abolition of unity of class requirement</w:t>
      </w:r>
      <w:r>
        <w:t xml:space="preserve"> </w:t>
      </w:r>
      <w:r>
        <w:t xml:space="preserve">for multiple applications and new</w:t>
      </w:r>
      <w:r>
        <w:t xml:space="preserve"> </w:t>
      </w:r>
      <w:r>
        <w:t xml:space="preserve">standards for design representation (less</w:t>
      </w:r>
      <w:r>
        <w:t xml:space="preserve"> </w:t>
      </w:r>
      <w:r>
        <w:t xml:space="preserve">deficiencies); procedural alignment with</w:t>
      </w:r>
      <w:r>
        <w:t xml:space="preserve"> </w:t>
      </w:r>
      <w:r>
        <w:t xml:space="preserve">EUTM procedures will increase</w:t>
      </w:r>
      <w:r>
        <w:t xml:space="preserve"> </w:t>
      </w:r>
      <w:r>
        <w:t xml:space="preserve">efficiency</w:t>
      </w:r>
      <w:r>
        <w:br/>
      </w:r>
      <w:r>
        <w:t xml:space="preserve">(+/0) Update of RCD filing</w:t>
      </w:r>
      <w:r>
        <w:t xml:space="preserve"> </w:t>
      </w:r>
      <w:r>
        <w:t xml:space="preserve">regime will also boost</w:t>
      </w:r>
      <w:r>
        <w:t xml:space="preserve"> </w:t>
      </w:r>
      <w:r>
        <w:t xml:space="preserve">convergence of practices</w:t>
      </w:r>
      <w:r>
        <w:t xml:space="preserve"> </w:t>
      </w:r>
      <w:r>
        <w:t xml:space="preserve">and technical standards with</w:t>
      </w:r>
      <w:r>
        <w:t xml:space="preserve"> </w:t>
      </w:r>
      <w:r>
        <w:t xml:space="preserve">MS</w:t>
      </w:r>
      <w:r>
        <w:t xml:space="preserve"> </w:t>
      </w:r>
      <w:r>
        <w:t xml:space="preserve">Net effect: (++)</w:t>
      </w:r>
      <w:r>
        <w:t xml:space="preserve"> </w:t>
      </w:r>
      <w:r>
        <w:t xml:space="preserve">Benefits in 2024: Dependent on fee</w:t>
      </w:r>
      <w:r>
        <w:t xml:space="preserve"> </w:t>
      </w:r>
      <w:r>
        <w:t xml:space="preserve">structure: current: EUR 2.4m, Opt. 3.1:</w:t>
      </w:r>
      <w:r>
        <w:t xml:space="preserve"> </w:t>
      </w:r>
      <w:r>
        <w:t xml:space="preserve">EUR 1.7m, Opt. 3.2.: EUR 1.8m, EUR</w:t>
      </w:r>
      <w:r>
        <w:t xml:space="preserve"> </w:t>
      </w:r>
      <w:r>
        <w:t xml:space="preserve">1million through new representation</w:t>
      </w:r>
      <w:r>
        <w:t xml:space="preserve"> </w:t>
      </w:r>
      <w:r>
        <w:t xml:space="preserve">standards, rest through facilitation of</w:t>
      </w:r>
      <w:r>
        <w:t xml:space="preserve"> </w:t>
      </w:r>
      <w:r>
        <w:t xml:space="preserve">multiple RCD applications )</w:t>
      </w:r>
      <w:r>
        <w:t xml:space="preserve"> </w:t>
      </w:r>
      <w:r>
        <w:t xml:space="preserve">Option 3</w:t>
      </w:r>
      <w:r>
        <w:t xml:space="preserve"> </w:t>
      </w:r>
      <w:r>
        <w:t xml:space="preserve">Lower RCD</w:t>
      </w:r>
      <w:r>
        <w:t xml:space="preserve"> </w:t>
      </w:r>
      <w:r>
        <w:t xml:space="preserve">registration fee and</w:t>
      </w:r>
      <w:r>
        <w:t xml:space="preserve"> </w:t>
      </w:r>
      <w:r>
        <w:t xml:space="preserve">easier multiple</w:t>
      </w:r>
      <w:r>
        <w:t xml:space="preserve"> </w:t>
      </w:r>
      <w:r>
        <w:t xml:space="preserve">applications with</w:t>
      </w:r>
      <w:r>
        <w:t xml:space="preserve"> </w:t>
      </w:r>
      <w:r>
        <w:t xml:space="preserve">bulk discount</w:t>
      </w:r>
      <w:r>
        <w:t xml:space="preserve"> </w:t>
      </w:r>
      <w:r>
        <w:t xml:space="preserve">(+) Lower fees for basic protection</w:t>
      </w:r>
      <w:r>
        <w:t xml:space="preserve"> </w:t>
      </w:r>
      <w:r>
        <w:t xml:space="preserve">Higher discounts for including several</w:t>
      </w:r>
      <w:r>
        <w:t xml:space="preserve"> </w:t>
      </w:r>
      <w:r>
        <w:t xml:space="preserve">designs in one application (multiple</w:t>
      </w:r>
      <w:r>
        <w:t xml:space="preserve"> </w:t>
      </w:r>
      <w:r>
        <w:t xml:space="preserve">application)</w:t>
      </w:r>
      <w:r>
        <w:t xml:space="preserve"> </w:t>
      </w:r>
      <w:r>
        <w:t xml:space="preserve">Removal of unity of class requirement</w:t>
      </w:r>
      <w:r>
        <w:t xml:space="preserve"> </w:t>
      </w:r>
      <w:r>
        <w:t xml:space="preserve">will make it easier to use multiple</w:t>
      </w:r>
      <w:r>
        <w:t xml:space="preserve"> </w:t>
      </w:r>
      <w:r>
        <w:t xml:space="preserve">applications and use discounted fees</w:t>
      </w:r>
      <w:r>
        <w:t xml:space="preserve"> </w:t>
      </w:r>
      <w:r>
        <w:t xml:space="preserve">(0) Major shift from</w:t>
      </w:r>
      <w:r>
        <w:t xml:space="preserve"> </w:t>
      </w:r>
      <w:r>
        <w:t xml:space="preserve">national to RCD filings are</w:t>
      </w:r>
      <w:r>
        <w:t xml:space="preserve"> </w:t>
      </w:r>
      <w:r>
        <w:t xml:space="preserve">not expected. Although on</w:t>
      </w:r>
      <w:r>
        <w:t xml:space="preserve"> </w:t>
      </w:r>
      <w:r>
        <w:t xml:space="preserve">average for RCD fee one</w:t>
      </w:r>
      <w:r>
        <w:t xml:space="preserve"> </w:t>
      </w:r>
      <w:r>
        <w:t xml:space="preserve">could buy protection in 3</w:t>
      </w:r>
      <w:r>
        <w:t xml:space="preserve"> </w:t>
      </w:r>
      <w:r>
        <w:t xml:space="preserve">EU MS, instead of 4</w:t>
      </w:r>
      <w:r>
        <w:t xml:space="preserve"> </w:t>
      </w:r>
      <w:r>
        <w:t xml:space="preserve">currently.</w:t>
      </w:r>
      <w:r>
        <w:br/>
      </w:r>
      <w:r>
        <w:t xml:space="preserve">Net effect: (+)</w:t>
      </w:r>
      <w:r>
        <w:t xml:space="preserve"> </w:t>
      </w:r>
      <w:r>
        <w:t xml:space="preserve">Benefit: lower fees for basic RCD</w:t>
      </w:r>
      <w:r>
        <w:t xml:space="preserve"> </w:t>
      </w:r>
      <w:r>
        <w:t xml:space="preserve">protection and for the first renewal</w:t>
      </w:r>
      <w:r>
        <w:t xml:space="preserve"> </w:t>
      </w:r>
      <w:r>
        <w:t xml:space="preserve">Cost: higher fees for RCD 3rd and 4th</w:t>
      </w:r>
      <w:r>
        <w:t xml:space="preserve"> </w:t>
      </w:r>
      <w:r>
        <w:t xml:space="preserve">renewal (protection up to 20 and 25 years);</w:t>
      </w:r>
      <w:r>
        <w:t xml:space="preserve"> </w:t>
      </w:r>
      <w:r>
        <w:t xml:space="preserve">cap at 50 designs for single application</w:t>
      </w:r>
      <w:r>
        <w:t xml:space="preserve"> </w:t>
      </w:r>
      <w:r>
        <w:t xml:space="preserve">Potential for lower income to EUIPO</w:t>
      </w:r>
      <w:r>
        <w:t xml:space="preserve"> </w:t>
      </w:r>
      <w:r>
        <w:t xml:space="preserve">(subject to uncertain proceeds from 4th</w:t>
      </w:r>
      <w:r>
        <w:t xml:space="preserve"> </w:t>
      </w:r>
      <w:r>
        <w:t xml:space="preserve">renewal)</w:t>
      </w:r>
      <w:r>
        <w:t xml:space="preserve"> </w:t>
      </w:r>
      <w:r>
        <w:t xml:space="preserve">Sub-option 3.1</w:t>
      </w:r>
      <w:r>
        <w:t xml:space="preserve"> </w:t>
      </w:r>
      <w:r>
        <w:t xml:space="preserve">(++)</w:t>
      </w:r>
      <w:r>
        <w:t xml:space="preserve"> </w:t>
      </w:r>
      <w:r>
        <w:t xml:space="preserve">More affordable access to basic</w:t>
      </w:r>
      <w:r>
        <w:t xml:space="preserve"> </w:t>
      </w:r>
      <w:r>
        <w:t xml:space="preserve">protection should encourage usage.</w:t>
      </w:r>
      <w:r>
        <w:t xml:space="preserve"> </w:t>
      </w:r>
      <w:r>
        <w:t xml:space="preserve">Coupled with proportional increase of</w:t>
      </w:r>
      <w:r>
        <w:t xml:space="preserve"> </w:t>
      </w:r>
      <w:r>
        <w:t xml:space="preserve">renewal fees for protection up to 20 and</w:t>
      </w:r>
      <w:r>
        <w:t xml:space="preserve"> </w:t>
      </w:r>
      <w:r>
        <w:t xml:space="preserve">25 years</w:t>
      </w:r>
      <w:r>
        <w:t xml:space="preserve"> </w:t>
      </w:r>
      <w:r>
        <w:t xml:space="preserve">(0)</w:t>
      </w:r>
      <w:r>
        <w:t xml:space="preserve"> </w:t>
      </w:r>
      <w:r>
        <w:t xml:space="preserve">Proper balance of</w:t>
      </w:r>
      <w:r>
        <w:t xml:space="preserve"> </w:t>
      </w:r>
      <w:r>
        <w:t xml:space="preserve">coexistence is safeguarded.</w:t>
      </w:r>
      <w:r>
        <w:t xml:space="preserve"> </w:t>
      </w:r>
      <w:r>
        <w:t xml:space="preserve">RCD system will be slightly</w:t>
      </w:r>
      <w:r>
        <w:t xml:space="preserve"> </w:t>
      </w:r>
      <w:r>
        <w:t xml:space="preserve">more attractive</w:t>
      </w:r>
      <w:r>
        <w:t xml:space="preserve"> </w:t>
      </w:r>
      <w:r>
        <w:t xml:space="preserve">Net effect: (++)</w:t>
      </w:r>
      <w:r>
        <w:t xml:space="preserve"> </w:t>
      </w:r>
      <w:r>
        <w:t xml:space="preserve">Benefit: in 2024 - Basic protection EUR</w:t>
      </w:r>
      <w:r>
        <w:t xml:space="preserve"> </w:t>
      </w:r>
      <w:r>
        <w:t xml:space="preserve">4.9m, 1st renewal EUR 1.1m</w:t>
      </w:r>
      <w:r>
        <w:t xml:space="preserve"> </w:t>
      </w:r>
      <w:r>
        <w:t xml:space="preserve">Potential increase in applications/design</w:t>
      </w:r>
      <w:r>
        <w:t xml:space="preserve"> </w:t>
      </w:r>
      <w:r>
        <w:t xml:space="preserve">owners in 2030 from 0 to 15%</w:t>
      </w:r>
      <w:r>
        <w:t xml:space="preserve"> </w:t>
      </w:r>
      <w:r>
        <w:t xml:space="preserve">Cost in 2024: in 2024 - 2nd renewal EUR</w:t>
      </w:r>
      <w:r>
        <w:t xml:space="preserve"> </w:t>
      </w:r>
      <w:r>
        <w:t xml:space="preserve">0.6m, 3rd: EUR 1.5m, 4th: 2.3m</w:t>
      </w:r>
      <w:r>
        <w:t xml:space="preserve"> </w:t>
      </w:r>
      <w:r>
        <w:t xml:space="preserve">Sub-option 3.2</w:t>
      </w:r>
      <w:r>
        <w:t xml:space="preserve"> </w:t>
      </w:r>
      <w:r>
        <w:t xml:space="preserve">(++/-)</w:t>
      </w:r>
      <w:r>
        <w:t xml:space="preserve"> </w:t>
      </w:r>
      <w:r>
        <w:t xml:space="preserve">Even more affordable access to basic</w:t>
      </w:r>
      <w:r>
        <w:t xml:space="preserve"> </w:t>
      </w:r>
      <w:r>
        <w:t xml:space="preserve">(0)</w:t>
      </w:r>
      <w:r>
        <w:t xml:space="preserve"> </w:t>
      </w:r>
      <w:r>
        <w:t xml:space="preserve">Proper balance of</w:t>
      </w:r>
      <w:r>
        <w:t xml:space="preserve"> </w:t>
      </w:r>
      <w:r>
        <w:t xml:space="preserve">Net effect: (++)</w:t>
      </w:r>
      <w:r>
        <w:t xml:space="preserve"> </w:t>
      </w:r>
      <w:r>
        <w:t xml:space="preserve">Benefit: in 2024 - Basic protection EUR</w:t>
      </w:r>
    </w:p>
    <w:p>
      <w:pPr>
        <w:pStyle w:val="BodyText"/>
      </w:pPr>
      <w:r>
        <w:t xml:space="preserve">52</w:t>
      </w:r>
    </w:p>
    <w:p>
      <w:pPr>
        <w:pStyle w:val="BodyText"/>
      </w:pPr>
      <w:r>
        <w:t xml:space="preserve">Objective 2: Improving accessibility,</w:t>
      </w:r>
      <w:r>
        <w:t xml:space="preserve"> </w:t>
      </w:r>
      <w:r>
        <w:t xml:space="preserve">efficiency and affordability of RCD</w:t>
      </w:r>
      <w:r>
        <w:t xml:space="preserve"> </w:t>
      </w:r>
      <w:r>
        <w:t xml:space="preserve">protection</w:t>
      </w:r>
      <w:r>
        <w:t xml:space="preserve"> </w:t>
      </w:r>
      <w:r>
        <w:t xml:space="preserve">Objective 3: Enhancing</w:t>
      </w:r>
      <w:r>
        <w:t xml:space="preserve"> </w:t>
      </w:r>
      <w:r>
        <w:t xml:space="preserve">complementarity and</w:t>
      </w:r>
      <w:r>
        <w:t xml:space="preserve"> </w:t>
      </w:r>
      <w:r>
        <w:t xml:space="preserve">interoperability between</w:t>
      </w:r>
      <w:r>
        <w:t xml:space="preserve"> </w:t>
      </w:r>
      <w:r>
        <w:t xml:space="preserve">the RCD and national</w:t>
      </w:r>
      <w:r>
        <w:t xml:space="preserve"> </w:t>
      </w:r>
      <w:r>
        <w:t xml:space="preserve">design systems</w:t>
      </w:r>
      <w:r>
        <w:t xml:space="preserve"> </w:t>
      </w:r>
      <w:r>
        <w:t xml:space="preserve">Efficiency</w:t>
      </w:r>
      <w:r>
        <w:t xml:space="preserve"> </w:t>
      </w:r>
      <w:r>
        <w:t xml:space="preserve">(costs and benefits)</w:t>
      </w:r>
      <w:r>
        <w:t xml:space="preserve"> </w:t>
      </w:r>
      <w:r>
        <w:t xml:space="preserve">protection should further encourage</w:t>
      </w:r>
      <w:r>
        <w:t xml:space="preserve"> </w:t>
      </w:r>
      <w:r>
        <w:t xml:space="preserve">usage. Coupled with rather</w:t>
      </w:r>
      <w:r>
        <w:t xml:space="preserve"> </w:t>
      </w:r>
      <w:r>
        <w:t xml:space="preserve">disproportional increase of renewal fees</w:t>
      </w:r>
      <w:r>
        <w:t xml:space="preserve"> </w:t>
      </w:r>
      <w:r>
        <w:t xml:space="preserve">for protection up to 20 and 25 years</w:t>
      </w:r>
      <w:r>
        <w:t xml:space="preserve"> </w:t>
      </w:r>
      <w:r>
        <w:t xml:space="preserve">coexistence is safeguarded.</w:t>
      </w:r>
      <w:r>
        <w:t xml:space="preserve"> </w:t>
      </w:r>
      <w:r>
        <w:t xml:space="preserve">RCD system will be slightly</w:t>
      </w:r>
      <w:r>
        <w:t xml:space="preserve"> </w:t>
      </w:r>
      <w:r>
        <w:t xml:space="preserve">more attractive</w:t>
      </w:r>
      <w:r>
        <w:t xml:space="preserve"> </w:t>
      </w:r>
      <w:r>
        <w:t xml:space="preserve">7m, 1st renewal EUR 0.5m</w:t>
      </w:r>
      <w:r>
        <w:t xml:space="preserve"> </w:t>
      </w:r>
      <w:r>
        <w:t xml:space="preserve">Potential increase in applications/design</w:t>
      </w:r>
      <w:r>
        <w:t xml:space="preserve"> </w:t>
      </w:r>
      <w:r>
        <w:t xml:space="preserve">owners in 2030 from 0 to 21%</w:t>
      </w:r>
      <w:r>
        <w:t xml:space="preserve"> </w:t>
      </w:r>
      <w:r>
        <w:t xml:space="preserve">Cost: in 2024 - 2nd renewal EUR 1.1m, 3rd:</w:t>
      </w:r>
      <w:r>
        <w:t xml:space="preserve"> </w:t>
      </w:r>
      <w:r>
        <w:t xml:space="preserve">EUR 2m, 4th: 2.8m</w:t>
      </w:r>
      <w:r>
        <w:t xml:space="preserve"> </w:t>
      </w:r>
      <w:r>
        <w:t xml:space="preserve">Option 4.1</w:t>
      </w:r>
      <w:r>
        <w:t xml:space="preserve"> </w:t>
      </w:r>
      <w:r>
        <w:t xml:space="preserve">Partial further</w:t>
      </w:r>
      <w:r>
        <w:t xml:space="preserve"> </w:t>
      </w:r>
      <w:r>
        <w:t xml:space="preserve">approximation of</w:t>
      </w:r>
      <w:r>
        <w:t xml:space="preserve"> </w:t>
      </w:r>
      <w:r>
        <w:t xml:space="preserve">national rules and</w:t>
      </w:r>
      <w:r>
        <w:t xml:space="preserve"> </w:t>
      </w:r>
      <w:r>
        <w:t xml:space="preserve">their coherence with</w:t>
      </w:r>
      <w:r>
        <w:t xml:space="preserve"> </w:t>
      </w:r>
      <w:r>
        <w:t xml:space="preserve">RCD system</w:t>
      </w:r>
      <w:r>
        <w:t xml:space="preserve"> </w:t>
      </w:r>
      <w:r>
        <w:t xml:space="preserve">(+) While further approximation of</w:t>
      </w:r>
      <w:r>
        <w:t xml:space="preserve"> </w:t>
      </w:r>
      <w:r>
        <w:t xml:space="preserve">national laws shall foremost render</w:t>
      </w:r>
      <w:r>
        <w:t xml:space="preserve"> </w:t>
      </w:r>
      <w:r>
        <w:t xml:space="preserve">national systems more accessible, greater</w:t>
      </w:r>
      <w:r>
        <w:t xml:space="preserve"> </w:t>
      </w:r>
      <w:r>
        <w:t xml:space="preserve">coherence with RCD (and resulting</w:t>
      </w:r>
      <w:r>
        <w:t xml:space="preserve"> </w:t>
      </w:r>
      <w:r>
        <w:t xml:space="preserve">increased potential for expansion of</w:t>
      </w:r>
      <w:r>
        <w:t xml:space="preserve"> </w:t>
      </w:r>
      <w:r>
        <w:t xml:space="preserve">convergence of EUIPO and EU MS</w:t>
      </w:r>
      <w:r>
        <w:t xml:space="preserve"> </w:t>
      </w:r>
      <w:r>
        <w:t xml:space="preserve">offices practices) will contribute to</w:t>
      </w:r>
      <w:r>
        <w:t xml:space="preserve"> </w:t>
      </w:r>
      <w:r>
        <w:t xml:space="preserve">increasing also accessibility and</w:t>
      </w:r>
      <w:r>
        <w:t xml:space="preserve"> </w:t>
      </w:r>
      <w:r>
        <w:t xml:space="preserve">transparency of RCD system.</w:t>
      </w:r>
      <w:r>
        <w:br/>
      </w:r>
      <w:r>
        <w:t xml:space="preserve">(++) Significant</w:t>
      </w:r>
      <w:r>
        <w:t xml:space="preserve"> </w:t>
      </w:r>
      <w:r>
        <w:t xml:space="preserve">enhancement of</w:t>
      </w:r>
      <w:r>
        <w:t xml:space="preserve"> </w:t>
      </w:r>
      <w:r>
        <w:t xml:space="preserve">complementarity and</w:t>
      </w:r>
      <w:r>
        <w:t xml:space="preserve"> </w:t>
      </w:r>
      <w:r>
        <w:t xml:space="preserve">interoperability of design</w:t>
      </w:r>
      <w:r>
        <w:t xml:space="preserve"> </w:t>
      </w:r>
      <w:r>
        <w:t xml:space="preserve">systems. Larger scope of</w:t>
      </w:r>
      <w:r>
        <w:t xml:space="preserve"> </w:t>
      </w:r>
      <w:r>
        <w:t xml:space="preserve">normative harmonisation</w:t>
      </w:r>
      <w:r>
        <w:t xml:space="preserve"> </w:t>
      </w:r>
      <w:r>
        <w:t xml:space="preserve">will also allow convergence</w:t>
      </w:r>
      <w:r>
        <w:t xml:space="preserve"> </w:t>
      </w:r>
      <w:r>
        <w:t xml:space="preserve">of EUIPO and EU MS</w:t>
      </w:r>
      <w:r>
        <w:t xml:space="preserve"> </w:t>
      </w:r>
      <w:r>
        <w:t xml:space="preserve">offices practices to be</w:t>
      </w:r>
      <w:r>
        <w:t xml:space="preserve"> </w:t>
      </w:r>
      <w:r>
        <w:t xml:space="preserve">extended accordingly,</w:t>
      </w:r>
      <w:r>
        <w:t xml:space="preserve"> </w:t>
      </w:r>
      <w:r>
        <w:t xml:space="preserve">thereby further potentiating</w:t>
      </w:r>
      <w:r>
        <w:t xml:space="preserve"> </w:t>
      </w:r>
      <w:r>
        <w:t xml:space="preserve">level of consistency and</w:t>
      </w:r>
      <w:r>
        <w:t xml:space="preserve"> </w:t>
      </w:r>
      <w:r>
        <w:t xml:space="preserve">predictability.</w:t>
      </w:r>
      <w:r>
        <w:t xml:space="preserve"> </w:t>
      </w:r>
      <w:r>
        <w:t xml:space="preserve">Net effect: (++)</w:t>
      </w:r>
      <w:r>
        <w:t xml:space="preserve"> </w:t>
      </w:r>
      <w:r>
        <w:t xml:space="preserve">Benefits:</w:t>
      </w:r>
      <w:r>
        <w:t xml:space="preserve"> </w:t>
      </w:r>
      <w:r>
        <w:t xml:space="preserve">Facilitation of multiple applications (not</w:t>
      </w:r>
      <w:r>
        <w:t xml:space="preserve"> </w:t>
      </w:r>
      <w:r>
        <w:t xml:space="preserve">quantifiable at national level)</w:t>
      </w:r>
      <w:r>
        <w:t xml:space="preserve"> </w:t>
      </w:r>
      <w:r>
        <w:t xml:space="preserve">Abolition of ex-officio examination of prior</w:t>
      </w:r>
      <w:r>
        <w:t xml:space="preserve"> </w:t>
      </w:r>
      <w:r>
        <w:t xml:space="preserve">art should at least halve duration of</w:t>
      </w:r>
      <w:r>
        <w:t xml:space="preserve"> </w:t>
      </w:r>
      <w:r>
        <w:t xml:space="preserve">registration procedure for up to 1000</w:t>
      </w:r>
      <w:r>
        <w:t xml:space="preserve"> </w:t>
      </w:r>
      <w:r>
        <w:t xml:space="preserve">applicants a year</w:t>
      </w:r>
      <w:r>
        <w:br/>
      </w:r>
      <w:r>
        <w:t xml:space="preserve">Office-based invalidity procedures can be</w:t>
      </w:r>
      <w:r>
        <w:br/>
      </w:r>
      <w:r>
        <w:t xml:space="preserve">up to three times cheaper than court based</w:t>
      </w:r>
      <w:r>
        <w:t xml:space="preserve"> </w:t>
      </w:r>
      <w:r>
        <w:t xml:space="preserve">(due to lower lawyer fees - EL example)</w:t>
      </w:r>
      <w:r>
        <w:t xml:space="preserve"> </w:t>
      </w:r>
      <w:r>
        <w:t xml:space="preserve">Costs: Implementation costs for national</w:t>
      </w:r>
      <w:r>
        <w:t xml:space="preserve"> </w:t>
      </w:r>
      <w:r>
        <w:t xml:space="preserve">offices (reduced income and setup costs for</w:t>
      </w:r>
      <w:r>
        <w:t xml:space="preserve"> </w:t>
      </w:r>
      <w:r>
        <w:t xml:space="preserve">new procedures)</w:t>
      </w:r>
      <w:r>
        <w:t xml:space="preserve"> </w:t>
      </w:r>
      <w:r>
        <w:t xml:space="preserve">Sub-option 4.1a</w:t>
      </w:r>
      <w:r>
        <w:t xml:space="preserve"> </w:t>
      </w:r>
      <w:r>
        <w:t xml:space="preserve">Voluntary</w:t>
      </w:r>
      <w:r>
        <w:t xml:space="preserve"> </w:t>
      </w:r>
      <w:r>
        <w:t xml:space="preserve">(+/0) Less apt to contribute to increasing</w:t>
      </w:r>
      <w:r>
        <w:t xml:space="preserve"> </w:t>
      </w:r>
      <w:r>
        <w:t xml:space="preserve">also accessibility and transparency of</w:t>
      </w:r>
      <w:r>
        <w:t xml:space="preserve"> </w:t>
      </w:r>
      <w:r>
        <w:t xml:space="preserve">RCD system, especially in light of 20</w:t>
      </w:r>
      <w:r>
        <w:t xml:space="preserve"> </w:t>
      </w:r>
      <w:r>
        <w:t xml:space="preserve">years experience with voluntary</w:t>
      </w:r>
      <w:r>
        <w:t xml:space="preserve"> </w:t>
      </w:r>
      <w:r>
        <w:t xml:space="preserve">liberalisation of spare parts.</w:t>
      </w:r>
      <w:r>
        <w:br/>
      </w:r>
      <w:r>
        <w:t xml:space="preserve">(-/0) Less apt to achieve</w:t>
      </w:r>
      <w:r>
        <w:t xml:space="preserve"> </w:t>
      </w:r>
      <w:r>
        <w:t xml:space="preserve">enhanced complementarity</w:t>
      </w:r>
      <w:r>
        <w:t xml:space="preserve"> </w:t>
      </w:r>
      <w:r>
        <w:t xml:space="preserve">and complementarity except</w:t>
      </w:r>
      <w:r>
        <w:t xml:space="preserve"> </w:t>
      </w:r>
      <w:r>
        <w:t xml:space="preserve">in very technical areas</w:t>
      </w:r>
      <w:r>
        <w:t xml:space="preserve"> </w:t>
      </w:r>
      <w:r>
        <w:t xml:space="preserve">requiring flexibility to keep</w:t>
      </w:r>
      <w:r>
        <w:t xml:space="preserve"> </w:t>
      </w:r>
      <w:r>
        <w:t xml:space="preserve">abreast with technological</w:t>
      </w:r>
      <w:r>
        <w:t xml:space="preserve"> </w:t>
      </w:r>
      <w:r>
        <w:t xml:space="preserve">advancement (e.g. technical</w:t>
      </w:r>
      <w:r>
        <w:t xml:space="preserve"> </w:t>
      </w:r>
      <w:r>
        <w:t xml:space="preserve">standards for representation</w:t>
      </w:r>
      <w:r>
        <w:t xml:space="preserve"> </w:t>
      </w:r>
      <w:r>
        <w:t xml:space="preserve">of designs).</w:t>
      </w:r>
      <w:r>
        <w:t xml:space="preserve"> </w:t>
      </w:r>
      <w:r>
        <w:t xml:space="preserve">Net effect: (-/0)</w:t>
      </w:r>
      <w:r>
        <w:t xml:space="preserve"> </w:t>
      </w:r>
      <w:r>
        <w:t xml:space="preserve">Benefits: Consistent principal rules</w:t>
      </w:r>
      <w:r>
        <w:t xml:space="preserve"> </w:t>
      </w:r>
      <w:r>
        <w:t xml:space="preserve">Costs: much time and effort needed</w:t>
      </w:r>
      <w:r>
        <w:t xml:space="preserve"> </w:t>
      </w:r>
      <w:r>
        <w:t xml:space="preserve">Sub-option 4.1b</w:t>
      </w:r>
      <w:r>
        <w:t xml:space="preserve"> </w:t>
      </w:r>
      <w:r>
        <w:t xml:space="preserve">Mandatory</w:t>
      </w:r>
      <w:r>
        <w:t xml:space="preserve"> </w:t>
      </w:r>
      <w:r>
        <w:t xml:space="preserve">(+)More apt to contribute to increasing</w:t>
      </w:r>
      <w:r>
        <w:t xml:space="preserve"> </w:t>
      </w:r>
      <w:r>
        <w:t xml:space="preserve">also accessibility and transparency of</w:t>
      </w:r>
      <w:r>
        <w:t xml:space="preserve"> </w:t>
      </w:r>
      <w:r>
        <w:t xml:space="preserve">RCD system</w:t>
      </w:r>
      <w:r>
        <w:t xml:space="preserve"> </w:t>
      </w:r>
      <w:r>
        <w:t xml:space="preserve">(++) More apt to achieve</w:t>
      </w:r>
      <w:r>
        <w:t xml:space="preserve"> </w:t>
      </w:r>
      <w:r>
        <w:t xml:space="preserve">enhanced complementarity</w:t>
      </w:r>
      <w:r>
        <w:t xml:space="preserve"> </w:t>
      </w:r>
      <w:r>
        <w:t xml:space="preserve">and complementarity not</w:t>
      </w:r>
      <w:r>
        <w:t xml:space="preserve"> </w:t>
      </w:r>
      <w:r>
        <w:t xml:space="preserve">being limited to lowest</w:t>
      </w:r>
      <w:r>
        <w:t xml:space="preserve"> </w:t>
      </w:r>
      <w:r>
        <w:t xml:space="preserve">common denominator</w:t>
      </w:r>
      <w:r>
        <w:t xml:space="preserve"> </w:t>
      </w:r>
      <w:r>
        <w:t xml:space="preserve">solutions.</w:t>
      </w:r>
      <w:r>
        <w:t xml:space="preserve"> </w:t>
      </w:r>
      <w:r>
        <w:t xml:space="preserve">Net effects (+)</w:t>
      </w:r>
      <w:r>
        <w:t xml:space="preserve"> </w:t>
      </w:r>
      <w:r>
        <w:t xml:space="preserve">Benefits: Consistent principal rules</w:t>
      </w:r>
      <w:r>
        <w:t xml:space="preserve"> </w:t>
      </w:r>
      <w:r>
        <w:t xml:space="preserve">Costs: little time and effort needed</w:t>
      </w:r>
      <w:r>
        <w:t xml:space="preserve"> </w:t>
      </w:r>
      <w:r>
        <w:t xml:space="preserve">Option 4.2</w:t>
      </w:r>
      <w:r>
        <w:t xml:space="preserve"> </w:t>
      </w:r>
      <w:r>
        <w:t xml:space="preserve">Full approximation</w:t>
      </w:r>
      <w:r>
        <w:t xml:space="preserve"> </w:t>
      </w:r>
      <w:r>
        <w:t xml:space="preserve">of national laws and</w:t>
      </w:r>
      <w:r>
        <w:t xml:space="preserve"> </w:t>
      </w:r>
      <w:r>
        <w:t xml:space="preserve">procedures and their</w:t>
      </w:r>
      <w:r>
        <w:t xml:space="preserve"> </w:t>
      </w:r>
      <w:r>
        <w:t xml:space="preserve">coherence with</w:t>
      </w:r>
      <w:r>
        <w:t xml:space="preserve"> </w:t>
      </w:r>
      <w:r>
        <w:t xml:space="preserve">RCD system</w:t>
      </w:r>
      <w:r>
        <w:t xml:space="preserve"> </w:t>
      </w:r>
      <w:r>
        <w:t xml:space="preserve">(++) Full harmonisation of national laws</w:t>
      </w:r>
      <w:r>
        <w:t xml:space="preserve"> </w:t>
      </w:r>
      <w:r>
        <w:t xml:space="preserve">in alignment with RCD system will</w:t>
      </w:r>
      <w:r>
        <w:t xml:space="preserve"> </w:t>
      </w:r>
      <w:r>
        <w:t xml:space="preserve">significantly contribute to increasing also</w:t>
      </w:r>
      <w:r>
        <w:t xml:space="preserve"> </w:t>
      </w:r>
      <w:r>
        <w:t xml:space="preserve">accessibility and transparency of RCD</w:t>
      </w:r>
      <w:r>
        <w:t xml:space="preserve"> </w:t>
      </w:r>
      <w:r>
        <w:t xml:space="preserve">system</w:t>
      </w:r>
      <w:r>
        <w:t xml:space="preserve"> </w:t>
      </w:r>
      <w:r>
        <w:t xml:space="preserve">(++) Full complementarity</w:t>
      </w:r>
      <w:r>
        <w:t xml:space="preserve"> </w:t>
      </w:r>
      <w:r>
        <w:t xml:space="preserve">and interoperability of the</w:t>
      </w:r>
      <w:r>
        <w:t xml:space="preserve"> </w:t>
      </w:r>
      <w:r>
        <w:t xml:space="preserve">design protection systems</w:t>
      </w:r>
    </w:p>
    <w:p>
      <w:pPr>
        <w:pStyle w:val="BodyText"/>
      </w:pPr>
      <w:r>
        <w:t xml:space="preserve">Sub-option 4.2a</w:t>
      </w:r>
      <w:r>
        <w:t xml:space="preserve"> </w:t>
      </w:r>
      <w:r>
        <w:t xml:space="preserve">Voluntary</w:t>
      </w:r>
      <w:r>
        <w:t xml:space="preserve"> </w:t>
      </w:r>
      <w:r>
        <w:t xml:space="preserve">(+)Less apt to contribute to increasing</w:t>
      </w:r>
      <w:r>
        <w:t xml:space="preserve"> </w:t>
      </w:r>
      <w:r>
        <w:t xml:space="preserve">also accessibility and transparency of</w:t>
      </w:r>
      <w:r>
        <w:t xml:space="preserve"> </w:t>
      </w:r>
      <w:r>
        <w:t xml:space="preserve">RCD system</w:t>
      </w:r>
      <w:r>
        <w:t xml:space="preserve"> </w:t>
      </w:r>
      <w:r>
        <w:t xml:space="preserve">(0/-) Less apt to achieve full</w:t>
      </w:r>
      <w:r>
        <w:t xml:space="preserve"> </w:t>
      </w:r>
      <w:r>
        <w:t xml:space="preserve">complementarity and</w:t>
      </w:r>
      <w:r>
        <w:t xml:space="preserve"> </w:t>
      </w:r>
      <w:r>
        <w:t xml:space="preserve">complementarity not being</w:t>
      </w:r>
      <w:r>
        <w:t xml:space="preserve"> </w:t>
      </w:r>
      <w:r>
        <w:t xml:space="preserve">limited to lowest common</w:t>
      </w:r>
      <w:r>
        <w:t xml:space="preserve"> </w:t>
      </w:r>
      <w:r>
        <w:t xml:space="preserve">denominator solutions.</w:t>
      </w:r>
      <w:r>
        <w:t xml:space="preserve"> </w:t>
      </w:r>
      <w:r>
        <w:t xml:space="preserve">Net effect: (–)</w:t>
      </w:r>
      <w:r>
        <w:t xml:space="preserve"> </w:t>
      </w:r>
      <w:r>
        <w:t xml:space="preserve">Benefits: fully consistent laws</w:t>
      </w:r>
      <w:r>
        <w:t xml:space="preserve"> </w:t>
      </w:r>
      <w:r>
        <w:t xml:space="preserve">Costs: too much time needed, excessive</w:t>
      </w:r>
      <w:r>
        <w:t xml:space="preserve"> </w:t>
      </w:r>
      <w:r>
        <w:t xml:space="preserve">costs, and disproportional to actual needs</w:t>
      </w:r>
      <w:r>
        <w:t xml:space="preserve"> </w:t>
      </w:r>
      <w:r>
        <w:t xml:space="preserve">Sub-option 4.2b</w:t>
      </w:r>
      <w:r>
        <w:t xml:space="preserve"> </w:t>
      </w:r>
      <w:r>
        <w:t xml:space="preserve">Mandatory</w:t>
      </w:r>
      <w:r>
        <w:br/>
      </w:r>
      <w:r>
        <w:t xml:space="preserve">(++)More apt to contribute to increasing</w:t>
      </w:r>
      <w:r>
        <w:t xml:space="preserve"> </w:t>
      </w:r>
      <w:r>
        <w:t xml:space="preserve">also accessibility and transparency of</w:t>
      </w:r>
      <w:r>
        <w:t xml:space="preserve"> </w:t>
      </w:r>
      <w:r>
        <w:t xml:space="preserve">RCD system</w:t>
      </w:r>
      <w:r>
        <w:t xml:space="preserve"> </w:t>
      </w:r>
      <w:r>
        <w:t xml:space="preserve">(++) More apt to achieve</w:t>
      </w:r>
      <w:r>
        <w:t xml:space="preserve"> </w:t>
      </w:r>
      <w:r>
        <w:t xml:space="preserve">full complementarity and</w:t>
      </w:r>
      <w:r>
        <w:t xml:space="preserve"> </w:t>
      </w:r>
      <w:r>
        <w:t xml:space="preserve">complementarity not being</w:t>
      </w:r>
      <w:r>
        <w:t xml:space="preserve"> </w:t>
      </w:r>
      <w:r>
        <w:t xml:space="preserve">limited to lowest common</w:t>
      </w:r>
      <w:r>
        <w:t xml:space="preserve"> </w:t>
      </w:r>
      <w:r>
        <w:t xml:space="preserve">denominator solutions.</w:t>
      </w:r>
      <w:r>
        <w:t xml:space="preserve"> </w:t>
      </w:r>
      <w:r>
        <w:t xml:space="preserve">Net effect (–)</w:t>
      </w:r>
      <w:r>
        <w:t xml:space="preserve"> </w:t>
      </w:r>
      <w:r>
        <w:t xml:space="preserve">Benefits: fully consistent laws</w:t>
      </w:r>
      <w:r>
        <w:t xml:space="preserve"> </w:t>
      </w:r>
      <w:r>
        <w:t xml:space="preserve">Costs: too much time needed, excessive</w:t>
      </w:r>
      <w:r>
        <w:t xml:space="preserve"> </w:t>
      </w:r>
      <w:r>
        <w:t xml:space="preserve">costs, and disproportional to actual needs</w:t>
      </w:r>
      <w:r>
        <w:t xml:space="preserve"> </w:t>
      </w:r>
      <w:r>
        <w:t xml:space="preserve">Legend: ++ significant positive impact; + positive impact; 0 neutral; - negative impact; – significant negative impact;</w:t>
      </w:r>
    </w:p>
    <w:p>
      <w:pPr>
        <w:pStyle w:val="BodyText"/>
      </w:pPr>
      <w:r>
        <w:t xml:space="preserve">53</w:t>
      </w:r>
      <w:r>
        <w:t xml:space="preserve"> </w:t>
      </w:r>
      <w:r>
        <w:t xml:space="preserve">Table 7.3 Comparison of the impact of policy options 1 on stakeholders</w:t>
      </w:r>
    </w:p>
    <w:p>
      <w:pPr>
        <w:pStyle w:val="BodyText"/>
      </w:pPr>
      <w:r>
        <w:t xml:space="preserve">Vehicle producers</w:t>
      </w:r>
      <w:r>
        <w:t xml:space="preserve"> </w:t>
      </w:r>
      <w:r>
        <w:t xml:space="preserve">Spare parts producers</w:t>
      </w:r>
      <w:r>
        <w:t xml:space="preserve"> </w:t>
      </w:r>
      <w:r>
        <w:t xml:space="preserve">OEM</w:t>
      </w:r>
      <w:r>
        <w:t xml:space="preserve"> </w:t>
      </w:r>
      <w:r>
        <w:t xml:space="preserve">Spare parts producers</w:t>
      </w:r>
      <w:r>
        <w:t xml:space="preserve"> </w:t>
      </w:r>
      <w:r>
        <w:t xml:space="preserve">independent</w:t>
      </w:r>
      <w:r>
        <w:t xml:space="preserve"> </w:t>
      </w:r>
      <w:r>
        <w:t xml:space="preserve">Authorised</w:t>
      </w:r>
      <w:r>
        <w:t xml:space="preserve"> </w:t>
      </w:r>
      <w:r>
        <w:t xml:space="preserve">Repairers &amp; Distributors</w:t>
      </w:r>
      <w:r>
        <w:t xml:space="preserve"> </w:t>
      </w:r>
      <w:r>
        <w:t xml:space="preserve">Independent</w:t>
      </w:r>
      <w:r>
        <w:t xml:space="preserve"> </w:t>
      </w:r>
      <w:r>
        <w:t xml:space="preserve">Repairers &amp; Distributors</w:t>
      </w:r>
      <w:r>
        <w:t xml:space="preserve"> </w:t>
      </w:r>
      <w:r>
        <w:t xml:space="preserve">Citizens/Customers</w:t>
      </w:r>
      <w:r>
        <w:t xml:space="preserve"> </w:t>
      </w:r>
      <w:r>
        <w:t xml:space="preserve">Baseline</w:t>
      </w:r>
      <w:r>
        <w:t xml:space="preserve"> </w:t>
      </w:r>
      <w:r>
        <w:t xml:space="preserve">0</w:t>
      </w:r>
      <w:r>
        <w:br/>
      </w:r>
      <w:r>
        <w:t xml:space="preserve">0</w:t>
      </w:r>
      <w:r>
        <w:t xml:space="preserve"> </w:t>
      </w:r>
      <w:r>
        <w:t xml:space="preserve">0-</w:t>
      </w:r>
      <w:r>
        <w:br/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br/>
      </w:r>
      <w:r>
        <w:t xml:space="preserve">Option 1.1</w:t>
      </w:r>
      <w:r>
        <w:br/>
      </w:r>
      <w:r>
        <w:t xml:space="preserve">Full liberalisation for all</w:t>
      </w:r>
      <w:r>
        <w:t xml:space="preserve"> </w:t>
      </w:r>
      <w:r>
        <w:t xml:space="preserve">designs</w:t>
      </w:r>
      <w:r>
        <w:t xml:space="preserve"> </w:t>
      </w:r>
      <w:r>
        <w:t xml:space="preserve">(-) Price competition in all</w:t>
      </w:r>
      <w:r>
        <w:t xml:space="preserve"> </w:t>
      </w:r>
      <w:r>
        <w:t xml:space="preserve">MS; loss of market power;</w:t>
      </w:r>
      <w:r>
        <w:t xml:space="preserve"> </w:t>
      </w:r>
      <w:r>
        <w:t xml:space="preserve">possible modest loss of</w:t>
      </w:r>
      <w:r>
        <w:t xml:space="preserve"> </w:t>
      </w:r>
      <w:r>
        <w:t xml:space="preserve">market shares for body</w:t>
      </w:r>
      <w:r>
        <w:t xml:space="preserve"> </w:t>
      </w:r>
      <w:r>
        <w:t xml:space="preserve">parts;</w:t>
      </w:r>
      <w:r>
        <w:t xml:space="preserve"> </w:t>
      </w:r>
      <w:r>
        <w:t xml:space="preserve">(++) Economies of scale due</w:t>
      </w:r>
      <w:r>
        <w:t xml:space="preserve"> </w:t>
      </w:r>
      <w:r>
        <w:t xml:space="preserve">to access to entire EU</w:t>
      </w:r>
      <w:r>
        <w:t xml:space="preserve"> </w:t>
      </w:r>
      <w:r>
        <w:t xml:space="preserve">market; potentially more</w:t>
      </w:r>
      <w:r>
        <w:t xml:space="preserve"> </w:t>
      </w:r>
      <w:r>
        <w:t xml:space="preserve">freedom to operate in the</w:t>
      </w:r>
      <w:r>
        <w:t xml:space="preserve"> </w:t>
      </w:r>
      <w:r>
        <w:t xml:space="preserve">aftermarket;</w:t>
      </w:r>
      <w:r>
        <w:br/>
      </w:r>
      <w:r>
        <w:t xml:space="preserve">(++) Economies of scale due</w:t>
      </w:r>
      <w:r>
        <w:t xml:space="preserve"> </w:t>
      </w:r>
      <w:r>
        <w:t xml:space="preserve">to access to entire EU market;</w:t>
      </w:r>
      <w:r>
        <w:br/>
      </w:r>
      <w:r>
        <w:t xml:space="preserve">(N/A) Freedom to choose</w:t>
      </w:r>
      <w:r>
        <w:t xml:space="preserve"> </w:t>
      </w:r>
      <w:r>
        <w:t xml:space="preserve">parts for repair; potential</w:t>
      </w:r>
      <w:r>
        <w:t xml:space="preserve"> </w:t>
      </w:r>
      <w:r>
        <w:t xml:space="preserve">loss on distribution of VM</w:t>
      </w:r>
      <w:r>
        <w:t xml:space="preserve"> </w:t>
      </w:r>
      <w:r>
        <w:t xml:space="preserve">spare parts;</w:t>
      </w:r>
      <w:r>
        <w:br/>
      </w:r>
      <w:r>
        <w:t xml:space="preserve">(++) Possibility to offer</w:t>
      </w:r>
      <w:r>
        <w:t xml:space="preserve"> </w:t>
      </w:r>
      <w:r>
        <w:t xml:space="preserve">alternatives, possible</w:t>
      </w:r>
      <w:r>
        <w:t xml:space="preserve"> </w:t>
      </w:r>
      <w:r>
        <w:t xml:space="preserve">consolidation of</w:t>
      </w:r>
      <w:r>
        <w:t xml:space="preserve"> </w:t>
      </w:r>
      <w:r>
        <w:t xml:space="preserve">distribution channels and</w:t>
      </w:r>
      <w:r>
        <w:t xml:space="preserve"> </w:t>
      </w:r>
      <w:r>
        <w:t xml:space="preserve">workshops; benefits form</w:t>
      </w:r>
      <w:r>
        <w:t xml:space="preserve"> </w:t>
      </w:r>
      <w:r>
        <w:t xml:space="preserve">legal certainty;</w:t>
      </w:r>
      <w:r>
        <w:t xml:space="preserve"> </w:t>
      </w:r>
      <w:r>
        <w:t xml:space="preserve">(++) Instant freedom of choice</w:t>
      </w:r>
      <w:r>
        <w:t xml:space="preserve"> </w:t>
      </w:r>
      <w:r>
        <w:t xml:space="preserve">as regards spare parts</w:t>
      </w:r>
      <w:r>
        <w:t xml:space="preserve"> </w:t>
      </w:r>
      <w:r>
        <w:t xml:space="preserve">throughout the EU;</w:t>
      </w:r>
      <w:r>
        <w:t xml:space="preserve"> </w:t>
      </w:r>
      <w:r>
        <w:t xml:space="preserve">Costs: Loss of income corresponding to consumer benefit resulting from increased competitive pressure;</w:t>
      </w:r>
      <w:r>
        <w:t xml:space="preserve"> </w:t>
      </w:r>
      <w:r>
        <w:t xml:space="preserve">Benefits: Annual cost savings of between EUR 415m and 664m for clients in countries currently without a repair clause</w:t>
      </w:r>
      <w:r>
        <w:t xml:space="preserve"> </w:t>
      </w:r>
      <w:r>
        <w:t xml:space="preserve">Option 1.2</w:t>
      </w:r>
      <w:r>
        <w:t xml:space="preserve"> </w:t>
      </w:r>
      <w:r>
        <w:t xml:space="preserve">Full liberalisation for</w:t>
      </w:r>
      <w:r>
        <w:t xml:space="preserve"> </w:t>
      </w:r>
      <w:r>
        <w:t xml:space="preserve">new designs + old after</w:t>
      </w:r>
      <w:r>
        <w:t xml:space="preserve"> </w:t>
      </w:r>
      <w:r>
        <w:t xml:space="preserve">10 years</w:t>
      </w:r>
      <w:r>
        <w:br/>
      </w:r>
      <w:r>
        <w:t xml:space="preserve">(short run: 0, long run: -)</w:t>
      </w:r>
      <w:r>
        <w:t xml:space="preserve"> </w:t>
      </w:r>
      <w:r>
        <w:t xml:space="preserve">Competition for new designs</w:t>
      </w:r>
      <w:r>
        <w:t xml:space="preserve"> </w:t>
      </w:r>
      <w:r>
        <w:t xml:space="preserve">(connected cars); for</w:t>
      </w:r>
      <w:r>
        <w:t xml:space="preserve"> </w:t>
      </w:r>
      <w:r>
        <w:t xml:space="preserve">existing designs (combustion</w:t>
      </w:r>
      <w:r>
        <w:t xml:space="preserve"> </w:t>
      </w:r>
      <w:r>
        <w:t xml:space="preserve">engine cars) delayed</w:t>
      </w:r>
      <w:r>
        <w:t xml:space="preserve"> </w:t>
      </w:r>
      <w:r>
        <w:t xml:space="preserve">competition; status quo in</w:t>
      </w:r>
      <w:r>
        <w:t xml:space="preserve"> </w:t>
      </w:r>
      <w:r>
        <w:t xml:space="preserve">the short run;</w:t>
      </w:r>
      <w:r>
        <w:t xml:space="preserve"> </w:t>
      </w:r>
      <w:r>
        <w:t xml:space="preserve">(+) Impact delayed in time,</w:t>
      </w:r>
      <w:r>
        <w:t xml:space="preserve"> </w:t>
      </w:r>
      <w:r>
        <w:t xml:space="preserve">compared to Option 1.1;</w:t>
      </w:r>
      <w:r>
        <w:br/>
      </w:r>
      <w:r>
        <w:t xml:space="preserve">(+) Impact delayed in time,</w:t>
      </w:r>
      <w:r>
        <w:t xml:space="preserve"> </w:t>
      </w:r>
      <w:r>
        <w:t xml:space="preserve">compared to Option 1.1;</w:t>
      </w:r>
    </w:p>
    <w:p>
      <w:pPr>
        <w:pStyle w:val="BodyText"/>
      </w:pPr>
      <w:r>
        <w:t xml:space="preserve">(N/A)</w:t>
      </w:r>
      <w:r>
        <w:t xml:space="preserve"> </w:t>
      </w:r>
      <w:r>
        <w:t xml:space="preserve">(+) Impact delayed in</w:t>
      </w:r>
      <w:r>
        <w:t xml:space="preserve"> </w:t>
      </w:r>
      <w:r>
        <w:t xml:space="preserve">time, compared to Option</w:t>
      </w:r>
      <w:r>
        <w:t xml:space="preserve"> </w:t>
      </w:r>
      <w:r>
        <w:t xml:space="preserve">1.1;</w:t>
      </w:r>
      <w:r>
        <w:br/>
      </w:r>
      <w:r>
        <w:t xml:space="preserve">(short run: 0, long run: ++)</w:t>
      </w:r>
      <w:r>
        <w:t xml:space="preserve"> </w:t>
      </w:r>
      <w:r>
        <w:t xml:space="preserve">Both non protected (new) and</w:t>
      </w:r>
      <w:r>
        <w:t xml:space="preserve"> </w:t>
      </w:r>
      <w:r>
        <w:t xml:space="preserve">protected (old) spare parts on</w:t>
      </w:r>
      <w:r>
        <w:t xml:space="preserve"> </w:t>
      </w:r>
      <w:r>
        <w:t xml:space="preserve">the market during 10 year</w:t>
      </w:r>
      <w:r>
        <w:t xml:space="preserve"> </w:t>
      </w:r>
      <w:r>
        <w:t xml:space="preserve">transition, leading to confusion</w:t>
      </w:r>
      <w:r>
        <w:t xml:space="preserve"> </w:t>
      </w:r>
      <w:r>
        <w:t xml:space="preserve">and potential (unintended)</w:t>
      </w:r>
      <w:r>
        <w:t xml:space="preserve"> </w:t>
      </w:r>
      <w:r>
        <w:t xml:space="preserve">infringements; full freedom to</w:t>
      </w:r>
      <w:r>
        <w:t xml:space="preserve"> </w:t>
      </w:r>
      <w:r>
        <w:t xml:space="preserve">choose afterwards</w:t>
      </w:r>
      <w:r>
        <w:t xml:space="preserve"> </w:t>
      </w:r>
      <w:r>
        <w:t xml:space="preserve">Costs: Loss of income corresponding to consumer benefit resulting from increased competitive pressure;</w:t>
      </w:r>
      <w:r>
        <w:t xml:space="preserve"> </w:t>
      </w:r>
      <w:r>
        <w:t xml:space="preserve">Benefits: During the 10-year transition each year benefits will increase by EUR 4 to 13 m per year to reach up to 10-20% of Opt. 1.1 value. After the transition period annual benefits will be</w:t>
      </w:r>
      <w:r>
        <w:t xml:space="preserve"> </w:t>
      </w:r>
      <w:r>
        <w:t xml:space="preserve">net present value of Opt. 1.1: EUR 340-544m*;</w:t>
      </w:r>
      <w:r>
        <w:t xml:space="preserve"> </w:t>
      </w:r>
      <w:r>
        <w:t xml:space="preserve">Option 1.3</w:t>
      </w:r>
      <w:r>
        <w:t xml:space="preserve"> </w:t>
      </w:r>
      <w:r>
        <w:t xml:space="preserve">Full liberalisation for</w:t>
      </w:r>
      <w:r>
        <w:t xml:space="preserve"> </w:t>
      </w:r>
      <w:r>
        <w:t xml:space="preserve">new designs</w:t>
      </w:r>
      <w:r>
        <w:t xml:space="preserve"> </w:t>
      </w:r>
      <w:r>
        <w:t xml:space="preserve">(short run: 0, long run: -)</w:t>
      </w:r>
      <w:r>
        <w:t xml:space="preserve"> </w:t>
      </w:r>
      <w:r>
        <w:t xml:space="preserve">Only new spare parts</w:t>
      </w:r>
      <w:r>
        <w:t xml:space="preserve"> </w:t>
      </w:r>
      <w:r>
        <w:t xml:space="preserve">designs liberalised, for</w:t>
      </w:r>
      <w:r>
        <w:t xml:space="preserve"> </w:t>
      </w:r>
      <w:r>
        <w:t xml:space="preserve">existing ones monopoly</w:t>
      </w:r>
      <w:r>
        <w:t xml:space="preserve"> </w:t>
      </w:r>
      <w:r>
        <w:t xml:space="preserve">possible for up to 25 years;</w:t>
      </w:r>
      <w:r>
        <w:t xml:space="preserve"> </w:t>
      </w:r>
      <w:r>
        <w:t xml:space="preserve">(+) Impact delayed in time,</w:t>
      </w:r>
      <w:r>
        <w:t xml:space="preserve"> </w:t>
      </w:r>
      <w:r>
        <w:t xml:space="preserve">compared to Option 1.2.</w:t>
      </w:r>
      <w:r>
        <w:t xml:space="preserve"> </w:t>
      </w:r>
      <w:r>
        <w:t xml:space="preserve">(+) Impact delayed in time,</w:t>
      </w:r>
      <w:r>
        <w:t xml:space="preserve"> </w:t>
      </w:r>
      <w:r>
        <w:t xml:space="preserve">compared to Option 1.2.</w:t>
      </w:r>
    </w:p>
    <w:p>
      <w:pPr>
        <w:pStyle w:val="BodyText"/>
      </w:pPr>
      <w:r>
        <w:t xml:space="preserve">(N/A) Keep control in</w:t>
      </w:r>
      <w:r>
        <w:t xml:space="preserve"> </w:t>
      </w:r>
      <w:r>
        <w:t xml:space="preserve">protected markets over the</w:t>
      </w:r>
      <w:r>
        <w:t xml:space="preserve"> </w:t>
      </w:r>
      <w:r>
        <w:t xml:space="preserve">distribution of the parts</w:t>
      </w:r>
      <w:r>
        <w:t xml:space="preserve"> </w:t>
      </w:r>
      <w:r>
        <w:t xml:space="preserve">covered under the old</w:t>
      </w:r>
      <w:r>
        <w:t xml:space="preserve"> </w:t>
      </w:r>
      <w:r>
        <w:t xml:space="preserve">designs (combustion engine</w:t>
      </w:r>
      <w:r>
        <w:t xml:space="preserve"> </w:t>
      </w:r>
      <w:r>
        <w:t xml:space="preserve">cars)</w:t>
      </w:r>
      <w:r>
        <w:t xml:space="preserve"> </w:t>
      </w:r>
      <w:r>
        <w:t xml:space="preserve">(–) Legal uncertainty;</w:t>
      </w:r>
      <w:r>
        <w:t xml:space="preserve"> </w:t>
      </w:r>
      <w:r>
        <w:t xml:space="preserve">(medium run: 0, long run: ++)</w:t>
      </w:r>
      <w:r>
        <w:t xml:space="preserve"> </w:t>
      </w:r>
      <w:r>
        <w:t xml:space="preserve">Both non protected (new) and</w:t>
      </w:r>
      <w:r>
        <w:t xml:space="preserve"> </w:t>
      </w:r>
      <w:r>
        <w:t xml:space="preserve">protected (old) spare parts on</w:t>
      </w:r>
      <w:r>
        <w:t xml:space="preserve"> </w:t>
      </w:r>
      <w:r>
        <w:t xml:space="preserve">the market for up to 25 years</w:t>
      </w:r>
      <w:r>
        <w:t xml:space="preserve"> </w:t>
      </w:r>
      <w:r>
        <w:t xml:space="preserve">leading to confusion and</w:t>
      </w:r>
      <w:r>
        <w:t xml:space="preserve"> </w:t>
      </w:r>
      <w:r>
        <w:t xml:space="preserve">potential (unintended)</w:t>
      </w:r>
      <w:r>
        <w:t xml:space="preserve"> </w:t>
      </w:r>
      <w:r>
        <w:t xml:space="preserve">infringements; full freedom to</w:t>
      </w:r>
      <w:r>
        <w:t xml:space="preserve"> </w:t>
      </w:r>
      <w:r>
        <w:t xml:space="preserve">choose afterwards</w:t>
      </w:r>
      <w:r>
        <w:t xml:space="preserve"> </w:t>
      </w:r>
      <w:r>
        <w:t xml:space="preserve">Costs: Loss of income corresponding to consumer benefit resulting from increased competitive pressure;</w:t>
      </w:r>
      <w:r>
        <w:t xml:space="preserve"> </w:t>
      </w:r>
      <w:r>
        <w:t xml:space="preserve">Benefits: After first 10 years 10-20% of Opt. 1.1 benefits, after 15 years 15-30%, after 20 years 20-40%. EUR 415-663m per year only after current designs no longer available on the</w:t>
      </w:r>
      <w:r>
        <w:t xml:space="preserve"> </w:t>
      </w:r>
      <w:r>
        <w:t xml:space="preserve">market, thus far lower benefit in discounted net present value terms (EUR 253-404m after 25 years</w:t>
      </w:r>
      <w:r>
        <w:rPr>
          <w:i/>
          <w:iCs/>
        </w:rPr>
        <w:t xml:space="preserve">).</w:t>
      </w:r>
      <w:r>
        <w:br/>
      </w:r>
      <w:r>
        <w:rPr>
          <w:i/>
          <w:iCs/>
        </w:rPr>
        <w:t xml:space="preserve">Legend: ++ significant positive impact; + positive impact; 0 neutral; - negative impact; – significant negative impact;</w:t>
      </w:r>
      <w:r>
        <w:rPr>
          <w:i/>
          <w:iCs/>
        </w:rPr>
        <w:t xml:space="preserve"> </w:t>
      </w:r>
      <w:r>
        <w:t xml:space="preserve"> </w:t>
      </w:r>
      <w:r>
        <w:t xml:space="preserve">discount rate: 2% ECB inflation target</w:t>
      </w:r>
    </w:p>
    <w:p>
      <w:pPr>
        <w:pStyle w:val="BodyText"/>
      </w:pPr>
      <w:r>
        <w:t xml:space="preserve">54</w:t>
      </w:r>
      <w:r>
        <w:t xml:space="preserve"> </w:t>
      </w:r>
      <w:r>
        <w:t xml:space="preserve">Table 7.4 Comparison of the impact of policy options 2 to 4 on stakeholders</w:t>
      </w:r>
    </w:p>
    <w:p>
      <w:pPr>
        <w:pStyle w:val="BodyText"/>
      </w:pPr>
      <w:r>
        <w:t xml:space="preserve">Firms applying for protection Individuals (+SMEs) applying</w:t>
      </w:r>
      <w:r>
        <w:t xml:space="preserve"> </w:t>
      </w:r>
      <w:r>
        <w:t xml:space="preserve">for protection</w:t>
      </w:r>
      <w:r>
        <w:t xml:space="preserve"> </w:t>
      </w:r>
      <w:r>
        <w:t xml:space="preserve">IP offices</w:t>
      </w:r>
      <w:r>
        <w:t xml:space="preserve"> </w:t>
      </w:r>
      <w:r>
        <w:t xml:space="preserve">Citizens</w:t>
      </w:r>
      <w:r>
        <w:t xml:space="preserve"> </w:t>
      </w:r>
      <w:r>
        <w:t xml:space="preserve">Baseline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Option 2</w:t>
      </w:r>
      <w:r>
        <w:t xml:space="preserve"> </w:t>
      </w:r>
      <w:r>
        <w:t xml:space="preserve">Simplification</w:t>
      </w:r>
      <w:r>
        <w:t xml:space="preserve"> </w:t>
      </w:r>
      <w:r>
        <w:t xml:space="preserve">and streamlining</w:t>
      </w:r>
      <w:r>
        <w:t xml:space="preserve"> </w:t>
      </w:r>
      <w:r>
        <w:t xml:space="preserve">of RCD</w:t>
      </w:r>
      <w:r>
        <w:t xml:space="preserve"> </w:t>
      </w:r>
      <w:r>
        <w:t xml:space="preserve">procedures</w:t>
      </w:r>
      <w:r>
        <w:t xml:space="preserve"> </w:t>
      </w:r>
      <w:r>
        <w:t xml:space="preserve">(++)Easier access and savings</w:t>
      </w:r>
      <w:r>
        <w:t xml:space="preserve"> </w:t>
      </w:r>
      <w:r>
        <w:t xml:space="preserve">for firms due to lower</w:t>
      </w:r>
      <w:r>
        <w:t xml:space="preserve"> </w:t>
      </w:r>
      <w:r>
        <w:t xml:space="preserve">deficiency potential and</w:t>
      </w:r>
      <w:r>
        <w:t xml:space="preserve"> </w:t>
      </w:r>
      <w:r>
        <w:t xml:space="preserve">extended, less costly access to</w:t>
      </w:r>
      <w:r>
        <w:t xml:space="preserve"> </w:t>
      </w:r>
      <w:r>
        <w:t xml:space="preserve">multiple applications, and</w:t>
      </w:r>
      <w:r>
        <w:t xml:space="preserve"> </w:t>
      </w:r>
      <w:r>
        <w:t xml:space="preserve">greater predictability.</w:t>
      </w:r>
      <w:r>
        <w:t xml:space="preserve"> </w:t>
      </w:r>
      <w:r>
        <w:t xml:space="preserve">(++)Particularly easier access</w:t>
      </w:r>
      <w:r>
        <w:t xml:space="preserve"> </w:t>
      </w:r>
      <w:r>
        <w:t xml:space="preserve">and savings for</w:t>
      </w:r>
      <w:r>
        <w:t xml:space="preserve"> </w:t>
      </w:r>
      <w:r>
        <w:t xml:space="preserve">individuals/SMEs due to lower</w:t>
      </w:r>
      <w:r>
        <w:t xml:space="preserve"> </w:t>
      </w:r>
      <w:r>
        <w:t xml:space="preserve">deficiency potential and</w:t>
      </w:r>
      <w:r>
        <w:t xml:space="preserve"> </w:t>
      </w:r>
      <w:r>
        <w:t xml:space="preserve">extended, less costly access to</w:t>
      </w:r>
      <w:r>
        <w:t xml:space="preserve"> </w:t>
      </w:r>
      <w:r>
        <w:t xml:space="preserve">multiple applications, and</w:t>
      </w:r>
      <w:r>
        <w:t xml:space="preserve"> </w:t>
      </w:r>
      <w:r>
        <w:t xml:space="preserve">greater predictability.</w:t>
      </w:r>
      <w:r>
        <w:br/>
      </w:r>
      <w:r>
        <w:t xml:space="preserve">(++)EUIPO able to run RCD</w:t>
      </w:r>
      <w:r>
        <w:t xml:space="preserve"> </w:t>
      </w:r>
      <w:r>
        <w:t xml:space="preserve">operations more efficiently (less</w:t>
      </w:r>
      <w:r>
        <w:t xml:space="preserve"> </w:t>
      </w:r>
      <w:r>
        <w:t xml:space="preserve">deficient applications to treat;</w:t>
      </w:r>
      <w:r>
        <w:t xml:space="preserve"> </w:t>
      </w:r>
      <w:r>
        <w:t xml:space="preserve">smoother running of workflows and</w:t>
      </w:r>
      <w:r>
        <w:t xml:space="preserve"> </w:t>
      </w:r>
      <w:r>
        <w:t xml:space="preserve">back office IT landscape due to</w:t>
      </w:r>
      <w:r>
        <w:t xml:space="preserve"> </w:t>
      </w:r>
      <w:r>
        <w:t xml:space="preserve">alignment with EUTM procedures);</w:t>
      </w:r>
      <w:r>
        <w:t xml:space="preserve"> </w:t>
      </w:r>
      <w:r>
        <w:t xml:space="preserve">facilitation of task to foster</w:t>
      </w:r>
      <w:r>
        <w:t xml:space="preserve"> </w:t>
      </w:r>
      <w:r>
        <w:t xml:space="preserve">convergence of practices and tools</w:t>
      </w:r>
      <w:r>
        <w:t xml:space="preserve"> </w:t>
      </w:r>
      <w:r>
        <w:t xml:space="preserve">in cooperation with nat. IP offices</w:t>
      </w:r>
      <w:r>
        <w:t xml:space="preserve"> </w:t>
      </w:r>
      <w:r>
        <w:t xml:space="preserve">(EUIPO serving as benchmark).</w:t>
      </w:r>
      <w:r>
        <w:t xml:space="preserve"> </w:t>
      </w:r>
      <w:r>
        <w:t xml:space="preserve">(+/0)No significant</w:t>
      </w:r>
      <w:r>
        <w:t xml:space="preserve"> </w:t>
      </w:r>
      <w:r>
        <w:t xml:space="preserve">(quantifiable) impact;</w:t>
      </w:r>
      <w:r>
        <w:t xml:space="preserve"> </w:t>
      </w:r>
      <w:r>
        <w:t xml:space="preserve">consumers to profit from</w:t>
      </w:r>
      <w:r>
        <w:t xml:space="preserve"> </w:t>
      </w:r>
      <w:r>
        <w:t xml:space="preserve">wider variety of products</w:t>
      </w:r>
      <w:r>
        <w:t xml:space="preserve"> </w:t>
      </w:r>
      <w:r>
        <w:t xml:space="preserve">though, as designs foster</w:t>
      </w:r>
      <w:r>
        <w:t xml:space="preserve"> </w:t>
      </w:r>
      <w:r>
        <w:t xml:space="preserve">product differentiation</w:t>
      </w:r>
      <w:r>
        <w:t xml:space="preserve"> </w:t>
      </w:r>
      <w:r>
        <w:t xml:space="preserve">Costs: EUR 0</w:t>
      </w:r>
      <w:r>
        <w:t xml:space="preserve"> </w:t>
      </w:r>
      <w:r>
        <w:t xml:space="preserve">EUR 0</w:t>
      </w:r>
      <w:r>
        <w:t xml:space="preserve"> </w:t>
      </w:r>
      <w:r>
        <w:t xml:space="preserve">Loss corresponding to benefits of</w:t>
      </w:r>
      <w:r>
        <w:t xml:space="preserve"> </w:t>
      </w:r>
      <w:r>
        <w:t xml:space="preserve">firms and individuals</w:t>
      </w:r>
      <w:r>
        <w:t xml:space="preserve"> </w:t>
      </w:r>
      <w:r>
        <w:t xml:space="preserve">Reduction in fees for IP</w:t>
      </w:r>
      <w:r>
        <w:t xml:space="preserve"> </w:t>
      </w:r>
      <w:r>
        <w:t xml:space="preserve">lawyers corresponding to</w:t>
      </w:r>
      <w:r>
        <w:t xml:space="preserve"> </w:t>
      </w:r>
      <w:r>
        <w:t xml:space="preserve">benefits to firms and</w:t>
      </w:r>
      <w:r>
        <w:t xml:space="preserve"> </w:t>
      </w:r>
      <w:r>
        <w:t xml:space="preserve">individuals</w:t>
      </w:r>
      <w:r>
        <w:t xml:space="preserve"> </w:t>
      </w:r>
      <w:r>
        <w:t xml:space="preserve">Benefits: EUR 160 to 200 per applicant, for up to 14% of applicants due</w:t>
      </w:r>
      <w:r>
        <w:t xml:space="preserve"> </w:t>
      </w:r>
      <w:r>
        <w:t xml:space="preserve">to simplified representation</w:t>
      </w:r>
      <w:r>
        <w:t xml:space="preserve"> </w:t>
      </w:r>
      <w:r>
        <w:t xml:space="preserve">EUR 492, 234 and 281 due to facilitation of multiple RCD</w:t>
      </w:r>
      <w:r>
        <w:t xml:space="preserve"> </w:t>
      </w:r>
      <w:r>
        <w:t xml:space="preserve">applications in case of current fee structure, Opt. 3.1 and 3.2</w:t>
      </w:r>
      <w:r>
        <w:t xml:space="preserve"> </w:t>
      </w:r>
      <w:r>
        <w:t xml:space="preserve">respectively. Affecting up to 20% of applicants</w:t>
      </w:r>
      <w:r>
        <w:t xml:space="preserve"> </w:t>
      </w:r>
      <w:r>
        <w:t xml:space="preserve">Reduction of deficient applications</w:t>
      </w:r>
      <w:r>
        <w:t xml:space="preserve"> </w:t>
      </w:r>
      <w:r>
        <w:t xml:space="preserve">and abolition of unity of class</w:t>
      </w:r>
      <w:r>
        <w:t xml:space="preserve"> </w:t>
      </w:r>
      <w:r>
        <w:t xml:space="preserve">requirement reduces time and cost</w:t>
      </w:r>
      <w:r>
        <w:t xml:space="preserve"> </w:t>
      </w:r>
      <w:r>
        <w:t xml:space="preserve">of examination and correspondence.</w:t>
      </w:r>
      <w:r>
        <w:br/>
      </w:r>
      <w:r>
        <w:t xml:space="preserve">Not quantifiable</w:t>
      </w:r>
      <w:r>
        <w:t xml:space="preserve"> </w:t>
      </w:r>
      <w:r>
        <w:t xml:space="preserve">Benefits:</w:t>
      </w:r>
      <w:r>
        <w:br/>
      </w:r>
      <w:r>
        <w:t xml:space="preserve">Option 3</w:t>
      </w:r>
      <w:r>
        <w:t xml:space="preserve"> </w:t>
      </w:r>
      <w:r>
        <w:t xml:space="preserve">Lower RCD</w:t>
      </w:r>
      <w:r>
        <w:t xml:space="preserve"> </w:t>
      </w:r>
      <w:r>
        <w:t xml:space="preserve">registration fee</w:t>
      </w:r>
      <w:r>
        <w:t xml:space="preserve"> </w:t>
      </w:r>
      <w:r>
        <w:t xml:space="preserve">and easier</w:t>
      </w:r>
      <w:r>
        <w:t xml:space="preserve"> </w:t>
      </w:r>
      <w:r>
        <w:t xml:space="preserve">multiple</w:t>
      </w:r>
      <w:r>
        <w:t xml:space="preserve"> </w:t>
      </w:r>
      <w:r>
        <w:t xml:space="preserve">applications</w:t>
      </w:r>
      <w:r>
        <w:t xml:space="preserve"> </w:t>
      </w:r>
      <w:r>
        <w:t xml:space="preserve">with bulk</w:t>
      </w:r>
      <w:r>
        <w:t xml:space="preserve"> </w:t>
      </w:r>
      <w:r>
        <w:t xml:space="preserve">discount</w:t>
      </w:r>
      <w:r>
        <w:t xml:space="preserve"> </w:t>
      </w:r>
      <w:r>
        <w:t xml:space="preserve">(+/-) More affordable access</w:t>
      </w:r>
      <w:r>
        <w:t xml:space="preserve"> </w:t>
      </w:r>
      <w:r>
        <w:t xml:space="preserve">and savings for firms filing</w:t>
      </w:r>
      <w:r>
        <w:t xml:space="preserve"> </w:t>
      </w:r>
      <w:r>
        <w:t xml:space="preserve">fewer designs, and for shorter</w:t>
      </w:r>
      <w:r>
        <w:t xml:space="preserve"> </w:t>
      </w:r>
      <w:r>
        <w:t xml:space="preserve">period, increased cost for firms</w:t>
      </w:r>
      <w:r>
        <w:t xml:space="preserve"> </w:t>
      </w:r>
      <w:r>
        <w:t xml:space="preserve">filing large numbers of designs</w:t>
      </w:r>
      <w:r>
        <w:t xml:space="preserve"> </w:t>
      </w:r>
      <w:r>
        <w:t xml:space="preserve">and for long period.</w:t>
      </w:r>
      <w:r>
        <w:t xml:space="preserve"> </w:t>
      </w:r>
      <w:r>
        <w:t xml:space="preserve">(++) More affordable access and</w:t>
      </w:r>
      <w:r>
        <w:t xml:space="preserve"> </w:t>
      </w:r>
      <w:r>
        <w:t xml:space="preserve">savings for individuals and</w:t>
      </w:r>
      <w:r>
        <w:t xml:space="preserve"> </w:t>
      </w:r>
      <w:r>
        <w:t xml:space="preserve">SMEs tending to file fewer</w:t>
      </w:r>
      <w:r>
        <w:t xml:space="preserve"> </w:t>
      </w:r>
      <w:r>
        <w:t xml:space="preserve">designs, and for shorter period.</w:t>
      </w:r>
      <w:r>
        <w:t xml:space="preserve"> </w:t>
      </w:r>
      <w:r>
        <w:t xml:space="preserve">(-/0)Loss of revenue for EUIPO; no</w:t>
      </w:r>
      <w:r>
        <w:t xml:space="preserve"> </w:t>
      </w:r>
      <w:r>
        <w:t xml:space="preserve">major impact on nat. IP offices</w:t>
      </w:r>
      <w:r>
        <w:t xml:space="preserve"> </w:t>
      </w:r>
      <w:r>
        <w:t xml:space="preserve">through potential shift from nat. to</w:t>
      </w:r>
      <w:r>
        <w:t xml:space="preserve"> </w:t>
      </w:r>
      <w:r>
        <w:t xml:space="preserve">RCD filings (nat. IP offices free to</w:t>
      </w:r>
      <w:r>
        <w:t xml:space="preserve"> </w:t>
      </w:r>
      <w:r>
        <w:t xml:space="preserve">cushion effects by lowering own</w:t>
      </w:r>
      <w:r>
        <w:t xml:space="preserve"> </w:t>
      </w:r>
      <w:r>
        <w:t xml:space="preserve">fees).</w:t>
      </w:r>
      <w:r>
        <w:br/>
      </w:r>
      <w:r>
        <w:t xml:space="preserve">(+/0)No significant</w:t>
      </w:r>
      <w:r>
        <w:t xml:space="preserve"> </w:t>
      </w:r>
      <w:r>
        <w:t xml:space="preserve">(quantifiable) impact;</w:t>
      </w:r>
      <w:r>
        <w:t xml:space="preserve"> </w:t>
      </w:r>
      <w:r>
        <w:t xml:space="preserve">consumers to profit from</w:t>
      </w:r>
      <w:r>
        <w:t xml:space="preserve"> </w:t>
      </w:r>
      <w:r>
        <w:t xml:space="preserve">wider variety of products</w:t>
      </w:r>
      <w:r>
        <w:t xml:space="preserve"> </w:t>
      </w:r>
      <w:r>
        <w:t xml:space="preserve">though, as (more) designs</w:t>
      </w:r>
      <w:r>
        <w:t xml:space="preserve"> </w:t>
      </w:r>
      <w:r>
        <w:t xml:space="preserve">foster product</w:t>
      </w:r>
      <w:r>
        <w:t xml:space="preserve"> </w:t>
      </w:r>
      <w:r>
        <w:t xml:space="preserve">differentiation</w:t>
      </w:r>
      <w:r>
        <w:t xml:space="preserve"> </w:t>
      </w:r>
      <w:r>
        <w:t xml:space="preserve">Opt. 3.1 Costs</w:t>
      </w:r>
      <w:r>
        <w:rPr>
          <w:i/>
          <w:iCs/>
        </w:rPr>
        <w:t xml:space="preserve">: EUR 74, 478 and 1398 for</w:t>
      </w:r>
      <w:r>
        <w:rPr>
          <w:i/>
          <w:iCs/>
        </w:rPr>
        <w:t xml:space="preserve"> </w:t>
      </w:r>
      <w:r>
        <w:rPr>
          <w:i/>
          <w:iCs/>
        </w:rPr>
        <w:t xml:space="preserve">2nd,3rd and 4th renewal</w:t>
      </w:r>
      <w:r>
        <w:rPr>
          <w:i/>
          <w:iCs/>
        </w:rPr>
        <w:t xml:space="preserve"> </w:t>
      </w:r>
      <w:r>
        <w:rPr>
          <w:i/>
          <w:iCs/>
        </w:rPr>
        <w:t xml:space="preserve">respectively</w:t>
      </w:r>
      <w:r>
        <w:rPr>
          <w:i/>
          <w:iCs/>
        </w:rPr>
        <w:t xml:space="preserve"> </w:t>
      </w:r>
      <w:r>
        <w:rPr>
          <w:i/>
          <w:iCs/>
        </w:rPr>
        <w:t xml:space="preserve">EUR 47, 305 and 893 for 2nd,3rd</w:t>
      </w:r>
      <w:r>
        <w:rPr>
          <w:i/>
          <w:iCs/>
        </w:rPr>
        <w:t xml:space="preserve"> </w:t>
      </w:r>
      <w:r>
        <w:rPr>
          <w:i/>
          <w:iCs/>
        </w:rPr>
        <w:t xml:space="preserve">and 4th renewal respectively</w:t>
      </w:r>
      <w:r>
        <w:rPr>
          <w:i/>
          <w:iCs/>
        </w:rPr>
        <w:t xml:space="preserve"> </w:t>
      </w:r>
      <w:r>
        <w:rPr>
          <w:i/>
          <w:iCs/>
        </w:rPr>
        <w:t xml:space="preserve">Equal to benefits for firms and</w:t>
      </w:r>
      <w:r>
        <w:rPr>
          <w:i/>
          <w:iCs/>
        </w:rPr>
        <w:t xml:space="preserve"> </w:t>
      </w:r>
      <w:r>
        <w:rPr>
          <w:i/>
          <w:iCs/>
        </w:rPr>
        <w:t xml:space="preserve">individuals. EUIPO estimates at</w:t>
      </w:r>
      <w:r>
        <w:rPr>
          <w:i/>
          <w:iCs/>
        </w:rPr>
        <w:t xml:space="preserve"> </w:t>
      </w:r>
      <w:r>
        <w:rPr>
          <w:i/>
          <w:iCs/>
        </w:rPr>
        <w:t xml:space="preserve">EUR 3.2m</w:t>
      </w:r>
      <w:r>
        <w:rPr>
          <w:i/>
          <w:iCs/>
        </w:rPr>
        <w:t xml:space="preserve"> </w:t>
      </w:r>
      <w:r>
        <w:rPr>
          <w:i/>
          <w:iCs/>
        </w:rPr>
        <w:t xml:space="preserve">EUR 0</w:t>
      </w:r>
      <w:r>
        <w:rPr>
          <w:i/>
          <w:iCs/>
        </w:rPr>
        <w:t xml:space="preserve"> </w:t>
      </w:r>
      <w:r>
        <w:rPr>
          <w:i/>
          <w:iCs/>
        </w:rPr>
        <w:t xml:space="preserve">Opt. 3.1.</w:t>
      </w:r>
      <w:r>
        <w:rPr>
          <w:i/>
          <w:iCs/>
        </w:rPr>
        <w:t xml:space="preserve"> </w:t>
      </w:r>
      <w:r>
        <w:rPr>
          <w:i/>
          <w:iCs/>
        </w:rPr>
        <w:t xml:space="preserve">Benefits</w:t>
      </w:r>
      <w:r>
        <w:t xml:space="preserve"> </w:t>
      </w:r>
      <w:r>
        <w:t xml:space="preserve">EUR 144 per application and</w:t>
      </w:r>
      <w:r>
        <w:t xml:space="preserve"> </w:t>
      </w:r>
      <w:r>
        <w:t xml:space="preserve">EUR 74 for 1st renewal</w:t>
      </w:r>
      <w:r>
        <w:t xml:space="preserve"> </w:t>
      </w:r>
      <w:r>
        <w:t xml:space="preserve">EUR 132 per application and</w:t>
      </w:r>
      <w:r>
        <w:t xml:space="preserve"> </w:t>
      </w:r>
      <w:r>
        <w:t xml:space="preserve">EUR 47 for 1st renewal</w:t>
      </w:r>
      <w:r>
        <w:br/>
      </w:r>
      <w:r>
        <w:t xml:space="preserve">Equal to cost for firms and</w:t>
      </w:r>
      <w:r>
        <w:t xml:space="preserve"> </w:t>
      </w:r>
      <w:r>
        <w:t xml:space="preserve">individuals. Proceeds from 4th</w:t>
      </w:r>
      <w:r>
        <w:t xml:space="preserve"> </w:t>
      </w:r>
      <w:r>
        <w:t xml:space="preserve">renewal may be higher than costs</w:t>
      </w:r>
      <w:r>
        <w:t xml:space="preserve"> </w:t>
      </w:r>
      <w:r>
        <w:t xml:space="preserve">Not quantifiable</w:t>
      </w:r>
      <w:r>
        <w:t xml:space="preserve"> </w:t>
      </w:r>
      <w:r>
        <w:t xml:space="preserve">Opt. 3.2 Costs</w:t>
      </w:r>
      <w:r>
        <w:rPr>
          <w:i/>
          <w:iCs/>
        </w:rPr>
        <w:t xml:space="preserve">: EUR 147, 625 and 1692 for</w:t>
      </w:r>
      <w:r>
        <w:rPr>
          <w:i/>
          <w:iCs/>
        </w:rPr>
        <w:t xml:space="preserve"> </w:t>
      </w:r>
      <w:r>
        <w:rPr>
          <w:i/>
          <w:iCs/>
        </w:rPr>
        <w:t xml:space="preserve">2nd,3rd and 4th renewal</w:t>
      </w:r>
      <w:r>
        <w:rPr>
          <w:i/>
          <w:iCs/>
        </w:rPr>
        <w:t xml:space="preserve"> </w:t>
      </w:r>
      <w:r>
        <w:rPr>
          <w:i/>
          <w:iCs/>
        </w:rPr>
        <w:t xml:space="preserve">respectively</w:t>
      </w:r>
      <w:r>
        <w:rPr>
          <w:i/>
          <w:iCs/>
        </w:rPr>
        <w:t xml:space="preserve"> </w:t>
      </w:r>
      <w:r>
        <w:rPr>
          <w:i/>
          <w:iCs/>
        </w:rPr>
        <w:t xml:space="preserve">EUR 94, 399 and 1081 for</w:t>
      </w:r>
      <w:r>
        <w:rPr>
          <w:i/>
          <w:iCs/>
        </w:rPr>
        <w:t xml:space="preserve"> </w:t>
      </w:r>
      <w:r>
        <w:rPr>
          <w:i/>
          <w:iCs/>
        </w:rPr>
        <w:t xml:space="preserve">2nd,3rd and 4th renewal</w:t>
      </w:r>
      <w:r>
        <w:rPr>
          <w:i/>
          <w:iCs/>
        </w:rPr>
        <w:t xml:space="preserve"> </w:t>
      </w:r>
      <w:r>
        <w:rPr>
          <w:i/>
          <w:iCs/>
        </w:rPr>
        <w:t xml:space="preserve">respectively</w:t>
      </w:r>
      <w:r>
        <w:rPr>
          <w:i/>
          <w:iCs/>
        </w:rPr>
        <w:t xml:space="preserve"> </w:t>
      </w:r>
      <w:r>
        <w:rPr>
          <w:i/>
          <w:iCs/>
        </w:rPr>
        <w:t xml:space="preserve">Equal to benefits for firms and</w:t>
      </w:r>
      <w:r>
        <w:rPr>
          <w:i/>
          <w:iCs/>
        </w:rPr>
        <w:t xml:space="preserve"> </w:t>
      </w:r>
      <w:r>
        <w:rPr>
          <w:i/>
          <w:iCs/>
        </w:rPr>
        <w:t xml:space="preserve">individuals. EUIPO estimates at</w:t>
      </w:r>
      <w:r>
        <w:rPr>
          <w:i/>
          <w:iCs/>
        </w:rPr>
        <w:t xml:space="preserve"> </w:t>
      </w:r>
      <w:r>
        <w:rPr>
          <w:i/>
          <w:iCs/>
        </w:rPr>
        <w:t xml:space="preserve">EUR 3.16m</w:t>
      </w:r>
      <w:r>
        <w:rPr>
          <w:i/>
          <w:iCs/>
        </w:rPr>
        <w:t xml:space="preserve"> </w:t>
      </w:r>
      <w:r>
        <w:rPr>
          <w:i/>
          <w:iCs/>
        </w:rPr>
        <w:t xml:space="preserve">EUR 0</w:t>
      </w:r>
      <w:r>
        <w:rPr>
          <w:i/>
          <w:iCs/>
        </w:rPr>
        <w:t xml:space="preserve"> </w:t>
      </w:r>
      <w:r>
        <w:rPr>
          <w:i/>
          <w:iCs/>
        </w:rPr>
        <w:t xml:space="preserve">Opt. 3.2.</w:t>
      </w:r>
      <w:r>
        <w:rPr>
          <w:i/>
          <w:iCs/>
        </w:rPr>
        <w:t xml:space="preserve"> </w:t>
      </w:r>
      <w:r>
        <w:rPr>
          <w:i/>
          <w:iCs/>
        </w:rPr>
        <w:t xml:space="preserve">Benefits</w:t>
      </w:r>
      <w:r>
        <w:t xml:space="preserve"> </w:t>
      </w:r>
      <w:r>
        <w:t xml:space="preserve">EUR 211 per application and</w:t>
      </w:r>
      <w:r>
        <w:t xml:space="preserve"> </w:t>
      </w:r>
      <w:r>
        <w:t xml:space="preserve">EUR 37 for 1st renewal</w:t>
      </w:r>
      <w:r>
        <w:t xml:space="preserve"> </w:t>
      </w:r>
      <w:r>
        <w:t xml:space="preserve">EUR 166 per application and</w:t>
      </w:r>
      <w:r>
        <w:t xml:space="preserve"> </w:t>
      </w:r>
      <w:r>
        <w:t xml:space="preserve">EUR 23 for 1st renewal</w:t>
      </w:r>
      <w:r>
        <w:t xml:space="preserve"> </w:t>
      </w:r>
      <w:r>
        <w:t xml:space="preserve">Equal to cost for firms and</w:t>
      </w:r>
      <w:r>
        <w:t xml:space="preserve"> </w:t>
      </w:r>
      <w:r>
        <w:t xml:space="preserve">individuals. Proceeds from 4th</w:t>
      </w:r>
      <w:r>
        <w:t xml:space="preserve"> </w:t>
      </w:r>
      <w:r>
        <w:t xml:space="preserve">renewal may be higher than costs</w:t>
      </w:r>
      <w:r>
        <w:t xml:space="preserve"> </w:t>
      </w:r>
      <w:r>
        <w:t xml:space="preserve">Not quantifiable</w:t>
      </w:r>
      <w:r>
        <w:t xml:space="preserve"> </w:t>
      </w:r>
      <w:r>
        <w:t xml:space="preserve">Option 4.1</w:t>
      </w:r>
      <w:r>
        <w:t xml:space="preserve"> </w:t>
      </w:r>
      <w:r>
        <w:t xml:space="preserve">Partial further</w:t>
      </w:r>
      <w:r>
        <w:t xml:space="preserve"> </w:t>
      </w:r>
      <w:r>
        <w:t xml:space="preserve">approximation</w:t>
      </w:r>
      <w:r>
        <w:t xml:space="preserve"> </w:t>
      </w:r>
      <w:r>
        <w:t xml:space="preserve">of national rules</w:t>
      </w:r>
      <w:r>
        <w:t xml:space="preserve"> </w:t>
      </w:r>
      <w:r>
        <w:t xml:space="preserve">and their</w:t>
      </w:r>
      <w:r>
        <w:t xml:space="preserve"> </w:t>
      </w:r>
      <w:r>
        <w:t xml:space="preserve">coherence with</w:t>
      </w:r>
      <w:r>
        <w:t xml:space="preserve"> </w:t>
      </w:r>
      <w:r>
        <w:t xml:space="preserve">RCD system</w:t>
      </w:r>
      <w:r>
        <w:t xml:space="preserve"> </w:t>
      </w:r>
      <w:r>
        <w:t xml:space="preserve">4.1a voluntary</w:t>
      </w:r>
      <w:r>
        <w:t xml:space="preserve"> </w:t>
      </w:r>
      <w:r>
        <w:t xml:space="preserve">4.1b mandatory</w:t>
      </w:r>
    </w:p>
    <w:p>
      <w:pPr>
        <w:pStyle w:val="BodyText"/>
      </w:pPr>
      <w:r>
        <w:t xml:space="preserve">(++)Easier, less costly access</w:t>
      </w:r>
      <w:r>
        <w:t xml:space="preserve"> </w:t>
      </w:r>
      <w:r>
        <w:t xml:space="preserve">to protection, incl. through</w:t>
      </w:r>
      <w:r>
        <w:t xml:space="preserve"> </w:t>
      </w:r>
      <w:r>
        <w:t xml:space="preserve">combined use of nat. and RCD</w:t>
      </w:r>
      <w:r>
        <w:t xml:space="preserve"> </w:t>
      </w:r>
      <w:r>
        <w:t xml:space="preserve">systems; greater predictability;</w:t>
      </w:r>
      <w:r>
        <w:t xml:space="preserve"> </w:t>
      </w:r>
      <w:r>
        <w:t xml:space="preserve">easier, less costly way to</w:t>
      </w:r>
      <w:r>
        <w:t xml:space="preserve"> </w:t>
      </w:r>
      <w:r>
        <w:t xml:space="preserve">defend against/cancel</w:t>
      </w:r>
      <w:r>
        <w:t xml:space="preserve"> </w:t>
      </w:r>
      <w:r>
        <w:t xml:space="preserve">registered designs not meriting</w:t>
      </w:r>
      <w:r>
        <w:t xml:space="preserve"> </w:t>
      </w:r>
      <w:r>
        <w:t xml:space="preserve">protection; lower costs in</w:t>
      </w:r>
      <w:r>
        <w:t xml:space="preserve"> </w:t>
      </w:r>
      <w:r>
        <w:t xml:space="preserve">managing IP portfolios.</w:t>
      </w:r>
      <w:r>
        <w:t xml:space="preserve"> </w:t>
      </w:r>
      <w:r>
        <w:t xml:space="preserve">Aforesaid positive impacts</w:t>
      </w:r>
      <w:r>
        <w:t xml:space="preserve"> </w:t>
      </w:r>
      <w:r>
        <w:t xml:space="preserve">only (timely) guaranteed</w:t>
      </w:r>
      <w:r>
        <w:t xml:space="preserve"> </w:t>
      </w:r>
      <w:r>
        <w:t xml:space="preserve">pursuing legislative</w:t>
      </w:r>
      <w:r>
        <w:t xml:space="preserve"> </w:t>
      </w:r>
      <w:r>
        <w:t xml:space="preserve">harmonisation (sub-option 4.2).</w:t>
      </w:r>
      <w:r>
        <w:t xml:space="preserve"> </w:t>
      </w:r>
      <w:r>
        <w:t xml:space="preserve">(++)Particularly easier, less</w:t>
      </w:r>
      <w:r>
        <w:t xml:space="preserve"> </w:t>
      </w:r>
      <w:r>
        <w:t xml:space="preserve">costly access to protection, incl. </w:t>
      </w:r>
      <w:r>
        <w:t xml:space="preserve"> </w:t>
      </w:r>
      <w:r>
        <w:t xml:space="preserve">through combined use of nat.</w:t>
      </w:r>
      <w:r>
        <w:t xml:space="preserve"> </w:t>
      </w:r>
      <w:r>
        <w:t xml:space="preserve">and RCD systems; greater</w:t>
      </w:r>
      <w:r>
        <w:t xml:space="preserve"> </w:t>
      </w:r>
      <w:r>
        <w:t xml:space="preserve">predictability (less need for</w:t>
      </w:r>
      <w:r>
        <w:t xml:space="preserve"> </w:t>
      </w:r>
      <w:r>
        <w:t xml:space="preserve">external expertise); easier, less</w:t>
      </w:r>
      <w:r>
        <w:t xml:space="preserve"> </w:t>
      </w:r>
      <w:r>
        <w:t xml:space="preserve">costly way to defend</w:t>
      </w:r>
      <w:r>
        <w:t xml:space="preserve"> </w:t>
      </w:r>
      <w:r>
        <w:t xml:space="preserve">against/cancel registered designs</w:t>
      </w:r>
      <w:r>
        <w:t xml:space="preserve"> </w:t>
      </w:r>
      <w:r>
        <w:t xml:space="preserve">not meriting protection; lower</w:t>
      </w:r>
      <w:r>
        <w:t xml:space="preserve"> </w:t>
      </w:r>
      <w:r>
        <w:t xml:space="preserve">costs in managing IP portfolios.</w:t>
      </w:r>
      <w:r>
        <w:t xml:space="preserve"> </w:t>
      </w:r>
      <w:r>
        <w:t xml:space="preserve">Aforesaid positive impacts only</w:t>
      </w:r>
      <w:r>
        <w:t xml:space="preserve"> </w:t>
      </w:r>
      <w:r>
        <w:t xml:space="preserve">(timely) guaranteed pursuing</w:t>
      </w:r>
      <w:r>
        <w:t xml:space="preserve"> </w:t>
      </w:r>
      <w:r>
        <w:t xml:space="preserve">legislative harmonisation (sub-</w:t>
      </w:r>
      <w:r>
        <w:t xml:space="preserve"> </w:t>
      </w:r>
      <w:r>
        <w:t xml:space="preserve">option 4.2).</w:t>
      </w:r>
      <w:r>
        <w:t xml:space="preserve"> </w:t>
      </w:r>
      <w:r>
        <w:t xml:space="preserve">(++) National IP Offices becoming</w:t>
      </w:r>
      <w:r>
        <w:t xml:space="preserve"> </w:t>
      </w:r>
      <w:r>
        <w:t xml:space="preserve">more attractive and competitive at</w:t>
      </w:r>
      <w:r>
        <w:t xml:space="preserve"> </w:t>
      </w:r>
      <w:r>
        <w:t xml:space="preserve">bearable, proportional implementing</w:t>
      </w:r>
      <w:r>
        <w:t xml:space="preserve"> </w:t>
      </w:r>
      <w:r>
        <w:t xml:space="preserve">cost; facilitation of EUIPO task to</w:t>
      </w:r>
      <w:r>
        <w:t xml:space="preserve"> </w:t>
      </w:r>
      <w:r>
        <w:t xml:space="preserve">foster convergence of practices and</w:t>
      </w:r>
      <w:r>
        <w:t xml:space="preserve"> </w:t>
      </w:r>
      <w:r>
        <w:t xml:space="preserve">tools in cooperation with nat. IP</w:t>
      </w:r>
      <w:r>
        <w:t xml:space="preserve"> </w:t>
      </w:r>
      <w:r>
        <w:t xml:space="preserve">offices.</w:t>
      </w:r>
      <w:r>
        <w:t xml:space="preserve"> </w:t>
      </w:r>
      <w:r>
        <w:t xml:space="preserve">Aforesaid positive impacts only</w:t>
      </w:r>
      <w:r>
        <w:t xml:space="preserve"> </w:t>
      </w:r>
      <w:r>
        <w:t xml:space="preserve">(timely) guaranteed pursuing</w:t>
      </w:r>
      <w:r>
        <w:t xml:space="preserve"> </w:t>
      </w:r>
      <w:r>
        <w:t xml:space="preserve">legislative harmonisation (sub-</w:t>
      </w:r>
      <w:r>
        <w:t xml:space="preserve"> </w:t>
      </w:r>
      <w:r>
        <w:t xml:space="preserve">option 4.2).</w:t>
      </w:r>
    </w:p>
    <w:p>
      <w:pPr>
        <w:pStyle w:val="BodyText"/>
      </w:pPr>
      <w:r>
        <w:t xml:space="preserve">(0)No significant</w:t>
      </w:r>
      <w:r>
        <w:t xml:space="preserve"> </w:t>
      </w:r>
      <w:r>
        <w:t xml:space="preserve">(measurable) impact;</w:t>
      </w:r>
      <w:r>
        <w:t xml:space="preserve"> </w:t>
      </w:r>
      <w:r>
        <w:t xml:space="preserve">consumers indirectly to</w:t>
      </w:r>
      <w:r>
        <w:t xml:space="preserve"> </w:t>
      </w:r>
      <w:r>
        <w:t xml:space="preserve">profit from wider variety</w:t>
      </w:r>
      <w:r>
        <w:t xml:space="preserve"> </w:t>
      </w:r>
      <w:r>
        <w:t xml:space="preserve">of products though, as</w:t>
      </w:r>
      <w:r>
        <w:t xml:space="preserve"> </w:t>
      </w:r>
      <w:r>
        <w:t xml:space="preserve">(more) designs foster</w:t>
      </w:r>
      <w:r>
        <w:t xml:space="preserve"> </w:t>
      </w:r>
      <w:r>
        <w:t xml:space="preserve">product differentiation.</w:t>
      </w:r>
      <w:r>
        <w:t xml:space="preserve"> </w:t>
      </w:r>
      <w:r>
        <w:t xml:space="preserve">Costs: Adaptation to new system, including learning process</w:t>
      </w:r>
      <w:r>
        <w:t xml:space="preserve"> </w:t>
      </w:r>
      <w:r>
        <w:t xml:space="preserve">Setting up of administrative</w:t>
      </w:r>
      <w:r>
        <w:t xml:space="preserve"> </w:t>
      </w:r>
      <w:r>
        <w:t xml:space="preserve">invalidity procedure in Member</w:t>
      </w:r>
      <w:r>
        <w:t xml:space="preserve"> </w:t>
      </w:r>
      <w:r>
        <w:t xml:space="preserve">States where it does not exist</w:t>
      </w:r>
      <w:r>
        <w:t xml:space="preserve"> </w:t>
      </w:r>
      <w:r>
        <w:t xml:space="preserve">Reduction in legal fees</w:t>
      </w:r>
      <w:r>
        <w:t xml:space="preserve"> </w:t>
      </w:r>
      <w:r>
        <w:t xml:space="preserve">corresponding to benefits</w:t>
      </w:r>
      <w:r>
        <w:t xml:space="preserve"> </w:t>
      </w:r>
      <w:r>
        <w:t xml:space="preserve">of firms and individuals</w:t>
      </w:r>
    </w:p>
    <w:p>
      <w:pPr>
        <w:pStyle w:val="BodyText"/>
      </w:pPr>
      <w:r>
        <w:t xml:space="preserve">55</w:t>
      </w:r>
      <w:r>
        <w:t xml:space="preserve"> </w:t>
      </w:r>
      <w:r>
        <w:t xml:space="preserve">Benefits: Lower need of legal expertise could affect up to 45% of</w:t>
      </w:r>
      <w:r>
        <w:t xml:space="preserve"> </w:t>
      </w:r>
      <w:r>
        <w:t xml:space="preserve">applications. Savings on IP office-based invalidity procedures</w:t>
      </w:r>
      <w:r>
        <w:t xml:space="preserve"> </w:t>
      </w:r>
      <w:r>
        <w:t xml:space="preserve">from EUR 4,000 to 7,000 per case (based on EL example)</w:t>
      </w:r>
      <w:r>
        <w:t xml:space="preserve"> </w:t>
      </w:r>
      <w:r>
        <w:t xml:space="preserve">Not quantifiable</w:t>
      </w:r>
      <w:r>
        <w:br/>
      </w:r>
      <w:r>
        <w:t xml:space="preserve">Not quantifiable</w:t>
      </w:r>
      <w:r>
        <w:t xml:space="preserve"> </w:t>
      </w:r>
      <w:r>
        <w:t xml:space="preserve">Option 4.2</w:t>
      </w:r>
      <w:r>
        <w:t xml:space="preserve"> </w:t>
      </w:r>
      <w:r>
        <w:t xml:space="preserve">Full</w:t>
      </w:r>
      <w:r>
        <w:t xml:space="preserve"> </w:t>
      </w:r>
      <w:r>
        <w:t xml:space="preserve">approximation</w:t>
      </w:r>
      <w:r>
        <w:t xml:space="preserve"> </w:t>
      </w:r>
      <w:r>
        <w:t xml:space="preserve">of national laws</w:t>
      </w:r>
      <w:r>
        <w:t xml:space="preserve"> </w:t>
      </w:r>
      <w:r>
        <w:t xml:space="preserve">and procedures</w:t>
      </w:r>
      <w:r>
        <w:t xml:space="preserve"> </w:t>
      </w:r>
      <w:r>
        <w:t xml:space="preserve">4.2a voluntary</w:t>
      </w:r>
      <w:r>
        <w:t xml:space="preserve"> </w:t>
      </w:r>
      <w:r>
        <w:t xml:space="preserve">4.2b mandatory</w:t>
      </w:r>
      <w:r>
        <w:t xml:space="preserve"> </w:t>
      </w:r>
      <w:r>
        <w:t xml:space="preserve">(+/–)As Option 4.2 would</w:t>
      </w:r>
      <w:r>
        <w:t xml:space="preserve"> </w:t>
      </w:r>
      <w:r>
        <w:t xml:space="preserve">necessitate very far reaching</w:t>
      </w:r>
      <w:r>
        <w:t xml:space="preserve"> </w:t>
      </w:r>
      <w:r>
        <w:t xml:space="preserve">changes at MS’s level, firms</w:t>
      </w:r>
      <w:r>
        <w:t xml:space="preserve"> </w:t>
      </w:r>
      <w:r>
        <w:t xml:space="preserve">would have to wait</w:t>
      </w:r>
      <w:r>
        <w:t xml:space="preserve"> </w:t>
      </w:r>
      <w:r>
        <w:t xml:space="preserve">(unreasonably) long time for</w:t>
      </w:r>
      <w:r>
        <w:t xml:space="preserve"> </w:t>
      </w:r>
      <w:r>
        <w:t xml:space="preserve">benefits to materialise; far</w:t>
      </w:r>
      <w:r>
        <w:t xml:space="preserve"> </w:t>
      </w:r>
      <w:r>
        <w:t xml:space="preserve">reaching changes would not</w:t>
      </w:r>
      <w:r>
        <w:t xml:space="preserve"> </w:t>
      </w:r>
      <w:r>
        <w:t xml:space="preserve">correspond to actual needs.</w:t>
      </w:r>
      <w:r>
        <w:t xml:space="preserve"> </w:t>
      </w:r>
      <w:r>
        <w:t xml:space="preserve">(+/–)As Option 4.2 would</w:t>
      </w:r>
      <w:r>
        <w:t xml:space="preserve"> </w:t>
      </w:r>
      <w:r>
        <w:t xml:space="preserve">necessitate very far reaching</w:t>
      </w:r>
      <w:r>
        <w:t xml:space="preserve"> </w:t>
      </w:r>
      <w:r>
        <w:t xml:space="preserve">changes at MS’s level, firms</w:t>
      </w:r>
      <w:r>
        <w:t xml:space="preserve"> </w:t>
      </w:r>
      <w:r>
        <w:t xml:space="preserve">would have to wait</w:t>
      </w:r>
      <w:r>
        <w:t xml:space="preserve"> </w:t>
      </w:r>
      <w:r>
        <w:t xml:space="preserve">(unreasonably) long time for</w:t>
      </w:r>
      <w:r>
        <w:t xml:space="preserve"> </w:t>
      </w:r>
      <w:r>
        <w:t xml:space="preserve">benefits to materialise; far</w:t>
      </w:r>
      <w:r>
        <w:t xml:space="preserve"> </w:t>
      </w:r>
      <w:r>
        <w:t xml:space="preserve">reaching changes would not</w:t>
      </w:r>
      <w:r>
        <w:t xml:space="preserve"> </w:t>
      </w:r>
      <w:r>
        <w:t xml:space="preserve">correspond to actual needs.</w:t>
      </w:r>
      <w:r>
        <w:t xml:space="preserve"> </w:t>
      </w:r>
      <w:r>
        <w:t xml:space="preserve">(–)Excessive and disproportional</w:t>
      </w:r>
      <w:r>
        <w:t xml:space="preserve"> </w:t>
      </w:r>
      <w:r>
        <w:t xml:space="preserve">burdens and implementing costs for</w:t>
      </w:r>
      <w:r>
        <w:t xml:space="preserve"> </w:t>
      </w:r>
      <w:r>
        <w:t xml:space="preserve">nat. IP Offices and other national</w:t>
      </w:r>
      <w:r>
        <w:t xml:space="preserve"> </w:t>
      </w:r>
      <w:r>
        <w:t xml:space="preserve">authorities; no flexibility left for</w:t>
      </w:r>
      <w:r>
        <w:t xml:space="preserve"> </w:t>
      </w:r>
      <w:r>
        <w:t xml:space="preserve">tailored rules taking account of legal</w:t>
      </w:r>
      <w:r>
        <w:t xml:space="preserve"> </w:t>
      </w:r>
      <w:r>
        <w:t xml:space="preserve">traditions and other national</w:t>
      </w:r>
      <w:r>
        <w:t xml:space="preserve"> </w:t>
      </w:r>
      <w:r>
        <w:t xml:space="preserve">specificities.</w:t>
      </w:r>
      <w:r>
        <w:t xml:space="preserve"> </w:t>
      </w:r>
      <w:r>
        <w:t xml:space="preserve">(+/0)No significant</w:t>
      </w:r>
      <w:r>
        <w:t xml:space="preserve"> </w:t>
      </w:r>
      <w:r>
        <w:t xml:space="preserve">(quantifiable) impact;</w:t>
      </w:r>
      <w:r>
        <w:t xml:space="preserve"> </w:t>
      </w:r>
      <w:r>
        <w:t xml:space="preserve">consumers to profit from</w:t>
      </w:r>
      <w:r>
        <w:t xml:space="preserve"> </w:t>
      </w:r>
      <w:r>
        <w:t xml:space="preserve">wider variety of products</w:t>
      </w:r>
      <w:r>
        <w:t xml:space="preserve"> </w:t>
      </w:r>
      <w:r>
        <w:t xml:space="preserve">though, as (more) designs</w:t>
      </w:r>
      <w:r>
        <w:t xml:space="preserve"> </w:t>
      </w:r>
      <w:r>
        <w:t xml:space="preserve">foster product</w:t>
      </w:r>
      <w:r>
        <w:t xml:space="preserve"> </w:t>
      </w:r>
      <w:r>
        <w:t xml:space="preserve">differentiation</w:t>
      </w:r>
      <w:r>
        <w:t xml:space="preserve"> </w:t>
      </w:r>
      <w:r>
        <w:t xml:space="preserve">Costs: Potentially higher than 4.1. due to magnitude of changes</w:t>
      </w:r>
    </w:p>
    <w:p>
      <w:pPr>
        <w:pStyle w:val="BodyText"/>
      </w:pPr>
      <w:r>
        <w:t xml:space="preserve">Benefits: Potentially higher than 4.1. due to magnitude of changes</w:t>
      </w:r>
      <w:r>
        <w:t xml:space="preserve"> </w:t>
      </w:r>
      <w:r>
        <w:t xml:space="preserve">Legend: ++ significant positive impact, + positive impact, 0 neutral, - negative impact, – significant negative impact; *- weighted averages based</w:t>
      </w:r>
      <w:r>
        <w:t xml:space="preserve"> </w:t>
      </w:r>
      <w:r>
        <w:t xml:space="preserve">on distribution of designs per application in 2019/20</w:t>
      </w:r>
      <w:r>
        <w:t xml:space="preserve"> </w:t>
      </w:r>
      <w:r>
        <w:t xml:space="preserve">8.</w:t>
      </w:r>
      <w:r>
        <w:t xml:space="preserve"> </w:t>
      </w:r>
      <w:r>
        <w:t xml:space="preserve">PREFERRED OPTION</w:t>
      </w:r>
      <w:r>
        <w:t xml:space="preserve"> </w:t>
      </w:r>
      <w:r>
        <w:t xml:space="preserve">8.1 Conclusion on impacts and coherence</w:t>
      </w:r>
      <w:r>
        <w:t xml:space="preserve"> </w:t>
      </w:r>
      <w:r>
        <w:t xml:space="preserve">Based on the analyses carried out in the previous sections, the preferred set of options</w:t>
      </w:r>
      <w:r>
        <w:t xml:space="preserve"> </w:t>
      </w:r>
      <w:r>
        <w:t xml:space="preserve">includes Option 1.2, Option 2, Sub-option 3.1 and Sub-option 4.1b.</w:t>
      </w:r>
      <w:r>
        <w:t xml:space="preserve"> </w:t>
      </w:r>
      <w:r>
        <w:t xml:space="preserve">Option 1.2 is considered to be the most proportional one to achieve complete</w:t>
      </w:r>
      <w:r>
        <w:t xml:space="preserve"> </w:t>
      </w:r>
      <w:r>
        <w:t xml:space="preserve">harmonisation in the internal market on the principle of liberalisation. It is true that the</w:t>
      </w:r>
      <w:r>
        <w:t xml:space="preserve"> </w:t>
      </w:r>
      <w:r>
        <w:t xml:space="preserve">price and competition benefits stemming from Option 1.1 are more immediate, however,</w:t>
      </w:r>
      <w:r>
        <w:t xml:space="preserve"> </w:t>
      </w:r>
      <w:r>
        <w:t xml:space="preserve">Option 1.2 has the following advantages. First, it is in line with the spirit of the transitory</w:t>
      </w:r>
      <w:r>
        <w:t xml:space="preserve"> </w:t>
      </w:r>
      <w:r>
        <w:t xml:space="preserve">agreement on the design regime on spare parts agreed in the DDir, aiming at complete</w:t>
      </w:r>
      <w:r>
        <w:t xml:space="preserve"> </w:t>
      </w:r>
      <w:r>
        <w:t xml:space="preserve">liberalisation of the spare parts market in the EU. Second, by offering a transitional</w:t>
      </w:r>
      <w:r>
        <w:t xml:space="preserve"> </w:t>
      </w:r>
      <w:r>
        <w:t xml:space="preserve">period it allows VMs to adjust their market conduct with minimum risk or disruption to</w:t>
      </w:r>
      <w:r>
        <w:t xml:space="preserve"> </w:t>
      </w:r>
      <w:r>
        <w:t xml:space="preserve">investment and innovation. Third, it is adequately prudent when it comes to the issue of</w:t>
      </w:r>
      <w:r>
        <w:t xml:space="preserve"> </w:t>
      </w:r>
      <w:r>
        <w:t xml:space="preserve">fundamental rights and international obligations (see Section 8.2).</w:t>
      </w:r>
      <w:r>
        <w:br/>
      </w:r>
      <w:r>
        <w:t xml:space="preserve">This option also is in line with the Commission’s intention in the previous proposal in</w:t>
      </w:r>
      <w:r>
        <w:t xml:space="preserve"> </w:t>
      </w:r>
      <w:r>
        <w:t xml:space="preserve">2004 as well as consistent and complementary with the MVBER regime. Liberalisation</w:t>
      </w:r>
      <w:r>
        <w:t xml:space="preserve"> </w:t>
      </w:r>
      <w:r>
        <w:t xml:space="preserve">of the spare parts market will help to ensure effective competition in the vehicle spare</w:t>
      </w:r>
      <w:r>
        <w:t xml:space="preserve"> </w:t>
      </w:r>
      <w:r>
        <w:t xml:space="preserve">parts, service and repair markets and thus achieve benefits for enterprises and consumers</w:t>
      </w:r>
      <w:r>
        <w:t xml:space="preserve"> </w:t>
      </w:r>
      <w:r>
        <w:t xml:space="preserve">in the automotive aftermarkets. Last but not least, Option 1.2 is coherent and</w:t>
      </w:r>
      <w:r>
        <w:t xml:space="preserve"> </w:t>
      </w:r>
      <w:r>
        <w:t xml:space="preserve">complements efforts put forward in the Sustainable Product Initiative that aims at</w:t>
      </w:r>
      <w:r>
        <w:t xml:space="preserve"> </w:t>
      </w:r>
      <w:r>
        <w:t xml:space="preserve">promoting repairs and circular economy.</w:t>
      </w:r>
      <w:r>
        <w:br/>
      </w:r>
      <w:r>
        <w:t xml:space="preserve">The completion of the single market by opening up the entire EU spare parts aftermarket</w:t>
      </w:r>
      <w:r>
        <w:t xml:space="preserve"> </w:t>
      </w:r>
      <w:r>
        <w:t xml:space="preserve">is strongly supported by independent spare parts manufacturers and distributors,</w:t>
      </w:r>
      <w:r>
        <w:t xml:space="preserve"> </w:t>
      </w:r>
      <w:r>
        <w:t xml:space="preserve">associations representing their interests, academia, as well as consumer organisations.</w:t>
      </w:r>
      <w:r>
        <w:t xml:space="preserve"> </w:t>
      </w:r>
      <w:r>
        <w:t xml:space="preserve">With a view to making RCD protection more accessible and affordable for businesses</w:t>
      </w:r>
      <w:r>
        <w:t xml:space="preserve"> </w:t>
      </w:r>
      <w:r>
        <w:t xml:space="preserve">and keeping abreast with technological advancement, Option 2 on simplification and</w:t>
      </w:r>
      <w:r>
        <w:t xml:space="preserve"> </w:t>
      </w:r>
      <w:r>
        <w:t xml:space="preserve">streamlining of procedures combined with Sub-option 3.1 on fees (not involving a too</w:t>
      </w:r>
      <w:r>
        <w:t xml:space="preserve"> </w:t>
      </w:r>
      <w:r>
        <w:t xml:space="preserve">drastic, disproportional increase of renewal fees compared to Sup-option 3.2), promises</w:t>
      </w:r>
      <w:r>
        <w:t xml:space="preserve"> </w:t>
      </w:r>
      <w:r>
        <w:t xml:space="preserve">to involve positive impacts and bring clear benefits for businesses, in particular SMEs</w:t>
      </w:r>
      <w:r>
        <w:t xml:space="preserve"> </w:t>
      </w:r>
      <w:r>
        <w:t xml:space="preserve">and individual designers.</w:t>
      </w:r>
      <w:r>
        <w:t xml:space="preserve"> </w:t>
      </w:r>
      <w:r>
        <w:t xml:space="preserve">Sub-option 4.1b on further approximation of national provisions, in particular by adding</w:t>
      </w:r>
      <w:r>
        <w:t xml:space="preserve"> </w:t>
      </w:r>
      <w:r>
        <w:t xml:space="preserve">principal procedural rules into the DDir in alignment with the CDR, will make it easier</w:t>
      </w:r>
      <w:r>
        <w:t xml:space="preserve"> </w:t>
      </w:r>
      <w:r>
        <w:t xml:space="preserve">and less costly for firms and designers to obtain design protection across Member States,</w:t>
      </w:r>
      <w:r>
        <w:t xml:space="preserve"> </w:t>
      </w:r>
      <w:r>
        <w:t xml:space="preserve">including through the combined use of national and RCD systems, and in the context of</w:t>
      </w:r>
      <w:r>
        <w:t xml:space="preserve"> </w:t>
      </w:r>
      <w:r>
        <w:t xml:space="preserve">multijurisdictional filing strategies. This option will further increase predictability, help</w:t>
      </w:r>
    </w:p>
    <w:p>
      <w:pPr>
        <w:pStyle w:val="BodyText"/>
      </w:pPr>
      <w:r>
        <w:t xml:space="preserve">56</w:t>
      </w:r>
      <w:r>
        <w:t xml:space="preserve"> </w:t>
      </w:r>
      <w:r>
        <w:t xml:space="preserve">reducing costs in managing multinational IP portfolios, and make it easier and cheaper to</w:t>
      </w:r>
      <w:r>
        <w:t xml:space="preserve"> </w:t>
      </w:r>
      <w:r>
        <w:t xml:space="preserve">have invalid designs removed from the register.</w:t>
      </w:r>
      <w:r>
        <w:t xml:space="preserve"> </w:t>
      </w:r>
      <w:r>
        <w:t xml:space="preserve">Going for mandatory further approximation of national rules in the areas identified by</w:t>
      </w:r>
      <w:r>
        <w:t xml:space="preserve"> </w:t>
      </w:r>
      <w:r>
        <w:t xml:space="preserve">stakeholders as being of top priority will have also additional positive impacts on</w:t>
      </w:r>
      <w:r>
        <w:t xml:space="preserve"> </w:t>
      </w:r>
      <w:r>
        <w:t xml:space="preserve">cooperation between the EUIPO and national IP offices under the existing framework</w:t>
      </w:r>
      <w:r>
        <w:t xml:space="preserve"> </w:t>
      </w:r>
      <w:r>
        <w:t xml:space="preserve">laid down in Article 152 EUTMR in terms of facilitating extension of convergence of</w:t>
      </w:r>
      <w:r>
        <w:t xml:space="preserve"> </w:t>
      </w:r>
      <w:r>
        <w:t xml:space="preserve">practice and the development of common tools also to those new areas (such as</w:t>
      </w:r>
      <w:r>
        <w:t xml:space="preserve"> </w:t>
      </w:r>
      <w:r>
        <w:t xml:space="preserve">concerning invalidation of designs). This promises to further potentiate the net benefits</w:t>
      </w:r>
      <w:r>
        <w:t xml:space="preserve"> </w:t>
      </w:r>
      <w:r>
        <w:t xml:space="preserve">for users of the design protection systems in the EU while enhancing their</w:t>
      </w:r>
      <w:r>
        <w:t xml:space="preserve"> </w:t>
      </w:r>
      <w:r>
        <w:t xml:space="preserve">complementarity and interoperability.</w:t>
      </w:r>
      <w:r>
        <w:t xml:space="preserve"> </w:t>
      </w:r>
      <w:r>
        <w:t xml:space="preserve">Apart from Member State authorities and the European Parliament, design intensive</w:t>
      </w:r>
      <w:r>
        <w:t xml:space="preserve"> </w:t>
      </w:r>
      <w:r>
        <w:t xml:space="preserve">industries and designers, associations of design right holders and intellectual property</w:t>
      </w:r>
      <w:r>
        <w:t xml:space="preserve"> </w:t>
      </w:r>
      <w:r>
        <w:t xml:space="preserve">attorneys and agents strongly support the proposed modernisation, streamlining and</w:t>
      </w:r>
      <w:r>
        <w:t xml:space="preserve"> </w:t>
      </w:r>
      <w:r>
        <w:t xml:space="preserve">further harmonisation of the design protection systems in terms of the set of Options 2,</w:t>
      </w:r>
      <w:r>
        <w:t xml:space="preserve"> </w:t>
      </w:r>
      <w:r>
        <w:t xml:space="preserve">3.1 and 4.1b.</w:t>
      </w:r>
      <w:r>
        <w:t xml:space="preserve"> </w:t>
      </w:r>
      <w:r>
        <w:t xml:space="preserve">Additionally, the preferred set of options will be supported by substantial efforts within a</w:t>
      </w:r>
      <w:r>
        <w:t xml:space="preserve"> </w:t>
      </w:r>
      <w:r>
        <w:t xml:space="preserve">wide range of awareness raising activities being carried out or planned by the EUIPO for</w:t>
      </w:r>
      <w:r>
        <w:t xml:space="preserve"> </w:t>
      </w:r>
      <w:r>
        <w:t xml:space="preserve">the future in order to increase knowledge, understanding and successful use of IP,</w:t>
      </w:r>
      <w:r>
        <w:t xml:space="preserve"> </w:t>
      </w:r>
      <w:r>
        <w:t xml:space="preserve">including designs. This shall contribute to further boosting the uptake of registered</w:t>
      </w:r>
      <w:r>
        <w:t xml:space="preserve"> </w:t>
      </w:r>
      <w:r>
        <w:t xml:space="preserve">design protection in the EU and strengthening competitiveness on the basis of future</w:t>
      </w:r>
      <w:r>
        <w:t xml:space="preserve"> </w:t>
      </w:r>
      <w:r>
        <w:t xml:space="preserve">proofed, more accessible and predictable rules proposed in the present initiative.</w:t>
      </w:r>
      <w:r>
        <w:br/>
      </w:r>
      <w:r>
        <w:t xml:space="preserve">8.2 Compatibility with International Obligations</w:t>
      </w:r>
      <w:r>
        <w:t xml:space="preserve"> </w:t>
      </w:r>
      <w:r>
        <w:t xml:space="preserve">Option 1.2 on spare parts protection would also be fully compatible with international</w:t>
      </w:r>
      <w:r>
        <w:t xml:space="preserve"> </w:t>
      </w:r>
      <w:r>
        <w:t xml:space="preserve">obligations of the Union under the TRIPS Agreement. Article 26 TRIPS allows for</w:t>
      </w:r>
      <w:r>
        <w:t xml:space="preserve"> </w:t>
      </w:r>
      <w:r>
        <w:t xml:space="preserve">limited exceptions to the protection of industrial designs, provided that they do not</w:t>
      </w:r>
      <w:r>
        <w:t xml:space="preserve"> </w:t>
      </w:r>
      <w:r>
        <w:t xml:space="preserve">unreasonably conflict with normal exploitation, and do not unreasonably prejudice the</w:t>
      </w:r>
      <w:r>
        <w:t xml:space="preserve"> </w:t>
      </w:r>
      <w:r>
        <w:t xml:space="preserve">interests of the right holder, which must however be balanced against the legitimate</w:t>
      </w:r>
      <w:r>
        <w:t xml:space="preserve"> </w:t>
      </w:r>
      <w:r>
        <w:t xml:space="preserve">interests of third parties.</w:t>
      </w:r>
      <w:r>
        <w:br/>
      </w:r>
      <w:r>
        <w:t xml:space="preserve">It is considered that the repair clause to be introduced into the DDir complies with these</w:t>
      </w:r>
      <w:r>
        <w:t xml:space="preserve"> </w:t>
      </w:r>
      <w:r>
        <w:t xml:space="preserve">requirements. It would even be permissible to exclude design protection for spare parts</w:t>
      </w:r>
      <w:r>
        <w:t xml:space="preserve"> </w:t>
      </w:r>
      <w:r>
        <w:t xml:space="preserve">altogether, as TRIPS does not impose a particular definition of objects eligible for</w:t>
      </w:r>
      <w:r>
        <w:t xml:space="preserve"> </w:t>
      </w:r>
      <w:r>
        <w:t xml:space="preserve">protection154. At stake is indeed only an exception to protection confined to component</w:t>
      </w:r>
      <w:r>
        <w:t xml:space="preserve"> </w:t>
      </w:r>
      <w:r>
        <w:t xml:space="preserve">parts of complex products which are needed to restore the appearance of a complex</w:t>
      </w:r>
      <w:r>
        <w:t xml:space="preserve"> </w:t>
      </w:r>
      <w:r>
        <w:t xml:space="preserve">product, and this exception only concerns the exercise of the right when such parts are</w:t>
      </w:r>
      <w:r>
        <w:t xml:space="preserve"> </w:t>
      </w:r>
      <w:r>
        <w:t xml:space="preserve">used for repair purposes.</w:t>
      </w:r>
      <w:r>
        <w:br/>
      </w:r>
      <w:r>
        <w:t xml:space="preserve">The interests of owners of existing rights are adequately and beyond any reasonable</w:t>
      </w:r>
      <w:r>
        <w:t xml:space="preserve"> </w:t>
      </w:r>
      <w:r>
        <w:t xml:space="preserve">doubt safeguarded through the grant of a ten-year transitional period during which they</w:t>
      </w:r>
      <w:r>
        <w:t xml:space="preserve"> </w:t>
      </w:r>
      <w:r>
        <w:t xml:space="preserve">can still prevent third parties from using their designs also in the aftermarket. As already</w:t>
      </w:r>
      <w:r>
        <w:t xml:space="preserve"> </w:t>
      </w:r>
      <w:r>
        <w:t xml:space="preserve">concluded above, the foreseen duration of that transitional period is compliant with the</w:t>
      </w:r>
      <w:r>
        <w:t xml:space="preserve"> </w:t>
      </w:r>
      <w:r>
        <w:t xml:space="preserve">minimum term of design protection to be provided for under Article 26(3) TRIPS.</w:t>
      </w:r>
      <w:r>
        <w:t xml:space="preserve"> </w:t>
      </w:r>
      <w:r>
        <w:t xml:space="preserve">8.3 REFIT (simplification and improved efficiency)</w:t>
      </w:r>
      <w:r>
        <w:t xml:space="preserve"> </w:t>
      </w:r>
      <w:r>
        <w:t xml:space="preserve">The following table summarises cost savings of the preferred option.</w:t>
      </w:r>
    </w:p>
    <w:p>
      <w:pPr>
        <w:pStyle w:val="BodyText"/>
      </w:pPr>
      <w:r>
        <w:t xml:space="preserve">154 Drexl, Hilty, Kur, Design Protection for Spare Parts and the Commission’s Proposal for a Repairs</w:t>
      </w:r>
      <w:r>
        <w:t xml:space="preserve"> </w:t>
      </w:r>
      <w:r>
        <w:t xml:space="preserve">Clause, IIC 2005, p. 448, p. 454.</w:t>
      </w:r>
    </w:p>
    <w:p>
      <w:pPr>
        <w:pStyle w:val="BodyText"/>
      </w:pPr>
      <w:r>
        <w:t xml:space="preserve">57</w:t>
      </w:r>
      <w:r>
        <w:t xml:space="preserve"> </w:t>
      </w:r>
      <w:r>
        <w:t xml:space="preserve">Table 8.1. REFIT Cost Savings – Preferred Option</w:t>
      </w:r>
      <w:r>
        <w:t xml:space="preserve"> </w:t>
      </w:r>
      <w:r>
        <w:t xml:space="preserve">Description</w:t>
      </w:r>
      <w:r>
        <w:t xml:space="preserve"> </w:t>
      </w:r>
      <w:r>
        <w:t xml:space="preserve">Annual Amount</w:t>
      </w:r>
      <w:r>
        <w:t xml:space="preserve"> </w:t>
      </w:r>
      <w:r>
        <w:t xml:space="preserve">Comments</w:t>
      </w:r>
      <w:r>
        <w:t xml:space="preserve"> </w:t>
      </w:r>
      <w:r>
        <w:t xml:space="preserve">Liberalisation of spare parts</w:t>
      </w:r>
      <w:r>
        <w:t xml:space="preserve"> </w:t>
      </w:r>
      <w:r>
        <w:t xml:space="preserve">market (Opt. 1.2)</w:t>
      </w:r>
      <w:r>
        <w:t xml:space="preserve"> </w:t>
      </w:r>
      <w:r>
        <w:t xml:space="preserve">EUR 340-544</w:t>
      </w:r>
      <w:r>
        <w:t xml:space="preserve"> </w:t>
      </w:r>
      <w:r>
        <w:t xml:space="preserve">million</w:t>
      </w:r>
      <w:r>
        <w:br/>
      </w:r>
      <w:r>
        <w:t xml:space="preserve">Savings to customers, fully realised after 10-year</w:t>
      </w:r>
      <w:r>
        <w:t xml:space="preserve"> </w:t>
      </w:r>
      <w:r>
        <w:t xml:space="preserve">transition period. During the 10-year transition</w:t>
      </w:r>
      <w:r>
        <w:t xml:space="preserve"> </w:t>
      </w:r>
      <w:r>
        <w:t xml:space="preserve">each year benefits will increase by EUR 4 to 13m</w:t>
      </w:r>
      <w:r>
        <w:t xml:space="preserve"> </w:t>
      </w:r>
      <w:r>
        <w:t xml:space="preserve">per year to reach EUR 40 to 130m in the last year.</w:t>
      </w:r>
      <w:r>
        <w:t xml:space="preserve"> </w:t>
      </w:r>
      <w:r>
        <w:t xml:space="preserve">Change of RCD fees (Opt. 3.1)</w:t>
      </w:r>
      <w:r>
        <w:t xml:space="preserve"> </w:t>
      </w:r>
      <w:r>
        <w:t xml:space="preserve">EUR 1.6 million*</w:t>
      </w:r>
      <w:r>
        <w:br/>
      </w:r>
      <w:r>
        <w:t xml:space="preserve">Consists of savings to those protecting for 5 to 10</w:t>
      </w:r>
      <w:r>
        <w:t xml:space="preserve"> </w:t>
      </w:r>
      <w:r>
        <w:t xml:space="preserve">years of EUR 6.2 million (such protection period is</w:t>
      </w:r>
      <w:r>
        <w:t xml:space="preserve"> </w:t>
      </w:r>
      <w:r>
        <w:t xml:space="preserve">more often sought by natural persons and firms</w:t>
      </w:r>
      <w:r>
        <w:t xml:space="preserve"> </w:t>
      </w:r>
      <w:r>
        <w:t xml:space="preserve">without legal entity) and cost increases of EUR 4.6</w:t>
      </w:r>
      <w:r>
        <w:t xml:space="preserve"> </w:t>
      </w:r>
      <w:r>
        <w:t xml:space="preserve">million to those protecting RCD from 15 to 25</w:t>
      </w:r>
      <w:r>
        <w:t xml:space="preserve"> </w:t>
      </w:r>
      <w:r>
        <w:t xml:space="preserve">years.</w:t>
      </w:r>
      <w:r>
        <w:t xml:space="preserve"> </w:t>
      </w:r>
      <w:r>
        <w:t xml:space="preserve">Other simplifications (e.g. </w:t>
      </w:r>
      <w:r>
        <w:t xml:space="preserve"> </w:t>
      </w:r>
      <w:r>
        <w:t xml:space="preserve">means and requirements of</w:t>
      </w:r>
      <w:r>
        <w:t xml:space="preserve"> </w:t>
      </w:r>
      <w:r>
        <w:t xml:space="preserve">design representation) (Opt. 2)</w:t>
      </w:r>
      <w:r>
        <w:t xml:space="preserve"> </w:t>
      </w:r>
      <w:r>
        <w:t xml:space="preserve">EUR 1 million*</w:t>
      </w:r>
      <w:r>
        <w:t xml:space="preserve"> </w:t>
      </w:r>
      <w:r>
        <w:t xml:space="preserve">Concerns around 14% of RCD applicants. Realised</w:t>
      </w:r>
      <w:r>
        <w:t xml:space="preserve"> </w:t>
      </w:r>
      <w:r>
        <w:t xml:space="preserve">at initial application.</w:t>
      </w:r>
      <w:r>
        <w:t xml:space="preserve"> </w:t>
      </w:r>
      <w:r>
        <w:t xml:space="preserve">Facilitation of multiple</w:t>
      </w:r>
      <w:r>
        <w:t xml:space="preserve"> </w:t>
      </w:r>
      <w:r>
        <w:t xml:space="preserve">applications (Opt 2)</w:t>
      </w:r>
      <w:r>
        <w:t xml:space="preserve"> </w:t>
      </w:r>
      <w:r>
        <w:t xml:space="preserve">EUR 0.64 million*</w:t>
      </w:r>
      <w:r>
        <w:t xml:space="preserve"> </w:t>
      </w:r>
      <w:r>
        <w:t xml:space="preserve">Concerns around 20% of RCD applicants. Realised</w:t>
      </w:r>
      <w:r>
        <w:t xml:space="preserve"> </w:t>
      </w:r>
      <w:r>
        <w:t xml:space="preserve">at initial application.</w:t>
      </w:r>
      <w:r>
        <w:t xml:space="preserve"> </w:t>
      </w:r>
      <w:r>
        <w:t xml:space="preserve">No transfer fee</w:t>
      </w:r>
      <w:r>
        <w:t xml:space="preserve"> </w:t>
      </w:r>
      <w:r>
        <w:t xml:space="preserve">EUR 0.63 million</w:t>
      </w:r>
      <w:r>
        <w:t xml:space="preserve"> </w:t>
      </w:r>
      <w:r>
        <w:t xml:space="preserve">Simplification for around 3000 designs that</w:t>
      </w:r>
      <w:r>
        <w:t xml:space="preserve"> </w:t>
      </w:r>
      <w:r>
        <w:t xml:space="preserve">annually are transferred to different owner.</w:t>
      </w:r>
      <w:r>
        <w:t xml:space="preserve"> </w:t>
      </w:r>
      <w:r>
        <w:t xml:space="preserve">Office-based invalidity</w:t>
      </w:r>
      <w:r>
        <w:t xml:space="preserve"> </w:t>
      </w:r>
      <w:r>
        <w:t xml:space="preserve">procedure in national IP offices</w:t>
      </w:r>
      <w:r>
        <w:t xml:space="preserve"> </w:t>
      </w:r>
      <w:r>
        <w:t xml:space="preserve">EUR 4,000 – 7,000</w:t>
      </w:r>
      <w:r>
        <w:t xml:space="preserve"> </w:t>
      </w:r>
      <w:r>
        <w:t xml:space="preserve">per case</w:t>
      </w:r>
      <w:r>
        <w:t xml:space="preserve"> </w:t>
      </w:r>
      <w:r>
        <w:t xml:space="preserve">Concerns those seeking to cancel an invalid design</w:t>
      </w:r>
      <w:r>
        <w:t xml:space="preserve"> </w:t>
      </w:r>
      <w:r>
        <w:t xml:space="preserve">registration.</w:t>
      </w:r>
      <w:r>
        <w:br/>
      </w:r>
      <w:r>
        <w:t xml:space="preserve">No ex-officio examination of</w:t>
      </w:r>
      <w:r>
        <w:t xml:space="preserve"> </w:t>
      </w:r>
      <w:r>
        <w:t xml:space="preserve">prior art in national IP offices</w:t>
      </w:r>
      <w:r>
        <w:t xml:space="preserve"> </w:t>
      </w:r>
      <w:r>
        <w:t xml:space="preserve">Registration time cut</w:t>
      </w:r>
      <w:r>
        <w:t xml:space="preserve"> </w:t>
      </w:r>
      <w:r>
        <w:t xml:space="preserve">in half</w:t>
      </w:r>
      <w:r>
        <w:t xml:space="preserve"> </w:t>
      </w:r>
      <w:r>
        <w:t xml:space="preserve">Concerns around 1000 applications a year.</w:t>
      </w:r>
      <w:r>
        <w:t xml:space="preserve"> </w:t>
      </w:r>
      <w:r>
        <w:t xml:space="preserve">* estimate for 2024, can be higher in subsequent years if demand for RCD protection increases (potentially</w:t>
      </w:r>
      <w:r>
        <w:t xml:space="preserve"> </w:t>
      </w:r>
      <w:r>
        <w:t xml:space="preserve">by 15%)</w:t>
      </w:r>
      <w:r>
        <w:t xml:space="preserve"> </w:t>
      </w:r>
      <w:r>
        <w:t xml:space="preserve">9.</w:t>
      </w:r>
      <w:r>
        <w:br/>
      </w:r>
      <w:r>
        <w:t xml:space="preserve">HOW WILL ACTUAL IMPACTS BE MONITORED AND EVALUATED?</w:t>
      </w:r>
      <w:r>
        <w:t xml:space="preserve"> </w:t>
      </w:r>
      <w:r>
        <w:t xml:space="preserve">The Commission will be monitoring the market for spare parts to see whether the</w:t>
      </w:r>
      <w:r>
        <w:t xml:space="preserve"> </w:t>
      </w:r>
      <w:r>
        <w:t xml:space="preserve">envisaged savings have materialised. As part of the project the following could be</w:t>
      </w:r>
      <w:r>
        <w:t xml:space="preserve"> </w:t>
      </w:r>
      <w:r>
        <w:t xml:space="preserve">envisaged: i) repetition of the study on price differences between Member States; ii)</w:t>
      </w:r>
      <w:r>
        <w:t xml:space="preserve"> </w:t>
      </w:r>
      <w:r>
        <w:t xml:space="preserve">stakeholders survey to gauge behavioural changes of customers, strategies of VMs and</w:t>
      </w:r>
      <w:r>
        <w:t xml:space="preserve"> </w:t>
      </w:r>
      <w:r>
        <w:t xml:space="preserve">spare parts providers, choices and recommendations of independent garages. The</w:t>
      </w:r>
      <w:r>
        <w:t xml:space="preserve"> </w:t>
      </w:r>
      <w:r>
        <w:t xml:space="preserve">Commission will also monitor the impact of the spare parts liberalisation on other</w:t>
      </w:r>
      <w:r>
        <w:t xml:space="preserve"> </w:t>
      </w:r>
      <w:r>
        <w:t xml:space="preserve">markets.</w:t>
      </w:r>
      <w:r>
        <w:t xml:space="preserve"> </w:t>
      </w:r>
      <w:r>
        <w:t xml:space="preserve">As regards changes to the EUIPO fees and procedures, the Commission will be using</w:t>
      </w:r>
      <w:r>
        <w:t xml:space="preserve"> </w:t>
      </w:r>
      <w:r>
        <w:t xml:space="preserve">EUIPO annual reports. The Commission welcomes the change in EUIPO reporting that</w:t>
      </w:r>
      <w:r>
        <w:t xml:space="preserve"> </w:t>
      </w:r>
      <w:r>
        <w:t xml:space="preserve">took place in 2021 to include disaggregation of designs filings per SMEs155. The</w:t>
      </w:r>
      <w:r>
        <w:t xml:space="preserve"> </w:t>
      </w:r>
      <w:r>
        <w:t xml:space="preserve">Commission is in contact with the EUIPO to improve the statistics provided.</w:t>
      </w:r>
      <w:r>
        <w:br/>
      </w:r>
      <w:r>
        <w:t xml:space="preserve">In particular the following will be monitored: change in number of designs filings at the</w:t>
      </w:r>
      <w:r>
        <w:t xml:space="preserve"> </w:t>
      </w:r>
      <w:r>
        <w:t xml:space="preserve">EUIPO, the usage of design protection by SMEs, change in number of multiple</w:t>
      </w:r>
      <w:r>
        <w:t xml:space="preserve"> </w:t>
      </w:r>
      <w:r>
        <w:t xml:space="preserve">applications, change in number of designs with renewed protection and number of</w:t>
      </w:r>
      <w:r>
        <w:t xml:space="preserve"> </w:t>
      </w:r>
      <w:r>
        <w:t xml:space="preserve">renewals.</w:t>
      </w:r>
      <w:r>
        <w:br/>
      </w:r>
      <w:r>
        <w:t xml:space="preserve">In terms of approximation of national laws, the Commission will scrutinise Member</w:t>
      </w:r>
      <w:r>
        <w:t xml:space="preserve"> </w:t>
      </w:r>
      <w:r>
        <w:t xml:space="preserve">States’ notifications of transposing measures and will react to any delays or</w:t>
      </w:r>
      <w:r>
        <w:t xml:space="preserve"> </w:t>
      </w:r>
      <w:r>
        <w:t xml:space="preserve">inconsistencies. The Commission will calculate implementation deficits and</w:t>
      </w:r>
    </w:p>
    <w:p>
      <w:pPr>
        <w:pStyle w:val="BodyText"/>
      </w:pPr>
      <w:r>
        <w:t xml:space="preserve">155 EUIPO (2021) “Consolidated Annual Activity Report 2020”, page 5.</w:t>
      </w:r>
    </w:p>
    <w:p>
      <w:pPr>
        <w:pStyle w:val="BodyText"/>
      </w:pPr>
      <w:r>
        <w:t xml:space="preserve">58</w:t>
      </w:r>
      <w:r>
        <w:t xml:space="preserve"> </w:t>
      </w:r>
      <w:r>
        <w:t xml:space="preserve">communicate these via the Single Market Scoreboard156. When all rules are properly</w:t>
      </w:r>
      <w:r>
        <w:t xml:space="preserve"> </w:t>
      </w:r>
      <w:r>
        <w:t xml:space="preserve">transposed the following indicators will be considered for evaluation: the option and</w:t>
      </w:r>
      <w:r>
        <w:t xml:space="preserve"> </w:t>
      </w:r>
      <w:r>
        <w:t xml:space="preserve">conditions for filing a multiple application, the option and length of deferment of</w:t>
      </w:r>
      <w:r>
        <w:t xml:space="preserve"> </w:t>
      </w:r>
      <w:r>
        <w:t xml:space="preserve">publication, the existence of substantive examination, and the provision of administrative</w:t>
      </w:r>
      <w:r>
        <w:t xml:space="preserve"> </w:t>
      </w:r>
      <w:r>
        <w:t xml:space="preserve">invalidity procedures.</w:t>
      </w:r>
      <w:r>
        <w:t xml:space="preserve"> </w:t>
      </w:r>
      <w:r>
        <w:t xml:space="preserve">All monitoring and reporting activities should take into account the necessary</w:t>
      </w:r>
      <w:r>
        <w:t xml:space="preserve"> </w:t>
      </w:r>
      <w:r>
        <w:t xml:space="preserve">transposition period as well as sufficient time for the market participants to accommodate</w:t>
      </w:r>
      <w:r>
        <w:t xml:space="preserve"> </w:t>
      </w:r>
      <w:r>
        <w:t xml:space="preserve">to the new situation. Thus, in the short term the Commission will rely on information</w:t>
      </w:r>
      <w:r>
        <w:t xml:space="preserve"> </w:t>
      </w:r>
      <w:r>
        <w:t xml:space="preserve">from stakeholders and Members States as regards implementation. As for the Regulation,</w:t>
      </w:r>
      <w:r>
        <w:t xml:space="preserve"> </w:t>
      </w:r>
      <w:r>
        <w:t xml:space="preserve">a proper evaluation of the changes should be done five years after full implementation of</w:t>
      </w:r>
      <w:r>
        <w:t xml:space="preserve"> </w:t>
      </w:r>
      <w:r>
        <w:t xml:space="preserve">all new provisions, including at the level of secondary legislation.</w:t>
      </w:r>
      <w:r>
        <w:t xml:space="preserve"> </w:t>
      </w:r>
      <w:r>
        <w:t xml:space="preserve">Objectives</w:t>
      </w:r>
      <w:r>
        <w:t xml:space="preserve"> </w:t>
      </w:r>
      <w:r>
        <w:t xml:space="preserve">Indicators</w:t>
      </w:r>
      <w:r>
        <w:t xml:space="preserve"> </w:t>
      </w:r>
      <w:r>
        <w:t xml:space="preserve">Sources of</w:t>
      </w:r>
      <w:r>
        <w:t xml:space="preserve"> </w:t>
      </w:r>
      <w:r>
        <w:t xml:space="preserve">information</w:t>
      </w:r>
      <w:r>
        <w:t xml:space="preserve"> </w:t>
      </w:r>
      <w:r>
        <w:t xml:space="preserve">Strengthened design protection</w:t>
      </w:r>
      <w:r>
        <w:t xml:space="preserve"> </w:t>
      </w:r>
      <w:r>
        <w:t xml:space="preserve">(promote contribution to</w:t>
      </w:r>
      <w:r>
        <w:t xml:space="preserve"> </w:t>
      </w:r>
      <w:r>
        <w:t xml:space="preserve">design excellence, innovation</w:t>
      </w:r>
      <w:r>
        <w:t xml:space="preserve"> </w:t>
      </w:r>
      <w:r>
        <w:t xml:space="preserve">and competitiveness in the EU)</w:t>
      </w:r>
      <w:r>
        <w:t xml:space="preserve"> </w:t>
      </w:r>
      <w:r>
        <w:t xml:space="preserve">a) Measurement of increase of profitability of</w:t>
      </w:r>
      <w:r>
        <w:t xml:space="preserve"> </w:t>
      </w:r>
      <w:r>
        <w:t xml:space="preserve">firms making use of strengthened design</w:t>
      </w:r>
      <w:r>
        <w:t xml:space="preserve"> </w:t>
      </w:r>
      <w:r>
        <w:t xml:space="preserve">b) Measurement of price increase for consumers</w:t>
      </w:r>
      <w:r>
        <w:br/>
      </w:r>
      <w:r>
        <w:t xml:space="preserve">c) Measurement of increase of new designs (more</w:t>
      </w:r>
      <w:r>
        <w:t xml:space="preserve"> </w:t>
      </w:r>
      <w:r>
        <w:t xml:space="preserve">new products on the market)</w:t>
      </w:r>
      <w:r>
        <w:t xml:space="preserve"> </w:t>
      </w:r>
      <w:r>
        <w:t xml:space="preserve">Study</w:t>
      </w:r>
      <w:r>
        <w:t xml:space="preserve"> </w:t>
      </w:r>
      <w:r>
        <w:t xml:space="preserve">Opening up the spare parts</w:t>
      </w:r>
      <w:r>
        <w:t xml:space="preserve"> </w:t>
      </w:r>
      <w:r>
        <w:t xml:space="preserve">aftermarket to competition</w:t>
      </w:r>
      <w:r>
        <w:t xml:space="preserve"> </w:t>
      </w:r>
      <w:r>
        <w:t xml:space="preserve">a) Monitor consumer prices of spare parts</w:t>
      </w:r>
      <w:r>
        <w:t xml:space="preserve"> </w:t>
      </w:r>
      <w:r>
        <w:t xml:space="preserve">b) Monitor availability of different types of spare</w:t>
      </w:r>
      <w:r>
        <w:t xml:space="preserve"> </w:t>
      </w:r>
      <w:r>
        <w:t xml:space="preserve">parts</w:t>
      </w:r>
      <w:r>
        <w:t xml:space="preserve"> </w:t>
      </w:r>
      <w:r>
        <w:t xml:space="preserve">c) Monitor frequency of repair versus purchase of</w:t>
      </w:r>
      <w:r>
        <w:t xml:space="preserve"> </w:t>
      </w:r>
      <w:r>
        <w:t xml:space="preserve">new vehicle</w:t>
      </w:r>
      <w:r>
        <w:t xml:space="preserve"> </w:t>
      </w:r>
      <w:r>
        <w:t xml:space="preserve">Study</w:t>
      </w:r>
      <w:r>
        <w:t xml:space="preserve"> </w:t>
      </w:r>
      <w:r>
        <w:t xml:space="preserve">Improving the accessibility</w:t>
      </w:r>
      <w:r>
        <w:t xml:space="preserve"> </w:t>
      </w:r>
      <w:r>
        <w:t xml:space="preserve">and affordability of</w:t>
      </w:r>
      <w:r>
        <w:t xml:space="preserve"> </w:t>
      </w:r>
      <w:r>
        <w:t xml:space="preserve">Community design protection</w:t>
      </w:r>
      <w:r>
        <w:t xml:space="preserve"> </w:t>
      </w:r>
      <w:r>
        <w:t xml:space="preserve">a) Measurement of cost savings by EUIPO (e.g. </w:t>
      </w:r>
      <w:r>
        <w:t xml:space="preserve"> </w:t>
      </w:r>
      <w:r>
        <w:t xml:space="preserve">because less procedural mistakes are made by</w:t>
      </w:r>
      <w:r>
        <w:t xml:space="preserve"> </w:t>
      </w:r>
      <w:r>
        <w:t xml:space="preserve">applicants due to i) deletion of unity of class</w:t>
      </w:r>
      <w:r>
        <w:t xml:space="preserve"> </w:t>
      </w:r>
      <w:r>
        <w:t xml:space="preserve">requirement, ii) easier representation</w:t>
      </w:r>
      <w:r>
        <w:t xml:space="preserve"> </w:t>
      </w:r>
      <w:r>
        <w:t xml:space="preserve">requirements, iii) shared IT systems with EUTM</w:t>
      </w:r>
      <w:r>
        <w:t xml:space="preserve"> </w:t>
      </w:r>
      <w:r>
        <w:t xml:space="preserve">system)</w:t>
      </w:r>
      <w:r>
        <w:t xml:space="preserve"> </w:t>
      </w:r>
      <w:r>
        <w:t xml:space="preserve">EUIPO</w:t>
      </w:r>
      <w:r>
        <w:t xml:space="preserve"> </w:t>
      </w:r>
      <w:r>
        <w:t xml:space="preserve">Enhancing complementarity</w:t>
      </w:r>
      <w:r>
        <w:t xml:space="preserve"> </w:t>
      </w:r>
      <w:r>
        <w:t xml:space="preserve">and interoperability between</w:t>
      </w:r>
      <w:r>
        <w:t xml:space="preserve"> </w:t>
      </w:r>
      <w:r>
        <w:t xml:space="preserve">the Community and national</w:t>
      </w:r>
      <w:r>
        <w:t xml:space="preserve"> </w:t>
      </w:r>
      <w:r>
        <w:t xml:space="preserve">design systems, in particular</w:t>
      </w:r>
      <w:r>
        <w:t xml:space="preserve"> </w:t>
      </w:r>
      <w:r>
        <w:t xml:space="preserve">through harmonisation of</w:t>
      </w:r>
      <w:r>
        <w:t xml:space="preserve"> </w:t>
      </w:r>
      <w:r>
        <w:t xml:space="preserve">procedural rules.</w:t>
      </w:r>
      <w:r>
        <w:t xml:space="preserve"> </w:t>
      </w:r>
      <w:r>
        <w:t xml:space="preserve">a) Number of remaining differences between</w:t>
      </w:r>
      <w:r>
        <w:t xml:space="preserve"> </w:t>
      </w:r>
      <w:r>
        <w:t xml:space="preserve">national laws (transposition check)</w:t>
      </w:r>
      <w:r>
        <w:t xml:space="preserve"> </w:t>
      </w:r>
      <w:r>
        <w:t xml:space="preserve">b) Evolution in companies’ direct cost for IP</w:t>
      </w:r>
      <w:r>
        <w:t xml:space="preserve"> </w:t>
      </w:r>
      <w:r>
        <w:t xml:space="preserve">advice</w:t>
      </w:r>
      <w:r>
        <w:t xml:space="preserve"> </w:t>
      </w:r>
      <w:r>
        <w:t xml:space="preserve">c) Average time needed to register an RCD</w:t>
      </w:r>
      <w:r>
        <w:t xml:space="preserve"> </w:t>
      </w:r>
      <w:r>
        <w:t xml:space="preserve">(including average time needed for an invalidity</w:t>
      </w:r>
      <w:r>
        <w:t xml:space="preserve"> </w:t>
      </w:r>
      <w:r>
        <w:t xml:space="preserve">procedure) – possible benchmark: average time</w:t>
      </w:r>
      <w:r>
        <w:t xml:space="preserve"> </w:t>
      </w:r>
      <w:r>
        <w:t xml:space="preserve">in 5 best performing offices</w:t>
      </w:r>
      <w:r>
        <w:t xml:space="preserve"> </w:t>
      </w:r>
      <w:r>
        <w:t xml:space="preserve">Transposition</w:t>
      </w:r>
      <w:r>
        <w:t xml:space="preserve"> </w:t>
      </w:r>
      <w:r>
        <w:t xml:space="preserve">study</w:t>
      </w:r>
      <w:r>
        <w:t xml:space="preserve"> </w:t>
      </w:r>
      <w:r>
        <w:t xml:space="preserve">Study</w:t>
      </w:r>
      <w:r>
        <w:t xml:space="preserve"> </w:t>
      </w:r>
      <w:r>
        <w:t xml:space="preserve">IPO survey</w:t>
      </w:r>
      <w:r>
        <w:br/>
      </w:r>
      <w:r>
        <w:t xml:space="preserve">Evaluation study</w:t>
      </w:r>
      <w:r>
        <w:t xml:space="preserve"> </w:t>
      </w:r>
      <w:r>
        <w:t xml:space="preserve">to support the</w:t>
      </w:r>
      <w:r>
        <w:t xml:space="preserve"> </w:t>
      </w:r>
      <w:r>
        <w:t xml:space="preserve">review of the</w:t>
      </w:r>
      <w:r>
        <w:t xml:space="preserve"> </w:t>
      </w:r>
      <w:r>
        <w:t xml:space="preserve">instrument 5 years</w:t>
      </w:r>
      <w:r>
        <w:t xml:space="preserve"> </w:t>
      </w:r>
      <w:r>
        <w:t xml:space="preserve">after its date of</w:t>
      </w:r>
      <w:r>
        <w:t xml:space="preserve"> </w:t>
      </w:r>
      <w:r>
        <w:t xml:space="preserve">application</w:t>
      </w:r>
    </w:p>
    <w:p>
      <w:pPr>
        <w:pStyle w:val="BodyText"/>
      </w:pPr>
      <w:r>
        <w:t xml:space="preserve">156 https://ec.europa.eu/internal_market/scoreboard/performance_by_governance_tool/transposition/index_en.htm</w:t>
      </w:r>
    </w:p>
    <w:p>
      <w:pPr>
        <w:pStyle w:val="BodyText"/>
      </w:pPr>
      <w:r>
        <w:t xml:space="preserve">59</w:t>
      </w:r>
      <w:r>
        <w:t xml:space="preserve"> </w:t>
      </w:r>
      <w:r>
        <w:t xml:space="preserve">ANNEX 1: PROCEDURAL INFORMATION</w:t>
      </w:r>
      <w:r>
        <w:t xml:space="preserve"> </w:t>
      </w:r>
      <w:r>
        <w:t xml:space="preserve">1. Lead DG, DEcide Planning/CWP references</w:t>
      </w:r>
      <w:r>
        <w:t xml:space="preserve"> </w:t>
      </w:r>
      <w:r>
        <w:t xml:space="preserve">Lead DG: DG Internal Market, Industry, Entrepreneurship and SMEs</w:t>
      </w:r>
      <w:r>
        <w:t xml:space="preserve"> </w:t>
      </w:r>
      <w:r>
        <w:t xml:space="preserve">Decide numbers of the underlying initiatives: PLAN/2020/8768 (Review of Community</w:t>
      </w:r>
      <w:r>
        <w:t xml:space="preserve"> </w:t>
      </w:r>
      <w:r>
        <w:t xml:space="preserve">Design Regulation) and PLAN/2020/8769 (Review of Design Directive).</w:t>
      </w:r>
      <w:r>
        <w:t xml:space="preserve"> </w:t>
      </w:r>
      <w:r>
        <w:t xml:space="preserve">2. Organisation and timing</w:t>
      </w:r>
      <w:r>
        <w:t xml:space="preserve"> </w:t>
      </w:r>
      <w:r>
        <w:t xml:space="preserve">The inception impact assessment was published on 24 November 2020. It was followed</w:t>
      </w:r>
      <w:r>
        <w:t xml:space="preserve"> </w:t>
      </w:r>
      <w:r>
        <w:t xml:space="preserve">by a feedback period that lasted from 24 November 2020 to 12 January 2021. Twenty</w:t>
      </w:r>
      <w:r>
        <w:t xml:space="preserve"> </w:t>
      </w:r>
      <w:r>
        <w:t xml:space="preserve">nine stakeholders submitted feedback.</w:t>
      </w:r>
      <w:r>
        <w:t xml:space="preserve"> </w:t>
      </w:r>
      <w:r>
        <w:t xml:space="preserve">The Commission held a public consultation from 29 April to 22 July 2021. This</w:t>
      </w:r>
      <w:r>
        <w:t xml:space="preserve"> </w:t>
      </w:r>
      <w:r>
        <w:t xml:space="preserve">consultation was available on the Better Regulation Portal of the Commission and open</w:t>
      </w:r>
      <w:r>
        <w:t xml:space="preserve"> </w:t>
      </w:r>
      <w:r>
        <w:t xml:space="preserve">to anyone who wished to reply. The public consultation received 105 replies through the</w:t>
      </w:r>
      <w:r>
        <w:t xml:space="preserve"> </w:t>
      </w:r>
      <w:r>
        <w:t xml:space="preserve">EU survey and five via e-mail.</w:t>
      </w:r>
      <w:r>
        <w:t xml:space="preserve"> </w:t>
      </w:r>
      <w:r>
        <w:t xml:space="preserve">The following DGs (Directorates General) have been invited to contribute to this impact</w:t>
      </w:r>
      <w:r>
        <w:t xml:space="preserve"> </w:t>
      </w:r>
      <w:r>
        <w:t xml:space="preserve">assessment: SG (Secretariat-General), COMP (Competition), EAC (Education, Youth,</w:t>
      </w:r>
      <w:r>
        <w:t xml:space="preserve"> </w:t>
      </w:r>
      <w:r>
        <w:t xml:space="preserve">Sport, Culture), ENER (Energy), ENV (Environment), CNECT (Communications</w:t>
      </w:r>
      <w:r>
        <w:t xml:space="preserve"> </w:t>
      </w:r>
      <w:r>
        <w:t xml:space="preserve">Networks, Content and Technology), JRC (Joint Research Centre), JUST (Justice and</w:t>
      </w:r>
      <w:r>
        <w:t xml:space="preserve"> </w:t>
      </w:r>
      <w:r>
        <w:t xml:space="preserve">Consumers), SJ (Legal Service), TAXUD (Taxation and Customs Union) and TRADE</w:t>
      </w:r>
      <w:r>
        <w:t xml:space="preserve"> </w:t>
      </w:r>
      <w:r>
        <w:t xml:space="preserve">(Trade). The EUIPO also participated in the ISSG. The ISSG met four times in 2021 to</w:t>
      </w:r>
      <w:r>
        <w:t xml:space="preserve"> </w:t>
      </w:r>
      <w:r>
        <w:t xml:space="preserve">give an update on the ongoing work and discuss preliminary versions of the impact</w:t>
      </w:r>
      <w:r>
        <w:t xml:space="preserve"> </w:t>
      </w:r>
      <w:r>
        <w:t xml:space="preserve">assessment report, together with all the supporting documents.</w:t>
      </w:r>
      <w:r>
        <w:t xml:space="preserve"> </w:t>
      </w:r>
      <w:r>
        <w:t xml:space="preserve">3. Consultation of the RSB</w:t>
      </w:r>
      <w:r>
        <w:t xml:space="preserve"> </w:t>
      </w:r>
      <w:r>
        <w:t xml:space="preserve">The RSB was consulted in an upfront meeting on 27 May 2021. The present impact</w:t>
      </w:r>
      <w:r>
        <w:t xml:space="preserve"> </w:t>
      </w:r>
      <w:r>
        <w:t xml:space="preserve">assessment report was submitted to the RSB on 27/10/2021. The impact assessment was</w:t>
      </w:r>
      <w:r>
        <w:t xml:space="preserve"> </w:t>
      </w:r>
      <w:r>
        <w:t xml:space="preserve">discussed with the RSB on 24/11/2021, and the RSB issued a positive opinion on</w:t>
      </w:r>
      <w:r>
        <w:t xml:space="preserve"> </w:t>
      </w:r>
      <w:r>
        <w:t xml:space="preserve">26/11/2021. Based on the RSB recommendations, the impact assessment has been</w:t>
      </w:r>
      <w:r>
        <w:t xml:space="preserve"> </w:t>
      </w:r>
      <w:r>
        <w:t xml:space="preserve">revised as follows:</w:t>
      </w:r>
      <w:r>
        <w:t xml:space="preserve"> </w:t>
      </w:r>
      <w:r>
        <w:t xml:space="preserve">RSB recommendations</w:t>
      </w:r>
      <w:r>
        <w:t xml:space="preserve"> </w:t>
      </w:r>
      <w:r>
        <w:t xml:space="preserve">Changes to the impact assessment</w:t>
      </w:r>
      <w:r>
        <w:t xml:space="preserve"> </w:t>
      </w:r>
      <w:r>
        <w:t xml:space="preserve">(1) The report is not sufficiently clear why the current</w:t>
      </w:r>
      <w:r>
        <w:t xml:space="preserve"> </w:t>
      </w:r>
      <w:r>
        <w:t xml:space="preserve">mixed national and EU design protection system needs</w:t>
      </w:r>
      <w:r>
        <w:t xml:space="preserve"> </w:t>
      </w:r>
      <w:r>
        <w:t xml:space="preserve">to be maintained and protected.</w:t>
      </w:r>
      <w:r>
        <w:t xml:space="preserve"> </w:t>
      </w:r>
      <w:r>
        <w:t xml:space="preserve">The report should make clear why it does not envisage</w:t>
      </w:r>
      <w:r>
        <w:t xml:space="preserve"> </w:t>
      </w:r>
      <w:r>
        <w:t xml:space="preserve">an overall more efficient design protection system, by</w:t>
      </w:r>
      <w:r>
        <w:t xml:space="preserve"> </w:t>
      </w:r>
      <w:r>
        <w:t xml:space="preserve">letting the EU system compete fully with the national</w:t>
      </w:r>
      <w:r>
        <w:t xml:space="preserve"> </w:t>
      </w:r>
      <w:r>
        <w:t xml:space="preserve">systems. This could lead seemingly to lower fees and</w:t>
      </w:r>
      <w:r>
        <w:t xml:space="preserve"> </w:t>
      </w:r>
      <w:r>
        <w:t xml:space="preserve">promote administrative efficiency, which would be to</w:t>
      </w:r>
      <w:r>
        <w:t xml:space="preserve"> </w:t>
      </w:r>
      <w:r>
        <w:t xml:space="preserve">the benefit of companies and increase overall EU</w:t>
      </w:r>
      <w:r>
        <w:t xml:space="preserve"> </w:t>
      </w:r>
      <w:r>
        <w:t xml:space="preserve">competitiveness. In this regard, the report should clarify</w:t>
      </w:r>
      <w:r>
        <w:t xml:space="preserve"> </w:t>
      </w:r>
      <w:r>
        <w:t xml:space="preserve">to what extent the level of national fees should continue</w:t>
      </w:r>
      <w:r>
        <w:t xml:space="preserve"> </w:t>
      </w:r>
      <w:r>
        <w:t xml:space="preserve">to play a limiting role on the reduction of EU fees.</w:t>
      </w:r>
      <w:r>
        <w:t xml:space="preserve"> </w:t>
      </w:r>
      <w:r>
        <w:t xml:space="preserve">Section 6.3 was enhanced with additional arguments and</w:t>
      </w:r>
      <w:r>
        <w:br/>
      </w:r>
      <w:r>
        <w:t xml:space="preserve">Annex 13 on Coexistence of national and EU systems</w:t>
      </w:r>
      <w:r>
        <w:t xml:space="preserve"> </w:t>
      </w:r>
      <w:r>
        <w:t xml:space="preserve">was added</w:t>
      </w:r>
      <w:r>
        <w:t xml:space="preserve"> </w:t>
      </w:r>
      <w:r>
        <w:t xml:space="preserve">(2) Taking into account the relevant findings in the</w:t>
      </w:r>
      <w:r>
        <w:t xml:space="preserve"> </w:t>
      </w:r>
      <w:r>
        <w:t xml:space="preserve">2020 evaluation on the lack of awareness of the</w:t>
      </w:r>
      <w:r>
        <w:t xml:space="preserve"> </w:t>
      </w:r>
      <w:r>
        <w:t xml:space="preserve">possibilities for companies to use EU design protection,</w:t>
      </w:r>
      <w:r>
        <w:t xml:space="preserve"> </w:t>
      </w:r>
      <w:r>
        <w:t xml:space="preserve">the report should better explain why it does not consider</w:t>
      </w:r>
      <w:r>
        <w:t xml:space="preserve"> </w:t>
      </w:r>
      <w:r>
        <w:t xml:space="preserve">additional actions on awareness-raising in the context of</w:t>
      </w:r>
      <w:r>
        <w:t xml:space="preserve"> </w:t>
      </w:r>
      <w:r>
        <w:t xml:space="preserve">this initiative.</w:t>
      </w:r>
      <w:r>
        <w:t xml:space="preserve"> </w:t>
      </w:r>
      <w:r>
        <w:t xml:space="preserve">Annex 12 on existing and planned awareness raising</w:t>
      </w:r>
      <w:r>
        <w:t xml:space="preserve"> </w:t>
      </w:r>
      <w:r>
        <w:t xml:space="preserve">activities was added.</w:t>
      </w:r>
      <w:r>
        <w:t xml:space="preserve"> </w:t>
      </w:r>
      <w:r>
        <w:t xml:space="preserve">(3) The report should better explain the competitive</w:t>
      </w:r>
      <w:r>
        <w:t xml:space="preserve"> </w:t>
      </w:r>
      <w:r>
        <w:t xml:space="preserve">effects that can be expected from cross-border spare</w:t>
      </w:r>
      <w:r>
        <w:t xml:space="preserve"> </w:t>
      </w:r>
      <w:r>
        <w:t xml:space="preserve">parts internet sales under the baseline scenario. It</w:t>
      </w:r>
      <w:r>
        <w:t xml:space="preserve"> </w:t>
      </w:r>
      <w:r>
        <w:t xml:space="preserve">should also better explain that the liberalisation of the</w:t>
      </w:r>
      <w:r>
        <w:t xml:space="preserve"> </w:t>
      </w:r>
      <w:r>
        <w:t xml:space="preserve">Impact of internet sales of spare parts was added to the</w:t>
      </w:r>
      <w:r>
        <w:t xml:space="preserve"> </w:t>
      </w:r>
      <w:r>
        <w:t xml:space="preserve">baseline scenario (Section 2.2.1).</w:t>
      </w:r>
    </w:p>
    <w:p>
      <w:pPr>
        <w:pStyle w:val="BodyText"/>
      </w:pPr>
      <w:r>
        <w:t xml:space="preserve">60</w:t>
      </w:r>
      <w:r>
        <w:t xml:space="preserve"> </w:t>
      </w:r>
      <w:r>
        <w:t xml:space="preserve">spare parts aftermarket through the removal of design</w:t>
      </w:r>
      <w:r>
        <w:t xml:space="preserve"> </w:t>
      </w:r>
      <w:r>
        <w:t xml:space="preserve">protection of spare parts is a necessary, but not a</w:t>
      </w:r>
      <w:r>
        <w:t xml:space="preserve"> </w:t>
      </w:r>
      <w:r>
        <w:t xml:space="preserve">sufficient, condition for creating a well functioning</w:t>
      </w:r>
      <w:r>
        <w:t xml:space="preserve"> </w:t>
      </w:r>
      <w:r>
        <w:t xml:space="preserve">internal market in spare parts.</w:t>
      </w:r>
      <w:r>
        <w:t xml:space="preserve"> </w:t>
      </w:r>
      <w:r>
        <w:t xml:space="preserve">(4) The report should better explain the robustness and</w:t>
      </w:r>
      <w:r>
        <w:t xml:space="preserve"> </w:t>
      </w:r>
      <w:r>
        <w:t xml:space="preserve">the uncertainties with regard to the estimates on the</w:t>
      </w:r>
      <w:r>
        <w:t xml:space="preserve"> </w:t>
      </w:r>
      <w:r>
        <w:t xml:space="preserve">increase of the number of protected designs by</w:t>
      </w:r>
      <w:r>
        <w:t xml:space="preserve"> </w:t>
      </w:r>
      <w:r>
        <w:t xml:space="preserve">changing the level of the fees, in particular with regard</w:t>
      </w:r>
      <w:r>
        <w:t xml:space="preserve"> </w:t>
      </w:r>
      <w:r>
        <w:t xml:space="preserve">to the so-called ‘optimistic scenario’.</w:t>
      </w:r>
      <w:r>
        <w:t xml:space="preserve"> </w:t>
      </w:r>
      <w:r>
        <w:t xml:space="preserve">The additional caveats on data limitations were added to</w:t>
      </w:r>
      <w:r>
        <w:t xml:space="preserve"> </w:t>
      </w:r>
      <w:r>
        <w:t xml:space="preserve">Annex 9.5</w:t>
      </w:r>
      <w:r>
        <w:br/>
      </w:r>
      <w:r>
        <w:t xml:space="preserve">(5) Given that the direct expenditures of the European</w:t>
      </w:r>
      <w:r>
        <w:t xml:space="preserve"> </w:t>
      </w:r>
      <w:r>
        <w:t xml:space="preserve">Union Intellectual Property</w:t>
      </w:r>
      <w:r>
        <w:t xml:space="preserve"> </w:t>
      </w:r>
      <w:r>
        <w:t xml:space="preserve">Organisation (EUIPO) directly attributable to the</w:t>
      </w:r>
      <w:r>
        <w:t xml:space="preserve"> </w:t>
      </w:r>
      <w:r>
        <w:t xml:space="preserve">Registered Community Design only represent about one</w:t>
      </w:r>
      <w:r>
        <w:t xml:space="preserve"> </w:t>
      </w:r>
      <w:r>
        <w:t xml:space="preserve">third of the relevant fee revenues, the report should</w:t>
      </w:r>
      <w:r>
        <w:t xml:space="preserve"> </w:t>
      </w:r>
      <w:r>
        <w:t xml:space="preserve">clarify why it does not propose to reduce the fees for</w:t>
      </w:r>
      <w:r>
        <w:t xml:space="preserve"> </w:t>
      </w:r>
      <w:r>
        <w:t xml:space="preserve">registered EU designs further. It should also explore the</w:t>
      </w:r>
      <w:r>
        <w:t xml:space="preserve"> </w:t>
      </w:r>
      <w:r>
        <w:t xml:space="preserve">room for further reduction of the fees including through</w:t>
      </w:r>
      <w:r>
        <w:t xml:space="preserve"> </w:t>
      </w:r>
      <w:r>
        <w:t xml:space="preserve">considering potential rationalisations and administrative</w:t>
      </w:r>
      <w:r>
        <w:t xml:space="preserve"> </w:t>
      </w:r>
      <w:r>
        <w:t xml:space="preserve">overhead reductions at the EUIPO.</w:t>
      </w:r>
      <w:r>
        <w:t xml:space="preserve"> </w:t>
      </w:r>
      <w:r>
        <w:t xml:space="preserve">The rationale for not lowering the RCD fees further was</w:t>
      </w:r>
      <w:r>
        <w:t xml:space="preserve"> </w:t>
      </w:r>
      <w:r>
        <w:t xml:space="preserve">added to Section 6.3. Examples of the EUIPO activities</w:t>
      </w:r>
      <w:r>
        <w:t xml:space="preserve"> </w:t>
      </w:r>
      <w:r>
        <w:t xml:space="preserve">financed from the fee revenues were further highlighted</w:t>
      </w:r>
      <w:r>
        <w:t xml:space="preserve"> </w:t>
      </w:r>
      <w:r>
        <w:t xml:space="preserve">(such as awareness raising campaigns or SME support).</w:t>
      </w:r>
      <w:r>
        <w:t xml:space="preserve"> </w:t>
      </w:r>
      <w:r>
        <w:t xml:space="preserve">(6) The report should better reflect the differences in</w:t>
      </w:r>
      <w:r>
        <w:t xml:space="preserve"> </w:t>
      </w:r>
      <w:r>
        <w:t xml:space="preserve">views between key stakeholders on design protection of</w:t>
      </w:r>
      <w:r>
        <w:t xml:space="preserve"> </w:t>
      </w:r>
      <w:r>
        <w:t xml:space="preserve">spare parts and explain how and why it took them into</w:t>
      </w:r>
      <w:r>
        <w:t xml:space="preserve"> </w:t>
      </w:r>
      <w:r>
        <w:t xml:space="preserve">account.</w:t>
      </w:r>
      <w:r>
        <w:t xml:space="preserve"> </w:t>
      </w:r>
      <w:r>
        <w:t xml:space="preserve">Annex 2a focusing on stakeholders views on spare parts</w:t>
      </w:r>
      <w:r>
        <w:t xml:space="preserve"> </w:t>
      </w:r>
      <w:r>
        <w:t xml:space="preserve">liberalisation was added</w:t>
      </w:r>
    </w:p>
    <w:p>
      <w:pPr>
        <w:pStyle w:val="Compact"/>
        <w:numPr>
          <w:ilvl w:val="0"/>
          <w:numId w:val="1001"/>
        </w:numPr>
      </w:pPr>
      <w:r>
        <w:t xml:space="preserve">Evidence, sources and quality</w:t>
      </w:r>
      <w:r>
        <w:t xml:space="preserve"> </w:t>
      </w:r>
      <w:r>
        <w:t xml:space="preserve">DG GROW conducted and contracted several studies related to the revision of the</w:t>
      </w:r>
      <w:r>
        <w:t xml:space="preserve"> </w:t>
      </w:r>
      <w:r>
        <w:t xml:space="preserve">designs legislation. All the studies, with the exception of the study by Wolk After Sales</w:t>
      </w:r>
      <w:r>
        <w:t xml:space="preserve"> </w:t>
      </w:r>
      <w:r>
        <w:t xml:space="preserve">Experts, were published prior to the online public consultation.</w:t>
      </w:r>
      <w:r>
        <w:t xml:space="preserve"> </w:t>
      </w:r>
      <w:r>
        <w:t xml:space="preserve">The series of studies include:</w:t>
      </w:r>
      <w:r>
        <w:t xml:space="preserve"> </w:t>
      </w:r>
      <w:r>
        <w:t xml:space="preserve"> Europe Economics (June 2015). Economic review of industrial design in Europe</w:t>
      </w:r>
      <w:r>
        <w:t xml:space="preserve"> </w:t>
      </w:r>
      <w:r>
        <w:t xml:space="preserve"> Time.lex, Queen Mary - London, Spark Legal Network &amp; Indiville (April 2016).</w:t>
      </w:r>
      <w:r>
        <w:t xml:space="preserve"> </w:t>
      </w:r>
      <w:r>
        <w:t xml:space="preserve">Legal review on design protection in Europe</w:t>
      </w:r>
      <w:r>
        <w:t xml:space="preserve"> </w:t>
      </w:r>
      <w:r>
        <w:t xml:space="preserve"> Mendis, D., Nordemann, J.D., Ballardini, R.M., Brorsen, H, del Carmen</w:t>
      </w:r>
      <w:r>
        <w:t xml:space="preserve"> </w:t>
      </w:r>
      <w:r>
        <w:t xml:space="preserve">Calatrava Moreno, M., Robson, J. &amp; Dickens, P. (February 2020). Intellectual</w:t>
      </w:r>
      <w:r>
        <w:t xml:space="preserve"> </w:t>
      </w:r>
      <w:r>
        <w:t xml:space="preserve">property implications of the development of industrial 3D printing</w:t>
      </w:r>
      <w:r>
        <w:t xml:space="preserve"> </w:t>
      </w:r>
      <w:r>
        <w:t xml:space="preserve">Two studies focus explicitly on spare part protection:</w:t>
      </w:r>
      <w:r>
        <w:t xml:space="preserve"> </w:t>
      </w:r>
      <w:r>
        <w:t xml:space="preserve"> Herz, B. &amp; Mejer, M. (2020). The effect of design protection on price and price</w:t>
      </w:r>
      <w:r>
        <w:t xml:space="preserve"> </w:t>
      </w:r>
      <w:r>
        <w:t xml:space="preserve">dispersion: Evidence from automotive spare parts. Published in International</w:t>
      </w:r>
      <w:r>
        <w:t xml:space="preserve"> </w:t>
      </w:r>
      <w:r>
        <w:t xml:space="preserve">Journal of Industrial Organization with manuscript available online 14</w:t>
      </w:r>
      <w:r>
        <w:t xml:space="preserve"> </w:t>
      </w:r>
      <w:r>
        <w:t xml:space="preserve">September 2021, In Press.</w:t>
      </w:r>
      <w:r>
        <w:t xml:space="preserve"> </w:t>
      </w:r>
      <w:r>
        <w:t xml:space="preserve"> Nikolic, Z. (September, 2021). Market structure of motor vehicle visible spare</w:t>
      </w:r>
      <w:r>
        <w:t xml:space="preserve"> </w:t>
      </w:r>
      <w:r>
        <w:t xml:space="preserve">parts in the EU. Study commissioned to Wolk After Sales Experts GmbH.</w:t>
      </w:r>
      <w:r>
        <w:t xml:space="preserve"> </w:t>
      </w:r>
      <w:r>
        <w:t xml:space="preserve">Available at https://op.europa.eu/s/sMA8</w:t>
      </w:r>
    </w:p>
    <w:p>
      <w:pPr>
        <w:pStyle w:val="FirstParagraph"/>
      </w:pPr>
      <w:r>
        <w:t xml:space="preserve">61</w:t>
      </w:r>
      <w:r>
        <w:t xml:space="preserve"> </w:t>
      </w:r>
      <w:r>
        <w:t xml:space="preserve">ANNEX 2: STAKEHOLDER CONSULTATION</w:t>
      </w:r>
      <w:r>
        <w:br/>
      </w:r>
      <w:r>
        <w:t xml:space="preserve">1. Introduction</w:t>
      </w:r>
      <w:r>
        <w:t xml:space="preserve"> </w:t>
      </w:r>
      <w:r>
        <w:t xml:space="preserve">The Commission announced in its communication of 25 November 2020 entitled</w:t>
      </w:r>
      <w:r>
        <w:t xml:space="preserve"> </w:t>
      </w:r>
      <w:r>
        <w:t xml:space="preserve">‘Making the most of the EU’s innovative potential – An intellectual property action plan</w:t>
      </w:r>
      <w:r>
        <w:t xml:space="preserve"> </w:t>
      </w:r>
      <w:r>
        <w:t xml:space="preserve">to support the EU’s recovery and resilience’157 that it will revise the EU legislation on</w:t>
      </w:r>
      <w:r>
        <w:t xml:space="preserve"> </w:t>
      </w:r>
      <w:r>
        <w:t xml:space="preserve">design protection. Alongside the publication of the IP Action Plan, an inception impact</w:t>
      </w:r>
      <w:r>
        <w:t xml:space="preserve"> </w:t>
      </w:r>
      <w:r>
        <w:t xml:space="preserve">assessment158 was published for this initiative.</w:t>
      </w:r>
      <w:r>
        <w:br/>
      </w:r>
      <w:r>
        <w:t xml:space="preserve">The review follows from an exhaustive evaluation of the EU legislation on design</w:t>
      </w:r>
      <w:r>
        <w:t xml:space="preserve"> </w:t>
      </w:r>
      <w:r>
        <w:t xml:space="preserve">protection159, which was supported by a comprehensive public consultation and two</w:t>
      </w:r>
      <w:r>
        <w:t xml:space="preserve"> </w:t>
      </w:r>
      <w:r>
        <w:t xml:space="preserve">major economic and legal studies.</w:t>
      </w:r>
      <w:r>
        <w:br/>
      </w:r>
      <w:r>
        <w:t xml:space="preserve">The evaluation analysed to what extent the current EU legislation on design protection</w:t>
      </w:r>
      <w:r>
        <w:t xml:space="preserve"> </w:t>
      </w:r>
      <w:r>
        <w:t xml:space="preserve">has achieved its objectives in terms of efficiency, effectiveness, relevance, coherence and</w:t>
      </w:r>
      <w:r>
        <w:t xml:space="preserve"> </w:t>
      </w:r>
      <w:r>
        <w:t xml:space="preserve">EU added value.</w:t>
      </w:r>
      <w:r>
        <w:br/>
      </w:r>
      <w:r>
        <w:t xml:space="preserve">Consultation activities</w:t>
      </w:r>
      <w:r>
        <w:t xml:space="preserve"> </w:t>
      </w:r>
      <w:r>
        <w:t xml:space="preserve">The Commission conducted a public consultation160 between 29 April and 22 July 2021</w:t>
      </w:r>
      <w:r>
        <w:t xml:space="preserve"> </w:t>
      </w:r>
      <w:r>
        <w:t xml:space="preserve">with the aim to gather further stakeholder evidence and views to support the review of</w:t>
      </w:r>
      <w:r>
        <w:t xml:space="preserve"> </w:t>
      </w:r>
      <w:r>
        <w:t xml:space="preserve">the CDR and the DDir. The public consultation served as complement to the extensive</w:t>
      </w:r>
      <w:r>
        <w:t xml:space="preserve"> </w:t>
      </w:r>
      <w:r>
        <w:t xml:space="preserve">public consultation on design protection already carried out in the context of the</w:t>
      </w:r>
      <w:r>
        <w:t xml:space="preserve"> </w:t>
      </w:r>
      <w:r>
        <w:t xml:space="preserve">evaluation. More specifically, it sought to obtain views of all those affected by design</w:t>
      </w:r>
      <w:r>
        <w:t xml:space="preserve"> </w:t>
      </w:r>
      <w:r>
        <w:t xml:space="preserve">protection in Europe on selected issues and potential policy options and their impacts.</w:t>
      </w:r>
      <w:r>
        <w:br/>
      </w:r>
      <w:r>
        <w:t xml:space="preserve">2. Analysis of responses</w:t>
      </w:r>
      <w:r>
        <w:t xml:space="preserve"> </w:t>
      </w:r>
      <w:r>
        <w:t xml:space="preserve">54% of the stakeholders161 considers that increasing clarity and transparency of rules and</w:t>
      </w:r>
      <w:r>
        <w:t xml:space="preserve"> </w:t>
      </w:r>
      <w:r>
        <w:t xml:space="preserve">making them future-proof would help most in raising the usage of design protection.</w:t>
      </w:r>
      <w:r>
        <w:t xml:space="preserve"> </w:t>
      </w:r>
      <w:r>
        <w:t xml:space="preserve">45% of the stakeholders indicates that raising awareness about the availability, benefits</w:t>
      </w:r>
      <w:r>
        <w:t xml:space="preserve"> </w:t>
      </w:r>
      <w:r>
        <w:t xml:space="preserve">and ways of protecting designs would help most in this. According to some stakeholders</w:t>
      </w:r>
      <w:r>
        <w:t xml:space="preserve"> </w:t>
      </w:r>
      <w:r>
        <w:t xml:space="preserve">harmonising registration procedures (35%), streamlining and simplifying registration</w:t>
      </w:r>
      <w:r>
        <w:t xml:space="preserve"> </w:t>
      </w:r>
      <w:r>
        <w:t xml:space="preserve">procedures (24%) or adjusting fee levels or structure (18%) would help most in raising</w:t>
      </w:r>
      <w:r>
        <w:t xml:space="preserve"> </w:t>
      </w:r>
      <w:r>
        <w:t xml:space="preserve">the usage of design protection.</w:t>
      </w:r>
      <w:r>
        <w:br/>
      </w:r>
      <w:r>
        <w:t xml:space="preserve">As regards repair spare parts protection, the majority of the respondents to the Public</w:t>
      </w:r>
      <w:r>
        <w:t xml:space="preserve"> </w:t>
      </w:r>
      <w:r>
        <w:t xml:space="preserve">Consultation considers that having different rules on this matter in the EU is a problem.</w:t>
      </w:r>
      <w:r>
        <w:br/>
      </w:r>
      <w:r>
        <w:t xml:space="preserve">More than 1/4 of the stakeholders (27%), mainly the representatives of independent</w:t>
      </w:r>
      <w:r>
        <w:t xml:space="preserve"> </w:t>
      </w:r>
      <w:r>
        <w:t xml:space="preserve">manufacturers and consumer associations argue that all the EU Member States should</w:t>
      </w:r>
      <w:r>
        <w:t xml:space="preserve"> </w:t>
      </w:r>
      <w:r>
        <w:t xml:space="preserve">open the market of ‘must-match’ spare parts for competition, covering both existing and</w:t>
      </w:r>
      <w:r>
        <w:t xml:space="preserve"> </w:t>
      </w:r>
      <w:r>
        <w:t xml:space="preserve">new designs. They point out that the protection of ‘must-match’ spare parts constitutes an</w:t>
      </w:r>
    </w:p>
    <w:p>
      <w:pPr>
        <w:pStyle w:val="BodyText"/>
      </w:pPr>
      <w:r>
        <w:t xml:space="preserve">157 https://eur-lex.europa.eu/legal-content/EN/TXT/?uri=CELEX%3A52020DC0760</w:t>
      </w:r>
      <w:r>
        <w:br/>
      </w:r>
      <w:r>
        <w:t xml:space="preserve">158 Inception Impact Assessment on the review of the Design Directive and Community Design Regulation</w:t>
      </w:r>
      <w:r>
        <w:t xml:space="preserve"> </w:t>
      </w:r>
      <w:r>
        <w:t xml:space="preserve">https://ec.europa.eu/docsroom/documents/43848</w:t>
      </w:r>
      <w:r>
        <w:br/>
      </w:r>
      <w:r>
        <w:t xml:space="preserve">159 Staff Working Document on the evaluation of the EU legislation on designs protection</w:t>
      </w:r>
      <w:r>
        <w:t xml:space="preserve"> </w:t>
      </w:r>
      <w:r>
        <w:t xml:space="preserve">https://ec.europa.eu/info/law/better-regulation/have-your-say/initiatives/1846-Evaluation-of-EU-</w:t>
      </w:r>
      <w:r>
        <w:t xml:space="preserve"> </w:t>
      </w:r>
      <w:r>
        <w:t xml:space="preserve">legislation-on-design-protection_en</w:t>
      </w:r>
      <w:r>
        <w:br/>
      </w:r>
      <w:r>
        <w:t xml:space="preserve">160</w:t>
      </w:r>
      <w:r>
        <w:t xml:space="preserve"> </w:t>
      </w:r>
      <w:r>
        <w:t xml:space="preserve">https://ec.europa.eu/info/law/better-regulation/have-your-say/initiatives/12609-Intellectual-property-</w:t>
      </w:r>
      <w:r>
        <w:t xml:space="preserve"> </w:t>
      </w:r>
      <w:r>
        <w:t xml:space="preserve">review-of-EU-rules-on-industrial-design-Design-Directive-/public-consultation_en</w:t>
      </w:r>
      <w:r>
        <w:t xml:space="preserve"> </w:t>
      </w:r>
      <w:r>
        <w:t xml:space="preserve">161 For greater clarity, for the calculation of the percentages and shares of stakeholders only those</w:t>
      </w:r>
      <w:r>
        <w:t xml:space="preserve"> </w:t>
      </w:r>
      <w:r>
        <w:t xml:space="preserve">respondents are taken into account, which expressed opinion on the given matter. The respondents that</w:t>
      </w:r>
      <w:r>
        <w:t xml:space="preserve"> </w:t>
      </w:r>
      <w:r>
        <w:t xml:space="preserve">chose ‘no opinion’ on the given matter are not taken into account in the calculation.</w:t>
      </w:r>
    </w:p>
    <w:p>
      <w:pPr>
        <w:pStyle w:val="BodyText"/>
      </w:pPr>
      <w:r>
        <w:t xml:space="preserve">62</w:t>
      </w:r>
      <w:r>
        <w:t xml:space="preserve"> </w:t>
      </w:r>
      <w:r>
        <w:t xml:space="preserve">abuse of design protection, gives manufacturers of complex products (in particular VMs)</w:t>
      </w:r>
      <w:r>
        <w:t xml:space="preserve"> </w:t>
      </w:r>
      <w:r>
        <w:t xml:space="preserve">an undue monopoly, eliminates competition in the spare parts aftermarket and makes it</w:t>
      </w:r>
      <w:r>
        <w:t xml:space="preserve"> </w:t>
      </w:r>
      <w:r>
        <w:t xml:space="preserve">difficult for customs to assess the infringing (or non-infringing) character of spare parts</w:t>
      </w:r>
      <w:r>
        <w:t xml:space="preserve"> </w:t>
      </w:r>
      <w:r>
        <w:t xml:space="preserve">crossing the border.</w:t>
      </w:r>
      <w:r>
        <w:br/>
      </w:r>
      <w:r>
        <w:t xml:space="preserve">Other arguments raised by stakeholders are that the lack of a repair clause: (i) makes it</w:t>
      </w:r>
      <w:r>
        <w:t xml:space="preserve"> </w:t>
      </w:r>
      <w:r>
        <w:t xml:space="preserve">difficult for companies (SMEs in particular) to operate across the internal market and</w:t>
      </w:r>
      <w:r>
        <w:t xml:space="preserve"> </w:t>
      </w:r>
      <w:r>
        <w:t xml:space="preserve">protect and enforce their IP rights across the EU; (ii) leads to serious obstacles in the free</w:t>
      </w:r>
      <w:r>
        <w:t xml:space="preserve"> </w:t>
      </w:r>
      <w:r>
        <w:t xml:space="preserve">movement of goods and (iii) involves confusion and considerable legal uncertainty both</w:t>
      </w:r>
      <w:r>
        <w:t xml:space="preserve"> </w:t>
      </w:r>
      <w:r>
        <w:t xml:space="preserve">for professionals and consumers. The stakeholders believe that the fragmentation of the</w:t>
      </w:r>
      <w:r>
        <w:t xml:space="preserve"> </w:t>
      </w:r>
      <w:r>
        <w:t xml:space="preserve">market results in: (i) unequal chances for companies, notably SMEs; (ii) different</w:t>
      </w:r>
      <w:r>
        <w:t xml:space="preserve"> </w:t>
      </w:r>
      <w:r>
        <w:t xml:space="preserve">offerings of products available to consumers across the Member States and (iii) increases</w:t>
      </w:r>
      <w:r>
        <w:t xml:space="preserve"> </w:t>
      </w:r>
      <w:r>
        <w:t xml:space="preserve">the prices of ‘must-match’ spare parts for consumers and insurance companies. They also</w:t>
      </w:r>
      <w:r>
        <w:t xml:space="preserve"> </w:t>
      </w:r>
      <w:r>
        <w:t xml:space="preserve">point out that opening the market of ‘must-match’ spare parts for competition only for</w:t>
      </w:r>
      <w:r>
        <w:t xml:space="preserve"> </w:t>
      </w:r>
      <w:r>
        <w:t xml:space="preserve">future designs would preserve the current market fragmentation and complexity for</w:t>
      </w:r>
      <w:r>
        <w:t xml:space="preserve"> </w:t>
      </w:r>
      <w:r>
        <w:t xml:space="preserve">another 25 years. These stakeholders also underline that under the current rules it is hard</w:t>
      </w:r>
      <w:r>
        <w:t xml:space="preserve"> </w:t>
      </w:r>
      <w:r>
        <w:t xml:space="preserve">to prevent infringements of design rights in Member States which have a regime to</w:t>
      </w:r>
      <w:r>
        <w:t xml:space="preserve"> </w:t>
      </w:r>
      <w:r>
        <w:t xml:space="preserve">protect spare parts. They also point out that the spare parts clause would not have any</w:t>
      </w:r>
      <w:r>
        <w:t xml:space="preserve"> </w:t>
      </w:r>
      <w:r>
        <w:t xml:space="preserve">negative impact on the safety of spare parts, because spare parts are subject to a number</w:t>
      </w:r>
      <w:r>
        <w:t xml:space="preserve"> </w:t>
      </w:r>
      <w:r>
        <w:t xml:space="preserve">of EU safety standards that apply to all producers in order to ensure identical safety</w:t>
      </w:r>
      <w:r>
        <w:t xml:space="preserve"> </w:t>
      </w:r>
      <w:r>
        <w:t xml:space="preserve">requirements.</w:t>
      </w:r>
      <w:r>
        <w:br/>
      </w:r>
      <w:r>
        <w:t xml:space="preserve">1/5 of the stakeholders (20%), including public authorities, were in favour of opening the</w:t>
      </w:r>
      <w:r>
        <w:t xml:space="preserve"> </w:t>
      </w:r>
      <w:r>
        <w:t xml:space="preserve">market of ‘must-match’ spare parts for competition, limited to new designs, thus the</w:t>
      </w:r>
      <w:r>
        <w:t xml:space="preserve"> </w:t>
      </w:r>
      <w:r>
        <w:t xml:space="preserve">repair clause should have legal effect only for the future (i.e. be applicable to designs</w:t>
      </w:r>
      <w:r>
        <w:t xml:space="preserve"> </w:t>
      </w:r>
      <w:r>
        <w:t xml:space="preserve">granted after its entry into force). They suggest the opening of the market with a</w:t>
      </w:r>
      <w:r>
        <w:t xml:space="preserve"> </w:t>
      </w:r>
      <w:r>
        <w:t xml:space="preserve">transitional period. They point out that opening the market for existing designs would</w:t>
      </w:r>
      <w:r>
        <w:t xml:space="preserve"> </w:t>
      </w:r>
      <w:r>
        <w:t xml:space="preserve">undermine legal certainty and damage businesses that developed these designs in view of</w:t>
      </w:r>
      <w:r>
        <w:t xml:space="preserve"> </w:t>
      </w:r>
      <w:r>
        <w:t xml:space="preserve">future incomes expected through the IP protection on these spare parts. Some</w:t>
      </w:r>
      <w:r>
        <w:t xml:space="preserve"> </w:t>
      </w:r>
      <w:r>
        <w:t xml:space="preserve">stakeholders point out that opening the market with retroactive effect would be contrary</w:t>
      </w:r>
      <w:r>
        <w:t xml:space="preserve"> </w:t>
      </w:r>
      <w:r>
        <w:t xml:space="preserve">to the EU Charter on Fundamental Rights and Protocol 1 of the European Convention on</w:t>
      </w:r>
      <w:r>
        <w:t xml:space="preserve"> </w:t>
      </w:r>
      <w:r>
        <w:t xml:space="preserve">Human Rights, because it would be an expropriation of the property right.</w:t>
      </w:r>
      <w:r>
        <w:br/>
      </w:r>
      <w:r>
        <w:t xml:space="preserve">Slightly less than 1/5 (18%) of the stakeholders, mainly right holders from the</w:t>
      </w:r>
      <w:r>
        <w:t xml:space="preserve"> </w:t>
      </w:r>
      <w:r>
        <w:t xml:space="preserve">automobile industry, were against the liberalisation of the market of ‘must-match’ spare</w:t>
      </w:r>
      <w:r>
        <w:t xml:space="preserve"> </w:t>
      </w:r>
      <w:r>
        <w:t xml:space="preserve">parts. They argue that the exclusion of repair spare parts from design protection is alien</w:t>
      </w:r>
      <w:r>
        <w:t xml:space="preserve"> </w:t>
      </w:r>
      <w:r>
        <w:t xml:space="preserve">to the intellectual property system and not justifiable. They emphasise that it deprives the</w:t>
      </w:r>
      <w:r>
        <w:t xml:space="preserve"> </w:t>
      </w:r>
      <w:r>
        <w:t xml:space="preserve">manufacturers of complex products (in particular cars) of a fair return on their investment</w:t>
      </w:r>
      <w:r>
        <w:t xml:space="preserve"> </w:t>
      </w:r>
      <w:r>
        <w:t xml:space="preserve">and eliminates the incentive for innovation. They argue that only right holders have the</w:t>
      </w:r>
      <w:r>
        <w:t xml:space="preserve"> </w:t>
      </w:r>
      <w:r>
        <w:t xml:space="preserve">necessary expertise and know-how to manufacture high quality, safe and functionally</w:t>
      </w:r>
      <w:r>
        <w:t xml:space="preserve"> </w:t>
      </w:r>
      <w:r>
        <w:t xml:space="preserve">adequate spare parts and that low quality spare parts (many coming from third countries</w:t>
      </w:r>
      <w:r>
        <w:t xml:space="preserve"> </w:t>
      </w:r>
      <w:r>
        <w:t xml:space="preserve">without safety standards) would harm also the reputation of the right holder and endanger</w:t>
      </w:r>
      <w:r>
        <w:t xml:space="preserve"> </w:t>
      </w:r>
      <w:r>
        <w:t xml:space="preserve">the safety of consumers.</w:t>
      </w:r>
      <w:r>
        <w:br/>
      </w:r>
      <w:r>
        <w:t xml:space="preserve">Some stakeholders, mainly from the automobile industry, call for protection for spare</w:t>
      </w:r>
      <w:r>
        <w:t xml:space="preserve"> </w:t>
      </w:r>
      <w:r>
        <w:t xml:space="preserve">parts both at EU and at national level, arguing that this would help to fight against the</w:t>
      </w:r>
      <w:r>
        <w:t xml:space="preserve"> </w:t>
      </w:r>
      <w:r>
        <w:t xml:space="preserve">inflow of low quality spare parts from third countries.</w:t>
      </w:r>
      <w:r>
        <w:br/>
      </w:r>
      <w:r>
        <w:t xml:space="preserve">As regards the scope of design protection, the results of the Public Consultation</w:t>
      </w:r>
      <w:r>
        <w:t xml:space="preserve"> </w:t>
      </w:r>
      <w:r>
        <w:t xml:space="preserve">confirms the need for clarifying that the eligible subject matter of design protection also</w:t>
      </w:r>
      <w:r>
        <w:t xml:space="preserve"> </w:t>
      </w:r>
      <w:r>
        <w:t xml:space="preserve">covers new type of (graphic) designs (notwithstanding the absence of physical</w:t>
      </w:r>
      <w:r>
        <w:t xml:space="preserve"> </w:t>
      </w:r>
      <w:r>
        <w:t xml:space="preserve">embodiment). The results show that the large majority of the stakeholders would</w:t>
      </w:r>
      <w:r>
        <w:t xml:space="preserve"> </w:t>
      </w:r>
      <w:r>
        <w:t xml:space="preserve">welcome clarifying the eligible subject matter of design protection and cover also</w:t>
      </w:r>
    </w:p>
    <w:p>
      <w:pPr>
        <w:pStyle w:val="BodyText"/>
      </w:pPr>
      <w:r>
        <w:t xml:space="preserve">63</w:t>
      </w:r>
      <w:r>
        <w:t xml:space="preserve"> </w:t>
      </w:r>
      <w:r>
        <w:t xml:space="preserve">graphical user interfaces and icons. However, 2/3 of the stakeholders is not in favour of</w:t>
      </w:r>
      <w:r>
        <w:t xml:space="preserve"> </w:t>
      </w:r>
      <w:r>
        <w:t xml:space="preserve">extending the subject of design protection beyond visually perceptible matter to include,</w:t>
      </w:r>
      <w:r>
        <w:t xml:space="preserve"> </w:t>
      </w:r>
      <w:r>
        <w:t xml:space="preserve">for example, also sound designs (jingles or voices). Most of those opposing the extension</w:t>
      </w:r>
      <w:r>
        <w:t xml:space="preserve"> </w:t>
      </w:r>
      <w:r>
        <w:t xml:space="preserve">beyond visually perceptible matter, argue that this would go against the basic concept of</w:t>
      </w:r>
      <w:r>
        <w:t xml:space="preserve"> </w:t>
      </w:r>
      <w:r>
        <w:t xml:space="preserve">design protection and would constitute a meaningful difference between the EU’s and the</w:t>
      </w:r>
      <w:r>
        <w:t xml:space="preserve"> </w:t>
      </w:r>
      <w:r>
        <w:t xml:space="preserve">International Classification for Industrial Designs under the Locarno Agreement, since</w:t>
      </w:r>
      <w:r>
        <w:t xml:space="preserve"> </w:t>
      </w:r>
      <w:r>
        <w:t xml:space="preserve">the latter does not cover these types of designs. Some stakeholders point out that these</w:t>
      </w:r>
      <w:r>
        <w:t xml:space="preserve"> </w:t>
      </w:r>
      <w:r>
        <w:t xml:space="preserve">types of designs may be protected under copyright or trade mark law and the overlap</w:t>
      </w:r>
      <w:r>
        <w:t xml:space="preserve"> </w:t>
      </w:r>
      <w:r>
        <w:t xml:space="preserve">would create legal uncertainty. A number of stakeholders consider that it is not possible</w:t>
      </w:r>
      <w:r>
        <w:t xml:space="preserve"> </w:t>
      </w:r>
      <w:r>
        <w:t xml:space="preserve">to represent the visually non-perceptible aspects of a design in the design register in a</w:t>
      </w:r>
      <w:r>
        <w:t xml:space="preserve"> </w:t>
      </w:r>
      <w:r>
        <w:t xml:space="preserve">manner that allows third parties to clearly understand the subject matter of protection.</w:t>
      </w:r>
      <w:r>
        <w:t xml:space="preserve"> </w:t>
      </w:r>
      <w:r>
        <w:t xml:space="preserve">17% of the stakeholders is in favour of extending the subject of design protection beyond</w:t>
      </w:r>
      <w:r>
        <w:t xml:space="preserve"> </w:t>
      </w:r>
      <w:r>
        <w:t xml:space="preserve">visually perceptible matter, as long as this aspect is linked to an external visual</w:t>
      </w:r>
      <w:r>
        <w:t xml:space="preserve"> </w:t>
      </w:r>
      <w:r>
        <w:t xml:space="preserve">component of the design, arguing that this extension would stimulate innovation in</w:t>
      </w:r>
      <w:r>
        <w:t xml:space="preserve"> </w:t>
      </w:r>
      <w:r>
        <w:t xml:space="preserve">certain product categories (e.g. furniture, automobile, bicycle and videogames).</w:t>
      </w:r>
      <w:r>
        <w:br/>
      </w:r>
      <w:r>
        <w:t xml:space="preserve">The stakeholders are divided as regards the introduction of a more systematic (non-</w:t>
      </w:r>
      <w:r>
        <w:t xml:space="preserve"> </w:t>
      </w:r>
      <w:r>
        <w:t xml:space="preserve">exhaustive) categorisation of design types in the EU law (30% is in favour, 32% is</w:t>
      </w:r>
      <w:r>
        <w:t xml:space="preserve"> </w:t>
      </w:r>
      <w:r>
        <w:t xml:space="preserve">against such categorisation). The categorisation could be achieved by drawing a clearer</w:t>
      </w:r>
      <w:r>
        <w:t xml:space="preserve"> </w:t>
      </w:r>
      <w:r>
        <w:t xml:space="preserve">distinction between the three principle design categories, that is graphical design (which</w:t>
      </w:r>
      <w:r>
        <w:t xml:space="preserve"> </w:t>
      </w:r>
      <w:r>
        <w:t xml:space="preserve">may include inter alia logos, graphical user interfaces, surface patterns and typographical</w:t>
      </w:r>
      <w:r>
        <w:t xml:space="preserve"> </w:t>
      </w:r>
      <w:r>
        <w:t xml:space="preserve">typefaces), design related to physical objects (which may include inter alia packaging and</w:t>
      </w:r>
      <w:r>
        <w:t xml:space="preserve"> </w:t>
      </w:r>
      <w:r>
        <w:t xml:space="preserve">sets of articles), and get-up (which may include inter alia interior design).</w:t>
      </w:r>
      <w:r>
        <w:br/>
      </w:r>
      <w:r>
        <w:t xml:space="preserve">The respondents, which are in favour of introducing a more systemic (non-exhaustive)</w:t>
      </w:r>
      <w:r>
        <w:t xml:space="preserve"> </w:t>
      </w:r>
      <w:r>
        <w:t xml:space="preserve">categorisation stress that his would create greater transparency, clarity and accessibility</w:t>
      </w:r>
      <w:r>
        <w:t xml:space="preserve"> </w:t>
      </w:r>
      <w:r>
        <w:t xml:space="preserve">of the EU legislation on designs and provide guidance to economic operators in</w:t>
      </w:r>
      <w:r>
        <w:t xml:space="preserve"> </w:t>
      </w:r>
      <w:r>
        <w:t xml:space="preserve">evaluating their chances in protecting a product with a design (e.g. optimise searches for</w:t>
      </w:r>
      <w:r>
        <w:t xml:space="preserve"> </w:t>
      </w:r>
      <w:r>
        <w:t xml:space="preserve">prior art). These stakeholders point out however that the categorisation should by no</w:t>
      </w:r>
      <w:r>
        <w:t xml:space="preserve"> </w:t>
      </w:r>
      <w:r>
        <w:t xml:space="preserve">means limit the subject matter of design protection.</w:t>
      </w:r>
      <w:r>
        <w:br/>
      </w:r>
      <w:r>
        <w:t xml:space="preserve">The respondents, which are against introducing a more systemic (non-exhaustive)</w:t>
      </w:r>
      <w:r>
        <w:t xml:space="preserve"> </w:t>
      </w:r>
      <w:r>
        <w:t xml:space="preserve">categorisation, question the necessity of such categorisation, arguing that the users of the</w:t>
      </w:r>
      <w:r>
        <w:t xml:space="preserve"> </w:t>
      </w:r>
      <w:r>
        <w:t xml:space="preserve">EU’s design system are already familiar with these categories and it would just create</w:t>
      </w:r>
      <w:r>
        <w:t xml:space="preserve"> </w:t>
      </w:r>
      <w:r>
        <w:t xml:space="preserve">uncertainty concerning the subject matter of design protection. Some stakeholders</w:t>
      </w:r>
      <w:r>
        <w:t xml:space="preserve"> </w:t>
      </w:r>
      <w:r>
        <w:t xml:space="preserve">indicate that the International Classification for Industrial Designs under the Locarno</w:t>
      </w:r>
      <w:r>
        <w:t xml:space="preserve"> </w:t>
      </w:r>
      <w:r>
        <w:t xml:space="preserve">Agreement and the European Union Intellectual Property Office’s guidelines are</w:t>
      </w:r>
      <w:r>
        <w:t xml:space="preserve"> </w:t>
      </w:r>
      <w:r>
        <w:t xml:space="preserve">sufficiently clear for the administration of designs, making the categorisation</w:t>
      </w:r>
      <w:r>
        <w:t xml:space="preserve"> </w:t>
      </w:r>
      <w:r>
        <w:t xml:space="preserve">unnecessary.</w:t>
      </w:r>
      <w:r>
        <w:br/>
      </w:r>
      <w:r>
        <w:t xml:space="preserve">As regards the definition/scope of a ‘set of articles’, the large majority of the</w:t>
      </w:r>
      <w:r>
        <w:t xml:space="preserve"> </w:t>
      </w:r>
      <w:r>
        <w:t xml:space="preserve">stakeholders agrees that these designs need to be eligible for design protection at EU</w:t>
      </w:r>
      <w:r>
        <w:t xml:space="preserve"> </w:t>
      </w:r>
      <w:r>
        <w:t xml:space="preserve">level. However, the stakeholders have diverging views concerning the definition/scope of</w:t>
      </w:r>
      <w:r>
        <w:t xml:space="preserve"> </w:t>
      </w:r>
      <w:r>
        <w:t xml:space="preserve">a ‘set of articles’. (“a ‘set of articles’ is a set of physical objects, ordinarily sold and</w:t>
      </w:r>
      <w:r>
        <w:t xml:space="preserve"> </w:t>
      </w:r>
      <w:r>
        <w:t xml:space="preserve">intended to be used together, coordinated in their overall appearance”). 52% of them do</w:t>
      </w:r>
      <w:r>
        <w:t xml:space="preserve"> </w:t>
      </w:r>
      <w:r>
        <w:t xml:space="preserve">not find the proposed definition/scope appropriate. Some stakeholders suggest that the</w:t>
      </w:r>
      <w:r>
        <w:t xml:space="preserve"> </w:t>
      </w:r>
      <w:r>
        <w:t xml:space="preserve">definition/scope should not only include physical objects but also graphical user</w:t>
      </w:r>
      <w:r>
        <w:t xml:space="preserve"> </w:t>
      </w:r>
      <w:r>
        <w:t xml:space="preserve">interfaces, icons and virtual objects (e.g. virtual chess set, emojis or symbols). Others</w:t>
      </w:r>
      <w:r>
        <w:t xml:space="preserve"> </w:t>
      </w:r>
      <w:r>
        <w:t xml:space="preserve">propose replacing the term ‘object’ with the term ‘product’, arguing that the latter has a</w:t>
      </w:r>
      <w:r>
        <w:t xml:space="preserve"> </w:t>
      </w:r>
      <w:r>
        <w:t xml:space="preserve">well-defined meaning in the EU law, covering industrial or handicraft items, whereas the</w:t>
      </w:r>
      <w:r>
        <w:t xml:space="preserve"> </w:t>
      </w:r>
      <w:r>
        <w:t xml:space="preserve">former would be new and undefined. Some stakeholders find the criteria ‘coordinated</w:t>
      </w:r>
      <w:r>
        <w:t xml:space="preserve"> </w:t>
      </w:r>
      <w:r>
        <w:t xml:space="preserve">overall appearance’ ambiguous or unnecessary. Some stakeholders find the</w:t>
      </w:r>
    </w:p>
    <w:p>
      <w:pPr>
        <w:pStyle w:val="BodyText"/>
      </w:pPr>
      <w:r>
        <w:t xml:space="preserve">64</w:t>
      </w:r>
      <w:r>
        <w:t xml:space="preserve"> </w:t>
      </w:r>
      <w:r>
        <w:t xml:space="preserve">definition/scope too narrow, because it requires the two criteria ‘ordinarily sold together’</w:t>
      </w:r>
      <w:r>
        <w:t xml:space="preserve"> </w:t>
      </w:r>
      <w:r>
        <w:t xml:space="preserve">and ‘intended to be used together’ to be fulfilled cumulatively. Some stakeholders from</w:t>
      </w:r>
      <w:r>
        <w:t xml:space="preserve"> </w:t>
      </w:r>
      <w:r>
        <w:t xml:space="preserve">the fashion industry suggest that the definition should include also ‘series of articles’,</w:t>
      </w:r>
      <w:r>
        <w:t xml:space="preserve"> </w:t>
      </w:r>
      <w:r>
        <w:t xml:space="preserve">which are articles having the same design and sold in different sizes, colours, but</w:t>
      </w:r>
      <w:r>
        <w:t xml:space="preserve"> </w:t>
      </w:r>
      <w:r>
        <w:t xml:space="preserve">associated with the same requirements and general characteristics (e.g. variations of the</w:t>
      </w:r>
      <w:r>
        <w:t xml:space="preserve"> </w:t>
      </w:r>
      <w:r>
        <w:t xml:space="preserve">same product).</w:t>
      </w:r>
      <w:r>
        <w:br/>
      </w:r>
      <w:r>
        <w:t xml:space="preserve">As regards the definition/scope of ‘get-up’, the stakeholders have diverging views, but</w:t>
      </w:r>
      <w:r>
        <w:t xml:space="preserve"> </w:t>
      </w:r>
      <w:r>
        <w:t xml:space="preserve">the large majority of them agrees that these designs, including also the arrangement of</w:t>
      </w:r>
      <w:r>
        <w:t xml:space="preserve"> </w:t>
      </w:r>
      <w:r>
        <w:t xml:space="preserve">the interior of a room, shop or restaurant in accordance with the International</w:t>
      </w:r>
      <w:r>
        <w:t xml:space="preserve"> </w:t>
      </w:r>
      <w:r>
        <w:t xml:space="preserve">Classification for Industrial Designs under the Locarno Agreement, need to be eligible</w:t>
      </w:r>
      <w:r>
        <w:t xml:space="preserve"> </w:t>
      </w:r>
      <w:r>
        <w:t xml:space="preserve">for design protection. The views are diverging concerning the way ‘get-up’ should be</w:t>
      </w:r>
      <w:r>
        <w:t xml:space="preserve"> </w:t>
      </w:r>
      <w:r>
        <w:t xml:space="preserve">formulated or referred to in the EU law. 63% of the stakeholders do not find the</w:t>
      </w:r>
      <w:r>
        <w:t xml:space="preserve"> </w:t>
      </w:r>
      <w:r>
        <w:t xml:space="preserve">definition/scope proposed in the questionnaire (“a ‘get-up’ consists of the arrangement of</w:t>
      </w:r>
      <w:r>
        <w:t xml:space="preserve"> </w:t>
      </w:r>
      <w:r>
        <w:t xml:space="preserve">separate items to form a coordinated overall appearance”) appropriate. Some</w:t>
      </w:r>
      <w:r>
        <w:t xml:space="preserve"> </w:t>
      </w:r>
      <w:r>
        <w:t xml:space="preserve">stakeholders expressed doubts about the necessity to define this concept at EU level,</w:t>
      </w:r>
      <w:r>
        <w:t xml:space="preserve"> </w:t>
      </w:r>
      <w:r>
        <w:t xml:space="preserve">indicating that this concept could be covered even without a definition (e.g. recognised in</w:t>
      </w:r>
      <w:r>
        <w:t xml:space="preserve"> </w:t>
      </w:r>
      <w:r>
        <w:t xml:space="preserve">the recital or listed among the products). Most stakeholders consider the term</w:t>
      </w:r>
      <w:r>
        <w:t xml:space="preserve"> </w:t>
      </w:r>
      <w:r>
        <w:t xml:space="preserve">‘coordinated overall appearance’ too vague and subjective that would cause legal</w:t>
      </w:r>
      <w:r>
        <w:t xml:space="preserve"> </w:t>
      </w:r>
      <w:r>
        <w:t xml:space="preserve">uncertainty. Some stakeholders point out that the term ‘get-up’ is not used in other</w:t>
      </w:r>
      <w:r>
        <w:t xml:space="preserve"> </w:t>
      </w:r>
      <w:r>
        <w:t xml:space="preserve">language versions of the Regulation and Directive (e.g. Dutch, French, German, Italian</w:t>
      </w:r>
      <w:r>
        <w:t xml:space="preserve"> </w:t>
      </w:r>
      <w:r>
        <w:t xml:space="preserve">and Spanish), therefore, for greater clarity it would be useful to add another term to it.</w:t>
      </w:r>
      <w:r>
        <w:br/>
      </w:r>
      <w:r>
        <w:t xml:space="preserve">As regards the acts done privately for non-commercial purposes (Article 20(1)(a)</w:t>
      </w:r>
      <w:r>
        <w:t xml:space="preserve"> </w:t>
      </w:r>
      <w:r>
        <w:t xml:space="preserve">CDR and Article 13(1)(a) DDir)), the large majority of stakeholders (81%) considers that</w:t>
      </w:r>
      <w:r>
        <w:t xml:space="preserve"> </w:t>
      </w:r>
      <w:r>
        <w:t xml:space="preserve">it is easy to use this limitation and the wording is considered suitable also to enable</w:t>
      </w:r>
      <w:r>
        <w:t xml:space="preserve"> </w:t>
      </w:r>
      <w:r>
        <w:t xml:space="preserve">future technological developments. A few stakeholders indicate that technological</w:t>
      </w:r>
      <w:r>
        <w:t xml:space="preserve"> </w:t>
      </w:r>
      <w:r>
        <w:t xml:space="preserve">development (e.g. 3D printing) and new social trends (e.g. influencers on social media)</w:t>
      </w:r>
      <w:r>
        <w:t xml:space="preserve"> </w:t>
      </w:r>
      <w:r>
        <w:t xml:space="preserve">make the use of this limitation difficult.</w:t>
      </w:r>
      <w:r>
        <w:br/>
      </w:r>
      <w:r>
        <w:t xml:space="preserve">The large majority of stakeholders (79%) considers the scope of this limitation in the</w:t>
      </w:r>
      <w:r>
        <w:t xml:space="preserve"> </w:t>
      </w:r>
      <w:r>
        <w:t xml:space="preserve">current law appropriate. Some stakeholders are concerned about the consequences of the</w:t>
      </w:r>
      <w:r>
        <w:t xml:space="preserve"> </w:t>
      </w:r>
      <w:r>
        <w:t xml:space="preserve">potential expansion of the scope of this limitation, in particular when considering</w:t>
      </w:r>
      <w:r>
        <w:t xml:space="preserve"> </w:t>
      </w:r>
      <w:r>
        <w:t xml:space="preserve">technological developments, such as 3D printing, emphasising that it would endanger the</w:t>
      </w:r>
      <w:r>
        <w:t xml:space="preserve"> </w:t>
      </w:r>
      <w:r>
        <w:t xml:space="preserve">balance between right holders and users and lead to the increase of infringing activities.</w:t>
      </w:r>
      <w:r>
        <w:t xml:space="preserve"> </w:t>
      </w:r>
      <w:r>
        <w:t xml:space="preserve">If 3D printing becomes more common in the future, they fear that this limitation would</w:t>
      </w:r>
      <w:r>
        <w:t xml:space="preserve"> </w:t>
      </w:r>
      <w:r>
        <w:t xml:space="preserve">lead to an immunity for 3D printing activities.</w:t>
      </w:r>
      <w:r>
        <w:br/>
      </w:r>
      <w:r>
        <w:t xml:space="preserve">As regards acts done for experimental purposes (Article 20(1)(b) and Article 13(1)(b)),</w:t>
      </w:r>
      <w:r>
        <w:t xml:space="preserve"> </w:t>
      </w:r>
      <w:r>
        <w:t xml:space="preserve">the large majority (79%) of the stakeholders considers that it is easy to use this limitation,</w:t>
      </w:r>
      <w:r>
        <w:t xml:space="preserve"> </w:t>
      </w:r>
      <w:r>
        <w:t xml:space="preserve">emphasising that the current wording enables innovation and the lack of case law</w:t>
      </w:r>
      <w:r>
        <w:t xml:space="preserve"> </w:t>
      </w:r>
      <w:r>
        <w:t xml:space="preserve">indicates that the use of this limitation is not controversial in practice. The majority of the</w:t>
      </w:r>
      <w:r>
        <w:t xml:space="preserve"> </w:t>
      </w:r>
      <w:r>
        <w:t xml:space="preserve">stakeholders (71%) considers the scope of this limitation in the current law appropriate.</w:t>
      </w:r>
      <w:r>
        <w:br/>
      </w:r>
      <w:r>
        <w:t xml:space="preserve">As regards the acts of reproduction for the purpose of making citations (Article</w:t>
      </w:r>
      <w:r>
        <w:t xml:space="preserve"> </w:t>
      </w:r>
      <w:r>
        <w:t xml:space="preserve">20(1)(c) and Article 13(1)(c)), the majority of the stakeholders (60%) consider that it is</w:t>
      </w:r>
      <w:r>
        <w:t xml:space="preserve"> </w:t>
      </w:r>
      <w:r>
        <w:t xml:space="preserve">easy to use this limitation and stresses that the low number of court cases shows that the</w:t>
      </w:r>
      <w:r>
        <w:t xml:space="preserve"> </w:t>
      </w:r>
      <w:r>
        <w:t xml:space="preserve">scope of this limitation is clear for the users. The majority of the stakeholders (73%)</w:t>
      </w:r>
      <w:r>
        <w:t xml:space="preserve"> </w:t>
      </w:r>
      <w:r>
        <w:t xml:space="preserve">considers the scope of this limitation in the current law appropriate. They consider that</w:t>
      </w:r>
      <w:r>
        <w:t xml:space="preserve"> </w:t>
      </w:r>
      <w:r>
        <w:t xml:space="preserve">the Court of Justice of the European Union in the Nintendo Case (C-24/16, C-25/16)</w:t>
      </w:r>
      <w:r>
        <w:t xml:space="preserve"> </w:t>
      </w:r>
      <w:r>
        <w:t xml:space="preserve">found the right scope for this limitation to counterbalance the far-reaching scope of</w:t>
      </w:r>
      <w:r>
        <w:t xml:space="preserve"> </w:t>
      </w:r>
      <w:r>
        <w:t xml:space="preserve">design protection. (i.e. the act of reproduction for the purpose of making citations has to</w:t>
      </w:r>
    </w:p>
    <w:p>
      <w:pPr>
        <w:pStyle w:val="BodyText"/>
      </w:pPr>
      <w:r>
        <w:t xml:space="preserve">65</w:t>
      </w:r>
      <w:r>
        <w:t xml:space="preserve"> </w:t>
      </w:r>
      <w:r>
        <w:t xml:space="preserve">be compatible with fair commercial practices, and should not give the impression of a</w:t>
      </w:r>
      <w:r>
        <w:t xml:space="preserve"> </w:t>
      </w:r>
      <w:r>
        <w:t xml:space="preserve">commercial connection between the third party and the design holder, should not take</w:t>
      </w:r>
      <w:r>
        <w:t xml:space="preserve"> </w:t>
      </w:r>
      <w:r>
        <w:t xml:space="preserve">unfair advantage of the holder’s commercial repute and should not negatively affect the</w:t>
      </w:r>
      <w:r>
        <w:t xml:space="preserve"> </w:t>
      </w:r>
      <w:r>
        <w:t xml:space="preserve">economic interests that the design holder could derive from the exploitation of its</w:t>
      </w:r>
      <w:r>
        <w:t xml:space="preserve"> </w:t>
      </w:r>
      <w:r>
        <w:t xml:space="preserve">design). Some stakeholders underline that the use of a design merely for the purpose of</w:t>
      </w:r>
      <w:r>
        <w:t xml:space="preserve"> </w:t>
      </w:r>
      <w:r>
        <w:t xml:space="preserve">decoration or ornamentation should not be covered by this limitation, but acts that fall</w:t>
      </w:r>
      <w:r>
        <w:t xml:space="preserve"> </w:t>
      </w:r>
      <w:r>
        <w:t xml:space="preserve">under a copyright exception (e.g. quotation), should not be considered an infringement</w:t>
      </w:r>
      <w:r>
        <w:t xml:space="preserve"> </w:t>
      </w:r>
      <w:r>
        <w:t xml:space="preserve">under design law either. Other stakeholders (40%), however, do not agree with the</w:t>
      </w:r>
      <w:r>
        <w:t xml:space="preserve"> </w:t>
      </w:r>
      <w:r>
        <w:t xml:space="preserve">judgement of the CJEU in the Nintendo Case and stress that it is not easy to use this</w:t>
      </w:r>
      <w:r>
        <w:t xml:space="preserve"> </w:t>
      </w:r>
      <w:r>
        <w:t xml:space="preserve">exception because the limitation has become too broad.</w:t>
      </w:r>
      <w:r>
        <w:br/>
      </w:r>
      <w:r>
        <w:t xml:space="preserve">As regards the act of reproduction for the purpose of teaching (Article 20(1)(c) and</w:t>
      </w:r>
      <w:r>
        <w:t xml:space="preserve"> </w:t>
      </w:r>
      <w:r>
        <w:t xml:space="preserve">Article 13(1)(c), the large majority of the stakeholders (93%) consider that it is easy to</w:t>
      </w:r>
      <w:r>
        <w:t xml:space="preserve"> </w:t>
      </w:r>
      <w:r>
        <w:t xml:space="preserve">use this limitation. The large majority of the stakeholders (90%) considers the scope of</w:t>
      </w:r>
      <w:r>
        <w:t xml:space="preserve"> </w:t>
      </w:r>
      <w:r>
        <w:t xml:space="preserve">this limitation in the current law appropriate.</w:t>
      </w:r>
      <w:r>
        <w:br/>
      </w:r>
      <w:r>
        <w:t xml:space="preserve">As regards complementing the catalogue of limitations by declaring the presentation of</w:t>
      </w:r>
      <w:r>
        <w:t xml:space="preserve"> </w:t>
      </w:r>
      <w:r>
        <w:t xml:space="preserve">one’s own product as an alternative or as accessory or spare part to the product of</w:t>
      </w:r>
      <w:r>
        <w:t xml:space="preserve"> </w:t>
      </w:r>
      <w:r>
        <w:t xml:space="preserve">the competitor as permissible, stakeholders have diverging views. 43% of the</w:t>
      </w:r>
      <w:r>
        <w:t xml:space="preserve"> </w:t>
      </w:r>
      <w:r>
        <w:t xml:space="preserve">stakeholders consider that the presentation of one’s own product as an alternative or as</w:t>
      </w:r>
      <w:r>
        <w:t xml:space="preserve"> </w:t>
      </w:r>
      <w:r>
        <w:t xml:space="preserve">accessory or spare part to the product of the competitor would be beneficial for the</w:t>
      </w:r>
      <w:r>
        <w:t xml:space="preserve"> </w:t>
      </w:r>
      <w:r>
        <w:t xml:space="preserve">consumers to find alternative products, accessories or spare parts for more affordable</w:t>
      </w:r>
      <w:r>
        <w:t xml:space="preserve"> </w:t>
      </w:r>
      <w:r>
        <w:t xml:space="preserve">prices. These stakeholders stress that the honest commercial practices criterion would</w:t>
      </w:r>
      <w:r>
        <w:t xml:space="preserve"> </w:t>
      </w:r>
      <w:r>
        <w:t xml:space="preserve">guarantee that the use remains within the boundaries of fair competition. 57% of the</w:t>
      </w:r>
      <w:r>
        <w:t xml:space="preserve"> </w:t>
      </w:r>
      <w:r>
        <w:t xml:space="preserve">stakeholders consider that this use should not be permissible, because it would not</w:t>
      </w:r>
      <w:r>
        <w:t xml:space="preserve"> </w:t>
      </w:r>
      <w:r>
        <w:t xml:space="preserve">comply with the honest commercial practices criterion and would lead to unfair</w:t>
      </w:r>
      <w:r>
        <w:t xml:space="preserve"> </w:t>
      </w:r>
      <w:r>
        <w:t xml:space="preserve">competition and misleading advertising or ride on the coattails of the reputation of the</w:t>
      </w:r>
      <w:r>
        <w:t xml:space="preserve"> </w:t>
      </w:r>
      <w:r>
        <w:t xml:space="preserve">design holder by suggesting a commercial connection between the two owners of the</w:t>
      </w:r>
      <w:r>
        <w:t xml:space="preserve"> </w:t>
      </w:r>
      <w:r>
        <w:t xml:space="preserve">products. These stakeholders underline that the current law allows referring to the</w:t>
      </w:r>
      <w:r>
        <w:t xml:space="preserve"> </w:t>
      </w:r>
      <w:r>
        <w:t xml:space="preserve">product of the competitor by its name or its trade mark.</w:t>
      </w:r>
      <w:r>
        <w:t xml:space="preserve"> </w:t>
      </w:r>
      <w:r>
        <w:t xml:space="preserve">As regards complementing the catalogue of limitations by declaring illustrations for</w:t>
      </w:r>
      <w:r>
        <w:t xml:space="preserve"> </w:t>
      </w:r>
      <w:r>
        <w:t xml:space="preserve">comparative advertising as permissible, stakeholders have diverging views. 56% of the</w:t>
      </w:r>
      <w:r>
        <w:t xml:space="preserve"> </w:t>
      </w:r>
      <w:r>
        <w:t xml:space="preserve">stakeholders are against declaring illustrations for comparative advertising as</w:t>
      </w:r>
      <w:r>
        <w:t xml:space="preserve"> </w:t>
      </w:r>
      <w:r>
        <w:t xml:space="preserve">permissible, claiming that it would lead to unfair competition or misleading advertising</w:t>
      </w:r>
      <w:r>
        <w:t xml:space="preserve"> </w:t>
      </w:r>
      <w:r>
        <w:t xml:space="preserve">or would allow riding on the coattails of the reputation of the design holder. 44% of the</w:t>
      </w:r>
      <w:r>
        <w:t xml:space="preserve"> </w:t>
      </w:r>
      <w:r>
        <w:t xml:space="preserve">stakeholders support declaring illustrations for comparative advertising as permissible,</w:t>
      </w:r>
      <w:r>
        <w:t xml:space="preserve"> </w:t>
      </w:r>
      <w:r>
        <w:t xml:space="preserve">underlining that it is beneficial for consumers to be able to make informed decisions</w:t>
      </w:r>
      <w:r>
        <w:t xml:space="preserve"> </w:t>
      </w:r>
      <w:r>
        <w:t xml:space="preserve">based on comparisons between equivalent products. These stakeholders also indicate that</w:t>
      </w:r>
      <w:r>
        <w:t xml:space="preserve"> </w:t>
      </w:r>
      <w:r>
        <w:t xml:space="preserve">Directive 2016/114/EC on misleading and comparative advertising allows making a</w:t>
      </w:r>
      <w:r>
        <w:t xml:space="preserve"> </w:t>
      </w:r>
      <w:r>
        <w:t xml:space="preserve">reference to the trade mark of the competitor where it complies with the conditions laid</w:t>
      </w:r>
      <w:r>
        <w:t xml:space="preserve"> </w:t>
      </w:r>
      <w:r>
        <w:t xml:space="preserve">down by this Directive, the intended aim being solely to distinguish between them and</w:t>
      </w:r>
      <w:r>
        <w:t xml:space="preserve"> </w:t>
      </w:r>
      <w:r>
        <w:t xml:space="preserve">thus to highlight differences objectively. According to these stakeholders, referring to the</w:t>
      </w:r>
      <w:r>
        <w:t xml:space="preserve"> </w:t>
      </w:r>
      <w:r>
        <w:t xml:space="preserve">design of the competitor needs to be also permissible, but the limitation is to be applied</w:t>
      </w:r>
      <w:r>
        <w:t xml:space="preserve"> </w:t>
      </w:r>
      <w:r>
        <w:t xml:space="preserve">narrowly in order to safeguard the legitimate interests of the design holder. Some</w:t>
      </w:r>
      <w:r>
        <w:t xml:space="preserve"> </w:t>
      </w:r>
      <w:r>
        <w:t xml:space="preserve">stakeholders underline that uses, which are permissible under trade mark or copyright</w:t>
      </w:r>
      <w:r>
        <w:t xml:space="preserve"> </w:t>
      </w:r>
      <w:r>
        <w:t xml:space="preserve">law, are to be permissible also under design law.</w:t>
      </w:r>
      <w:r>
        <w:br/>
      </w:r>
      <w:r>
        <w:t xml:space="preserve">As regards complementing the catalogue of limitations by declaring comment, critique</w:t>
      </w:r>
      <w:r>
        <w:t xml:space="preserve"> </w:t>
      </w:r>
      <w:r>
        <w:t xml:space="preserve">or parody as permissible, stakeholder have diverging views. 54% of the stakeholders</w:t>
      </w:r>
      <w:r>
        <w:t xml:space="preserve"> </w:t>
      </w:r>
      <w:r>
        <w:t xml:space="preserve">consider that uses, which are permissible under copyright law, are to be permissible also</w:t>
      </w:r>
      <w:r>
        <w:t xml:space="preserve"> </w:t>
      </w:r>
      <w:r>
        <w:t xml:space="preserve">under design law, in particular because of the possibility to cumulate design and</w:t>
      </w:r>
    </w:p>
    <w:p>
      <w:pPr>
        <w:pStyle w:val="BodyText"/>
      </w:pPr>
      <w:r>
        <w:t xml:space="preserve">66</w:t>
      </w:r>
      <w:r>
        <w:t xml:space="preserve"> </w:t>
      </w:r>
      <w:r>
        <w:t xml:space="preserve">copyright protection on the same product. These stakeholders emphasise that this</w:t>
      </w:r>
      <w:r>
        <w:t xml:space="preserve"> </w:t>
      </w:r>
      <w:r>
        <w:t xml:space="preserve">limitation is to be applied narrowly in order to safeguard the legitimate interests of the</w:t>
      </w:r>
      <w:r>
        <w:t xml:space="preserve"> </w:t>
      </w:r>
      <w:r>
        <w:t xml:space="preserve">design holder. 46% of the stakeholders are against declaring comment, critique or parody</w:t>
      </w:r>
      <w:r>
        <w:t xml:space="preserve"> </w:t>
      </w:r>
      <w:r>
        <w:t xml:space="preserve">as permissible, arguing that this would lead to that third parties unfairly disparage others’</w:t>
      </w:r>
      <w:r>
        <w:t xml:space="preserve"> </w:t>
      </w:r>
      <w:r>
        <w:t xml:space="preserve">designs by taking advantage of this limitation.</w:t>
      </w:r>
      <w:r>
        <w:br/>
      </w:r>
      <w:r>
        <w:t xml:space="preserve">As regards complementing the catalogue of limitations by declaring using the design to</w:t>
      </w:r>
      <w:r>
        <w:t xml:space="preserve"> </w:t>
      </w:r>
      <w:r>
        <w:t xml:space="preserve">foster innovation (e.g. creation of new designs) with help of new technologies such as</w:t>
      </w:r>
      <w:r>
        <w:t xml:space="preserve"> </w:t>
      </w:r>
      <w:r>
        <w:t xml:space="preserve">artificial intelligence (along the line of the text and data mining exception in copyright</w:t>
      </w:r>
      <w:r>
        <w:t xml:space="preserve"> </w:t>
      </w:r>
      <w:r>
        <w:t xml:space="preserve">law) as permissible, the stakeholders have diverging views. 34% of the stakeholders</w:t>
      </w:r>
      <w:r>
        <w:t xml:space="preserve"> </w:t>
      </w:r>
      <w:r>
        <w:t xml:space="preserve">support declaring the use of the design to foster innovation as permissible. Some</w:t>
      </w:r>
      <w:r>
        <w:t xml:space="preserve"> </w:t>
      </w:r>
      <w:r>
        <w:t xml:space="preserve">stakeholders underline that this limitation is not clear, would lead to legal uncertainty and</w:t>
      </w:r>
      <w:r>
        <w:t xml:space="preserve"> </w:t>
      </w:r>
      <w:r>
        <w:t xml:space="preserve">endanger the balance between design holders and users. These stakeholders emphasise</w:t>
      </w:r>
      <w:r>
        <w:t xml:space="preserve"> </w:t>
      </w:r>
      <w:r>
        <w:t xml:space="preserve">that this limitation needs to embrace new technological developments, but interpreted</w:t>
      </w:r>
      <w:r>
        <w:t xml:space="preserve"> </w:t>
      </w:r>
      <w:r>
        <w:t xml:space="preserve">narrowly, in order to ensure legal certainty for design holders and that the limitation</w:t>
      </w:r>
      <w:r>
        <w:t xml:space="preserve"> </w:t>
      </w:r>
      <w:r>
        <w:t xml:space="preserve">applies only in situations where there is a clear rationale for its use. These stakeholders</w:t>
      </w:r>
      <w:r>
        <w:t xml:space="preserve"> </w:t>
      </w:r>
      <w:r>
        <w:t xml:space="preserve">point out that before introducing this new limitation for designs developed with help of</w:t>
      </w:r>
      <w:r>
        <w:t xml:space="preserve"> </w:t>
      </w:r>
      <w:r>
        <w:t xml:space="preserve">new technologies such as artificial intelligence, there are some matters to be clarified</w:t>
      </w:r>
      <w:r>
        <w:t xml:space="preserve"> </w:t>
      </w:r>
      <w:r>
        <w:t xml:space="preserve">(e.g. who would be considered the design holder and how much human intervention is</w:t>
      </w:r>
      <w:r>
        <w:t xml:space="preserve"> </w:t>
      </w:r>
      <w:r>
        <w:t xml:space="preserve">needed in the design process to qualify for design protection). 66% of the stakeholders</w:t>
      </w:r>
      <w:r>
        <w:t xml:space="preserve"> </w:t>
      </w:r>
      <w:r>
        <w:t xml:space="preserve">are against declaring this use permissible, claiming that it would lead to unfair</w:t>
      </w:r>
      <w:r>
        <w:t xml:space="preserve"> </w:t>
      </w:r>
      <w:r>
        <w:t xml:space="preserve">competition.</w:t>
      </w:r>
      <w:r>
        <w:br/>
      </w:r>
      <w:r>
        <w:t xml:space="preserve">As regards the question whether or not there is an overlap between copyright and</w:t>
      </w:r>
      <w:r>
        <w:t xml:space="preserve"> </w:t>
      </w:r>
      <w:r>
        <w:t xml:space="preserve">design protection, which make the choice difficult, the stakeholders’ views are</w:t>
      </w:r>
      <w:r>
        <w:t xml:space="preserve"> </w:t>
      </w:r>
      <w:r>
        <w:t xml:space="preserve">diverging, slightly more stakeholders considering that the overlap does not make the</w:t>
      </w:r>
      <w:r>
        <w:t xml:space="preserve"> </w:t>
      </w:r>
      <w:r>
        <w:t xml:space="preserve">choice difficult. The large majority of stakeholders agree that the ‘principle of</w:t>
      </w:r>
      <w:r>
        <w:t xml:space="preserve"> </w:t>
      </w:r>
      <w:r>
        <w:t xml:space="preserve">cumulation’ laid down in the DDir (Article 17) and in the CDR (Article 96(2)) is key for</w:t>
      </w:r>
      <w:r>
        <w:t xml:space="preserve"> </w:t>
      </w:r>
      <w:r>
        <w:t xml:space="preserve">most design-intensive sectors. Based on this rule a design can be protected by both</w:t>
      </w:r>
      <w:r>
        <w:t xml:space="preserve"> </w:t>
      </w:r>
      <w:r>
        <w:t xml:space="preserve">design and copyright law, provided that protection requirements are fulfilled for both of</w:t>
      </w:r>
      <w:r>
        <w:t xml:space="preserve"> </w:t>
      </w:r>
      <w:r>
        <w:t xml:space="preserve">these rights.</w:t>
      </w:r>
      <w:r>
        <w:br/>
      </w:r>
      <w:r>
        <w:t xml:space="preserve">Almost 1/2 of the stakeholders consider that the relationship between copyright and</w:t>
      </w:r>
      <w:r>
        <w:t xml:space="preserve"> </w:t>
      </w:r>
      <w:r>
        <w:t xml:space="preserve">design law is unclear and this could potentially lead to less reliance on design protection</w:t>
      </w:r>
      <w:r>
        <w:t xml:space="preserve"> </w:t>
      </w:r>
      <w:r>
        <w:t xml:space="preserve">or to the circumvention of one IP right by the other. They argue that copyright is more</w:t>
      </w:r>
      <w:r>
        <w:t xml:space="preserve"> </w:t>
      </w:r>
      <w:r>
        <w:t xml:space="preserve">advantageous, because it is cheaper and provides a longer protection. Some stakeholders</w:t>
      </w:r>
      <w:r>
        <w:t xml:space="preserve"> </w:t>
      </w:r>
      <w:r>
        <w:t xml:space="preserve">express concerns that a possible liberalisation of the spare parts market could be</w:t>
      </w:r>
      <w:r>
        <w:t xml:space="preserve"> </w:t>
      </w:r>
      <w:r>
        <w:t xml:space="preserve">undermined by copyright in situations when the spare part is eligible for copyright</w:t>
      </w:r>
      <w:r>
        <w:t xml:space="preserve"> </w:t>
      </w:r>
      <w:r>
        <w:t xml:space="preserve">protection.</w:t>
      </w:r>
      <w:r>
        <w:br/>
      </w:r>
      <w:r>
        <w:t xml:space="preserve">Slightly more than 1/2 of the stakeholders do not find the choice between the two</w:t>
      </w:r>
      <w:r>
        <w:t xml:space="preserve"> </w:t>
      </w:r>
      <w:r>
        <w:t xml:space="preserve">regimes difficult, emphasising that the recent case law of the CJEU (see in particular</w:t>
      </w:r>
      <w:r>
        <w:t xml:space="preserve"> </w:t>
      </w:r>
      <w:r>
        <w:t xml:space="preserve">Flos162, Cofemel163, and Brompton164) has harmonised the notion of ‘work’ and thus</w:t>
      </w:r>
    </w:p>
    <w:p>
      <w:pPr>
        <w:pStyle w:val="BodyText"/>
      </w:pPr>
      <w:r>
        <w:t xml:space="preserve">162 Judgment of the Court, 27.1.2011, Flos, C-168/09, ECLI:EU:C:2011:29. The CJEU clarified that</w:t>
      </w:r>
      <w:r>
        <w:t xml:space="preserve"> </w:t>
      </w:r>
      <w:r>
        <w:t xml:space="preserve">Member States cannot exclude copyright protection for designs, triggering changes in some national law,</w:t>
      </w:r>
      <w:r>
        <w:t xml:space="preserve"> </w:t>
      </w:r>
      <w:r>
        <w:t xml:space="preserve">widening the copyright protection for works of applied art, and the possible overlap with design law.</w:t>
      </w:r>
      <w:r>
        <w:t xml:space="preserve"> </w:t>
      </w:r>
      <w:r>
        <w:t xml:space="preserve">163 Judgment of the Court, 12.9.2019, Cofemel, C-683/17, ECLI:EU:C:2019:721, concerning copyright</w:t>
      </w:r>
      <w:r>
        <w:t xml:space="preserve"> </w:t>
      </w:r>
      <w:r>
        <w:t xml:space="preserve">protection of applied arts (interior design), which appears to be an important area of interaction between</w:t>
      </w:r>
      <w:r>
        <w:t xml:space="preserve"> </w:t>
      </w:r>
      <w:r>
        <w:t xml:space="preserve">copyright and design law. Building on the respective objectives and rules of design and copyright law, the</w:t>
      </w:r>
      <w:r>
        <w:t xml:space="preserve"> </w:t>
      </w:r>
      <w:r>
        <w:t xml:space="preserve">CJEU concluded that cumulation of protection may only “be envisaged in certain situations” (point 52),</w:t>
      </w:r>
      <w:r>
        <w:t xml:space="preserve"> </w:t>
      </w:r>
      <w:r>
        <w:t xml:space="preserve">i.e. when a design meets the copyright protection requirements, taking into account that aesthetic effect</w:t>
      </w:r>
    </w:p>
    <w:p>
      <w:pPr>
        <w:pStyle w:val="BodyText"/>
      </w:pPr>
      <w:r>
        <w:t xml:space="preserve">67</w:t>
      </w:r>
      <w:r>
        <w:t xml:space="preserve"> </w:t>
      </w:r>
      <w:r>
        <w:t xml:space="preserve">helped clarify the relationship between copyright and design law. These stakeholders</w:t>
      </w:r>
      <w:r>
        <w:t xml:space="preserve"> </w:t>
      </w:r>
      <w:r>
        <w:t xml:space="preserve">stress that the ‘notion of work’ is an autonomous concept of EU law that needs to be</w:t>
      </w:r>
      <w:r>
        <w:t xml:space="preserve"> </w:t>
      </w:r>
      <w:r>
        <w:t xml:space="preserve">interpreted and applied uniformly.</w:t>
      </w:r>
      <w:r>
        <w:br/>
      </w:r>
      <w:r>
        <w:t xml:space="preserve">Almost 2/3 of the stakeholders (63%) do not consider the concern serious that in view of</w:t>
      </w:r>
      <w:r>
        <w:t xml:space="preserve"> </w:t>
      </w:r>
      <w:r>
        <w:t xml:space="preserve">the conditions for granting copyright protection, potential right holders opt for copyright</w:t>
      </w:r>
      <w:r>
        <w:t xml:space="preserve"> </w:t>
      </w:r>
      <w:r>
        <w:t xml:space="preserve">protection instead of design protection, to such a degree that the special design regime</w:t>
      </w:r>
      <w:r>
        <w:t xml:space="preserve"> </w:t>
      </w:r>
      <w:r>
        <w:t xml:space="preserve">created for designers and design-oriented industries runs void. These stakeholders</w:t>
      </w:r>
      <w:r>
        <w:t xml:space="preserve"> </w:t>
      </w:r>
      <w:r>
        <w:t xml:space="preserve">underline that the two regimes pursue different objectives and have different eligibility</w:t>
      </w:r>
      <w:r>
        <w:t xml:space="preserve"> </w:t>
      </w:r>
      <w:r>
        <w:t xml:space="preserve">criteria and stress that the design protection has certain advantages, in particular, the</w:t>
      </w:r>
      <w:r>
        <w:t xml:space="preserve"> </w:t>
      </w:r>
      <w:r>
        <w:t xml:space="preserve">benefits of registered protection (e.g. absolute protection, clarity regarding priority date</w:t>
      </w:r>
      <w:r>
        <w:t xml:space="preserve"> </w:t>
      </w:r>
      <w:r>
        <w:t xml:space="preserve">and ownership, burden of proof, public notice of rights, searchability, potential to assert</w:t>
      </w:r>
      <w:r>
        <w:t xml:space="preserve"> </w:t>
      </w:r>
      <w:r>
        <w:t xml:space="preserve">rights through registration and enforceability) that outweighs copyright protection,</w:t>
      </w:r>
      <w:r>
        <w:t xml:space="preserve"> </w:t>
      </w:r>
      <w:r>
        <w:t xml:space="preserve">therefore, many industries rely on design protection even when their products are eligible</w:t>
      </w:r>
      <w:r>
        <w:t xml:space="preserve"> </w:t>
      </w:r>
      <w:r>
        <w:t xml:space="preserve">for copyright protection.</w:t>
      </w:r>
      <w:r>
        <w:t xml:space="preserve"> </w:t>
      </w:r>
      <w:r>
        <w:t xml:space="preserve">Around 2/3 of the stakeholders do not consider the concern serious that the conditions for</w:t>
      </w:r>
      <w:r>
        <w:t xml:space="preserve"> </w:t>
      </w:r>
      <w:r>
        <w:t xml:space="preserve">granting copyright protection in addition to design protection lead to overreach of</w:t>
      </w:r>
      <w:r>
        <w:t xml:space="preserve"> </w:t>
      </w:r>
      <w:r>
        <w:t xml:space="preserve">protection and distortion of competition (in particular by allowing overlap of protection</w:t>
      </w:r>
      <w:r>
        <w:t xml:space="preserve"> </w:t>
      </w:r>
      <w:r>
        <w:t xml:space="preserve">beyond the 25 years’ maximum term of design protection).</w:t>
      </w:r>
      <w:r>
        <w:br/>
      </w:r>
      <w:r>
        <w:t xml:space="preserve">Almost 2/3 of the stakeholders consider that there should be changes to the current</w:t>
      </w:r>
      <w:r>
        <w:t xml:space="preserve"> </w:t>
      </w:r>
      <w:r>
        <w:t xml:space="preserve">rules in the EU on the relationship between design and copyright protection. The</w:t>
      </w:r>
      <w:r>
        <w:t xml:space="preserve"> </w:t>
      </w:r>
      <w:r>
        <w:t xml:space="preserve">views of the stakeholders are diverging concerning the necessary change. Most</w:t>
      </w:r>
      <w:r>
        <w:t xml:space="preserve"> </w:t>
      </w:r>
      <w:r>
        <w:t xml:space="preserve">stakeholders that support to change the current rules (26%) consider that it is necessary to</w:t>
      </w:r>
      <w:r>
        <w:t xml:space="preserve"> </w:t>
      </w:r>
      <w:r>
        <w:t xml:space="preserve">remove the margin of discretion for Member States to determine the conditions for</w:t>
      </w:r>
      <w:r>
        <w:t xml:space="preserve"> </w:t>
      </w:r>
      <w:r>
        <w:t xml:space="preserve">copyright protection, because the notion of ‘work’ has recently been harmonised by the</w:t>
      </w:r>
      <w:r>
        <w:t xml:space="preserve"> </w:t>
      </w:r>
      <w:r>
        <w:t xml:space="preserve">case law of the CJEU. The Court of Justice of the European Union (CJEU) found that the</w:t>
      </w:r>
      <w:r>
        <w:t xml:space="preserve"> </w:t>
      </w:r>
      <w:r>
        <w:t xml:space="preserve">‘notion of work’ is an autonomous concept of EU law that needs to be interpreted and</w:t>
      </w:r>
      <w:r>
        <w:t xml:space="preserve"> </w:t>
      </w:r>
      <w:r>
        <w:t xml:space="preserve">applied uniformly and this puts into question whether the margin of manoeuvre currently</w:t>
      </w:r>
      <w:r>
        <w:t xml:space="preserve"> </w:t>
      </w:r>
      <w:r>
        <w:t xml:space="preserve">left to the Member States remains justified. Consequently, many stakeholders raise that</w:t>
      </w:r>
      <w:r>
        <w:t xml:space="preserve"> </w:t>
      </w:r>
      <w:r>
        <w:t xml:space="preserve">the provision in the Directive (second sentence in Article 17) which lays down that</w:t>
      </w:r>
      <w:r>
        <w:t xml:space="preserve"> </w:t>
      </w:r>
      <w:r>
        <w:t xml:space="preserve">Member States set the conditions under which such protection is granted, including the</w:t>
      </w:r>
      <w:r>
        <w:t xml:space="preserve"> </w:t>
      </w:r>
      <w:r>
        <w:t xml:space="preserve">level of originality required, no longer appears justified.</w:t>
      </w:r>
      <w:r>
        <w:br/>
      </w:r>
      <w:r>
        <w:t xml:space="preserve">Some stakeholders (13%) consider that it would be necessary to adopt guidelines</w:t>
      </w:r>
      <w:r>
        <w:t xml:space="preserve"> </w:t>
      </w:r>
      <w:r>
        <w:t xml:space="preserve">clarifying relevant case law of the CJEU, emphasising that the guidelines would create</w:t>
      </w:r>
      <w:r>
        <w:t xml:space="preserve"> </w:t>
      </w:r>
      <w:r>
        <w:t xml:space="preserve">clarity about the EU legal framework, reduce divergences between the national case</w:t>
      </w:r>
      <w:r>
        <w:t xml:space="preserve"> </w:t>
      </w:r>
      <w:r>
        <w:t xml:space="preserve">laws, thus increasing the predictability of court decisions.</w:t>
      </w:r>
      <w:r>
        <w:br/>
      </w:r>
      <w:r>
        <w:t xml:space="preserve">Almost 1/4 of the stakeholders (24%) consider that it would be necessary to set in the EU</w:t>
      </w:r>
      <w:r>
        <w:t xml:space="preserve"> </w:t>
      </w:r>
      <w:r>
        <w:t xml:space="preserve">law the specific standards under which designs can be protected by copyright law to</w:t>
      </w:r>
      <w:r>
        <w:t xml:space="preserve"> </w:t>
      </w:r>
      <w:r>
        <w:t xml:space="preserve">create absolute certainty, whereas others are against amending copyright concepts</w:t>
      </w:r>
      <w:r>
        <w:t xml:space="preserve"> </w:t>
      </w:r>
      <w:r>
        <w:t xml:space="preserve">through design law.</w:t>
      </w:r>
    </w:p>
    <w:p>
      <w:pPr>
        <w:pStyle w:val="BodyText"/>
      </w:pPr>
      <w:r>
        <w:t xml:space="preserve">does not equal originality. The criterion of the author’s own intellectual creation remains the criterion to be</w:t>
      </w:r>
      <w:r>
        <w:t xml:space="preserve"> </w:t>
      </w:r>
      <w:r>
        <w:t xml:space="preserve">taken into account.</w:t>
      </w:r>
      <w:r>
        <w:t xml:space="preserve"> </w:t>
      </w:r>
      <w:r>
        <w:t xml:space="preserve">164 Judgment of the Court, 11.6.2020, Brompton Bicycle, C-833/18, ECLI:EU:C:2020:461. In this case, the</w:t>
      </w:r>
      <w:r>
        <w:t xml:space="preserve"> </w:t>
      </w:r>
      <w:r>
        <w:t xml:space="preserve">Court concluded that a product whose shape is, at least in part, necessary to obtain a technical result, can</w:t>
      </w:r>
      <w:r>
        <w:t xml:space="preserve"> </w:t>
      </w:r>
      <w:r>
        <w:t xml:space="preserve">receive copyright protection where that product is an original work resulting from intellectual creation,</w:t>
      </w:r>
      <w:r>
        <w:t xml:space="preserve"> </w:t>
      </w:r>
      <w:r>
        <w:t xml:space="preserve">meaning that through that shape, its author expresses his creative ability in an original manner by making</w:t>
      </w:r>
      <w:r>
        <w:t xml:space="preserve"> </w:t>
      </w:r>
      <w:r>
        <w:t xml:space="preserve">free and creative choices in such a way that that shape reflects his personality.</w:t>
      </w:r>
    </w:p>
    <w:p>
      <w:pPr>
        <w:pStyle w:val="BodyText"/>
      </w:pPr>
      <w:r>
        <w:t xml:space="preserve">68</w:t>
      </w:r>
      <w:r>
        <w:t xml:space="preserve"> </w:t>
      </w:r>
      <w:r>
        <w:t xml:space="preserve">The majority of stakeholders (71%) never or rarely register the same design as national</w:t>
      </w:r>
      <w:r>
        <w:t xml:space="preserve"> </w:t>
      </w:r>
      <w:r>
        <w:t xml:space="preserve">design in various Member States. The main reason for this mentioned by many</w:t>
      </w:r>
      <w:r>
        <w:t xml:space="preserve"> </w:t>
      </w:r>
      <w:r>
        <w:t xml:space="preserve">stakeholders is that it increases costs while offering more limited protection than a</w:t>
      </w:r>
      <w:r>
        <w:t xml:space="preserve"> </w:t>
      </w:r>
      <w:r>
        <w:t xml:space="preserve">Community design, which offers EU-wide protection at a relatively low cost.</w:t>
      </w:r>
      <w:r>
        <w:br/>
      </w:r>
      <w:r>
        <w:t xml:space="preserve">However, some stakeholders mention certain circumstances under which it is</w:t>
      </w:r>
      <w:r>
        <w:t xml:space="preserve"> </w:t>
      </w:r>
      <w:r>
        <w:t xml:space="preserve">advantageous to register the same design as national design in various Member States. In</w:t>
      </w:r>
      <w:r>
        <w:t xml:space="preserve"> </w:t>
      </w:r>
      <w:r>
        <w:t xml:space="preserve">certain situations, it is cheaper and more practical to register the design as national</w:t>
      </w:r>
      <w:r>
        <w:t xml:space="preserve"> </w:t>
      </w:r>
      <w:r>
        <w:t xml:space="preserve">designs instead of a Community design. Where, for multiple-design applications, the</w:t>
      </w:r>
      <w:r>
        <w:t xml:space="preserve"> </w:t>
      </w:r>
      <w:r>
        <w:t xml:space="preserve">designs are not in the same Locarno class, some national design registries allow (unlike</w:t>
      </w:r>
      <w:r>
        <w:t xml:space="preserve"> </w:t>
      </w:r>
      <w:r>
        <w:t xml:space="preserve">the EUIPO) such designs to be combined into a single application, thus making the</w:t>
      </w:r>
      <w:r>
        <w:t xml:space="preserve"> </w:t>
      </w:r>
      <w:r>
        <w:t xml:space="preserve">application process cheaper. In certain situations, where the protection through a</w:t>
      </w:r>
      <w:r>
        <w:t xml:space="preserve"> </w:t>
      </w:r>
      <w:r>
        <w:t xml:space="preserve">Community design is not possible due to national obstacles in certain Member States, the</w:t>
      </w:r>
      <w:r>
        <w:t xml:space="preserve"> </w:t>
      </w:r>
      <w:r>
        <w:t xml:space="preserve">option is used to register the same design in various Member States.</w:t>
      </w:r>
      <w:r>
        <w:br/>
      </w:r>
      <w:r>
        <w:t xml:space="preserve">Another reason to opt for national design protection is, for instance, to make the design</w:t>
      </w:r>
      <w:r>
        <w:t xml:space="preserve"> </w:t>
      </w:r>
      <w:r>
        <w:t xml:space="preserve">harder to invalidate in strategic markets (since it is easier to pursue an application for</w:t>
      </w:r>
      <w:r>
        <w:t xml:space="preserve"> </w:t>
      </w:r>
      <w:r>
        <w:t xml:space="preserve">invalidity before the EUIPO than it is before certain national IP offices or courts in the</w:t>
      </w:r>
      <w:r>
        <w:t xml:space="preserve"> </w:t>
      </w:r>
      <w:r>
        <w:t xml:space="preserve">case of a national design application).</w:t>
      </w:r>
      <w:r>
        <w:br/>
      </w:r>
      <w:r>
        <w:t xml:space="preserve">Some stakeholders stress that since it is not possible to protect spare parts at EU level</w:t>
      </w:r>
      <w:r>
        <w:t xml:space="preserve"> </w:t>
      </w:r>
      <w:r>
        <w:t xml:space="preserve">with a Community design, registering the relevant designs in various Member States may</w:t>
      </w:r>
      <w:r>
        <w:t xml:space="preserve"> </w:t>
      </w:r>
      <w:r>
        <w:t xml:space="preserve">be a reasonable business decision.</w:t>
      </w:r>
      <w:r>
        <w:br/>
      </w:r>
      <w:r>
        <w:t xml:space="preserve">The majority of stakeholders (73%) never or rarely register the same design as national</w:t>
      </w:r>
      <w:r>
        <w:t xml:space="preserve"> </w:t>
      </w:r>
      <w:r>
        <w:t xml:space="preserve">design first and subsequently also as registered Community design based on</w:t>
      </w:r>
      <w:r>
        <w:t xml:space="preserve"> </w:t>
      </w:r>
      <w:r>
        <w:t xml:space="preserve">convention priority. Some stakeholders indicate that in some situations it is useful to</w:t>
      </w:r>
      <w:r>
        <w:t xml:space="preserve"> </w:t>
      </w:r>
      <w:r>
        <w:t xml:space="preserve">register a design first at national level. When the applicant does not know with certainty</w:t>
      </w:r>
      <w:r>
        <w:t xml:space="preserve"> </w:t>
      </w:r>
      <w:r>
        <w:t xml:space="preserve">the market potential of its product, it may be reasonable to register the design as national</w:t>
      </w:r>
      <w:r>
        <w:t xml:space="preserve"> </w:t>
      </w:r>
      <w:r>
        <w:t xml:space="preserve">design first and subsequently, within the priority or grace period, if the product proved</w:t>
      </w:r>
      <w:r>
        <w:t xml:space="preserve"> </w:t>
      </w:r>
      <w:r>
        <w:t xml:space="preserve">successful and the design holder wants to expand the business to other markets, also as</w:t>
      </w:r>
      <w:r>
        <w:t xml:space="preserve"> </w:t>
      </w:r>
      <w:r>
        <w:t xml:space="preserve">registered Community design.</w:t>
      </w:r>
      <w:r>
        <w:br/>
      </w:r>
      <w:r>
        <w:t xml:space="preserve">Some stakeholders indicate that in order to ensure a priority right for a multiple</w:t>
      </w:r>
      <w:r>
        <w:t xml:space="preserve"> </w:t>
      </w:r>
      <w:r>
        <w:t xml:space="preserve">application, it is practical to file a national application first and then register a multiple</w:t>
      </w:r>
      <w:r>
        <w:t xml:space="preserve"> </w:t>
      </w:r>
      <w:r>
        <w:t xml:space="preserve">application for Community design for only a selection of the designs.</w:t>
      </w:r>
      <w:r>
        <w:t xml:space="preserve"> </w:t>
      </w:r>
      <w:r>
        <w:t xml:space="preserve">Stakeholders are divided concerning the need for changing the current rules on</w:t>
      </w:r>
      <w:r>
        <w:t xml:space="preserve"> </w:t>
      </w:r>
      <w:r>
        <w:t xml:space="preserve">exhibition priority, with slightly more (49%) being in favour of a legislative change.</w:t>
      </w:r>
      <w:r>
        <w:t xml:space="preserve"> </w:t>
      </w:r>
      <w:r>
        <w:t xml:space="preserve">This right has the effect that the date on which the design was displayed at an officially</w:t>
      </w:r>
      <w:r>
        <w:t xml:space="preserve"> </w:t>
      </w:r>
      <w:r>
        <w:t xml:space="preserve">recognised exhibition will count as the date of filing of the design application for the</w:t>
      </w:r>
      <w:r>
        <w:t xml:space="preserve"> </w:t>
      </w:r>
      <w:r>
        <w:t xml:space="preserve">purposes of establishing which rights take precedence. For Community designs this right</w:t>
      </w:r>
      <w:r>
        <w:t xml:space="preserve"> </w:t>
      </w:r>
      <w:r>
        <w:t xml:space="preserve">is essentially limited to world exhibitions and does not cover display at other, national or</w:t>
      </w:r>
      <w:r>
        <w:t xml:space="preserve"> </w:t>
      </w:r>
      <w:r>
        <w:t xml:space="preserve">international, exhibitions. Given the paucity of world exhibitions, and the fact that such</w:t>
      </w:r>
      <w:r>
        <w:t xml:space="preserve"> </w:t>
      </w:r>
      <w:r>
        <w:t xml:space="preserve">exhibitions do not involve business-to-business exchange, this limitation is criticised by</w:t>
      </w:r>
      <w:r>
        <w:t xml:space="preserve"> </w:t>
      </w:r>
      <w:r>
        <w:t xml:space="preserve">quite a number of stakeholders representing mainly the exhibition industries, which calls</w:t>
      </w:r>
      <w:r>
        <w:t xml:space="preserve"> </w:t>
      </w:r>
      <w:r>
        <w:t xml:space="preserve">for aligning the Community design regime with broader national standards accepting</w:t>
      </w:r>
      <w:r>
        <w:t xml:space="preserve"> </w:t>
      </w:r>
      <w:r>
        <w:t xml:space="preserve">exhibition certificates from other trade fairs. They suggest that a selected list of</w:t>
      </w:r>
      <w:r>
        <w:t xml:space="preserve"> </w:t>
      </w:r>
      <w:r>
        <w:t xml:space="preserve">recognised exhibitions could be established along with strictly codified procedures and</w:t>
      </w:r>
      <w:r>
        <w:t xml:space="preserve"> </w:t>
      </w:r>
      <w:r>
        <w:t xml:space="preserve">documents that the exhibition authorities should release for the purpose of claiming</w:t>
      </w:r>
      <w:r>
        <w:t xml:space="preserve"> </w:t>
      </w:r>
      <w:r>
        <w:t xml:space="preserve">priority. The exhibition industry suggests that the reference in the Community Design</w:t>
      </w:r>
      <w:r>
        <w:t xml:space="preserve"> </w:t>
      </w:r>
      <w:r>
        <w:t xml:space="preserve">Regulation to the Convention on International Exhibitions (signed in Paris on 22</w:t>
      </w:r>
    </w:p>
    <w:p>
      <w:pPr>
        <w:pStyle w:val="BodyText"/>
      </w:pPr>
      <w:r>
        <w:t xml:space="preserve">69</w:t>
      </w:r>
      <w:r>
        <w:t xml:space="preserve"> </w:t>
      </w:r>
      <w:r>
        <w:t xml:space="preserve">November 1928 and last revised on 30 November 1972) should be replaced by the</w:t>
      </w:r>
      <w:r>
        <w:t xml:space="preserve"> </w:t>
      </w:r>
      <w:r>
        <w:t xml:space="preserve">requirement of international status of the trade fairs used by the Union of International</w:t>
      </w:r>
      <w:r>
        <w:t xml:space="preserve"> </w:t>
      </w:r>
      <w:r>
        <w:t xml:space="preserve">Fairs (UFI)165.</w:t>
      </w:r>
      <w:r>
        <w:t xml:space="preserve"> </w:t>
      </w:r>
      <w:r>
        <w:t xml:space="preserve">The stakeholders, furthermore, considered the lack of harmonisation of priority</w:t>
      </w:r>
      <w:r>
        <w:t xml:space="preserve"> </w:t>
      </w:r>
      <w:r>
        <w:t xml:space="preserve">certificates issued by trade fair organisers as a problem that negatively influences the</w:t>
      </w:r>
      <w:r>
        <w:t xml:space="preserve"> </w:t>
      </w:r>
      <w:r>
        <w:t xml:space="preserve">complementarity and interoperability between the Community and national design</w:t>
      </w:r>
      <w:r>
        <w:t xml:space="preserve"> </w:t>
      </w:r>
      <w:r>
        <w:t xml:space="preserve">systems. Quite a number of stakeholders criticised also the diverging national rules</w:t>
      </w:r>
      <w:r>
        <w:t xml:space="preserve"> </w:t>
      </w:r>
      <w:r>
        <w:t xml:space="preserve">concerning the list of exhibitions that are accepted to claim exhibition priority and called</w:t>
      </w:r>
      <w:r>
        <w:t xml:space="preserve"> </w:t>
      </w:r>
      <w:r>
        <w:t xml:space="preserve">for harmonising the national rules and broadening the list of trade fairs that are accepted.</w:t>
      </w:r>
      <w:r>
        <w:br/>
      </w:r>
      <w:r>
        <w:t xml:space="preserve">Quite a number of stakeholders (39%), however, are against changing the rules on the</w:t>
      </w:r>
      <w:r>
        <w:t xml:space="preserve"> </w:t>
      </w:r>
      <w:r>
        <w:t xml:space="preserve">exhibition priority, emphasising that the requirements set by Convention on International</w:t>
      </w:r>
      <w:r>
        <w:t xml:space="preserve"> </w:t>
      </w:r>
      <w:r>
        <w:t xml:space="preserve">Exhibitions guarantee the necessary authenticity and seriousness of the priority claimed.</w:t>
      </w:r>
      <w:r>
        <w:t xml:space="preserve"> </w:t>
      </w:r>
      <w:r>
        <w:t xml:space="preserve">These stakeholders stress that considering the low number of exhibition priority claims</w:t>
      </w:r>
      <w:r>
        <w:t xml:space="preserve"> </w:t>
      </w:r>
      <w:r>
        <w:t xml:space="preserve">and that the Design Law Treaty also limits the exhibition priority to official or officially</w:t>
      </w:r>
      <w:r>
        <w:t xml:space="preserve"> </w:t>
      </w:r>
      <w:r>
        <w:t xml:space="preserve">recognised international exhibitions, it would not be practical to change the current rules.</w:t>
      </w:r>
      <w:r>
        <w:br/>
      </w:r>
      <w:r>
        <w:t xml:space="preserve">In contrast to the EUIPO and the vast majority of national industrial property offices, the</w:t>
      </w:r>
      <w:r>
        <w:t xml:space="preserve"> </w:t>
      </w:r>
      <w:r>
        <w:t xml:space="preserve">industrial property offices of five Member States still carry out ex officio examination of</w:t>
      </w:r>
      <w:r>
        <w:t xml:space="preserve"> </w:t>
      </w:r>
      <w:r>
        <w:t xml:space="preserve">prior art for the purposes of establishing novelty of a design applied for registration. The</w:t>
      </w:r>
      <w:r>
        <w:t xml:space="preserve"> </w:t>
      </w:r>
      <w:r>
        <w:t xml:space="preserve">stakeholders express diverging views on this matter. Quite a number of stakeholders</w:t>
      </w:r>
      <w:r>
        <w:t xml:space="preserve"> </w:t>
      </w:r>
      <w:r>
        <w:t xml:space="preserve">(38%) consider that Member States should remain free to examine novelty of a design,</w:t>
      </w:r>
      <w:r>
        <w:t xml:space="preserve"> </w:t>
      </w:r>
      <w:r>
        <w:t xml:space="preserve">because the ex officio examination of prior art has a number of benefits. They consider</w:t>
      </w:r>
      <w:r>
        <w:t xml:space="preserve"> </w:t>
      </w:r>
      <w:r>
        <w:t xml:space="preserve">that ex officio examination increases the legal certainty over the validity of the design for</w:t>
      </w:r>
      <w:r>
        <w:t xml:space="preserve"> </w:t>
      </w:r>
      <w:r>
        <w:t xml:space="preserve">the applicant since it provides a first filter for registering manifestly invalid design rights.</w:t>
      </w:r>
      <w:r>
        <w:t xml:space="preserve"> </w:t>
      </w:r>
      <w:r>
        <w:t xml:space="preserve">For these reasons, several stakeholders consider that ex officio examination of prior art</w:t>
      </w:r>
      <w:r>
        <w:t xml:space="preserve"> </w:t>
      </w:r>
      <w:r>
        <w:t xml:space="preserve">should be introduced both at EU and national level.</w:t>
      </w:r>
      <w:r>
        <w:t xml:space="preserve"> </w:t>
      </w:r>
      <w:r>
        <w:t xml:space="preserve">Quite a number of the stakeholders (28%) however consider that Member States should</w:t>
      </w:r>
      <w:r>
        <w:t xml:space="preserve"> </w:t>
      </w:r>
      <w:r>
        <w:t xml:space="preserve">not be allowed to do so any more in alignment with the Community design system,</w:t>
      </w:r>
      <w:r>
        <w:t xml:space="preserve"> </w:t>
      </w:r>
      <w:r>
        <w:t xml:space="preserve">because the different practices fragment the EU market, the ex officio examination</w:t>
      </w:r>
      <w:r>
        <w:t xml:space="preserve"> </w:t>
      </w:r>
      <w:r>
        <w:t xml:space="preserve">causes additional administrative burden and costs for businesses and increases the</w:t>
      </w:r>
      <w:r>
        <w:t xml:space="preserve"> </w:t>
      </w:r>
      <w:r>
        <w:t xml:space="preserve">duration of the design registration procedure. Some stakeholders also stress that the lack</w:t>
      </w:r>
      <w:r>
        <w:t xml:space="preserve"> </w:t>
      </w:r>
      <w:r>
        <w:t xml:space="preserve">of ex officio examination does not appear to lead to the registration of more invalid</w:t>
      </w:r>
      <w:r>
        <w:t xml:space="preserve"> </w:t>
      </w:r>
      <w:r>
        <w:t xml:space="preserve">designs. They consider also that the lack of ex office examination for prior art does not</w:t>
      </w:r>
      <w:r>
        <w:t xml:space="preserve"> </w:t>
      </w:r>
      <w:r>
        <w:t xml:space="preserve">undermine the legal certainty over the validity of the design for the applicant.</w:t>
      </w:r>
      <w:r>
        <w:t xml:space="preserve"> </w:t>
      </w:r>
      <w:r>
        <w:t xml:space="preserve">In some Member States, where it is currently not possible to seek for the invalidation of</w:t>
      </w:r>
      <w:r>
        <w:t xml:space="preserve"> </w:t>
      </w:r>
      <w:r>
        <w:t xml:space="preserve">a registered design before the industrial property office, only a very few invalidity</w:t>
      </w:r>
      <w:r>
        <w:t xml:space="preserve"> </w:t>
      </w:r>
      <w:r>
        <w:t xml:space="preserve">cases are brought before the competent courts. 2/3 of the stakeholders (66%) consider</w:t>
      </w:r>
      <w:r>
        <w:t xml:space="preserve"> </w:t>
      </w:r>
      <w:r>
        <w:t xml:space="preserve">that Member States should be required to establish quick and inexpensive proceedings</w:t>
      </w:r>
      <w:r>
        <w:t xml:space="preserve"> </w:t>
      </w:r>
      <w:r>
        <w:t xml:space="preserve">before their industrial property offices to get registered designs invalidated. They point</w:t>
      </w:r>
      <w:r>
        <w:t xml:space="preserve"> </w:t>
      </w:r>
      <w:r>
        <w:t xml:space="preserve">out that the non-availability of office-based proceedings for the invalidation of registered</w:t>
      </w:r>
      <w:r>
        <w:t xml:space="preserve"> </w:t>
      </w:r>
      <w:r>
        <w:t xml:space="preserve">designs in some Member States makes the design system in these Member States</w:t>
      </w:r>
      <w:r>
        <w:t xml:space="preserve"> </w:t>
      </w:r>
      <w:r>
        <w:t xml:space="preserve">inefficient, and thus burdensome for businesses, in particular SMEs and individual</w:t>
      </w:r>
      <w:r>
        <w:t xml:space="preserve"> </w:t>
      </w:r>
      <w:r>
        <w:t xml:space="preserve">designers. They also emphasise that in order to assist in capacity building and cushion</w:t>
      </w:r>
      <w:r>
        <w:t xml:space="preserve"> </w:t>
      </w:r>
      <w:r>
        <w:t xml:space="preserve">potential negative impacts on the part of smaller IP offices, cooperation between the</w:t>
      </w:r>
      <w:r>
        <w:t xml:space="preserve"> </w:t>
      </w:r>
      <w:r>
        <w:t xml:space="preserve">EUIPO and national IP Offices should be extended appropriately. They stress that under</w:t>
      </w:r>
    </w:p>
    <w:p>
      <w:pPr>
        <w:pStyle w:val="BodyText"/>
      </w:pPr>
      <w:r>
        <w:t xml:space="preserve">165</w:t>
      </w:r>
      <w:r>
        <w:br/>
      </w:r>
      <w:r>
        <w:t xml:space="preserve">Based on the following criteria: a) the number of direct foreign exhibitors and multinational</w:t>
      </w:r>
      <w:r>
        <w:t xml:space="preserve"> </w:t>
      </w:r>
      <w:r>
        <w:t xml:space="preserve">exhibitors represents at least 10% of the total number of exhibitors at the fair; or b) the number of foreign</w:t>
      </w:r>
      <w:r>
        <w:t xml:space="preserve"> </w:t>
      </w:r>
      <w:r>
        <w:t xml:space="preserve">visits or visitors represents at least 5% of the total number of visits or visitors at the exhibition.</w:t>
      </w:r>
    </w:p>
    <w:p>
      <w:pPr>
        <w:pStyle w:val="BodyText"/>
      </w:pPr>
      <w:r>
        <w:t xml:space="preserve">70</w:t>
      </w:r>
      <w:r>
        <w:t xml:space="preserve"> </w:t>
      </w:r>
      <w:r>
        <w:t xml:space="preserve">the current rules the only way for competitors to invalidate a design right is to go through</w:t>
      </w:r>
      <w:r>
        <w:t xml:space="preserve"> </w:t>
      </w:r>
      <w:r>
        <w:t xml:space="preserve">complex and costly invalidity proceedings before national courts, which is a deterrent. In</w:t>
      </w:r>
      <w:r>
        <w:t xml:space="preserve"> </w:t>
      </w:r>
      <w:r>
        <w:t xml:space="preserve">addition, many public authorities are in favour of introducing mandatory invalidity</w:t>
      </w:r>
      <w:r>
        <w:t xml:space="preserve"> </w:t>
      </w:r>
      <w:r>
        <w:t xml:space="preserve">proceedings at national level.</w:t>
      </w:r>
      <w:r>
        <w:br/>
      </w:r>
      <w:r>
        <w:t xml:space="preserve">Those stakeholders (18%) that are against introducing mandatory administrative</w:t>
      </w:r>
      <w:r>
        <w:t xml:space="preserve"> </w:t>
      </w:r>
      <w:r>
        <w:t xml:space="preserve">invalidity proceedings point out that in some Member States so few designs are</w:t>
      </w:r>
      <w:r>
        <w:t xml:space="preserve"> </w:t>
      </w:r>
      <w:r>
        <w:t xml:space="preserve">invalidated that there is not enough experience nor demand to run such proceedings</w:t>
      </w:r>
      <w:r>
        <w:t xml:space="preserve"> </w:t>
      </w:r>
      <w:r>
        <w:t xml:space="preserve">efficiently.</w:t>
      </w:r>
      <w:r>
        <w:t xml:space="preserve"> </w:t>
      </w:r>
      <w:r>
        <w:t xml:space="preserve">As regards the fee levels, 41% of the stakeholders consider that the basic fee for the</w:t>
      </w:r>
      <w:r>
        <w:t xml:space="preserve"> </w:t>
      </w:r>
      <w:r>
        <w:t xml:space="preserve">initial five years’ registration of a Community design (EUR 350) should be lowered.</w:t>
      </w:r>
      <w:r>
        <w:t xml:space="preserve"> </w:t>
      </w:r>
      <w:r>
        <w:t xml:space="preserve">They point out that lowering the registration fee level would make the design protection</w:t>
      </w:r>
      <w:r>
        <w:t xml:space="preserve"> </w:t>
      </w:r>
      <w:r>
        <w:t xml:space="preserve">more accessible to SMEs and individual designers without affecting the delicate balance</w:t>
      </w:r>
      <w:r>
        <w:t xml:space="preserve"> </w:t>
      </w:r>
      <w:r>
        <w:t xml:space="preserve">between the national and EU level protection. 24% of the stakeholders consider that the</w:t>
      </w:r>
      <w:r>
        <w:t xml:space="preserve"> </w:t>
      </w:r>
      <w:r>
        <w:t xml:space="preserve">fee(s) for renewing the registration of a Community design should be lowered.</w:t>
      </w:r>
      <w:r>
        <w:br/>
      </w:r>
      <w:r>
        <w:t xml:space="preserve">Some stakeholders call for the introduction of a genuine use requirement for designs, but</w:t>
      </w:r>
      <w:r>
        <w:t xml:space="preserve"> </w:t>
      </w:r>
      <w:r>
        <w:t xml:space="preserve">many stakeholders are expressly against this. One of the problems mentioned by several</w:t>
      </w:r>
      <w:r>
        <w:t xml:space="preserve"> </w:t>
      </w:r>
      <w:r>
        <w:t xml:space="preserve">stakeholders is that the renewal fee of the registered designs increases each time. A</w:t>
      </w:r>
      <w:r>
        <w:t xml:space="preserve"> </w:t>
      </w:r>
      <w:r>
        <w:t xml:space="preserve">number of stakeholders call for aligning the EU and international renewal fee levels.</w:t>
      </w:r>
      <w:r>
        <w:t xml:space="preserve"> </w:t>
      </w:r>
      <w:r>
        <w:t xml:space="preserve">Some stakeholders express concerns about the requirement that designs combined under</w:t>
      </w:r>
      <w:r>
        <w:t xml:space="preserve"> </w:t>
      </w:r>
      <w:r>
        <w:t xml:space="preserve">a single application have to fall under the same Locarno class. They also criticise that</w:t>
      </w:r>
      <w:r>
        <w:t xml:space="preserve"> </w:t>
      </w:r>
      <w:r>
        <w:t xml:space="preserve">multiple designs in the same Locarno class can benefit from a bulk discount at the</w:t>
      </w:r>
      <w:r>
        <w:t xml:space="preserve"> </w:t>
      </w:r>
      <w:r>
        <w:t xml:space="preserve">application phase, whereas this is not available at the point of renewal.</w:t>
      </w:r>
      <w:r>
        <w:br/>
      </w:r>
      <w:r>
        <w:t xml:space="preserve">As regards the introduction of a commonly recognised symbol, pointing to the fact that</w:t>
      </w:r>
      <w:r>
        <w:t xml:space="preserve"> </w:t>
      </w:r>
      <w:r>
        <w:t xml:space="preserve">the design incorporated in a product is registered (design notice), the large majority of the</w:t>
      </w:r>
      <w:r>
        <w:t xml:space="preserve"> </w:t>
      </w:r>
      <w:r>
        <w:t xml:space="preserve">stakeholders (72%) consider this being a suitable means to raise awareness about the EU</w:t>
      </w:r>
      <w:r>
        <w:t xml:space="preserve"> </w:t>
      </w:r>
      <w:r>
        <w:t xml:space="preserve">design system. These stakeholders point out that the commonly recognised symbol would</w:t>
      </w:r>
      <w:r>
        <w:t xml:space="preserve"> </w:t>
      </w:r>
      <w:r>
        <w:t xml:space="preserve">make the public aware of the fact that a certain right is protected and indicate ownership</w:t>
      </w:r>
      <w:r>
        <w:t xml:space="preserve"> </w:t>
      </w:r>
      <w:r>
        <w:t xml:space="preserve">on it that can be enforced against third parties. They emphasise that the symbol could</w:t>
      </w:r>
      <w:r>
        <w:t xml:space="preserve"> </w:t>
      </w:r>
      <w:r>
        <w:t xml:space="preserve">inform third parties about the fact that the design is registered, deterring them from</w:t>
      </w:r>
      <w:r>
        <w:t xml:space="preserve"> </w:t>
      </w:r>
      <w:r>
        <w:t xml:space="preserve">copying it and serving as proof of knowledge of registration in infringement cases. Some</w:t>
      </w:r>
      <w:r>
        <w:t xml:space="preserve"> </w:t>
      </w:r>
      <w:r>
        <w:t xml:space="preserve">stakeholders suggest introducing the possibility to use the commonly recognised symbol</w:t>
      </w:r>
      <w:r>
        <w:t xml:space="preserve"> </w:t>
      </w:r>
      <w:r>
        <w:t xml:space="preserve">also for unregistered designs. Some stakeholders stress that the symbol would also serve</w:t>
      </w:r>
      <w:r>
        <w:t xml:space="preserve"> </w:t>
      </w:r>
      <w:r>
        <w:t xml:space="preserve">as a useful tool to enhance the value of the protected right for its design holder from a</w:t>
      </w:r>
      <w:r>
        <w:t xml:space="preserve"> </w:t>
      </w:r>
      <w:r>
        <w:t xml:space="preserve">valuation and marketing perspective. They consider however that the symbol should</w:t>
      </w:r>
      <w:r>
        <w:t xml:space="preserve"> </w:t>
      </w:r>
      <w:r>
        <w:t xml:space="preserve">remain optional, because it may be an additional cost for the design holders and</w:t>
      </w:r>
      <w:r>
        <w:t xml:space="preserve"> </w:t>
      </w:r>
      <w:r>
        <w:t xml:space="preserve">impractical for certain product categories.</w:t>
      </w:r>
      <w:r>
        <w:br/>
      </w:r>
      <w:r>
        <w:t xml:space="preserve">Some stakeholders (27%) do not support the introduction of a commonly recognised</w:t>
      </w:r>
      <w:r>
        <w:t xml:space="preserve"> </w:t>
      </w:r>
      <w:r>
        <w:t xml:space="preserve">symbol, emphasising that its use would not be practical in certain sectors (e.g. those</w:t>
      </w:r>
      <w:r>
        <w:t xml:space="preserve"> </w:t>
      </w:r>
      <w:r>
        <w:t xml:space="preserve">sectors, which offer small products or sectors with strong considerations of aesthetics).</w:t>
      </w:r>
      <w:r>
        <w:br/>
      </w:r>
      <w:r>
        <w:t xml:space="preserve">The stakeholders raised a number of additional issues in relation to the design reform,</w:t>
      </w:r>
      <w:r>
        <w:t xml:space="preserve"> </w:t>
      </w:r>
      <w:r>
        <w:t xml:space="preserve">which were not subject to the questionnaire (but already covered by the previous, broader</w:t>
      </w:r>
      <w:r>
        <w:t xml:space="preserve"> </w:t>
      </w:r>
      <w:r>
        <w:t xml:space="preserve">public consultation in the context of the evaluation).</w:t>
      </w:r>
      <w:r>
        <w:br/>
      </w:r>
      <w:r>
        <w:t xml:space="preserve">Many stakeholders suggest that the design holder should be entitled to take action against</w:t>
      </w:r>
      <w:r>
        <w:t xml:space="preserve"> </w:t>
      </w:r>
      <w:r>
        <w:t xml:space="preserve">counterfeit goods in transit, similarly to the provisions on goods in transit in the EUTMR</w:t>
      </w:r>
      <w:r>
        <w:t xml:space="preserve"> </w:t>
      </w:r>
      <w:r>
        <w:t xml:space="preserve">and TMD.</w:t>
      </w:r>
      <w:r>
        <w:br/>
      </w:r>
      <w:r>
        <w:t xml:space="preserve">Many stakeholders, mainly right holders, suggest abolishing the condition for multiple</w:t>
      </w:r>
      <w:r>
        <w:t xml:space="preserve"> </w:t>
      </w:r>
      <w:r>
        <w:t xml:space="preserve">applications in Article 37(1) CDR that the products in which the designs are intended to</w:t>
      </w:r>
    </w:p>
    <w:p>
      <w:pPr>
        <w:pStyle w:val="BodyText"/>
      </w:pPr>
      <w:r>
        <w:t xml:space="preserve">71</w:t>
      </w:r>
      <w:r>
        <w:t xml:space="preserve"> </w:t>
      </w:r>
      <w:r>
        <w:t xml:space="preserve">be incorporated or to which they are intended to be applied all belong to the same class of</w:t>
      </w:r>
      <w:r>
        <w:t xml:space="preserve"> </w:t>
      </w:r>
      <w:r>
        <w:t xml:space="preserve">the International Classification for Industrial Designs (‘unity of class’ requirement).</w:t>
      </w:r>
      <w:r>
        <w:t xml:space="preserve"> </w:t>
      </w:r>
      <w:r>
        <w:t xml:space="preserve">A number of stakeholders call for a more user-friendly registration procedure and</w:t>
      </w:r>
      <w:r>
        <w:t xml:space="preserve"> </w:t>
      </w:r>
      <w:r>
        <w:t xml:space="preserve">electronic search tools, which is fit for the digital age (e.g. electronic filing). They</w:t>
      </w:r>
      <w:r>
        <w:t xml:space="preserve"> </w:t>
      </w:r>
      <w:r>
        <w:t xml:space="preserve">propose that the EUIPO and the national IP offices accept the possibility to deposit more</w:t>
      </w:r>
      <w:r>
        <w:t xml:space="preserve"> </w:t>
      </w:r>
      <w:r>
        <w:t xml:space="preserve">than seven views/representations per design or to modify the views/representations</w:t>
      </w:r>
      <w:r>
        <w:t xml:space="preserve"> </w:t>
      </w:r>
      <w:r>
        <w:t xml:space="preserve">following an objection by the EUIPO or a national IP office on their mode of</w:t>
      </w:r>
      <w:r>
        <w:t xml:space="preserve"> </w:t>
      </w:r>
      <w:r>
        <w:t xml:space="preserve">representation, without expanding the scope of protection, as well as the ability to file 3D</w:t>
      </w:r>
      <w:r>
        <w:t xml:space="preserve"> </w:t>
      </w:r>
      <w:r>
        <w:t xml:space="preserve">formats, video files and animations for the representation of the design.</w:t>
      </w:r>
      <w:r>
        <w:br/>
      </w:r>
      <w:r>
        <w:t xml:space="preserve">Some stakeholders suggest introducing a simple opposition procedure that would allow</w:t>
      </w:r>
      <w:r>
        <w:t xml:space="preserve"> </w:t>
      </w:r>
      <w:r>
        <w:t xml:space="preserve">third parties to prevent the registration of an allegedly infringing design.</w:t>
      </w:r>
      <w:r>
        <w:br/>
      </w:r>
      <w:r>
        <w:t xml:space="preserve">Some stakeholders consider that the provisions on deferment of publication needs to be</w:t>
      </w:r>
      <w:r>
        <w:t xml:space="preserve"> </w:t>
      </w:r>
      <w:r>
        <w:t xml:space="preserve">harmonised between Member States, by requiring Member States to provide for this</w:t>
      </w:r>
      <w:r>
        <w:t xml:space="preserve"> </w:t>
      </w:r>
      <w:r>
        <w:t xml:space="preserve">possibility with the same maximum duration and with the possibility for the applicant to</w:t>
      </w:r>
      <w:r>
        <w:t xml:space="preserve"> </w:t>
      </w:r>
      <w:r>
        <w:t xml:space="preserve">have its design published before the expiration of the maximum duration of the</w:t>
      </w:r>
      <w:r>
        <w:t xml:space="preserve"> </w:t>
      </w:r>
      <w:r>
        <w:t xml:space="preserve">deferment period and to make minor changes to the design during the deferment period</w:t>
      </w:r>
      <w:r>
        <w:t xml:space="preserve"> </w:t>
      </w:r>
      <w:r>
        <w:t xml:space="preserve">without invalidating the deposited design.</w:t>
      </w:r>
    </w:p>
    <w:p>
      <w:pPr>
        <w:pStyle w:val="BodyText"/>
      </w:pPr>
      <w:r>
        <w:t xml:space="preserve">72</w:t>
      </w:r>
      <w:r>
        <w:t xml:space="preserve"> </w:t>
      </w:r>
      <w:r>
        <w:t xml:space="preserve">ANNEX 2A: STAKEHOLDERS VIEWS ON SPARE PARTS LIBERALISATION</w:t>
      </w:r>
      <w:r>
        <w:t xml:space="preserve"> </w:t>
      </w:r>
      <w:r>
        <w:t xml:space="preserve">Design protection for visible spare parts was the most controversial topic of the</w:t>
      </w:r>
      <w:r>
        <w:t xml:space="preserve"> </w:t>
      </w:r>
      <w:r>
        <w:t xml:space="preserve">stakeholder consultations. While car manufacturers, their specific interest groups and</w:t>
      </w:r>
      <w:r>
        <w:t xml:space="preserve"> </w:t>
      </w:r>
      <w:r>
        <w:t xml:space="preserve">brands associations, where they are prominent members, are not supportive of the</w:t>
      </w:r>
      <w:r>
        <w:t xml:space="preserve"> </w:t>
      </w:r>
      <w:r>
        <w:t xml:space="preserve">introduction of an EU-wide repair clause into the DDir, the independent repair sector,</w:t>
      </w:r>
      <w:r>
        <w:t xml:space="preserve"> </w:t>
      </w:r>
      <w:r>
        <w:t xml:space="preserve">including lobby associations, consumer organisations and academia strongly advocate the</w:t>
      </w:r>
      <w:r>
        <w:t xml:space="preserve"> </w:t>
      </w:r>
      <w:r>
        <w:t xml:space="preserve">full liberalisation of the spare parts aftermarket.</w:t>
      </w:r>
      <w:r>
        <w:t xml:space="preserve"> </w:t>
      </w:r>
      <w:r>
        <w:t xml:space="preserve">Main arguments put forward in favour of design protection are:</w:t>
      </w:r>
      <w:r>
        <w:t xml:space="preserve"> </w:t>
      </w:r>
      <w:r>
        <w:t xml:space="preserve"> Exemption for spare parts in design law is alien to IP system and not justifiable.</w:t>
      </w:r>
      <w:r>
        <w:t xml:space="preserve"> </w:t>
      </w:r>
      <w:r>
        <w:t xml:space="preserve"> Removal of protection deprives car manufacturers of the right to a fair return on</w:t>
      </w:r>
      <w:r>
        <w:t xml:space="preserve"> </w:t>
      </w:r>
      <w:r>
        <w:t xml:space="preserve">their investment and eliminates the incentive for innovation, leading to reduced</w:t>
      </w:r>
      <w:r>
        <w:t xml:space="preserve"> </w:t>
      </w:r>
      <w:r>
        <w:t xml:space="preserve">design diversity and correspondingly negative effects on innovative markets.</w:t>
      </w:r>
      <w:r>
        <w:br/>
      </w:r>
      <w:r>
        <w:t xml:space="preserve"> Alleged economic advantages of the repair clause (lower prices) are unproven.</w:t>
      </w:r>
      <w:r>
        <w:t xml:space="preserve"> </w:t>
      </w:r>
      <w:r>
        <w:t xml:space="preserve"> Design protection is needed to protect public against unsafe and inferior parts.</w:t>
      </w:r>
      <w:r>
        <w:t xml:space="preserve"> </w:t>
      </w:r>
      <w:r>
        <w:t xml:space="preserve">Main arguments put forward against design protection for spare parts (and in favour of</w:t>
      </w:r>
      <w:r>
        <w:t xml:space="preserve"> </w:t>
      </w:r>
      <w:r>
        <w:t xml:space="preserve">liberalisation) and followed in this impact assessment:</w:t>
      </w:r>
      <w:r>
        <w:br/>
      </w:r>
      <w:r>
        <w:t xml:space="preserve"> Spare parts protection is abusive as contradicting the actual purpose of design</w:t>
      </w:r>
      <w:r>
        <w:t xml:space="preserve"> </w:t>
      </w:r>
      <w:r>
        <w:t xml:space="preserve">protection which is to foster creativity through design innovation.</w:t>
      </w:r>
      <w:r>
        <w:br/>
      </w:r>
      <w:r>
        <w:t xml:space="preserve"> Extension of protection to must-match spare parts implies the complete</w:t>
      </w:r>
      <w:r>
        <w:t xml:space="preserve"> </w:t>
      </w:r>
      <w:r>
        <w:t xml:space="preserve">elimination of competition in the aftermarket. Unlike its effects on the primary</w:t>
      </w:r>
      <w:r>
        <w:t xml:space="preserve"> </w:t>
      </w:r>
      <w:r>
        <w:t xml:space="preserve">market, applying design protection to must-match parts in respect of which there</w:t>
      </w:r>
      <w:r>
        <w:t xml:space="preserve"> </w:t>
      </w:r>
      <w:r>
        <w:t xml:space="preserve">is no design alternative gives vehicle manufacturers a product monopoly.</w:t>
      </w:r>
      <w:r>
        <w:t xml:space="preserve"> </w:t>
      </w:r>
      <w:r>
        <w:t xml:space="preserve"> Lack of fair competition deprives vehicle owners from any choice (making them</w:t>
      </w:r>
      <w:r>
        <w:t xml:space="preserve"> </w:t>
      </w:r>
      <w:r>
        <w:t xml:space="preserve">captive consumers) and is cause for verifiably higher prices.</w:t>
      </w:r>
      <w:r>
        <w:t xml:space="preserve"> </w:t>
      </w:r>
      <w:r>
        <w:t xml:space="preserve"> Design protection is not the right instrument to generate and safeguard safety and</w:t>
      </w:r>
      <w:r>
        <w:t xml:space="preserve"> </w:t>
      </w:r>
      <w:r>
        <w:t xml:space="preserve">quality of spare parts. Safety is a matter of specific legislation (type-approval and</w:t>
      </w:r>
      <w:r>
        <w:t xml:space="preserve"> </w:t>
      </w:r>
      <w:r>
        <w:t xml:space="preserve">authorisation) and quality is a matter of market forces and consumer choice (for</w:t>
      </w:r>
      <w:r>
        <w:t xml:space="preserve"> </w:t>
      </w:r>
      <w:r>
        <w:t xml:space="preserve">decades spare parts from a variety of sources have been offered in Europe).</w:t>
      </w:r>
      <w:r>
        <w:t xml:space="preserve"> </w:t>
      </w:r>
      <w:r>
        <w:t xml:space="preserve">Table. 2a.1. Answers to question 3. Should there be changes to design protection for repair spare parts?</w:t>
      </w:r>
    </w:p>
    <w:p>
      <w:pPr>
        <w:pStyle w:val="BodyText"/>
      </w:pPr>
      <w:r>
        <w:t xml:space="preserve">All</w:t>
      </w:r>
      <w:r>
        <w:t xml:space="preserve"> </w:t>
      </w:r>
      <w:r>
        <w:t xml:space="preserve">Manufacture of</w:t>
      </w:r>
      <w:r>
        <w:t xml:space="preserve"> </w:t>
      </w:r>
      <w:r>
        <w:t xml:space="preserve">motor vehicles</w:t>
      </w:r>
      <w:r>
        <w:t xml:space="preserve"> </w:t>
      </w:r>
      <w:r>
        <w:t xml:space="preserve">Manufacture of</w:t>
      </w:r>
      <w:r>
        <w:t xml:space="preserve"> </w:t>
      </w:r>
      <w:r>
        <w:t xml:space="preserve">parts and</w:t>
      </w:r>
      <w:r>
        <w:t xml:space="preserve"> </w:t>
      </w:r>
      <w:r>
        <w:t xml:space="preserve">accessories for</w:t>
      </w:r>
      <w:r>
        <w:t xml:space="preserve"> </w:t>
      </w:r>
      <w:r>
        <w:t xml:space="preserve">motor vehicles</w:t>
      </w:r>
      <w:r>
        <w:t xml:space="preserve"> </w:t>
      </w:r>
      <w:r>
        <w:t xml:space="preserve">Consumer</w:t>
      </w:r>
      <w:r>
        <w:t xml:space="preserve"> </w:t>
      </w:r>
      <w:r>
        <w:t xml:space="preserve">organisation</w:t>
      </w:r>
      <w:r>
        <w:t xml:space="preserve"> </w:t>
      </w:r>
      <w:r>
        <w:t xml:space="preserve">Public authority</w:t>
      </w:r>
      <w:r>
        <w:t xml:space="preserve"> </w:t>
      </w:r>
      <w:r>
        <w:t xml:space="preserve">(national)</w:t>
      </w:r>
      <w:r>
        <w:t xml:space="preserve"> </w:t>
      </w:r>
      <w:r>
        <w:t xml:space="preserve">Yes, limited to new designs</w:t>
      </w:r>
      <w:r>
        <w:t xml:space="preserve"> </w:t>
      </w:r>
      <w:r>
        <w:t xml:space="preserve">20%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43%</w:t>
      </w:r>
      <w:r>
        <w:br/>
      </w:r>
      <w:r>
        <w:t xml:space="preserve">(HR, LT, IT)</w:t>
      </w:r>
      <w:r>
        <w:t xml:space="preserve"> </w:t>
      </w:r>
      <w:r>
        <w:t xml:space="preserve">Yes, to both existing and</w:t>
      </w:r>
      <w:r>
        <w:t xml:space="preserve"> </w:t>
      </w:r>
      <w:r>
        <w:t xml:space="preserve">new designs</w:t>
      </w:r>
      <w:r>
        <w:t xml:space="preserve"> </w:t>
      </w:r>
      <w:r>
        <w:t xml:space="preserve">27%</w:t>
      </w:r>
      <w:r>
        <w:t xml:space="preserve"> </w:t>
      </w:r>
      <w:r>
        <w:t xml:space="preserve">0%</w:t>
      </w:r>
      <w:r>
        <w:t xml:space="preserve"> </w:t>
      </w:r>
      <w:r>
        <w:t xml:space="preserve">89%</w:t>
      </w:r>
      <w:r>
        <w:t xml:space="preserve"> </w:t>
      </w:r>
      <w:r>
        <w:t xml:space="preserve">100%</w:t>
      </w:r>
      <w:r>
        <w:t xml:space="preserve"> </w:t>
      </w:r>
      <w:r>
        <w:t xml:space="preserve">0%</w:t>
      </w:r>
      <w:r>
        <w:t xml:space="preserve"> </w:t>
      </w:r>
      <w:r>
        <w:t xml:space="preserve">No changes</w:t>
      </w:r>
      <w:r>
        <w:t xml:space="preserve"> </w:t>
      </w:r>
      <w:r>
        <w:t xml:space="preserve">18%</w:t>
      </w:r>
      <w:r>
        <w:t xml:space="preserve"> </w:t>
      </w:r>
      <w:r>
        <w:t xml:space="preserve">20%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14% (SE)</w:t>
      </w:r>
      <w:r>
        <w:t xml:space="preserve"> </w:t>
      </w:r>
      <w:r>
        <w:t xml:space="preserve">Other</w:t>
      </w:r>
      <w:r>
        <w:t xml:space="preserve"> </w:t>
      </w:r>
      <w:r>
        <w:t xml:space="preserve">35%</w:t>
      </w:r>
      <w:r>
        <w:t xml:space="preserve"> </w:t>
      </w:r>
      <w:r>
        <w:t xml:space="preserve">80%*</w:t>
      </w:r>
      <w:r>
        <w:t xml:space="preserve"> </w:t>
      </w:r>
      <w:r>
        <w:t xml:space="preserve">11%</w:t>
      </w:r>
      <w:r>
        <w:t xml:space="preserve"> </w:t>
      </w:r>
      <w:r>
        <w:t xml:space="preserve">0%</w:t>
      </w:r>
      <w:r>
        <w:t xml:space="preserve"> </w:t>
      </w:r>
      <w:r>
        <w:t xml:space="preserve">43%</w:t>
      </w:r>
      <w:r>
        <w:br/>
      </w:r>
      <w:r>
        <w:t xml:space="preserve">(ES, HU, EE)</w:t>
      </w:r>
      <w:r>
        <w:t xml:space="preserve"> </w:t>
      </w:r>
      <w:r>
        <w:t xml:space="preserve">Answers</w:t>
      </w:r>
      <w:r>
        <w:t xml:space="preserve"> </w:t>
      </w:r>
      <w:r>
        <w:t xml:space="preserve">83</w:t>
      </w:r>
      <w:r>
        <w:t xml:space="preserve"> </w:t>
      </w:r>
      <w:r>
        <w:t xml:space="preserve">5</w:t>
      </w:r>
      <w:r>
        <w:t xml:space="preserve"> </w:t>
      </w:r>
      <w:r>
        <w:t xml:space="preserve">9</w:t>
      </w:r>
      <w:r>
        <w:t xml:space="preserve"> </w:t>
      </w:r>
      <w:r>
        <w:t xml:space="preserve">2</w:t>
      </w:r>
      <w:r>
        <w:t xml:space="preserve"> </w:t>
      </w:r>
      <w:r>
        <w:t xml:space="preserve">7</w:t>
      </w:r>
      <w:r>
        <w:t xml:space="preserve"> </w:t>
      </w:r>
      <w:r>
        <w:t xml:space="preserve">* Manufacturers asked for full protection of spare parts in all MS (no liberalisation at all even in 12 MS</w:t>
      </w:r>
      <w:r>
        <w:t xml:space="preserve"> </w:t>
      </w:r>
      <w:r>
        <w:t xml:space="preserve">who already have liberalised)</w:t>
      </w:r>
      <w:r>
        <w:br/>
      </w:r>
      <w:r>
        <w:t xml:space="preserve">Source: OPC analysis</w:t>
      </w:r>
    </w:p>
    <w:p>
      <w:pPr>
        <w:pStyle w:val="BodyText"/>
      </w:pPr>
      <w:r>
        <w:t xml:space="preserve">73</w:t>
      </w:r>
      <w:r>
        <w:t xml:space="preserve"> </w:t>
      </w:r>
      <w:r>
        <w:t xml:space="preserve">ANNEX 3: WHO IS AFFECTED AND HOW?</w:t>
      </w:r>
      <w:r>
        <w:t xml:space="preserve"> </w:t>
      </w:r>
      <w:r>
        <w:t xml:space="preserve">1. Practical implications of the initiative</w:t>
      </w:r>
      <w:r>
        <w:t xml:space="preserve"> </w:t>
      </w:r>
      <w:r>
        <w:t xml:space="preserve">The most significant benefits of the initiative relate to the liberalisation of the spare parts</w:t>
      </w:r>
      <w:r>
        <w:t xml:space="preserve"> </w:t>
      </w:r>
      <w:r>
        <w:t xml:space="preserve">aftermarket. This will especially concern the vehicles market and should reach between</w:t>
      </w:r>
      <w:r>
        <w:t xml:space="preserve"> </w:t>
      </w:r>
      <w:r>
        <w:t xml:space="preserve">EUR 340 and 544 million after the ten-year transition period.</w:t>
      </w:r>
      <w:r>
        <w:t xml:space="preserve"> </w:t>
      </w:r>
      <w:r>
        <w:t xml:space="preserve">Other changes relate to the adjustment of fees for registered Community design</w:t>
      </w:r>
      <w:r>
        <w:t xml:space="preserve"> </w:t>
      </w:r>
      <w:r>
        <w:t xml:space="preserve">protection and simplifications for users to apply and manage their rights. The adjustment</w:t>
      </w:r>
      <w:r>
        <w:t xml:space="preserve"> </w:t>
      </w:r>
      <w:r>
        <w:t xml:space="preserve">of fees aims at making protection more attractive to those seeking protection up to ten</w:t>
      </w:r>
      <w:r>
        <w:t xml:space="preserve"> </w:t>
      </w:r>
      <w:r>
        <w:t xml:space="preserve">years, while charging significantly more for longer term protection. The new regime also</w:t>
      </w:r>
      <w:r>
        <w:t xml:space="preserve"> </w:t>
      </w:r>
      <w:r>
        <w:t xml:space="preserve">strives to keep national design protection attractive for local users, and seeks to limit</w:t>
      </w:r>
      <w:r>
        <w:t xml:space="preserve"> </w:t>
      </w:r>
      <w:r>
        <w:t xml:space="preserve">negative impacts on the EUIPO budget.</w:t>
      </w:r>
      <w:r>
        <w:t xml:space="preserve"> </w:t>
      </w:r>
      <w:r>
        <w:t xml:space="preserve">The final set of changes regards the approximation of national rules and alignment to the</w:t>
      </w:r>
      <w:r>
        <w:t xml:space="preserve"> </w:t>
      </w:r>
      <w:r>
        <w:t xml:space="preserve">CDR to facilitate cross-border filing and design portfolio management. These changes</w:t>
      </w:r>
      <w:r>
        <w:t xml:space="preserve"> </w:t>
      </w:r>
      <w:r>
        <w:t xml:space="preserve">are most difficult to quantify, thus just a couple of examples are mentioned below.</w:t>
      </w:r>
      <w:r>
        <w:t xml:space="preserve"> </w:t>
      </w:r>
      <w:r>
        <w:t xml:space="preserve">2. Summary of costs and benefits</w:t>
      </w:r>
    </w:p>
    <w:p>
      <w:pPr>
        <w:pStyle w:val="BodyText"/>
      </w:pPr>
      <w:r>
        <w:t xml:space="preserve">I. Overview of Benefits (total for all provisions) – Preferred Option</w:t>
      </w:r>
      <w:r>
        <w:t xml:space="preserve"> </w:t>
      </w:r>
      <w:r>
        <w:t xml:space="preserve">Description</w:t>
      </w:r>
      <w:r>
        <w:t xml:space="preserve"> </w:t>
      </w:r>
      <w:r>
        <w:t xml:space="preserve">Amount</w:t>
      </w:r>
      <w:r>
        <w:t xml:space="preserve"> </w:t>
      </w:r>
      <w:r>
        <w:t xml:space="preserve">Comments</w:t>
      </w:r>
      <w:r>
        <w:t xml:space="preserve"> </w:t>
      </w:r>
      <w:r>
        <w:t xml:space="preserve">Direct benefits</w:t>
      </w:r>
      <w:r>
        <w:t xml:space="preserve"> </w:t>
      </w:r>
      <w:r>
        <w:t xml:space="preserve">Liberalisation of the</w:t>
      </w:r>
      <w:r>
        <w:t xml:space="preserve"> </w:t>
      </w:r>
      <w:r>
        <w:t xml:space="preserve">aftermarket for spare parts.</w:t>
      </w:r>
      <w:r>
        <w:t xml:space="preserve"> </w:t>
      </w:r>
      <w:r>
        <w:t xml:space="preserve">Limited to new designs for</w:t>
      </w:r>
      <w:r>
        <w:t xml:space="preserve"> </w:t>
      </w:r>
      <w:r>
        <w:t xml:space="preserve">the first 10 years (Opt. 1.2)</w:t>
      </w:r>
      <w:r>
        <w:t xml:space="preserve"> </w:t>
      </w:r>
      <w:r>
        <w:t xml:space="preserve">In the car market for visible spare parts:</w:t>
      </w:r>
      <w:r>
        <w:t xml:space="preserve"> </w:t>
      </w:r>
      <w:r>
        <w:t xml:space="preserve">EUR 340-544m per year from year 11. During</w:t>
      </w:r>
      <w:r>
        <w:t xml:space="preserve"> </w:t>
      </w:r>
      <w:r>
        <w:t xml:space="preserve">the 10-year transition each year benefits will</w:t>
      </w:r>
      <w:r>
        <w:t xml:space="preserve"> </w:t>
      </w:r>
      <w:r>
        <w:t xml:space="preserve">increase by EUR 4 to 13m per year to reach up to</w:t>
      </w:r>
      <w:r>
        <w:t xml:space="preserve"> </w:t>
      </w:r>
      <w:r>
        <w:t xml:space="preserve">EUR 40-130m in year 10.</w:t>
      </w:r>
      <w:r>
        <w:t xml:space="preserve"> </w:t>
      </w:r>
      <w:r>
        <w:t xml:space="preserve">Benefits to customers. As regards car market</w:t>
      </w:r>
      <w:r>
        <w:t xml:space="preserve"> </w:t>
      </w:r>
      <w:r>
        <w:t xml:space="preserve">to those from AT, BG, CY, CZ, DE, DK,</w:t>
      </w:r>
      <w:r>
        <w:t xml:space="preserve"> </w:t>
      </w:r>
      <w:r>
        <w:t xml:space="preserve">EE, FI, FR, HR, MT, PT, RO, SE, SI, SK</w:t>
      </w:r>
      <w:r>
        <w:t xml:space="preserve"> </w:t>
      </w:r>
      <w:r>
        <w:t xml:space="preserve">Reduction of RCD fees for</w:t>
      </w:r>
      <w:r>
        <w:t xml:space="preserve"> </w:t>
      </w:r>
      <w:r>
        <w:t xml:space="preserve">basic protection and 1st</w:t>
      </w:r>
      <w:r>
        <w:t xml:space="preserve"> </w:t>
      </w:r>
      <w:r>
        <w:t xml:space="preserve">renewal (Opt. 3.1)</w:t>
      </w:r>
      <w:r>
        <w:t xml:space="preserve"> </w:t>
      </w:r>
      <w:r>
        <w:t xml:space="preserve">EUR 6 million*</w:t>
      </w:r>
      <w:r>
        <w:t xml:space="preserve"> </w:t>
      </w:r>
      <w:r>
        <w:t xml:space="preserve">Basic protection reduction concerns all</w:t>
      </w:r>
      <w:r>
        <w:t xml:space="preserve"> </w:t>
      </w:r>
      <w:r>
        <w:t xml:space="preserve">applicants, renewal only those who decide to</w:t>
      </w:r>
      <w:r>
        <w:t xml:space="preserve"> </w:t>
      </w:r>
      <w:r>
        <w:t xml:space="preserve">renew – around 49% of owners renew after</w:t>
      </w:r>
      <w:r>
        <w:t xml:space="preserve"> </w:t>
      </w:r>
      <w:r>
        <w:t xml:space="preserve">5 years.</w:t>
      </w:r>
      <w:r>
        <w:t xml:space="preserve"> </w:t>
      </w:r>
      <w:r>
        <w:t xml:space="preserve">Other simplifications (e.g. </w:t>
      </w:r>
      <w:r>
        <w:t xml:space="preserve"> </w:t>
      </w:r>
      <w:r>
        <w:t xml:space="preserve">means and requirements of</w:t>
      </w:r>
      <w:r>
        <w:t xml:space="preserve"> </w:t>
      </w:r>
      <w:r>
        <w:t xml:space="preserve">design representation) (Opt.</w:t>
      </w:r>
      <w:r>
        <w:t xml:space="preserve"> </w:t>
      </w:r>
      <w:r>
        <w:t xml:space="preserve">2.)</w:t>
      </w:r>
      <w:r>
        <w:t xml:space="preserve"> </w:t>
      </w:r>
      <w:r>
        <w:t xml:space="preserve">EUR 1 million*</w:t>
      </w:r>
      <w:r>
        <w:t xml:space="preserve"> </w:t>
      </w:r>
      <w:r>
        <w:t xml:space="preserve">Concerns around 14% of RCD applicants.</w:t>
      </w:r>
      <w:r>
        <w:t xml:space="preserve"> </w:t>
      </w:r>
      <w:r>
        <w:t xml:space="preserve">Realised at initial application.</w:t>
      </w:r>
      <w:r>
        <w:t xml:space="preserve"> </w:t>
      </w:r>
      <w:r>
        <w:t xml:space="preserve">Facilitation of multiple</w:t>
      </w:r>
      <w:r>
        <w:t xml:space="preserve"> </w:t>
      </w:r>
      <w:r>
        <w:t xml:space="preserve">applications (Opt 2)</w:t>
      </w:r>
      <w:r>
        <w:t xml:space="preserve"> </w:t>
      </w:r>
      <w:r>
        <w:t xml:space="preserve">EUR 0.64 million*</w:t>
      </w:r>
      <w:r>
        <w:t xml:space="preserve"> </w:t>
      </w:r>
      <w:r>
        <w:t xml:space="preserve">Concerns around 20% of RCD applicants.</w:t>
      </w:r>
      <w:r>
        <w:t xml:space="preserve"> </w:t>
      </w:r>
      <w:r>
        <w:t xml:space="preserve">Realised at initial application.</w:t>
      </w:r>
      <w:r>
        <w:t xml:space="preserve"> </w:t>
      </w:r>
      <w:r>
        <w:t xml:space="preserve">No transfer fee (Opt 3)</w:t>
      </w:r>
      <w:r>
        <w:t xml:space="preserve"> </w:t>
      </w:r>
      <w:r>
        <w:t xml:space="preserve">EUR 0.63 million*</w:t>
      </w:r>
      <w:r>
        <w:t xml:space="preserve"> </w:t>
      </w:r>
      <w:r>
        <w:t xml:space="preserve">Simplification for around 3000 designs that</w:t>
      </w:r>
      <w:r>
        <w:t xml:space="preserve"> </w:t>
      </w:r>
      <w:r>
        <w:t xml:space="preserve">annually are transferred to different owners.</w:t>
      </w:r>
      <w:r>
        <w:t xml:space="preserve"> </w:t>
      </w:r>
      <w:r>
        <w:t xml:space="preserve">Office-based invalidity</w:t>
      </w:r>
      <w:r>
        <w:t xml:space="preserve"> </w:t>
      </w:r>
      <w:r>
        <w:t xml:space="preserve">procedure in national IP</w:t>
      </w:r>
      <w:r>
        <w:t xml:space="preserve"> </w:t>
      </w:r>
      <w:r>
        <w:t xml:space="preserve">offices</w:t>
      </w:r>
      <w:r>
        <w:t xml:space="preserve"> </w:t>
      </w:r>
      <w:r>
        <w:t xml:space="preserve">EUR 4,000 – 7,000 per case</w:t>
      </w:r>
      <w:r>
        <w:t xml:space="preserve"> </w:t>
      </w:r>
      <w:r>
        <w:t xml:space="preserve">Concerns those seeking to cancel invalid</w:t>
      </w:r>
      <w:r>
        <w:t xml:space="preserve"> </w:t>
      </w:r>
      <w:r>
        <w:t xml:space="preserve">design</w:t>
      </w:r>
      <w:r>
        <w:br/>
      </w:r>
      <w:r>
        <w:t xml:space="preserve">No ex-officio examination</w:t>
      </w:r>
      <w:r>
        <w:t xml:space="preserve"> </w:t>
      </w:r>
      <w:r>
        <w:t xml:space="preserve">of prior art in national IP</w:t>
      </w:r>
      <w:r>
        <w:t xml:space="preserve"> </w:t>
      </w:r>
      <w:r>
        <w:t xml:space="preserve">offices</w:t>
      </w:r>
      <w:r>
        <w:t xml:space="preserve"> </w:t>
      </w:r>
      <w:r>
        <w:t xml:space="preserve">Registration time cut in half</w:t>
      </w:r>
      <w:r>
        <w:t xml:space="preserve"> </w:t>
      </w:r>
      <w:r>
        <w:t xml:space="preserve">Concerns around 1000 applications a year</w:t>
      </w:r>
      <w:r>
        <w:t xml:space="preserve"> </w:t>
      </w:r>
      <w:r>
        <w:t xml:space="preserve">Indirect benefits</w:t>
      </w:r>
      <w:r>
        <w:t xml:space="preserve"> </w:t>
      </w:r>
      <w:r>
        <w:t xml:space="preserve">N/A</w:t>
      </w:r>
    </w:p>
    <w:p>
      <w:pPr>
        <w:pStyle w:val="BodyText"/>
      </w:pPr>
      <w:r>
        <w:t xml:space="preserve">74</w:t>
      </w:r>
      <w:r>
        <w:t xml:space="preserve"> </w:t>
      </w:r>
      <w:r>
        <w:t xml:space="preserve">* Estimate for 2024. Benefits will increase with raise of number of applications/protected designs. In the optimistic scenario</w:t>
      </w:r>
      <w:r>
        <w:t xml:space="preserve"> </w:t>
      </w:r>
      <w:r>
        <w:t xml:space="preserve">number of applications may raise by 15% in 2030 in comparison to the baseline growth.</w:t>
      </w:r>
    </w:p>
    <w:p>
      <w:pPr>
        <w:pStyle w:val="Compact"/>
        <w:numPr>
          <w:ilvl w:val="0"/>
          <w:numId w:val="1002"/>
        </w:numPr>
      </w:pPr>
      <w:r>
        <w:t xml:space="preserve">Overview of costs – Preferred option</w:t>
      </w:r>
    </w:p>
    <w:p>
      <w:pPr>
        <w:pStyle w:val="FirstParagraph"/>
      </w:pPr>
      <w:r>
        <w:t xml:space="preserve">Citizens/Consumers</w:t>
      </w:r>
      <w:r>
        <w:br/>
      </w:r>
      <w:r>
        <w:t xml:space="preserve">Businesses</w:t>
      </w:r>
      <w:r>
        <w:t xml:space="preserve"> </w:t>
      </w:r>
      <w:r>
        <w:t xml:space="preserve">Administrations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One-off*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2nd</w:t>
      </w:r>
      <w:r>
        <w:t xml:space="preserve"> </w:t>
      </w:r>
      <w:r>
        <w:t xml:space="preserve">renewal</w:t>
      </w:r>
      <w:r>
        <w:t xml:space="preserve"> </w:t>
      </w:r>
      <w:r>
        <w:t xml:space="preserve">(15 years</w:t>
      </w:r>
      <w:r>
        <w:t xml:space="preserve"> </w:t>
      </w:r>
      <w:r>
        <w:t xml:space="preserve">protection</w:t>
      </w:r>
      <w:r>
        <w:t xml:space="preserve"> </w:t>
      </w:r>
      <w:r>
        <w:t xml:space="preserve">)</w:t>
      </w:r>
      <w:r>
        <w:t xml:space="preserve"> </w:t>
      </w:r>
      <w:r>
        <w:t xml:space="preserve">Direct costs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EUR 175.33</w:t>
      </w:r>
      <w:r>
        <w:t xml:space="preserve"> </w:t>
      </w:r>
      <w:r>
        <w:t xml:space="preserve">per owner</w:t>
      </w:r>
    </w:p>
    <w:p>
      <w:pPr>
        <w:pStyle w:val="BodyText"/>
      </w:pPr>
      <w:r>
        <w:t xml:space="preserve">Total</w:t>
      </w:r>
      <w:r>
        <w:t xml:space="preserve"> </w:t>
      </w:r>
      <w:r>
        <w:t xml:space="preserve">annually*:</w:t>
      </w:r>
      <w:r>
        <w:t xml:space="preserve"> </w:t>
      </w:r>
      <w:r>
        <w:t xml:space="preserve">EUR0.6m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Indirect costs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3rd</w:t>
      </w:r>
      <w:r>
        <w:t xml:space="preserve"> </w:t>
      </w:r>
      <w:r>
        <w:t xml:space="preserve">renewal</w:t>
      </w:r>
      <w:r>
        <w:t xml:space="preserve"> </w:t>
      </w:r>
      <w:r>
        <w:t xml:space="preserve">(20 years</w:t>
      </w:r>
      <w:r>
        <w:t xml:space="preserve"> </w:t>
      </w:r>
      <w:r>
        <w:t xml:space="preserve">protection</w:t>
      </w:r>
      <w:r>
        <w:t xml:space="preserve"> </w:t>
      </w:r>
      <w:r>
        <w:t xml:space="preserve">)</w:t>
      </w:r>
      <w:r>
        <w:t xml:space="preserve"> </w:t>
      </w:r>
      <w:r>
        <w:t xml:space="preserve">Direct costs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EUR 1,139.66</w:t>
      </w:r>
      <w:r>
        <w:t xml:space="preserve"> </w:t>
      </w:r>
      <w:r>
        <w:t xml:space="preserve">per owner</w:t>
      </w:r>
    </w:p>
    <w:p>
      <w:pPr>
        <w:pStyle w:val="BodyText"/>
      </w:pPr>
      <w:r>
        <w:t xml:space="preserve">Total</w:t>
      </w:r>
      <w:r>
        <w:t xml:space="preserve"> </w:t>
      </w:r>
      <w:r>
        <w:t xml:space="preserve">annually*:</w:t>
      </w:r>
      <w:r>
        <w:t xml:space="preserve"> </w:t>
      </w:r>
      <w:r>
        <w:t xml:space="preserve">EUR1.5m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Indirect costs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4th</w:t>
      </w:r>
      <w:r>
        <w:t xml:space="preserve"> </w:t>
      </w:r>
      <w:r>
        <w:t xml:space="preserve">renewal</w:t>
      </w:r>
      <w:r>
        <w:br/>
      </w:r>
      <w:r>
        <w:t xml:space="preserve">(25 years</w:t>
      </w:r>
      <w:r>
        <w:t xml:space="preserve"> </w:t>
      </w:r>
      <w:r>
        <w:t xml:space="preserve">protection</w:t>
      </w:r>
      <w:r>
        <w:t xml:space="preserve"> </w:t>
      </w:r>
      <w:r>
        <w:t xml:space="preserve">)</w:t>
      </w:r>
      <w:r>
        <w:t xml:space="preserve"> </w:t>
      </w:r>
      <w:r>
        <w:t xml:space="preserve">Direct costs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EUR 3,345.93</w:t>
      </w:r>
      <w:r>
        <w:t xml:space="preserve"> </w:t>
      </w:r>
      <w:r>
        <w:t xml:space="preserve">per owner</w:t>
      </w:r>
    </w:p>
    <w:p>
      <w:pPr>
        <w:pStyle w:val="BodyText"/>
      </w:pPr>
      <w:r>
        <w:t xml:space="preserve">Total</w:t>
      </w:r>
      <w:r>
        <w:t xml:space="preserve"> </w:t>
      </w:r>
      <w:r>
        <w:t xml:space="preserve">annually*:</w:t>
      </w:r>
      <w:r>
        <w:t xml:space="preserve"> </w:t>
      </w:r>
      <w:r>
        <w:t xml:space="preserve">EUR2.3m</w:t>
      </w:r>
    </w:p>
    <w:p>
      <w:pPr>
        <w:pStyle w:val="BodyText"/>
      </w:pP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Indirect costs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Cap of 50</w:t>
      </w:r>
      <w:r>
        <w:t xml:space="preserve"> </w:t>
      </w:r>
      <w:r>
        <w:t xml:space="preserve">designs</w:t>
      </w:r>
      <w:r>
        <w:t xml:space="preserve"> </w:t>
      </w:r>
      <w:r>
        <w:t xml:space="preserve">per</w:t>
      </w:r>
      <w:r>
        <w:t xml:space="preserve"> </w:t>
      </w:r>
      <w:r>
        <w:t xml:space="preserve">applicatio</w:t>
      </w:r>
      <w:r>
        <w:t xml:space="preserve"> </w:t>
      </w:r>
      <w:r>
        <w:t xml:space="preserve">n</w:t>
      </w:r>
      <w:r>
        <w:t xml:space="preserve"> </w:t>
      </w:r>
      <w:r>
        <w:t xml:space="preserve">Direct costs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EUR 2,539.88</w:t>
      </w:r>
      <w:r>
        <w:t xml:space="preserve"> </w:t>
      </w:r>
      <w:r>
        <w:t xml:space="preserve">per owner</w:t>
      </w:r>
    </w:p>
    <w:p>
      <w:pPr>
        <w:pStyle w:val="BodyText"/>
      </w:pPr>
      <w:r>
        <w:t xml:space="preserve">Total</w:t>
      </w:r>
      <w:r>
        <w:t xml:space="preserve"> </w:t>
      </w:r>
      <w:r>
        <w:t xml:space="preserve">annually</w:t>
      </w:r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w:r>
        <w:rPr>
          <w:i/>
          <w:iCs/>
        </w:rPr>
        <w:t xml:space="preserve">EUR0.18m</w:t>
      </w:r>
      <w:r>
        <w:br/>
      </w:r>
      <w:r>
        <w:rPr>
          <w:i/>
          <w:iCs/>
        </w:rPr>
        <w:t xml:space="preserve">n/a</w:t>
      </w:r>
      <w:r>
        <w:rPr>
          <w:i/>
          <w:iCs/>
        </w:rPr>
        <w:t xml:space="preserve"> </w:t>
      </w:r>
      <w:r>
        <w:rPr>
          <w:i/>
          <w:iCs/>
        </w:rPr>
        <w:t xml:space="preserve">n/a</w:t>
      </w:r>
      <w:r>
        <w:rPr>
          <w:i/>
          <w:iCs/>
        </w:rPr>
        <w:t xml:space="preserve"> </w:t>
      </w:r>
      <w:r>
        <w:rPr>
          <w:i/>
          <w:iCs/>
        </w:rPr>
        <w:t xml:space="preserve">n/a</w:t>
      </w:r>
      <w:r>
        <w:rPr>
          <w:i/>
          <w:iCs/>
        </w:rPr>
        <w:t xml:space="preserve"> </w:t>
      </w:r>
      <w:r>
        <w:rPr>
          <w:i/>
          <w:iCs/>
        </w:rPr>
        <w:t xml:space="preserve">Indirect costs</w:t>
      </w:r>
      <w:r>
        <w:rPr>
          <w:i/>
          <w:iCs/>
        </w:rPr>
        <w:t xml:space="preserve"> </w:t>
      </w:r>
      <w:r>
        <w:rPr>
          <w:i/>
          <w:iCs/>
        </w:rPr>
        <w:t xml:space="preserve">n/a</w:t>
      </w:r>
      <w:r>
        <w:rPr>
          <w:i/>
          <w:iCs/>
        </w:rPr>
        <w:t xml:space="preserve"> </w:t>
      </w:r>
      <w:r>
        <w:rPr>
          <w:i/>
          <w:iCs/>
        </w:rPr>
        <w:t xml:space="preserve">n/a</w:t>
      </w:r>
      <w:r>
        <w:rPr>
          <w:i/>
          <w:iCs/>
        </w:rPr>
        <w:t xml:space="preserve"> </w:t>
      </w:r>
      <w:r>
        <w:rPr>
          <w:i/>
          <w:iCs/>
        </w:rPr>
        <w:t xml:space="preserve">n/a</w:t>
      </w:r>
      <w:r>
        <w:rPr>
          <w:i/>
          <w:iCs/>
        </w:rPr>
        <w:t xml:space="preserve"> </w:t>
      </w:r>
      <w:r>
        <w:rPr>
          <w:i/>
          <w:iCs/>
        </w:rPr>
        <w:t xml:space="preserve">n/a</w:t>
      </w:r>
      <w:r>
        <w:rPr>
          <w:i/>
          <w:iCs/>
        </w:rPr>
        <w:t xml:space="preserve"> </w:t>
      </w:r>
      <w:r>
        <w:rPr>
          <w:i/>
          <w:iCs/>
        </w:rPr>
        <w:t xml:space="preserve">n/a</w:t>
      </w:r>
      <w:r>
        <w:rPr>
          <w:i/>
          <w:iCs/>
        </w:rPr>
        <w:t xml:space="preserve"> </w:t>
      </w:r>
      <w:r>
        <w:rPr>
          <w:i/>
          <w:iCs/>
        </w:rPr>
        <w:t xml:space="preserve">n/a</w:t>
      </w:r>
      <w:r>
        <w:rPr>
          <w:i/>
          <w:iCs/>
        </w:rPr>
        <w:t xml:space="preserve"> </w:t>
      </w:r>
      <w:r>
        <w:t xml:space="preserve"> </w:t>
      </w:r>
      <w:r>
        <w:t xml:space="preserve">Each of the cost below are paid only once per each design or application.</w:t>
      </w:r>
    </w:p>
    <w:p>
      <w:pPr>
        <w:pStyle w:val="BodyText"/>
      </w:pPr>
      <w:r>
        <w:t xml:space="preserve">75</w:t>
      </w:r>
      <w:r>
        <w:t xml:space="preserve"> </w:t>
      </w:r>
      <w:r>
        <w:t xml:space="preserve">ANNEX 4: ANALYTICAL METHODS</w:t>
      </w:r>
      <w:r>
        <w:t xml:space="preserve"> </w:t>
      </w:r>
      <w:r>
        <w:t xml:space="preserve">The analytical methods used in the various studies mentioned in Annex 1 are explained</w:t>
      </w:r>
      <w:r>
        <w:t xml:space="preserve"> </w:t>
      </w:r>
      <w:r>
        <w:t xml:space="preserve">in the text of the respective studies.</w:t>
      </w:r>
      <w:r>
        <w:t xml:space="preserve"> </w:t>
      </w:r>
      <w:r>
        <w:t xml:space="preserve">Measuring the impact of introducing EU-wide repair clause</w:t>
      </w:r>
      <w:r>
        <w:t xml:space="preserve"> </w:t>
      </w:r>
      <w:r>
        <w:t xml:space="preserve">Using data on prices of 12 types of spare parts for 60 car models from 2001 to 2016 in 16</w:t>
      </w:r>
      <w:r>
        <w:t xml:space="preserve"> </w:t>
      </w:r>
      <w:r>
        <w:t xml:space="preserve">EU member states plus Norway and Switzerland, Herz &amp; Mejer (2020) difference-in-</w:t>
      </w:r>
      <w:r>
        <w:t xml:space="preserve"> </w:t>
      </w:r>
      <w:r>
        <w:t xml:space="preserve">differences estimates imply that design protection extended to the use of spare parts for</w:t>
      </w:r>
      <w:r>
        <w:t xml:space="preserve"> </w:t>
      </w:r>
      <w:r>
        <w:t xml:space="preserve">the purpose of repair increases prices of these parts in Europe by about 5–8%.</w:t>
      </w:r>
      <w:r>
        <w:t xml:space="preserve"> </w:t>
      </w:r>
      <w:r>
        <w:t xml:space="preserve">Herz &amp; Mejer (2020) use these estimates to calculate potential savings to the European</w:t>
      </w:r>
      <w:r>
        <w:t xml:space="preserve"> </w:t>
      </w:r>
      <w:r>
        <w:t xml:space="preserve">Union customers. “Savings” refer to the counterfactual decrease in spending of EU</w:t>
      </w:r>
      <w:r>
        <w:t xml:space="preserve"> </w:t>
      </w:r>
      <w:r>
        <w:t xml:space="preserve">consumers for a given quantity of spare parts. The quantity is proxy using the spare parts</w:t>
      </w:r>
      <w:r>
        <w:t xml:space="preserve"> </w:t>
      </w:r>
      <w:r>
        <w:t xml:space="preserve">market data coming from GlobalData Report166 that documents that in 2017 the annual</w:t>
      </w:r>
      <w:r>
        <w:t xml:space="preserve"> </w:t>
      </w:r>
      <w:r>
        <w:t xml:space="preserve">value of the market for visible spare parts (i.e. lighting, body parts and glazing segments)</w:t>
      </w:r>
      <w:r>
        <w:t xml:space="preserve"> </w:t>
      </w:r>
      <w:r>
        <w:t xml:space="preserve">in the EU in 2016 amounted to EUR 20 billion with 45% of sales occurring in the</w:t>
      </w:r>
      <w:r>
        <w:t xml:space="preserve"> </w:t>
      </w:r>
      <w:r>
        <w:t xml:space="preserve">countries without repair clause exemption. The market size includes the UK who was at</w:t>
      </w:r>
      <w:r>
        <w:t xml:space="preserve"> </w:t>
      </w:r>
      <w:r>
        <w:t xml:space="preserve">that time member of the European Union and who has a repair clause exemption. Herz &amp;</w:t>
      </w:r>
      <w:r>
        <w:t xml:space="preserve"> </w:t>
      </w:r>
      <w:r>
        <w:t xml:space="preserve">Mejer (2020) conclude that the EU28 consumers would save between EUR 450 and 720</w:t>
      </w:r>
      <w:r>
        <w:t xml:space="preserve"> </w:t>
      </w:r>
      <w:r>
        <w:t xml:space="preserve">million annually on the purchase of visible automotive spare parts alone.</w:t>
      </w:r>
      <w:r>
        <w:t xml:space="preserve"> </w:t>
      </w:r>
      <w:r>
        <w:t xml:space="preserve">For the purpose of this impact assessment the saving estimates by Herz &amp; Mejer (2020)</w:t>
      </w:r>
      <w:r>
        <w:t xml:space="preserve"> </w:t>
      </w:r>
      <w:r>
        <w:t xml:space="preserve">are updated with the data on market size reported in Wolk After Sales Experts Study</w:t>
      </w:r>
      <w:r>
        <w:t xml:space="preserve"> </w:t>
      </w:r>
      <w:r>
        <w:t xml:space="preserve">(2021). According to this recent study, in 2019 the market size for visible spare parts in</w:t>
      </w:r>
      <w:r>
        <w:t xml:space="preserve"> </w:t>
      </w:r>
      <w:r>
        <w:t xml:space="preserve">the EU27 (i.e. post-Brexit) amounted to EUR 16.3 billion with almost 51% of sales</w:t>
      </w:r>
      <w:r>
        <w:t xml:space="preserve"> </w:t>
      </w:r>
      <w:r>
        <w:t xml:space="preserve">(EUR 8.3 billion) occurring in countries without repair clause exemption, resulting in</w:t>
      </w:r>
      <w:r>
        <w:t xml:space="preserve"> </w:t>
      </w:r>
      <w:r>
        <w:t xml:space="preserve">potential annual savings to the EU customers between EUR 415 and EUR 664 million.</w:t>
      </w:r>
      <w:r>
        <w:t xml:space="preserve"> </w:t>
      </w:r>
      <w:r>
        <w:t xml:space="preserve">Assessment of options</w:t>
      </w:r>
      <w:r>
        <w:t xml:space="preserve"> </w:t>
      </w:r>
      <w:r>
        <w:t xml:space="preserve">Most VMs launch a new generation of a given model (‘redesign’) every five to eight</w:t>
      </w:r>
      <w:r>
        <w:t xml:space="preserve"> </w:t>
      </w:r>
      <w:r>
        <w:t xml:space="preserve">years.167 In the meantime, they may add small changes to the skin and/or interior design</w:t>
      </w:r>
      <w:r>
        <w:t xml:space="preserve"> </w:t>
      </w:r>
      <w:r>
        <w:t xml:space="preserve">of a car to boost consumer interests in a model. Those changes tend to be made to the</w:t>
      </w:r>
      <w:r>
        <w:t xml:space="preserve"> </w:t>
      </w:r>
      <w:r>
        <w:t xml:space="preserve">bumpers, lights and grille and are called ‘a facelift’. For the purpose of assessment of</w:t>
      </w:r>
      <w:r>
        <w:t xml:space="preserve"> </w:t>
      </w:r>
      <w:r>
        <w:t xml:space="preserve">options it is therefore assumed that ‘redesign’ takes place every six years and ‘facelift’</w:t>
      </w:r>
      <w:r>
        <w:t xml:space="preserve"> </w:t>
      </w:r>
      <w:r>
        <w:t xml:space="preserve">every three years.</w:t>
      </w:r>
      <w:r>
        <w:t xml:space="preserve"> </w:t>
      </w:r>
      <w:r>
        <w:t xml:space="preserve">Data on vehicles in use by age comes from the ACEA Report.168 Out of 16 MS that do</w:t>
      </w:r>
      <w:r>
        <w:t xml:space="preserve"> </w:t>
      </w:r>
      <w:r>
        <w:t xml:space="preserve">not have a repair clause in place or liberalised the market only recently (i.e. Germany and</w:t>
      </w:r>
      <w:r>
        <w:t xml:space="preserve"> </w:t>
      </w:r>
      <w:r>
        <w:t xml:space="preserve">France), detailed information is available for as much as 12 MS.169 In 2019, there were</w:t>
      </w:r>
      <w:r>
        <w:t xml:space="preserve"> </w:t>
      </w:r>
      <w:r>
        <w:t xml:space="preserve">123 million passenger cars on the roads in those MS and among them 7.2 million new</w:t>
      </w:r>
      <w:r>
        <w:t xml:space="preserve"> </w:t>
      </w:r>
      <w:r>
        <w:t xml:space="preserve">cars.</w:t>
      </w:r>
      <w:r>
        <w:t xml:space="preserve"> </w:t>
      </w:r>
      <w:r>
        <w:t xml:space="preserve">Option 1.1: Full liberalisation for all designs. Under this option a repair clause would</w:t>
      </w:r>
      <w:r>
        <w:t xml:space="preserve"> </w:t>
      </w:r>
      <w:r>
        <w:t xml:space="preserve">apply to all cars that are currently on the market, including 123 million cars in markets</w:t>
      </w:r>
    </w:p>
    <w:p>
      <w:pPr>
        <w:pStyle w:val="BodyText"/>
      </w:pPr>
      <w:r>
        <w:t xml:space="preserve">166 GlobalData (2017). The European Car Crash Repair Parts Market 2012 – 2022: Market size, market</w:t>
      </w:r>
      <w:r>
        <w:t xml:space="preserve"> </w:t>
      </w:r>
      <w:r>
        <w:t xml:space="preserve">forecast and recommendations. Published: February 2017.</w:t>
      </w:r>
      <w:r>
        <w:t xml:space="preserve"> </w:t>
      </w:r>
      <w:r>
        <w:t xml:space="preserve">167 See specialised press: https://www.autotrader.com/car-shopping/buying-car-why-you-should-pay-</w:t>
      </w:r>
      <w:r>
        <w:t xml:space="preserve"> </w:t>
      </w:r>
      <w:r>
        <w:t xml:space="preserve">attention-model-cycles-239246;</w:t>
      </w:r>
      <w:r>
        <w:t xml:space="preserve"> </w:t>
      </w:r>
      <w:r>
        <w:t xml:space="preserve">or</w:t>
      </w:r>
      <w:r>
        <w:t xml:space="preserve"> </w:t>
      </w:r>
      <w:r>
        <w:t xml:space="preserve">https://www.carwow.co.uk/guides/glossary/car-facelift-explained-</w:t>
      </w:r>
      <w:r>
        <w:t xml:space="preserve"> </w:t>
      </w:r>
      <w:r>
        <w:t xml:space="preserve">0658#gref</w:t>
      </w:r>
      <w:r>
        <w:br/>
      </w:r>
      <w:r>
        <w:t xml:space="preserve">168 ACEA Report (2021, January) Vehicles in use, Europe. p. 10 - Vehicles in use by Age.</w:t>
      </w:r>
      <w:r>
        <w:t xml:space="preserve"> </w:t>
      </w:r>
      <w:r>
        <w:t xml:space="preserve">169 Infomration on Bulgaria, Croatia, Cyprus and Malta is missing.</w:t>
      </w:r>
    </w:p>
    <w:p>
      <w:pPr>
        <w:pStyle w:val="BodyText"/>
      </w:pPr>
      <w:r>
        <w:t xml:space="preserve">76</w:t>
      </w:r>
      <w:r>
        <w:t xml:space="preserve"> </w:t>
      </w:r>
      <w:r>
        <w:t xml:space="preserve">without a repair clause, bringing full potential savings between EUR 415 and EUR 664</w:t>
      </w:r>
      <w:r>
        <w:t xml:space="preserve"> </w:t>
      </w:r>
      <w:r>
        <w:t xml:space="preserve">million to consumers.</w:t>
      </w:r>
      <w:r>
        <w:t xml:space="preserve"> </w:t>
      </w:r>
      <w:r>
        <w:t xml:space="preserve">Option 1.2: Instant full liberalisation for new designs followed by full liberalisation</w:t>
      </w:r>
      <w:r>
        <w:t xml:space="preserve"> </w:t>
      </w:r>
      <w:r>
        <w:t xml:space="preserve">for old designs after transitional ten-year period. Under this option, during the transition</w:t>
      </w:r>
      <w:r>
        <w:t xml:space="preserve"> </w:t>
      </w:r>
      <w:r>
        <w:t xml:space="preserve">period of 10 years only spare parts for ‘redesigned’ or ‘facelifted’ models would be</w:t>
      </w:r>
      <w:r>
        <w:t xml:space="preserve"> </w:t>
      </w:r>
      <w:r>
        <w:t xml:space="preserve">covered under a repair clause. To proxy the number of ‘redesigned’ cars, it is assumed</w:t>
      </w:r>
      <w:r>
        <w:t xml:space="preserve"> </w:t>
      </w:r>
      <w:r>
        <w:t xml:space="preserve">that spare parts for one out of six cars would be subject to a repair clause (7.2 million *</w:t>
      </w:r>
      <w:r>
        <w:t xml:space="preserve"> </w:t>
      </w:r>
      <w:r>
        <w:t xml:space="preserve">1/6 = 1.2 million), which amounts to 1% of the total passenger car fleet. At the end of the</w:t>
      </w:r>
      <w:r>
        <w:t xml:space="preserve"> </w:t>
      </w:r>
      <w:r>
        <w:t xml:space="preserve">10-year transition period, 10% of the car fleet would benefit from a repair clause. This</w:t>
      </w:r>
      <w:r>
        <w:t xml:space="preserve"> </w:t>
      </w:r>
      <w:r>
        <w:t xml:space="preserve">share increases to 20% if ‘facelifted’ cars are accounted for. Therefore, during the</w:t>
      </w:r>
      <w:r>
        <w:t xml:space="preserve"> </w:t>
      </w:r>
      <w:r>
        <w:t xml:space="preserve">transition period the benefits to consumers would be very limited.</w:t>
      </w:r>
      <w:r>
        <w:t xml:space="preserve"> </w:t>
      </w:r>
      <w:r>
        <w:t xml:space="preserve">Option 1.3: Full liberalisation of new designs. Applying the same assumption as in the</w:t>
      </w:r>
      <w:r>
        <w:t xml:space="preserve"> </w:t>
      </w:r>
      <w:r>
        <w:t xml:space="preserve">case of Option 1.2, after ten years between 10 and 20% would benefit from a repair</w:t>
      </w:r>
      <w:r>
        <w:t xml:space="preserve"> </w:t>
      </w:r>
      <w:r>
        <w:t xml:space="preserve">clause, after 15 years this share would go up to between 15 and 30% respectively, and</w:t>
      </w:r>
      <w:r>
        <w:t xml:space="preserve"> </w:t>
      </w:r>
      <w:r>
        <w:t xml:space="preserve">after 20 years between 20 and 40%.</w:t>
      </w:r>
    </w:p>
    <w:p>
      <w:pPr>
        <w:pStyle w:val="BodyText"/>
      </w:pPr>
      <w:r>
        <w:t xml:space="preserve">77</w:t>
      </w:r>
      <w:r>
        <w:t xml:space="preserve"> </w:t>
      </w:r>
      <w:r>
        <w:t xml:space="preserve">ANNEX 5: PROPOSALS TO BE COVERED BY THE REVISION OF THE</w:t>
      </w:r>
      <w:r>
        <w:t xml:space="preserve"> </w:t>
      </w:r>
      <w:r>
        <w:t xml:space="preserve">REGULATORY FRAMEWORK</w:t>
      </w:r>
      <w:r>
        <w:t xml:space="preserve"> </w:t>
      </w:r>
      <w:r>
        <w:t xml:space="preserve">1. Introduction of a repair clause into the DDir in alignment with Article 110 CDR</w:t>
      </w:r>
      <w:r>
        <w:t xml:space="preserve"> </w:t>
      </w:r>
      <w:r>
        <w:t xml:space="preserve">(addressed in the problem definition)</w:t>
      </w:r>
      <w:r>
        <w:t xml:space="preserve"> </w:t>
      </w:r>
      <w:r>
        <w:t xml:space="preserve">2. Updating and streamlining provisions and procedures related to the RCD, to the extent</w:t>
      </w:r>
      <w:r>
        <w:t xml:space="preserve"> </w:t>
      </w:r>
      <w:r>
        <w:t xml:space="preserve">relevant in alignment with reformed EUTMR (addressed in the problem definition)</w:t>
      </w:r>
      <w:r>
        <w:t xml:space="preserve"> </w:t>
      </w:r>
      <w:r>
        <w:t xml:space="preserve">– Definitions of a design and product (Article 3 CDR, Article 1 DDir).</w:t>
      </w:r>
      <w:r>
        <w:t xml:space="preserve"> </w:t>
      </w:r>
      <w:r>
        <w:t xml:space="preserve">– Filing of RCD applications through national offices (Article 35 CDR): The option</w:t>
      </w:r>
      <w:r>
        <w:t xml:space="preserve"> </w:t>
      </w:r>
      <w:r>
        <w:t xml:space="preserve">to apply for a RCD through a national IP office has been foreseen by the CDR as</w:t>
      </w:r>
      <w:r>
        <w:t xml:space="preserve"> </w:t>
      </w:r>
      <w:r>
        <w:t xml:space="preserve">temporary measure (see Article 35(4) CDR). The number of applications received</w:t>
      </w:r>
      <w:r>
        <w:t xml:space="preserve"> </w:t>
      </w:r>
      <w:r>
        <w:t xml:space="preserve">through national offices have become near extinct. Therefore, in alignment with</w:t>
      </w:r>
      <w:r>
        <w:t xml:space="preserve"> </w:t>
      </w:r>
      <w:r>
        <w:t xml:space="preserve">the reformed EUTMR, the option of filing a RCD through national offices should</w:t>
      </w:r>
      <w:r>
        <w:t xml:space="preserve"> </w:t>
      </w:r>
      <w:r>
        <w:t xml:space="preserve">be abolished.</w:t>
      </w:r>
      <w:r>
        <w:t xml:space="preserve"> </w:t>
      </w:r>
      <w:r>
        <w:t xml:space="preserve">– Align other procedural rules of the CDR with the reformed EUTMR, such as</w:t>
      </w:r>
      <w:r>
        <w:t xml:space="preserve"> </w:t>
      </w:r>
      <w:r>
        <w:t xml:space="preserve">regards the persons that can be proprietors of a RCD, the principles of</w:t>
      </w:r>
      <w:r>
        <w:t xml:space="preserve"> </w:t>
      </w:r>
      <w:r>
        <w:t xml:space="preserve">professional representation, the means and rules of communicating with the</w:t>
      </w:r>
      <w:r>
        <w:t xml:space="preserve"> </w:t>
      </w:r>
      <w:r>
        <w:t xml:space="preserve">EUIPO, the legal instruments available in proceedings (such as revocation of</w:t>
      </w:r>
      <w:r>
        <w:t xml:space="preserve"> </w:t>
      </w:r>
      <w:r>
        <w:t xml:space="preserve">decisions as provided for in Article 103 EUTMR, or continuation of proceedings</w:t>
      </w:r>
      <w:r>
        <w:t xml:space="preserve"> </w:t>
      </w:r>
      <w:r>
        <w:t xml:space="preserve">as provided for in Article 105 EUTMR) and their requisites.</w:t>
      </w:r>
      <w:r>
        <w:t xml:space="preserve"> </w:t>
      </w:r>
      <w:r>
        <w:t xml:space="preserve">3. Optimization and streamlining of the fee schedule and adjustment of the amount of</w:t>
      </w:r>
      <w:r>
        <w:t xml:space="preserve"> </w:t>
      </w:r>
      <w:r>
        <w:t xml:space="preserve">fees to be paid for the RCD (addressed in the problem definition)</w:t>
      </w:r>
      <w:r>
        <w:t xml:space="preserve"> </w:t>
      </w:r>
      <w:r>
        <w:t xml:space="preserve">4. Further approximation of design laws and procedures (addressed in the problem</w:t>
      </w:r>
      <w:r>
        <w:t xml:space="preserve"> </w:t>
      </w:r>
      <w:r>
        <w:t xml:space="preserve">definition)</w:t>
      </w:r>
      <w:r>
        <w:br/>
      </w:r>
      <w:r>
        <w:t xml:space="preserve">4.1 Principal procedural rules to be added to the DDir in alignment with the CDR</w:t>
      </w:r>
      <w:r>
        <w:t xml:space="preserve"> </w:t>
      </w:r>
      <w:r>
        <w:t xml:space="preserve">-</w:t>
      </w:r>
      <w:r>
        <w:t xml:space="preserve"> </w:t>
      </w:r>
      <w:r>
        <w:t xml:space="preserve">Regulate requirements for obtaining a filing date;</w:t>
      </w:r>
      <w:r>
        <w:t xml:space="preserve"> </w:t>
      </w:r>
      <w:r>
        <w:t xml:space="preserve">-</w:t>
      </w:r>
      <w:r>
        <w:t xml:space="preserve"> </w:t>
      </w:r>
      <w:r>
        <w:t xml:space="preserve">Regulate the requirements and technical means for the clear and precise</w:t>
      </w:r>
      <w:r>
        <w:t xml:space="preserve"> </w:t>
      </w:r>
      <w:r>
        <w:t xml:space="preserve">representation of designs;</w:t>
      </w:r>
      <w:r>
        <w:br/>
      </w:r>
      <w:r>
        <w:t xml:space="preserve">-</w:t>
      </w:r>
      <w:r>
        <w:t xml:space="preserve"> </w:t>
      </w:r>
      <w:r>
        <w:t xml:space="preserve">Regulate that it must be possible to combine several designs in a design</w:t>
      </w:r>
      <w:r>
        <w:t xml:space="preserve"> </w:t>
      </w:r>
      <w:r>
        <w:t xml:space="preserve">application (multiple application) and without the need for the relevant products</w:t>
      </w:r>
      <w:r>
        <w:t xml:space="preserve"> </w:t>
      </w:r>
      <w:r>
        <w:t xml:space="preserve">to belong to the same class of the International Locarno Classification;</w:t>
      </w:r>
      <w:r>
        <w:t xml:space="preserve"> </w:t>
      </w:r>
      <w:r>
        <w:t xml:space="preserve">-</w:t>
      </w:r>
      <w:r>
        <w:t xml:space="preserve"> </w:t>
      </w:r>
      <w:r>
        <w:t xml:space="preserve">Regulate that it must be possible to request that the publication of a registered</w:t>
      </w:r>
      <w:r>
        <w:t xml:space="preserve"> </w:t>
      </w:r>
      <w:r>
        <w:t xml:space="preserve">design be deferred for a period of 30 months from the date of filing (or the date of</w:t>
      </w:r>
      <w:r>
        <w:t xml:space="preserve"> </w:t>
      </w:r>
      <w:r>
        <w:t xml:space="preserve">priority of) the application in alignment with Article 50 CDR;</w:t>
      </w:r>
      <w:r>
        <w:br/>
      </w:r>
      <w:r>
        <w:t xml:space="preserve">-</w:t>
      </w:r>
      <w:r>
        <w:t xml:space="preserve"> </w:t>
      </w:r>
      <w:r>
        <w:t xml:space="preserve">Regulate that ex-officio substantive examination of a design application does not</w:t>
      </w:r>
      <w:r>
        <w:t xml:space="preserve"> </w:t>
      </w:r>
      <w:r>
        <w:t xml:space="preserve">cover prior art in alignment with Article 47 CDR;</w:t>
      </w:r>
      <w:r>
        <w:t xml:space="preserve"> </w:t>
      </w:r>
      <w:r>
        <w:t xml:space="preserve">-</w:t>
      </w:r>
      <w:r>
        <w:t xml:space="preserve"> </w:t>
      </w:r>
      <w:r>
        <w:t xml:space="preserve">Regulate that it must be possible to request the invalidation of a registered design</w:t>
      </w:r>
      <w:r>
        <w:t xml:space="preserve"> </w:t>
      </w:r>
      <w:r>
        <w:t xml:space="preserve">in proceedings before the office (mandatory administrative invalidity procedure).</w:t>
      </w:r>
      <w:r>
        <w:t xml:space="preserve"> </w:t>
      </w:r>
      <w:r>
        <w:t xml:space="preserve">4.2 Further substantive rules of the CDR to become part of the DDir</w:t>
      </w:r>
      <w:r>
        <w:t xml:space="preserve"> </w:t>
      </w:r>
      <w:r>
        <w:t xml:space="preserve">-</w:t>
      </w:r>
      <w:r>
        <w:t xml:space="preserve"> </w:t>
      </w:r>
      <w:r>
        <w:t xml:space="preserve">Make explicit in the DDir that the scope of protection conferred by a registered</w:t>
      </w:r>
      <w:r>
        <w:t xml:space="preserve"> </w:t>
      </w:r>
      <w:r>
        <w:t xml:space="preserve">design is not limited to any product specification in alignment with Article 36(6)</w:t>
      </w:r>
      <w:r>
        <w:t xml:space="preserve"> </w:t>
      </w:r>
      <w:r>
        <w:t xml:space="preserve">CDR;</w:t>
      </w:r>
      <w:r>
        <w:t xml:space="preserve"> </w:t>
      </w:r>
      <w:r>
        <w:t xml:space="preserve">-</w:t>
      </w:r>
      <w:r>
        <w:t xml:space="preserve"> </w:t>
      </w:r>
      <w:r>
        <w:t xml:space="preserve">Provide for rights of prior use in alignment with Article 22 CDR;</w:t>
      </w:r>
    </w:p>
    <w:bookmarkStart w:id="9" w:name="section"/>
    <w:p>
      <w:pPr>
        <w:pStyle w:val="Heading2"/>
      </w:pPr>
      <w:r>
        <w:t xml:space="preserve">78</w:t>
      </w:r>
    </w:p>
    <w:p>
      <w:pPr>
        <w:pStyle w:val="FirstParagraph"/>
      </w:pPr>
      <w:r>
        <w:t xml:space="preserve">Mirror the presumptions of ownership and validity of a design registration as laid</w:t>
      </w:r>
      <w:r>
        <w:t xml:space="preserve"> </w:t>
      </w:r>
      <w:r>
        <w:t xml:space="preserve">down in Article 17 and Article 85 CDR.</w:t>
      </w:r>
      <w:r>
        <w:t xml:space="preserve"> </w:t>
      </w:r>
      <w:r>
        <w:t xml:space="preserve">5. Required other alignment of legislation with the reformed trade mark legislation (not</w:t>
      </w:r>
      <w:r>
        <w:t xml:space="preserve"> </w:t>
      </w:r>
      <w:r>
        <w:t xml:space="preserve">addressed in the problem definition)</w:t>
      </w:r>
      <w:r>
        <w:t xml:space="preserve"> </w:t>
      </w:r>
      <w:r>
        <w:t xml:space="preserve">-</w:t>
      </w:r>
      <w:r>
        <w:t xml:space="preserve"> </w:t>
      </w:r>
      <w:r>
        <w:t xml:space="preserve">Complement the rights conferred by both the RCD and registered national</w:t>
      </w:r>
      <w:r>
        <w:t xml:space="preserve"> </w:t>
      </w:r>
      <w:r>
        <w:t xml:space="preserve">designs to explicitly extend to counterfeit design goods in transit in line with</w:t>
      </w:r>
      <w:r>
        <w:t xml:space="preserve"> </w:t>
      </w:r>
      <w:r>
        <w:t xml:space="preserve">Article 9(4) EUTMR and Article 10(4) TMD.</w:t>
      </w:r>
      <w:r>
        <w:br/>
      </w:r>
      <w:r>
        <w:t xml:space="preserve">6. Compliance with the Lisbon Treaty (not addressed in the problem definition)</w:t>
      </w:r>
      <w:r>
        <w:t xml:space="preserve"> </w:t>
      </w:r>
      <w:r>
        <w:t xml:space="preserve">-</w:t>
      </w:r>
      <w:r>
        <w:t xml:space="preserve"> </w:t>
      </w:r>
      <w:r>
        <w:t xml:space="preserve">Update the terminology used in the legislation to refer to the EU and Union</w:t>
      </w:r>
      <w:r>
        <w:t xml:space="preserve"> </w:t>
      </w:r>
      <w:r>
        <w:t xml:space="preserve">instead of the Community, etc.;</w:t>
      </w:r>
      <w:r>
        <w:t xml:space="preserve"> </w:t>
      </w:r>
      <w:r>
        <w:t xml:space="preserve">-</w:t>
      </w:r>
      <w:r>
        <w:t xml:space="preserve"> </w:t>
      </w:r>
      <w:r>
        <w:t xml:space="preserve">Align the powers currently conferred upon the Commission to adopt necessary</w:t>
      </w:r>
      <w:r>
        <w:t xml:space="preserve"> </w:t>
      </w:r>
      <w:r>
        <w:t xml:space="preserve">provisions for implementing its provisions (Article 107 CDR) to Articles 290 and</w:t>
      </w:r>
      <w:r>
        <w:t xml:space="preserve"> </w:t>
      </w:r>
      <w:r>
        <w:t xml:space="preserve">291 TFEU in alignment with the reformed EUTMR.</w:t>
      </w:r>
    </w:p>
    <w:p>
      <w:pPr>
        <w:pStyle w:val="BodyText"/>
      </w:pPr>
      <w:r>
        <w:t xml:space="preserve">ANNEX 6: SPARE PARTS PROTECTION IN MEMBER STATES</w:t>
      </w:r>
      <w:r>
        <w:t xml:space="preserve"> </w:t>
      </w:r>
      <w:r>
        <w:t xml:space="preserve">The Table below provides an overview of the implementation of a repair clause across</w:t>
      </w:r>
      <w:r>
        <w:t xml:space="preserve"> </w:t>
      </w:r>
      <w:r>
        <w:t xml:space="preserve">Member States. Italy introduced a repair clause in 2001 and Poland in 2007. Denmark</w:t>
      </w:r>
      <w:r>
        <w:t xml:space="preserve"> </w:t>
      </w:r>
      <w:r>
        <w:t xml:space="preserve">and Sweden (*) offer a maximum term of design protection of 15 years, being shorter</w:t>
      </w:r>
      <w:r>
        <w:t xml:space="preserve"> </w:t>
      </w:r>
      <w:r>
        <w:t xml:space="preserve">than that of 25 years in all other Member States providing protection.</w:t>
      </w:r>
      <w:r>
        <w:t xml:space="preserve"> </w:t>
      </w:r>
      <w:r>
        <w:t xml:space="preserve">In Germany, a repair clause was recently inserted into the national Designs Act and</w:t>
      </w:r>
      <w:r>
        <w:t xml:space="preserve"> </w:t>
      </w:r>
      <w:r>
        <w:t xml:space="preserve">entered into force on 2 December 2020, affecting designs applied for registration after</w:t>
      </w:r>
      <w:r>
        <w:t xml:space="preserve"> </w:t>
      </w:r>
      <w:r>
        <w:t xml:space="preserve">that date. In France (**), a partial repair clause, promulgated on 24 August 2021, will</w:t>
      </w:r>
      <w:r>
        <w:t xml:space="preserve"> </w:t>
      </w:r>
      <w:r>
        <w:t xml:space="preserve">become applicable (only) as from 23 January 2023, extending as well to new designs.</w:t>
      </w:r>
      <w:r>
        <w:t xml:space="preserve"> </w:t>
      </w:r>
      <w:r>
        <w:t xml:space="preserve">Table A.5.1. Implementation of repair clause in the EU Member States</w:t>
      </w:r>
    </w:p>
    <w:p>
      <w:pPr>
        <w:pStyle w:val="BodyText"/>
      </w:pPr>
      <w:r>
        <w:t xml:space="preserve">Repair</w:t>
      </w:r>
      <w:r>
        <w:t xml:space="preserve"> </w:t>
      </w:r>
      <w:r>
        <w:t xml:space="preserve">clause</w:t>
      </w:r>
    </w:p>
    <w:p>
      <w:pPr>
        <w:pStyle w:val="BodyText"/>
      </w:pPr>
      <w:r>
        <w:t xml:space="preserve">Repair</w:t>
      </w:r>
      <w:r>
        <w:t xml:space="preserve"> </w:t>
      </w:r>
      <w:r>
        <w:t xml:space="preserve">clause</w:t>
      </w:r>
      <w:r>
        <w:t xml:space="preserve"> </w:t>
      </w:r>
      <w:r>
        <w:t xml:space="preserve">Austria (AT)</w:t>
      </w:r>
      <w:r>
        <w:t xml:space="preserve"> </w:t>
      </w:r>
      <w:r>
        <w:t xml:space="preserve">no</w:t>
      </w:r>
    </w:p>
    <w:p>
      <w:pPr>
        <w:pStyle w:val="BodyText"/>
      </w:pPr>
      <w:r>
        <w:t xml:space="preserve">Ireland (IE)</w:t>
      </w:r>
      <w:r>
        <w:t xml:space="preserve"> </w:t>
      </w:r>
      <w:r>
        <w:t xml:space="preserve">yes</w:t>
      </w:r>
      <w:r>
        <w:t xml:space="preserve"> </w:t>
      </w:r>
      <w:r>
        <w:t xml:space="preserve">Belgium (BE)</w:t>
      </w:r>
      <w:r>
        <w:br/>
      </w:r>
      <w:r>
        <w:t xml:space="preserve">yes</w:t>
      </w:r>
    </w:p>
    <w:p>
      <w:pPr>
        <w:pStyle w:val="BodyText"/>
      </w:pPr>
      <w:r>
        <w:t xml:space="preserve">Italy (IT)</w:t>
      </w:r>
      <w:r>
        <w:t xml:space="preserve"> </w:t>
      </w:r>
      <w:r>
        <w:t xml:space="preserve">yes (2001)</w:t>
      </w:r>
      <w:r>
        <w:t xml:space="preserve"> </w:t>
      </w:r>
      <w:r>
        <w:t xml:space="preserve">Bulgaria (BG)</w:t>
      </w:r>
      <w:r>
        <w:t xml:space="preserve"> </w:t>
      </w:r>
      <w:r>
        <w:t xml:space="preserve">no</w:t>
      </w:r>
    </w:p>
    <w:p>
      <w:pPr>
        <w:pStyle w:val="BodyText"/>
      </w:pPr>
      <w:r>
        <w:t xml:space="preserve">Latvia (LV)</w:t>
      </w:r>
      <w:r>
        <w:t xml:space="preserve"> </w:t>
      </w:r>
      <w:r>
        <w:t xml:space="preserve">yes</w:t>
      </w:r>
      <w:r>
        <w:t xml:space="preserve"> </w:t>
      </w:r>
      <w:r>
        <w:t xml:space="preserve">Croatia (HR)</w:t>
      </w:r>
      <w:r>
        <w:t xml:space="preserve"> </w:t>
      </w:r>
      <w:r>
        <w:t xml:space="preserve">no</w:t>
      </w:r>
    </w:p>
    <w:p>
      <w:pPr>
        <w:pStyle w:val="BodyText"/>
      </w:pPr>
      <w:r>
        <w:t xml:space="preserve">Lithuania (LT)</w:t>
      </w:r>
      <w:r>
        <w:t xml:space="preserve"> </w:t>
      </w:r>
      <w:r>
        <w:t xml:space="preserve">yes</w:t>
      </w:r>
      <w:r>
        <w:t xml:space="preserve"> </w:t>
      </w:r>
      <w:r>
        <w:t xml:space="preserve">Cyprus (CY)</w:t>
      </w:r>
      <w:r>
        <w:t xml:space="preserve"> </w:t>
      </w:r>
      <w:r>
        <w:t xml:space="preserve">no</w:t>
      </w:r>
    </w:p>
    <w:p>
      <w:pPr>
        <w:pStyle w:val="BodyText"/>
      </w:pPr>
      <w:r>
        <w:t xml:space="preserve">Luxembourg (LU)</w:t>
      </w:r>
      <w:r>
        <w:t xml:space="preserve"> </w:t>
      </w:r>
      <w:r>
        <w:t xml:space="preserve">yes</w:t>
      </w:r>
      <w:r>
        <w:t xml:space="preserve"> </w:t>
      </w:r>
      <w:r>
        <w:t xml:space="preserve">Czech Republic (CZ)</w:t>
      </w:r>
      <w:r>
        <w:t xml:space="preserve"> </w:t>
      </w:r>
      <w:r>
        <w:t xml:space="preserve">no</w:t>
      </w:r>
    </w:p>
    <w:p>
      <w:pPr>
        <w:pStyle w:val="BodyText"/>
      </w:pPr>
      <w:r>
        <w:t xml:space="preserve">Malta (MT)</w:t>
      </w:r>
      <w:r>
        <w:t xml:space="preserve"> </w:t>
      </w:r>
      <w:r>
        <w:t xml:space="preserve">no</w:t>
      </w:r>
      <w:r>
        <w:t xml:space="preserve"> </w:t>
      </w:r>
      <w:r>
        <w:t xml:space="preserve">Denmark (DK)*</w:t>
      </w:r>
      <w:r>
        <w:t xml:space="preserve"> </w:t>
      </w:r>
      <w:r>
        <w:t xml:space="preserve">no</w:t>
      </w:r>
    </w:p>
    <w:p>
      <w:pPr>
        <w:pStyle w:val="BodyText"/>
      </w:pPr>
      <w:r>
        <w:t xml:space="preserve">Netherlands (NL)</w:t>
      </w:r>
      <w:r>
        <w:t xml:space="preserve"> </w:t>
      </w:r>
      <w:r>
        <w:t xml:space="preserve">yes</w:t>
      </w:r>
      <w:r>
        <w:t xml:space="preserve"> </w:t>
      </w:r>
      <w:r>
        <w:t xml:space="preserve">Estonia (EE)</w:t>
      </w:r>
      <w:r>
        <w:t xml:space="preserve"> </w:t>
      </w:r>
      <w:r>
        <w:t xml:space="preserve">no</w:t>
      </w:r>
    </w:p>
    <w:p>
      <w:pPr>
        <w:pStyle w:val="BodyText"/>
      </w:pPr>
      <w:r>
        <w:t xml:space="preserve">Poland (PL)</w:t>
      </w:r>
      <w:r>
        <w:t xml:space="preserve"> </w:t>
      </w:r>
      <w:r>
        <w:t xml:space="preserve">yes (2007)</w:t>
      </w:r>
      <w:r>
        <w:t xml:space="preserve"> </w:t>
      </w:r>
      <w:r>
        <w:t xml:space="preserve">Finland (FI)</w:t>
      </w:r>
      <w:r>
        <w:t xml:space="preserve"> </w:t>
      </w:r>
      <w:r>
        <w:t xml:space="preserve">no</w:t>
      </w:r>
    </w:p>
    <w:p>
      <w:pPr>
        <w:pStyle w:val="BodyText"/>
      </w:pPr>
      <w:r>
        <w:t xml:space="preserve">Portugal (PT)</w:t>
      </w:r>
      <w:r>
        <w:t xml:space="preserve"> </w:t>
      </w:r>
      <w:r>
        <w:t xml:space="preserve">no</w:t>
      </w:r>
      <w:r>
        <w:t xml:space="preserve"> </w:t>
      </w:r>
      <w:r>
        <w:t xml:space="preserve">France (FR)**</w:t>
      </w:r>
      <w:r>
        <w:t xml:space="preserve"> </w:t>
      </w:r>
      <w:r>
        <w:t xml:space="preserve">no</w:t>
      </w:r>
    </w:p>
    <w:p>
      <w:pPr>
        <w:pStyle w:val="BodyText"/>
      </w:pPr>
      <w:r>
        <w:t xml:space="preserve">Romania (RO)</w:t>
      </w:r>
      <w:r>
        <w:t xml:space="preserve"> </w:t>
      </w:r>
      <w:r>
        <w:t xml:space="preserve">no</w:t>
      </w:r>
      <w:r>
        <w:t xml:space="preserve"> </w:t>
      </w:r>
      <w:r>
        <w:t xml:space="preserve">Germany (DE)</w:t>
      </w:r>
      <w:r>
        <w:t xml:space="preserve"> </w:t>
      </w:r>
      <w:r>
        <w:t xml:space="preserve">yes (2020)</w:t>
      </w:r>
    </w:p>
    <w:p>
      <w:pPr>
        <w:pStyle w:val="BodyText"/>
      </w:pPr>
      <w:r>
        <w:t xml:space="preserve">Slovakia (SK)</w:t>
      </w:r>
      <w:r>
        <w:t xml:space="preserve"> </w:t>
      </w:r>
      <w:r>
        <w:t xml:space="preserve">no</w:t>
      </w:r>
      <w:r>
        <w:t xml:space="preserve"> </w:t>
      </w:r>
      <w:r>
        <w:t xml:space="preserve">Greece (EL)</w:t>
      </w:r>
      <w:r>
        <w:t xml:space="preserve"> </w:t>
      </w:r>
      <w:r>
        <w:t xml:space="preserve">yes</w:t>
      </w:r>
    </w:p>
    <w:p>
      <w:pPr>
        <w:pStyle w:val="BodyText"/>
      </w:pPr>
      <w:r>
        <w:t xml:space="preserve">Slovenia (SI)</w:t>
      </w:r>
      <w:r>
        <w:t xml:space="preserve"> </w:t>
      </w:r>
      <w:r>
        <w:t xml:space="preserve">no</w:t>
      </w:r>
      <w:r>
        <w:t xml:space="preserve"> </w:t>
      </w:r>
      <w:r>
        <w:t xml:space="preserve">Hungary (HU)</w:t>
      </w:r>
      <w:r>
        <w:t xml:space="preserve"> </w:t>
      </w:r>
      <w:r>
        <w:t xml:space="preserve">yes</w:t>
      </w:r>
    </w:p>
    <w:p>
      <w:pPr>
        <w:pStyle w:val="BodyText"/>
      </w:pPr>
      <w:r>
        <w:t xml:space="preserve">Spain (ES)</w:t>
      </w:r>
      <w:r>
        <w:t xml:space="preserve"> </w:t>
      </w:r>
      <w:r>
        <w:t xml:space="preserve">yes</w:t>
      </w:r>
    </w:p>
    <w:p>
      <w:pPr>
        <w:pStyle w:val="BodyText"/>
      </w:pPr>
      <w:r>
        <w:t xml:space="preserve">Sweden (SE)*</w:t>
      </w:r>
      <w:r>
        <w:t xml:space="preserve"> </w:t>
      </w:r>
      <w:r>
        <w:t xml:space="preserve">no</w:t>
      </w:r>
      <w:r>
        <w:t xml:space="preserve"> </w:t>
      </w:r>
      <w:r>
        <w:t xml:space="preserve">Source: Legal review on industrial design protection in Europe (2016) and Beldiman</w:t>
      </w:r>
      <w:r>
        <w:t xml:space="preserve"> </w:t>
      </w:r>
      <w:r>
        <w:t xml:space="preserve">and Blanke-Roeser (2017)</w:t>
      </w:r>
    </w:p>
    <w:p>
      <w:pPr>
        <w:pStyle w:val="BodyText"/>
      </w:pPr>
      <w:r>
        <w:t xml:space="preserve">80</w:t>
      </w:r>
    </w:p>
    <w:p>
      <w:pPr>
        <w:pStyle w:val="BodyText"/>
      </w:pPr>
      <w:r>
        <w:t xml:space="preserve">ANNEX 7: EVOLUTION OF EUIPO BUDGET</w:t>
      </w:r>
    </w:p>
    <w:p>
      <w:pPr>
        <w:pStyle w:val="BodyText"/>
      </w:pPr>
      <w:r>
        <w:t xml:space="preserve">I. Budgetary calculations applied to sub-options 3.1 and 3.2 for adjusting RCD fees</w:t>
      </w:r>
      <w:r>
        <w:br/>
      </w:r>
      <w:r>
        <w:t xml:space="preserve">The two options for fee adjustment presented below foresee the reduction of the basic</w:t>
      </w:r>
      <w:r>
        <w:t xml:space="preserve"> </w:t>
      </w:r>
      <w:r>
        <w:t xml:space="preserve">RCD registration fee.</w:t>
      </w:r>
      <w:r>
        <w:br/>
      </w:r>
      <w:r>
        <w:t xml:space="preserve">Furthermore, in order to ensure equal treatment of applicants with smaller and larger</w:t>
      </w:r>
      <w:r>
        <w:t xml:space="preserve"> </w:t>
      </w:r>
      <w:r>
        <w:t xml:space="preserve">filing volumes, both proposals also involve the introduction of a flat fee per additional</w:t>
      </w:r>
      <w:r>
        <w:t xml:space="preserve"> </w:t>
      </w:r>
      <w:r>
        <w:t xml:space="preserve">design of a multiple application. This is complemented by the removal of the currently</w:t>
      </w:r>
      <w:r>
        <w:t xml:space="preserve"> </w:t>
      </w:r>
      <w:r>
        <w:t xml:space="preserve">existing ‘unity of class’ requirement in the CDR applicable to multiple applications.</w:t>
      </w:r>
      <w:r>
        <w:br/>
      </w:r>
      <w:r>
        <w:t xml:space="preserve">As a consequence, the considered options for adjustment of fees would allow easier</w:t>
      </w:r>
      <w:r>
        <w:t xml:space="preserve"> </w:t>
      </w:r>
      <w:r>
        <w:t xml:space="preserve">access to RCD protection, in particular for SMEs and individual designers (cheaper</w:t>
      </w:r>
      <w:r>
        <w:t xml:space="preserve"> </w:t>
      </w:r>
      <w:r>
        <w:t xml:space="preserve">acquisition of the right and first renewal), while safeguarding at the same time that only</w:t>
      </w:r>
      <w:r>
        <w:t xml:space="preserve"> </w:t>
      </w:r>
      <w:r>
        <w:t xml:space="preserve">those RCDs utilised in the market place remain on the register by way of the renewal fee</w:t>
      </w:r>
      <w:r>
        <w:t xml:space="preserve"> </w:t>
      </w:r>
      <w:r>
        <w:t xml:space="preserve">increments.</w:t>
      </w:r>
      <w:r>
        <w:br/>
      </w:r>
      <w:r>
        <w:t xml:space="preserve">Table A.7.1 - Currently applicable fees and revenues</w:t>
      </w:r>
    </w:p>
    <w:p>
      <w:pPr>
        <w:pStyle w:val="BodyText"/>
      </w:pPr>
      <w:r>
        <w:t xml:space="preserve">Existing fees</w:t>
      </w:r>
      <w:r>
        <w:t xml:space="preserve"> </w:t>
      </w:r>
      <w:r>
        <w:t xml:space="preserve">2021</w:t>
      </w:r>
      <w:r>
        <w:t xml:space="preserve"> </w:t>
      </w:r>
      <w:r>
        <w:t xml:space="preserve">2022</w:t>
      </w:r>
      <w:r>
        <w:t xml:space="preserve"> </w:t>
      </w:r>
      <w:r>
        <w:t xml:space="preserve">2023</w:t>
      </w:r>
      <w:r>
        <w:t xml:space="preserve"> </w:t>
      </w:r>
      <w:r>
        <w:t xml:space="preserve">2024</w:t>
      </w:r>
      <w:r>
        <w:t xml:space="preserve"> </w:t>
      </w:r>
      <w:r>
        <w:t xml:space="preserve">2025</w:t>
      </w:r>
      <w:r>
        <w:t xml:space="preserve"> </w:t>
      </w:r>
      <w:r>
        <w:t xml:space="preserve">Applications</w:t>
      </w:r>
    </w:p>
    <w:p>
      <w:pPr>
        <w:pStyle w:val="BodyText"/>
      </w:pPr>
      <w:r>
        <w:t xml:space="preserve">Registration170</w:t>
      </w:r>
      <w:r>
        <w:t xml:space="preserve"> </w:t>
      </w:r>
      <w:r>
        <w:t xml:space="preserve">€ 350</w:t>
      </w:r>
      <w:r>
        <w:t xml:space="preserve"> </w:t>
      </w:r>
      <w:r>
        <w:t xml:space="preserve">2-10 design</w:t>
      </w:r>
      <w:r>
        <w:t xml:space="preserve"> </w:t>
      </w:r>
      <w:r>
        <w:t xml:space="preserve">€ 175</w:t>
      </w:r>
      <w:r>
        <w:t xml:space="preserve"> </w:t>
      </w:r>
      <w:r>
        <w:t xml:space="preserve">11 to design</w:t>
      </w:r>
      <w:r>
        <w:t xml:space="preserve"> </w:t>
      </w:r>
      <w:r>
        <w:t xml:space="preserve">€ 80</w:t>
      </w:r>
      <w:r>
        <w:t xml:space="preserve"> </w:t>
      </w:r>
      <w:r>
        <w:t xml:space="preserve">51 to inf.</w:t>
      </w:r>
      <w:r>
        <w:t xml:space="preserve"> </w:t>
      </w:r>
      <w:r>
        <w:t xml:space="preserve">€ 80</w:t>
      </w:r>
      <w:r>
        <w:t xml:space="preserve"> </w:t>
      </w:r>
      <w:r>
        <w:t xml:space="preserve">IR Individual</w:t>
      </w:r>
      <w:r>
        <w:t xml:space="preserve"> </w:t>
      </w:r>
      <w:r>
        <w:t xml:space="preserve">designation</w:t>
      </w:r>
      <w:r>
        <w:t xml:space="preserve"> </w:t>
      </w:r>
      <w:r>
        <w:t xml:space="preserve">€ 62</w:t>
      </w:r>
    </w:p>
    <w:p>
      <w:pPr>
        <w:pStyle w:val="BodyText"/>
      </w:pPr>
      <w:r>
        <w:t xml:space="preserve">20 628</w:t>
      </w:r>
      <w:r>
        <w:t xml:space="preserve"> </w:t>
      </w:r>
      <w:r>
        <w:t xml:space="preserve">225.38</w:t>
      </w:r>
    </w:p>
    <w:p>
      <w:pPr>
        <w:pStyle w:val="BodyText"/>
      </w:pPr>
      <w:r>
        <w:t xml:space="preserve">21 299</w:t>
      </w:r>
      <w:r>
        <w:t xml:space="preserve"> </w:t>
      </w:r>
      <w:r>
        <w:t xml:space="preserve">615.50</w:t>
      </w:r>
    </w:p>
    <w:p>
      <w:pPr>
        <w:pStyle w:val="BodyText"/>
      </w:pPr>
      <w:r>
        <w:t xml:space="preserve">21 953</w:t>
      </w:r>
      <w:r>
        <w:t xml:space="preserve"> </w:t>
      </w:r>
      <w:r>
        <w:t xml:space="preserve">222.15</w:t>
      </w:r>
    </w:p>
    <w:p>
      <w:pPr>
        <w:pStyle w:val="BodyText"/>
      </w:pPr>
      <w:r>
        <w:t xml:space="preserve">22 627</w:t>
      </w:r>
      <w:r>
        <w:t xml:space="preserve"> </w:t>
      </w:r>
      <w:r>
        <w:t xml:space="preserve">392.56</w:t>
      </w:r>
    </w:p>
    <w:p>
      <w:pPr>
        <w:pStyle w:val="BodyText"/>
      </w:pPr>
      <w:r>
        <w:t xml:space="preserve">23 322 126.71</w:t>
      </w:r>
      <w:r>
        <w:t xml:space="preserve"> </w:t>
      </w:r>
      <w:r>
        <w:t xml:space="preserve">Renewals</w:t>
      </w:r>
      <w:r>
        <w:t xml:space="preserve"> </w:t>
      </w:r>
      <w:r>
        <w:t xml:space="preserve">1st € 90</w:t>
      </w:r>
      <w:r>
        <w:t xml:space="preserve"> </w:t>
      </w:r>
      <w:r>
        <w:t xml:space="preserve">2nd € 120</w:t>
      </w:r>
      <w:r>
        <w:t xml:space="preserve"> </w:t>
      </w:r>
      <w:r>
        <w:t xml:space="preserve">3rd € 150</w:t>
      </w:r>
      <w:r>
        <w:t xml:space="preserve"> </w:t>
      </w:r>
      <w:r>
        <w:t xml:space="preserve">IR renewal</w:t>
      </w:r>
      <w:r>
        <w:t xml:space="preserve"> </w:t>
      </w:r>
      <w:r>
        <w:t xml:space="preserve">€ 31</w:t>
      </w:r>
    </w:p>
    <w:p>
      <w:pPr>
        <w:pStyle w:val="BodyText"/>
      </w:pPr>
      <w:r>
        <w:t xml:space="preserve">9 193</w:t>
      </w:r>
      <w:r>
        <w:t xml:space="preserve"> </w:t>
      </w:r>
      <w:r>
        <w:t xml:space="preserve">968.98</w:t>
      </w:r>
    </w:p>
    <w:p>
      <w:pPr>
        <w:pStyle w:val="BodyText"/>
      </w:pPr>
      <w:r>
        <w:t xml:space="preserve">9 716</w:t>
      </w:r>
      <w:r>
        <w:t xml:space="preserve"> </w:t>
      </w:r>
      <w:r>
        <w:t xml:space="preserve">893.92</w:t>
      </w:r>
    </w:p>
    <w:p>
      <w:pPr>
        <w:pStyle w:val="BodyText"/>
      </w:pPr>
      <w:r>
        <w:t xml:space="preserve">9 902</w:t>
      </w:r>
      <w:r>
        <w:t xml:space="preserve"> </w:t>
      </w:r>
      <w:r>
        <w:t xml:space="preserve">966.11</w:t>
      </w:r>
    </w:p>
    <w:p>
      <w:pPr>
        <w:pStyle w:val="BodyText"/>
      </w:pPr>
      <w:r>
        <w:t xml:space="preserve">11 802</w:t>
      </w:r>
      <w:r>
        <w:t xml:space="preserve"> </w:t>
      </w:r>
      <w:r>
        <w:t xml:space="preserve">446.11</w:t>
      </w:r>
    </w:p>
    <w:p>
      <w:pPr>
        <w:pStyle w:val="BodyText"/>
      </w:pPr>
      <w:r>
        <w:t xml:space="preserve">13 921 376.11</w:t>
      </w:r>
      <w:r>
        <w:t xml:space="preserve"> </w:t>
      </w:r>
      <w:r>
        <w:t xml:space="preserve">Other fees</w:t>
      </w:r>
      <w:r>
        <w:t xml:space="preserve"> </w:t>
      </w:r>
      <w:r>
        <w:t xml:space="preserve">Deferment of</w:t>
      </w:r>
      <w:r>
        <w:t xml:space="preserve"> </w:t>
      </w:r>
      <w:r>
        <w:t xml:space="preserve">publication</w:t>
      </w:r>
      <w:r>
        <w:t xml:space="preserve"> </w:t>
      </w:r>
      <w:r>
        <w:t xml:space="preserve">€ 40</w:t>
      </w:r>
      <w:r>
        <w:t xml:space="preserve"> </w:t>
      </w:r>
      <w:r>
        <w:t xml:space="preserve">2 to 10 design</w:t>
      </w:r>
      <w:r>
        <w:t xml:space="preserve"> </w:t>
      </w:r>
      <w:r>
        <w:t xml:space="preserve">€ 20</w:t>
      </w:r>
      <w:r>
        <w:t xml:space="preserve"> </w:t>
      </w:r>
      <w:r>
        <w:t xml:space="preserve">11 to inf.</w:t>
      </w:r>
      <w:r>
        <w:t xml:space="preserve"> </w:t>
      </w:r>
      <w:r>
        <w:t xml:space="preserve">€ 10</w:t>
      </w:r>
      <w:r>
        <w:t xml:space="preserve"> </w:t>
      </w:r>
      <w:r>
        <w:t xml:space="preserve">Miscellaneous fees</w:t>
      </w:r>
      <w:r>
        <w:t xml:space="preserve"> </w:t>
      </w:r>
      <w:r>
        <w:t xml:space="preserve">RCD invalidity</w:t>
      </w:r>
      <w:r>
        <w:t xml:space="preserve"> </w:t>
      </w:r>
      <w:r>
        <w:t xml:space="preserve">€ 350</w:t>
      </w:r>
    </w:p>
    <w:p>
      <w:pPr>
        <w:pStyle w:val="BodyText"/>
      </w:pPr>
      <w:r>
        <w:t xml:space="preserve">1 221</w:t>
      </w:r>
      <w:r>
        <w:t xml:space="preserve"> </w:t>
      </w:r>
      <w:r>
        <w:t xml:space="preserve">060.00</w:t>
      </w:r>
    </w:p>
    <w:p>
      <w:pPr>
        <w:pStyle w:val="BodyText"/>
      </w:pPr>
      <w:r>
        <w:t xml:space="preserve">1 249</w:t>
      </w:r>
      <w:r>
        <w:t xml:space="preserve"> </w:t>
      </w:r>
      <w:r>
        <w:t xml:space="preserve">160.00</w:t>
      </w:r>
    </w:p>
    <w:p>
      <w:pPr>
        <w:pStyle w:val="BodyText"/>
      </w:pPr>
      <w:r>
        <w:t xml:space="preserve">1 276</w:t>
      </w:r>
      <w:r>
        <w:t xml:space="preserve"> </w:t>
      </w:r>
      <w:r>
        <w:t xml:space="preserve">370.00</w:t>
      </w:r>
    </w:p>
    <w:p>
      <w:pPr>
        <w:pStyle w:val="BodyText"/>
      </w:pPr>
      <w:r>
        <w:t xml:space="preserve">1 293</w:t>
      </w:r>
      <w:r>
        <w:t xml:space="preserve"> </w:t>
      </w:r>
      <w:r>
        <w:t xml:space="preserve">880.00</w:t>
      </w:r>
    </w:p>
    <w:p>
      <w:pPr>
        <w:pStyle w:val="BodyText"/>
      </w:pPr>
      <w:r>
        <w:t xml:space="preserve">1 311 730.00</w:t>
      </w:r>
    </w:p>
    <w:p>
      <w:pPr>
        <w:pStyle w:val="Compact"/>
        <w:numPr>
          <w:ilvl w:val="0"/>
          <w:numId w:val="1003"/>
        </w:numPr>
      </w:pPr>
      <w:r>
        <w:t xml:space="preserve">Sub-option 3.1 (Total loss of revenue - € 3 204 671.62)</w:t>
      </w:r>
    </w:p>
    <w:p>
      <w:pPr>
        <w:pStyle w:val="FirstParagraph"/>
      </w:pPr>
      <w:r>
        <w:t xml:space="preserve">170 Includes publication and registration fees.</w:t>
      </w:r>
    </w:p>
    <w:p>
      <w:pPr>
        <w:pStyle w:val="BodyText"/>
      </w:pPr>
      <w:r>
        <w:t xml:space="preserve">81</w:t>
      </w:r>
    </w:p>
    <w:p>
      <w:pPr>
        <w:pStyle w:val="BodyText"/>
      </w:pPr>
      <w:r>
        <w:t xml:space="preserve">According to sub-option 3.1, the headline fee to obtain a single RCD is reduced from €</w:t>
      </w:r>
      <w:r>
        <w:t xml:space="preserve"> </w:t>
      </w:r>
      <w:r>
        <w:t xml:space="preserve">350 to € 250. For each additional design forming part of a multiple application, the fee is</w:t>
      </w:r>
      <w:r>
        <w:t xml:space="preserve"> </w:t>
      </w:r>
      <w:r>
        <w:t xml:space="preserve">€ 125, leading to savings of € 125 vis-à-vis a single design application per design.</w:t>
      </w:r>
      <w:r>
        <w:br/>
      </w:r>
      <w:r>
        <w:t xml:space="preserve">The fees for renewals under this option are as follows: first renewal – € 70; second</w:t>
      </w:r>
      <w:r>
        <w:t xml:space="preserve"> </w:t>
      </w:r>
      <w:r>
        <w:t xml:space="preserve">renewal – € 140; third renewal – € 280; fourth renewal € 560. Thus, the fees for the first</w:t>
      </w:r>
      <w:r>
        <w:t xml:space="preserve"> </w:t>
      </w:r>
      <w:r>
        <w:t xml:space="preserve">two renewals are equivalent to those under the current fee level, that is € 210 in total.</w:t>
      </w:r>
      <w:r>
        <w:t xml:space="preserve"> </w:t>
      </w:r>
      <w:r>
        <w:t xml:space="preserve">Table A.7.2 – applicable fees and revenues under sub-option 3.1</w:t>
      </w:r>
    </w:p>
    <w:p>
      <w:pPr>
        <w:pStyle w:val="BodyText"/>
      </w:pPr>
      <w:r>
        <w:t xml:space="preserve">Proposed fees</w:t>
      </w:r>
      <w:r>
        <w:t xml:space="preserve"> </w:t>
      </w:r>
      <w:r>
        <w:t xml:space="preserve">2021</w:t>
      </w:r>
      <w:r>
        <w:t xml:space="preserve"> </w:t>
      </w:r>
      <w:r>
        <w:t xml:space="preserve">2022</w:t>
      </w:r>
      <w:r>
        <w:t xml:space="preserve"> </w:t>
      </w:r>
      <w:r>
        <w:t xml:space="preserve">2023</w:t>
      </w:r>
      <w:r>
        <w:t xml:space="preserve"> </w:t>
      </w:r>
      <w:r>
        <w:t xml:space="preserve">2024</w:t>
      </w:r>
      <w:r>
        <w:t xml:space="preserve"> </w:t>
      </w:r>
      <w:r>
        <w:t xml:space="preserve">2025</w:t>
      </w:r>
      <w:r>
        <w:t xml:space="preserve"> </w:t>
      </w:r>
      <w:r>
        <w:t xml:space="preserve">Applications</w:t>
      </w:r>
      <w:r>
        <w:t xml:space="preserve"> </w:t>
      </w:r>
      <w:r>
        <w:t xml:space="preserve">Registration171</w:t>
      </w:r>
      <w:r>
        <w:br/>
      </w:r>
      <w:r>
        <w:t xml:space="preserve">€ 250</w:t>
      </w:r>
      <w:r>
        <w:t xml:space="preserve"> </w:t>
      </w:r>
      <w:r>
        <w:t xml:space="preserve">2-infinite design</w:t>
      </w:r>
      <w:r>
        <w:t xml:space="preserve"> </w:t>
      </w:r>
      <w:r>
        <w:t xml:space="preserve">€ 125</w:t>
      </w:r>
      <w:r>
        <w:t xml:space="preserve"> </w:t>
      </w:r>
      <w:r>
        <w:t xml:space="preserve">IR Individual</w:t>
      </w:r>
      <w:r>
        <w:t xml:space="preserve"> </w:t>
      </w:r>
      <w:r>
        <w:t xml:space="preserve">designation</w:t>
      </w:r>
      <w:r>
        <w:br/>
      </w:r>
      <w:r>
        <w:t xml:space="preserve">€ 62</w:t>
      </w:r>
    </w:p>
    <w:p>
      <w:pPr>
        <w:pStyle w:val="BodyText"/>
      </w:pPr>
      <w:r>
        <w:t xml:space="preserve">16 606 150.38</w:t>
      </w:r>
    </w:p>
    <w:p>
      <w:pPr>
        <w:pStyle w:val="BodyText"/>
      </w:pPr>
      <w:r>
        <w:t xml:space="preserve">7 142 791.03</w:t>
      </w:r>
    </w:p>
    <w:p>
      <w:pPr>
        <w:pStyle w:val="BodyText"/>
      </w:pPr>
      <w:r>
        <w:t xml:space="preserve">7 668 841.55</w:t>
      </w:r>
    </w:p>
    <w:p>
      <w:pPr>
        <w:pStyle w:val="BodyText"/>
      </w:pPr>
      <w:r>
        <w:t xml:space="preserve">18 211 440.94</w:t>
      </w:r>
    </w:p>
    <w:p>
      <w:pPr>
        <w:pStyle w:val="BodyText"/>
      </w:pPr>
      <w:r>
        <w:t xml:space="preserve">18 770 589.19</w:t>
      </w:r>
      <w:r>
        <w:t xml:space="preserve"> </w:t>
      </w:r>
      <w:r>
        <w:t xml:space="preserve">Renewals</w:t>
      </w:r>
      <w:r>
        <w:t xml:space="preserve"> </w:t>
      </w:r>
      <w:r>
        <w:t xml:space="preserve">1st € 70</w:t>
      </w:r>
      <w:r>
        <w:t xml:space="preserve"> </w:t>
      </w:r>
      <w:r>
        <w:t xml:space="preserve">2nd € 140</w:t>
      </w:r>
      <w:r>
        <w:t xml:space="preserve"> </w:t>
      </w:r>
      <w:r>
        <w:t xml:space="preserve">3rd € 280</w:t>
      </w:r>
      <w:r>
        <w:t xml:space="preserve"> </w:t>
      </w:r>
      <w:r>
        <w:t xml:space="preserve">IR renewal</w:t>
      </w:r>
      <w:r>
        <w:br/>
      </w:r>
      <w:r>
        <w:t xml:space="preserve">€ 31</w:t>
      </w:r>
    </w:p>
    <w:p>
      <w:pPr>
        <w:pStyle w:val="BodyText"/>
      </w:pPr>
      <w:r>
        <w:t xml:space="preserve">10 421 628.98</w:t>
      </w:r>
    </w:p>
    <w:p>
      <w:pPr>
        <w:pStyle w:val="BodyText"/>
      </w:pPr>
      <w:r>
        <w:t xml:space="preserve">10 961 863.92</w:t>
      </w:r>
    </w:p>
    <w:p>
      <w:pPr>
        <w:pStyle w:val="BodyText"/>
      </w:pPr>
      <w:r>
        <w:t xml:space="preserve">11 216 226.11</w:t>
      </w:r>
    </w:p>
    <w:p>
      <w:pPr>
        <w:pStyle w:val="BodyText"/>
      </w:pPr>
      <w:r>
        <w:t xml:space="preserve">13 638 926.11</w:t>
      </w:r>
    </w:p>
    <w:p>
      <w:pPr>
        <w:pStyle w:val="BodyText"/>
      </w:pPr>
      <w:r>
        <w:t xml:space="preserve">16 894 136.11</w:t>
      </w:r>
      <w:r>
        <w:t xml:space="preserve"> </w:t>
      </w:r>
      <w:r>
        <w:t xml:space="preserve">Other fees</w:t>
      </w:r>
      <w:r>
        <w:t xml:space="preserve"> </w:t>
      </w:r>
      <w:r>
        <w:t xml:space="preserve">Deferment of</w:t>
      </w:r>
      <w:r>
        <w:t xml:space="preserve"> </w:t>
      </w:r>
      <w:r>
        <w:t xml:space="preserve">publication</w:t>
      </w:r>
      <w:r>
        <w:br/>
      </w:r>
      <w:r>
        <w:t xml:space="preserve">€ 40</w:t>
      </w:r>
      <w:r>
        <w:t xml:space="preserve"> </w:t>
      </w:r>
      <w:r>
        <w:t xml:space="preserve">2 to 10 design</w:t>
      </w:r>
      <w:r>
        <w:br/>
      </w:r>
      <w:r>
        <w:t xml:space="preserve">€ 20</w:t>
      </w:r>
      <w:r>
        <w:t xml:space="preserve"> </w:t>
      </w:r>
      <w:r>
        <w:t xml:space="preserve">11 to inf.</w:t>
      </w:r>
      <w:r>
        <w:br/>
      </w:r>
      <w:r>
        <w:t xml:space="preserve">€ 10</w:t>
      </w:r>
      <w:r>
        <w:t xml:space="preserve"> </w:t>
      </w:r>
      <w:r>
        <w:t xml:space="preserve">Miscellaneous fees</w:t>
      </w:r>
      <w:r>
        <w:t xml:space="preserve"> </w:t>
      </w:r>
      <w:r>
        <w:t xml:space="preserve">RCD invalidity</w:t>
      </w:r>
      <w:r>
        <w:t xml:space="preserve"> </w:t>
      </w:r>
      <w:r>
        <w:t xml:space="preserve">€ 350</w:t>
      </w:r>
    </w:p>
    <w:p>
      <w:pPr>
        <w:pStyle w:val="BodyText"/>
      </w:pPr>
      <w:r>
        <w:t xml:space="preserve">1 221 060.00</w:t>
      </w:r>
    </w:p>
    <w:p>
      <w:pPr>
        <w:pStyle w:val="BodyText"/>
      </w:pPr>
      <w:r>
        <w:t xml:space="preserve">1 249 160.00</w:t>
      </w:r>
    </w:p>
    <w:p>
      <w:pPr>
        <w:pStyle w:val="BodyText"/>
      </w:pPr>
      <w:r>
        <w:t xml:space="preserve">1 276 370.00</w:t>
      </w:r>
    </w:p>
    <w:p>
      <w:pPr>
        <w:pStyle w:val="BodyText"/>
      </w:pPr>
      <w:r>
        <w:t xml:space="preserve">1 293 880.00</w:t>
      </w:r>
    </w:p>
    <w:p>
      <w:pPr>
        <w:pStyle w:val="BodyText"/>
      </w:pPr>
      <w:r>
        <w:t xml:space="preserve">1 311 730.00</w:t>
      </w:r>
      <w:r>
        <w:t xml:space="preserve"> </w:t>
      </w:r>
      <w:r>
        <w:t xml:space="preserve">Total loss of</w:t>
      </w:r>
      <w:r>
        <w:t xml:space="preserve"> </w:t>
      </w:r>
      <w:r>
        <w:t xml:space="preserve">revenue172</w:t>
      </w:r>
    </w:p>
    <w:p>
      <w:pPr>
        <w:pStyle w:val="BodyText"/>
      </w:pPr>
      <w:r>
        <w:t xml:space="preserve">-3 419 615.00</w:t>
      </w:r>
      <w:r>
        <w:br/>
      </w:r>
      <w:r>
        <w:t xml:space="preserve">-3 537 54.47+</w:t>
      </w:r>
      <w:r>
        <w:t xml:space="preserve"> </w:t>
      </w:r>
      <w:r>
        <w:t xml:space="preserve">-3 596 20.60+</w:t>
      </w:r>
      <w:r>
        <w:t xml:space="preserve"> </w:t>
      </w:r>
      <w:r>
        <w:t xml:space="preserve">- 3 204 671.62</w:t>
      </w:r>
      <w:r>
        <w:t xml:space="preserve"> </w:t>
      </w:r>
      <w:r>
        <w:t xml:space="preserve">-2 203 977.52</w:t>
      </w:r>
    </w:p>
    <w:p>
      <w:pPr>
        <w:pStyle w:val="Compact"/>
        <w:numPr>
          <w:ilvl w:val="0"/>
          <w:numId w:val="1004"/>
        </w:numPr>
      </w:pPr>
      <w:r>
        <w:t xml:space="preserve">Sub-option 3.2 (Total loss of revenue - € 3 164 565.16)</w:t>
      </w:r>
      <w:r>
        <w:br/>
      </w:r>
      <w:r>
        <w:t xml:space="preserve">Under the second sub-option, the headline fee is also € 250 but each additional design of</w:t>
      </w:r>
      <w:r>
        <w:t xml:space="preserve"> </w:t>
      </w:r>
      <w:r>
        <w:t xml:space="preserve">a multiple application further discounted to € 100 instead of the proposed € 125 under</w:t>
      </w:r>
      <w:r>
        <w:t xml:space="preserve"> </w:t>
      </w:r>
      <w:r>
        <w:t xml:space="preserve">sub-option 3.1. This will further promote easy access to RCD protection. The fees for</w:t>
      </w:r>
      <w:r>
        <w:t xml:space="preserve"> </w:t>
      </w:r>
      <w:r>
        <w:t xml:space="preserve">renewals under this option are as follows: first renewal – € 80; second renewal – € 160;</w:t>
      </w:r>
      <w:r>
        <w:t xml:space="preserve"> </w:t>
      </w:r>
      <w:r>
        <w:t xml:space="preserve">third renewal – € 320; fourth renewal € 640.</w:t>
      </w:r>
    </w:p>
    <w:p>
      <w:pPr>
        <w:pStyle w:val="FirstParagraph"/>
      </w:pPr>
      <w:r>
        <w:t xml:space="preserve">171 Includes publication and registration fees.</w:t>
      </w:r>
      <w:r>
        <w:t xml:space="preserve"> </w:t>
      </w:r>
      <w:r>
        <w:t xml:space="preserve">172 The loss of € 625 200 generated due to the abolishment of transfer fee is added to the total loss of</w:t>
      </w:r>
      <w:r>
        <w:t xml:space="preserve"> </w:t>
      </w:r>
      <w:r>
        <w:t xml:space="preserve">revenue figures every year.</w:t>
      </w:r>
    </w:p>
    <w:p>
      <w:pPr>
        <w:pStyle w:val="BodyText"/>
      </w:pPr>
      <w:r>
        <w:t xml:space="preserve">82</w:t>
      </w:r>
    </w:p>
    <w:p>
      <w:pPr>
        <w:pStyle w:val="BodyText"/>
      </w:pPr>
      <w:r>
        <w:t xml:space="preserve">This option effectively allows applicants to register two RCDs for the same fee as</w:t>
      </w:r>
      <w:r>
        <w:t xml:space="preserve"> </w:t>
      </w:r>
      <w:r>
        <w:t xml:space="preserve">currently required for a single RCD (€ 350). At the same time it safeguards by increasing</w:t>
      </w:r>
      <w:r>
        <w:t xml:space="preserve"> </w:t>
      </w:r>
      <w:r>
        <w:t xml:space="preserve">subsequent renewals fees that only those RCDs utilised in the market place remain on the</w:t>
      </w:r>
      <w:r>
        <w:t xml:space="preserve"> </w:t>
      </w:r>
      <w:r>
        <w:t xml:space="preserve">register.</w:t>
      </w:r>
      <w:r>
        <w:br/>
      </w:r>
      <w:r>
        <w:t xml:space="preserve">Table A.8.3 – applicable fees and revenues under sub-option 3.2</w:t>
      </w:r>
    </w:p>
    <w:p>
      <w:pPr>
        <w:pStyle w:val="BodyText"/>
      </w:pPr>
      <w:r>
        <w:t xml:space="preserve">Proposed fees</w:t>
      </w:r>
      <w:r>
        <w:t xml:space="preserve"> </w:t>
      </w:r>
      <w:r>
        <w:t xml:space="preserve">2021</w:t>
      </w:r>
      <w:r>
        <w:t xml:space="preserve"> </w:t>
      </w:r>
      <w:r>
        <w:t xml:space="preserve">2022</w:t>
      </w:r>
      <w:r>
        <w:t xml:space="preserve"> </w:t>
      </w:r>
      <w:r>
        <w:t xml:space="preserve">2023</w:t>
      </w:r>
      <w:r>
        <w:t xml:space="preserve"> </w:t>
      </w:r>
      <w:r>
        <w:t xml:space="preserve">2024</w:t>
      </w:r>
      <w:r>
        <w:t xml:space="preserve"> </w:t>
      </w:r>
      <w:r>
        <w:t xml:space="preserve">2025</w:t>
      </w:r>
      <w:r>
        <w:t xml:space="preserve"> </w:t>
      </w:r>
      <w:r>
        <w:t xml:space="preserve">Applications</w:t>
      </w:r>
      <w:r>
        <w:t xml:space="preserve"> </w:t>
      </w:r>
      <w:r>
        <w:t xml:space="preserve">Registration173</w:t>
      </w:r>
      <w:r>
        <w:br/>
      </w:r>
      <w:r>
        <w:t xml:space="preserve">€ 250</w:t>
      </w:r>
      <w:r>
        <w:t xml:space="preserve"> </w:t>
      </w:r>
      <w:r>
        <w:t xml:space="preserve">2-infinite design</w:t>
      </w:r>
      <w:r>
        <w:br/>
      </w:r>
      <w:r>
        <w:t xml:space="preserve">€ 100</w:t>
      </w:r>
      <w:r>
        <w:t xml:space="preserve"> </w:t>
      </w:r>
      <w:r>
        <w:t xml:space="preserve">IR Individual</w:t>
      </w:r>
      <w:r>
        <w:t xml:space="preserve"> </w:t>
      </w:r>
      <w:r>
        <w:t xml:space="preserve">designation</w:t>
      </w:r>
      <w:r>
        <w:br/>
      </w:r>
      <w:r>
        <w:t xml:space="preserve">€ 62</w:t>
      </w:r>
    </w:p>
    <w:p>
      <w:pPr>
        <w:pStyle w:val="BodyText"/>
      </w:pPr>
      <w:r>
        <w:t xml:space="preserve">14 924 125.38</w:t>
      </w:r>
    </w:p>
    <w:p>
      <w:pPr>
        <w:pStyle w:val="BodyText"/>
      </w:pPr>
      <w:r>
        <w:t xml:space="preserve">15 404 414.03</w:t>
      </w:r>
    </w:p>
    <w:p>
      <w:pPr>
        <w:pStyle w:val="BodyText"/>
      </w:pPr>
      <w:r>
        <w:t xml:space="preserve">15 877 120.79</w:t>
      </w:r>
    </w:p>
    <w:p>
      <w:pPr>
        <w:pStyle w:val="BodyText"/>
      </w:pPr>
      <w:r>
        <w:t xml:space="preserve">16 364 697.40</w:t>
      </w:r>
    </w:p>
    <w:p>
      <w:pPr>
        <w:pStyle w:val="BodyText"/>
      </w:pPr>
      <w:r>
        <w:t xml:space="preserve">16 867 143.86</w:t>
      </w:r>
      <w:r>
        <w:t xml:space="preserve"> </w:t>
      </w:r>
      <w:r>
        <w:t xml:space="preserve">Renewals</w:t>
      </w:r>
      <w:r>
        <w:t xml:space="preserve"> </w:t>
      </w:r>
      <w:r>
        <w:t xml:space="preserve">1st € 80</w:t>
      </w:r>
      <w:r>
        <w:t xml:space="preserve"> </w:t>
      </w:r>
      <w:r>
        <w:t xml:space="preserve">2nd € 160</w:t>
      </w:r>
      <w:r>
        <w:t xml:space="preserve"> </w:t>
      </w:r>
      <w:r>
        <w:t xml:space="preserve">3rd € 320</w:t>
      </w:r>
      <w:r>
        <w:t xml:space="preserve"> </w:t>
      </w:r>
      <w:r>
        <w:t xml:space="preserve">IR renewal</w:t>
      </w:r>
      <w:r>
        <w:br/>
      </w:r>
      <w:r>
        <w:t xml:space="preserve">€ 31</w:t>
      </w:r>
    </w:p>
    <w:p>
      <w:pPr>
        <w:pStyle w:val="BodyText"/>
      </w:pPr>
      <w:r>
        <w:t xml:space="preserve">11 856 618.98</w:t>
      </w:r>
    </w:p>
    <w:p>
      <w:pPr>
        <w:pStyle w:val="BodyText"/>
      </w:pPr>
      <w:r>
        <w:t xml:space="preserve">12 478 003.92</w:t>
      </w:r>
    </w:p>
    <w:p>
      <w:pPr>
        <w:pStyle w:val="BodyText"/>
      </w:pPr>
      <w:r>
        <w:t xml:space="preserve">12 756 976.11</w:t>
      </w:r>
    </w:p>
    <w:p>
      <w:pPr>
        <w:pStyle w:val="BodyText"/>
      </w:pPr>
      <w:r>
        <w:t xml:space="preserve">15 525 776.11</w:t>
      </w:r>
    </w:p>
    <w:p>
      <w:pPr>
        <w:pStyle w:val="BodyText"/>
      </w:pPr>
      <w:r>
        <w:t xml:space="preserve">19 246 016.11</w:t>
      </w:r>
      <w:r>
        <w:t xml:space="preserve"> </w:t>
      </w:r>
      <w:r>
        <w:t xml:space="preserve">Other fees</w:t>
      </w:r>
      <w:r>
        <w:t xml:space="preserve"> </w:t>
      </w:r>
      <w:r>
        <w:t xml:space="preserve">Deferment of</w:t>
      </w:r>
      <w:r>
        <w:t xml:space="preserve"> </w:t>
      </w:r>
      <w:r>
        <w:t xml:space="preserve">publication</w:t>
      </w:r>
      <w:r>
        <w:br/>
      </w:r>
      <w:r>
        <w:t xml:space="preserve">€ 40</w:t>
      </w:r>
      <w:r>
        <w:t xml:space="preserve"> </w:t>
      </w:r>
      <w:r>
        <w:t xml:space="preserve">2 to 10 design</w:t>
      </w:r>
      <w:r>
        <w:br/>
      </w:r>
      <w:r>
        <w:t xml:space="preserve">€ 20</w:t>
      </w:r>
      <w:r>
        <w:t xml:space="preserve"> </w:t>
      </w:r>
      <w:r>
        <w:t xml:space="preserve">11 to inf.</w:t>
      </w:r>
      <w:r>
        <w:br/>
      </w:r>
      <w:r>
        <w:t xml:space="preserve">€ 10</w:t>
      </w:r>
      <w:r>
        <w:t xml:space="preserve"> </w:t>
      </w:r>
      <w:r>
        <w:t xml:space="preserve">Miscellaneous fees</w:t>
      </w:r>
      <w:r>
        <w:t xml:space="preserve"> </w:t>
      </w:r>
      <w:r>
        <w:t xml:space="preserve">RCD invalidity</w:t>
      </w:r>
      <w:r>
        <w:t xml:space="preserve"> </w:t>
      </w:r>
      <w:r>
        <w:t xml:space="preserve">€ 350</w:t>
      </w:r>
    </w:p>
    <w:p>
      <w:pPr>
        <w:pStyle w:val="BodyText"/>
      </w:pPr>
      <w:r>
        <w:t xml:space="preserve">1 221 060.00</w:t>
      </w:r>
    </w:p>
    <w:p>
      <w:pPr>
        <w:pStyle w:val="BodyText"/>
      </w:pPr>
      <w:r>
        <w:t xml:space="preserve">1 249 160.00</w:t>
      </w:r>
    </w:p>
    <w:p>
      <w:pPr>
        <w:pStyle w:val="BodyText"/>
      </w:pPr>
      <w:r>
        <w:t xml:space="preserve">1 276 370.00</w:t>
      </w:r>
    </w:p>
    <w:p>
      <w:pPr>
        <w:pStyle w:val="BodyText"/>
      </w:pPr>
      <w:r>
        <w:t xml:space="preserve">1 293 880.00</w:t>
      </w:r>
    </w:p>
    <w:p>
      <w:pPr>
        <w:pStyle w:val="BodyText"/>
      </w:pPr>
      <w:r>
        <w:t xml:space="preserve">1 311 730.00</w:t>
      </w:r>
      <w:r>
        <w:t xml:space="preserve"> </w:t>
      </w:r>
      <w:r>
        <w:t xml:space="preserve">Total loss of</w:t>
      </w:r>
      <w:r>
        <w:t xml:space="preserve"> </w:t>
      </w:r>
      <w:r>
        <w:t xml:space="preserve">revenue174</w:t>
      </w:r>
    </w:p>
    <w:p>
      <w:pPr>
        <w:pStyle w:val="BodyText"/>
      </w:pPr>
      <w:r>
        <w:t xml:space="preserve">-3 666 650.00</w:t>
      </w:r>
      <w:r>
        <w:t xml:space="preserve"> </w:t>
      </w:r>
      <w:r>
        <w:t xml:space="preserve">-3 759 291.47</w:t>
      </w:r>
      <w:r>
        <w:t xml:space="preserve"> </w:t>
      </w:r>
      <w:r>
        <w:t xml:space="preserve">-3 847 291.36</w:t>
      </w:r>
      <w:r>
        <w:t xml:space="preserve"> </w:t>
      </w:r>
      <w:r>
        <w:t xml:space="preserve">- 3 164 565.16</w:t>
      </w:r>
      <w:r>
        <w:t xml:space="preserve"> </w:t>
      </w:r>
      <w:r>
        <w:t xml:space="preserve">-1 755 542.86</w:t>
      </w:r>
    </w:p>
    <w:p>
      <w:pPr>
        <w:pStyle w:val="Compact"/>
        <w:numPr>
          <w:ilvl w:val="0"/>
          <w:numId w:val="1005"/>
        </w:numPr>
      </w:pPr>
      <w:r>
        <w:t xml:space="preserve">Calculation assumptions</w:t>
      </w:r>
      <w:r>
        <w:t xml:space="preserve"> </w:t>
      </w:r>
      <w:r>
        <w:t xml:space="preserve">The calculations of the EUIPO budget evolution use the following specific</w:t>
      </w:r>
      <w:r>
        <w:t xml:space="preserve"> </w:t>
      </w:r>
      <w:r>
        <w:t xml:space="preserve">assumptions:</w:t>
      </w:r>
      <w:r>
        <w:br/>
      </w:r>
      <w:r>
        <w:t xml:space="preserve"> Calculations are based on:</w:t>
      </w:r>
    </w:p>
    <w:p>
      <w:pPr>
        <w:pStyle w:val="FirstParagraph"/>
      </w:pPr>
      <w:r>
        <w:t xml:space="preserve">o the figures on RCD applications, renewals and other files presented to the</w:t>
      </w:r>
      <w:r>
        <w:t xml:space="preserve"> </w:t>
      </w:r>
      <w:r>
        <w:t xml:space="preserve">EUIPO Budget Committee in November 2020. These figures are part of the</w:t>
      </w:r>
      <w:r>
        <w:t xml:space="preserve"> </w:t>
      </w:r>
      <w:r>
        <w:t xml:space="preserve">approved Budget 2021 and Financial Outlook 2022 – 2025;</w:t>
      </w:r>
    </w:p>
    <w:p>
      <w:pPr>
        <w:pStyle w:val="BodyText"/>
      </w:pPr>
      <w:r>
        <w:t xml:space="preserve">173 Includes publication and registration fees.</w:t>
      </w:r>
      <w:r>
        <w:t xml:space="preserve"> </w:t>
      </w:r>
      <w:r>
        <w:t xml:space="preserve">174 The loss of € 625 200 generated due to the abolishment of transfer fee is added to the total loss of</w:t>
      </w:r>
      <w:r>
        <w:t xml:space="preserve"> </w:t>
      </w:r>
      <w:r>
        <w:t xml:space="preserve">revenue figures every year.</w:t>
      </w:r>
    </w:p>
    <w:p>
      <w:pPr>
        <w:pStyle w:val="BodyText"/>
      </w:pPr>
      <w:r>
        <w:t xml:space="preserve">83</w:t>
      </w:r>
    </w:p>
    <w:p>
      <w:pPr>
        <w:pStyle w:val="BodyText"/>
      </w:pPr>
      <w:r>
        <w:t xml:space="preserve">o the estimated number of files was performed assuming a growth rate of 3.1%</w:t>
      </w:r>
      <w:r>
        <w:t xml:space="preserve"> </w:t>
      </w:r>
      <w:r>
        <w:t xml:space="preserve">per year for the period from 2021 until 2025;</w:t>
      </w:r>
      <w:r>
        <w:t xml:space="preserve"> </w:t>
      </w:r>
      <w:r>
        <w:t xml:space="preserve">o calculations related to multiple applications are based on the historical</w:t>
      </w:r>
      <w:r>
        <w:t xml:space="preserve"> </w:t>
      </w:r>
      <w:r>
        <w:t xml:space="preserve">distribution of the number of RCDs filed. The historical distribution is applied</w:t>
      </w:r>
      <w:r>
        <w:t xml:space="preserve"> </w:t>
      </w:r>
      <w:r>
        <w:t xml:space="preserve">to the total number of files allowing to produce the several different</w:t>
      </w:r>
      <w:r>
        <w:t xml:space="preserve"> </w:t>
      </w:r>
      <w:r>
        <w:t xml:space="preserve">simulation scenarios;</w:t>
      </w:r>
      <w:r>
        <w:br/>
      </w:r>
      <w:r>
        <w:t xml:space="preserve">o the renewals are calculated using the following logical steps:</w:t>
      </w:r>
      <w:r>
        <w:t xml:space="preserve"> </w:t>
      </w:r>
      <w:r>
        <w:t xml:space="preserve">-</w:t>
      </w:r>
      <w:r>
        <w:t xml:space="preserve"> </w:t>
      </w:r>
      <w:r>
        <w:t xml:space="preserve">number of RCD’s subjected to renewal (RCD’s files N-5)</w:t>
      </w:r>
      <w:r>
        <w:t xml:space="preserve"> </w:t>
      </w:r>
      <w:r>
        <w:rPr>
          <w:i/>
          <w:iCs/>
        </w:rPr>
        <w:t xml:space="preserve">historical</w:t>
      </w:r>
      <w:r>
        <w:rPr>
          <w:i/>
          <w:iCs/>
        </w:rPr>
        <w:t xml:space="preserve"> </w:t>
      </w:r>
      <w:r>
        <w:rPr>
          <w:i/>
          <w:iCs/>
        </w:rPr>
        <w:t xml:space="preserve">renewal rate per wave of renewal;</w:t>
      </w:r>
      <w:r>
        <w:rPr>
          <w:i/>
          <w:iCs/>
        </w:rPr>
        <w:t xml:space="preserve"> </w:t>
      </w:r>
      <w:r>
        <w:rPr>
          <w:i/>
          <w:iCs/>
        </w:rPr>
        <w:t xml:space="preserve">-</w:t>
      </w:r>
      <w:r>
        <w:rPr>
          <w:i/>
          <w:iCs/>
        </w:rPr>
        <w:t xml:space="preserve"> </w:t>
      </w:r>
      <w:r>
        <w:rPr>
          <w:i/>
          <w:iCs/>
        </w:rPr>
        <w:t xml:space="preserve">the same logic is applied to IRCD’s;</w:t>
      </w:r>
      <w:r>
        <w:rPr>
          <w:i/>
          <w:iCs/>
        </w:rPr>
        <w:t xml:space="preserve"> </w:t>
      </w:r>
      <w:r>
        <w:rPr>
          <w:i/>
          <w:iCs/>
        </w:rPr>
        <w:t xml:space="preserve">o the percentage of deferment is calculated as follows:</w:t>
      </w:r>
      <w:r>
        <w:rPr>
          <w:i/>
          <w:iCs/>
        </w:rPr>
        <w:t xml:space="preserve"> </w:t>
      </w:r>
      <w:r>
        <w:rPr>
          <w:i/>
          <w:iCs/>
        </w:rPr>
        <w:t xml:space="preserve">-</w:t>
      </w:r>
      <w:r>
        <w:rPr>
          <w:i/>
          <w:iCs/>
        </w:rPr>
        <w:t xml:space="preserve"> </w:t>
      </w:r>
      <w:r>
        <w:rPr>
          <w:i/>
          <w:iCs/>
        </w:rPr>
        <w:t xml:space="preserve">historical rate of deferred publication</w:t>
      </w:r>
      <w:r>
        <w:rPr>
          <w:i/>
          <w:iCs/>
        </w:rPr>
        <w:t xml:space="preserve"> </w:t>
      </w:r>
      <w:r>
        <w:t xml:space="preserve"> </w:t>
      </w:r>
      <w:r>
        <w:t xml:space="preserve">RCD’s fillings;</w:t>
      </w:r>
      <w:r>
        <w:t xml:space="preserve"> </w:t>
      </w:r>
      <w:r>
        <w:t xml:space="preserve">o design invalidity is calculated as follows:</w:t>
      </w:r>
      <w:r>
        <w:t xml:space="preserve"> </w:t>
      </w:r>
      <w:r>
        <w:t xml:space="preserve">-</w:t>
      </w:r>
      <w:r>
        <w:t xml:space="preserve"> </w:t>
      </w:r>
      <w:r>
        <w:t xml:space="preserve">historical rate of invalidity * RCD’s fillings.</w:t>
      </w:r>
      <w:r>
        <w:t xml:space="preserve"> </w:t>
      </w:r>
      <w:r>
        <w:t xml:space="preserve">o the figures presented may not add-up due to a rounding effect during the</w:t>
      </w:r>
      <w:r>
        <w:t xml:space="preserve"> </w:t>
      </w:r>
      <w:r>
        <w:t xml:space="preserve">several steps involved in the budget preparation.</w:t>
      </w:r>
    </w:p>
    <w:p>
      <w:pPr>
        <w:pStyle w:val="BodyText"/>
      </w:pPr>
      <w:r>
        <w:t xml:space="preserve"> The fee adjustments are presumed to enter into force on 2024. Thus, the total impact</w:t>
      </w:r>
      <w:r>
        <w:t xml:space="preserve"> </w:t>
      </w:r>
      <w:r>
        <w:t xml:space="preserve">and the loss of EUIPO revenue best to be considered is that of the year 2024.</w:t>
      </w:r>
    </w:p>
    <w:p>
      <w:pPr>
        <w:pStyle w:val="BodyText"/>
      </w:pPr>
      <w:r>
        <w:t xml:space="preserve"> The fee adjustments are expected not to have a relevant impact on the RCD filing</w:t>
      </w:r>
      <w:r>
        <w:t xml:space="preserve"> </w:t>
      </w:r>
      <w:r>
        <w:t xml:space="preserve">volumes in view of the filing figures following the latest fee reductions for EUTMs.</w:t>
      </w:r>
    </w:p>
    <w:p>
      <w:pPr>
        <w:pStyle w:val="BodyText"/>
      </w:pPr>
      <w:r>
        <w:t xml:space="preserve"> Mirroring the fee reform for EUTMs, the transfer fee for RCDs is proposed to be</w:t>
      </w:r>
      <w:r>
        <w:t xml:space="preserve"> </w:t>
      </w:r>
      <w:r>
        <w:t xml:space="preserve">abolished and therefore the resulting loss of EUIPO revenue of € 625.200 per year is</w:t>
      </w:r>
      <w:r>
        <w:t xml:space="preserve"> </w:t>
      </w:r>
      <w:r>
        <w:t xml:space="preserve">included in the calculations.</w:t>
      </w:r>
    </w:p>
    <w:p>
      <w:pPr>
        <w:pStyle w:val="BodyText"/>
      </w:pPr>
      <w:r>
        <w:t xml:space="preserve"> The deferment and miscellaneous fees remain unchanged.</w:t>
      </w:r>
    </w:p>
    <w:p>
      <w:pPr>
        <w:pStyle w:val="BodyText"/>
      </w:pPr>
      <w:r>
        <w:t xml:space="preserve"> The fee structure is simplified by abolishing the separate publication fee and adding</w:t>
      </w:r>
      <w:r>
        <w:t xml:space="preserve"> </w:t>
      </w:r>
      <w:r>
        <w:t xml:space="preserve">this fee to the registration fee.</w:t>
      </w:r>
    </w:p>
    <w:p>
      <w:pPr>
        <w:pStyle w:val="BodyText"/>
      </w:pPr>
      <w:r>
        <w:t xml:space="preserve"> The same multiple application discount is granted for the designs contained in a</w:t>
      </w:r>
      <w:r>
        <w:t xml:space="preserve"> </w:t>
      </w:r>
      <w:r>
        <w:t xml:space="preserve">multiple application, regardless of the number of such designs applied for (flat fee).</w:t>
      </w:r>
    </w:p>
    <w:p>
      <w:pPr>
        <w:pStyle w:val="BodyText"/>
      </w:pPr>
      <w:r>
        <w:t xml:space="preserve"> The proposed limit of up to 50 designs forming part of a multiple application should</w:t>
      </w:r>
      <w:r>
        <w:t xml:space="preserve"> </w:t>
      </w:r>
      <w:r>
        <w:t xml:space="preserve">slightly minimize the loss of EUIPO’s revenue in the future. However, this proposed</w:t>
      </w:r>
      <w:r>
        <w:t xml:space="preserve"> </w:t>
      </w:r>
      <w:r>
        <w:t xml:space="preserve">change is not reflected in the calculations, as not impactful.</w:t>
      </w:r>
    </w:p>
    <w:p>
      <w:pPr>
        <w:pStyle w:val="BodyText"/>
      </w:pPr>
      <w:r>
        <w:t xml:space="preserve"> The revenue from a possible 4th renewal period is not considered in the calculations,</w:t>
      </w:r>
      <w:r>
        <w:t xml:space="preserve"> </w:t>
      </w:r>
      <w:r>
        <w:t xml:space="preserve">since no reliable figures are yet available.</w:t>
      </w:r>
    </w:p>
    <w:p>
      <w:pPr>
        <w:pStyle w:val="BodyText"/>
      </w:pPr>
      <w:r>
        <w:t xml:space="preserve"> The highest number of RCD filings originated from the People’s Republic of China</w:t>
      </w:r>
      <w:r>
        <w:t xml:space="preserve"> </w:t>
      </w:r>
      <w:r>
        <w:t xml:space="preserve">in 2020. This country is preparing to join the Hague Agreement concerning the</w:t>
      </w:r>
      <w:r>
        <w:t xml:space="preserve"> </w:t>
      </w:r>
      <w:r>
        <w:t xml:space="preserve">international registration of industrial designs. Thus, instead of RCD filings, the</w:t>
      </w:r>
      <w:r>
        <w:t xml:space="preserve"> </w:t>
      </w:r>
      <w:r>
        <w:t xml:space="preserve">proportion of international registrations designating the EU (IRCDs) could rise</w:t>
      </w:r>
      <w:r>
        <w:t xml:space="preserve"> </w:t>
      </w:r>
      <w:r>
        <w:t xml:space="preserve">sharply when filers from China opt for the international file route instead of direct</w:t>
      </w:r>
    </w:p>
    <w:p>
      <w:pPr>
        <w:pStyle w:val="BodyText"/>
      </w:pPr>
      <w:r>
        <w:t xml:space="preserve">84</w:t>
      </w:r>
    </w:p>
    <w:p>
      <w:pPr>
        <w:pStyle w:val="BodyText"/>
      </w:pPr>
      <w:r>
        <w:t xml:space="preserve">RCD filings (following the evolution of international filings with effect for the EU</w:t>
      </w:r>
      <w:r>
        <w:t xml:space="preserve"> </w:t>
      </w:r>
      <w:r>
        <w:t xml:space="preserve">from South Korea after this country joined the Hague Agreement). The EUIPO’s fee</w:t>
      </w:r>
      <w:r>
        <w:t xml:space="preserve"> </w:t>
      </w:r>
      <w:r>
        <w:t xml:space="preserve">revenue for IRCDs is well below that for direct filings. This expected future loss of</w:t>
      </w:r>
      <w:r>
        <w:t xml:space="preserve"> </w:t>
      </w:r>
      <w:r>
        <w:t xml:space="preserve">revenue is not included in the calculations.</w:t>
      </w:r>
    </w:p>
    <w:p>
      <w:pPr>
        <w:pStyle w:val="BodyText"/>
      </w:pPr>
      <w:r>
        <w:t xml:space="preserve"> Calculations foresee a 1.5% exchange rate for the IRCD individual designations and</w:t>
      </w:r>
      <w:r>
        <w:t xml:space="preserve"> </w:t>
      </w:r>
      <w:r>
        <w:t xml:space="preserve">IRCD renewals.</w:t>
      </w:r>
    </w:p>
    <w:p>
      <w:pPr>
        <w:pStyle w:val="Compact"/>
        <w:numPr>
          <w:ilvl w:val="0"/>
          <w:numId w:val="1006"/>
        </w:numPr>
      </w:pPr>
      <w:r>
        <w:t xml:space="preserve">Expected evolution of EUIPO budget according to revenues and expenditures</w:t>
      </w:r>
    </w:p>
    <w:p>
      <w:pPr>
        <w:pStyle w:val="Compact"/>
        <w:numPr>
          <w:ilvl w:val="0"/>
          <w:numId w:val="1007"/>
        </w:numPr>
      </w:pPr>
      <w:r>
        <w:t xml:space="preserve">Current situation</w:t>
      </w:r>
    </w:p>
    <w:p>
      <w:pPr>
        <w:numPr>
          <w:ilvl w:val="0"/>
          <w:numId w:val="1008"/>
        </w:numPr>
      </w:pPr>
      <w:r>
        <w:t xml:space="preserve">Use of revenues: Table A.7.4 shows how the revenues are mobilised in terms of</w:t>
      </w:r>
      <w:r>
        <w:t xml:space="preserve"> </w:t>
      </w:r>
      <w:r>
        <w:t xml:space="preserve">activities of the Office. The main conclusion is that the revenues are first used to cover</w:t>
      </w:r>
      <w:r>
        <w:t xml:space="preserve"> </w:t>
      </w:r>
      <w:r>
        <w:t xml:space="preserve">the costs of EUTMs and RCDs but also to cross-subsidise all the “non-fee producing”</w:t>
      </w:r>
      <w:r>
        <w:t xml:space="preserve"> </w:t>
      </w:r>
      <w:r>
        <w:t xml:space="preserve">activities. Because the balance is negative, the office makes actually use of the past</w:t>
      </w:r>
      <w:r>
        <w:t xml:space="preserve"> </w:t>
      </w:r>
      <w:r>
        <w:t xml:space="preserve">accumulated budgetary results. Indeed, as mentioned in prior communications, the</w:t>
      </w:r>
      <w:r>
        <w:t xml:space="preserve"> </w:t>
      </w:r>
      <w:r>
        <w:t xml:space="preserve">Office’s contribution to EU policies (European school of Alicante, EU Funded projects</w:t>
      </w:r>
      <w:r>
        <w:t xml:space="preserve"> </w:t>
      </w:r>
      <w:r>
        <w:t xml:space="preserve">and SME fund), is supported by the Office’s accumulated surplus, in accordance with the</w:t>
      </w:r>
      <w:r>
        <w:t xml:space="preserve"> </w:t>
      </w:r>
      <w:r>
        <w:t xml:space="preserve">provisions of the Office’s Financial Regulation and the Court of Auditor’s suggestion.</w:t>
      </w:r>
      <w:r>
        <w:t xml:space="preserve"> </w:t>
      </w:r>
      <w:r>
        <w:t xml:space="preserve">While the entire contribution to EU policies comes from financial reserves, outside the</w:t>
      </w:r>
      <w:r>
        <w:t xml:space="preserve"> </w:t>
      </w:r>
      <w:r>
        <w:t xml:space="preserve">operational budget, it is worth highlighting that the surplus amount generated in the year</w:t>
      </w:r>
      <w:r>
        <w:t xml:space="preserve"> </w:t>
      </w:r>
      <w:r>
        <w:t xml:space="preserve">is insufficient to compensate it, leading to a net reduction of the accumulated result from</w:t>
      </w:r>
      <w:r>
        <w:t xml:space="preserve"> </w:t>
      </w:r>
      <w:r>
        <w:t xml:space="preserve">previous years.</w:t>
      </w:r>
      <w:r>
        <w:t xml:space="preserve"> </w:t>
      </w:r>
      <w:r>
        <w:t xml:space="preserve">Table A.7.4 – Mobilisation of revenues in terms of activities of the Office</w:t>
      </w:r>
    </w:p>
    <w:p>
      <w:pPr>
        <w:numPr>
          <w:ilvl w:val="0"/>
          <w:numId w:val="1008"/>
        </w:numPr>
      </w:pPr>
      <w:r>
        <w:t xml:space="preserve">Cross-subsidising result: In terms of RCDs, the cross-subsidising result is as shown in</w:t>
      </w:r>
      <w:r>
        <w:t xml:space="preserve"> </w:t>
      </w:r>
      <w:r>
        <w:t xml:space="preserve">the following table.</w:t>
      </w:r>
      <w:r>
        <w:t xml:space="preserve"> </w:t>
      </w:r>
      <w:r>
        <w:t xml:space="preserve">Table A.7.5 – Cross-subsidising result in terms of RCDs</w:t>
      </w:r>
    </w:p>
    <w:p>
      <w:pPr>
        <w:pStyle w:val="FirstParagraph"/>
      </w:pPr>
      <w:r>
        <w:t xml:space="preserve">85</w:t>
      </w:r>
    </w:p>
    <w:p>
      <w:pPr>
        <w:pStyle w:val="Compact"/>
        <w:numPr>
          <w:ilvl w:val="0"/>
          <w:numId w:val="1009"/>
        </w:numPr>
      </w:pPr>
      <w:r>
        <w:t xml:space="preserve">Situation under sub-option 3.1</w:t>
      </w:r>
    </w:p>
    <w:p>
      <w:pPr>
        <w:pStyle w:val="FirstParagraph"/>
      </w:pPr>
      <w:r>
        <w:t xml:space="preserve">The impact of sub-option 3.1 after 2024 is estimated in the following table.</w:t>
      </w:r>
    </w:p>
    <w:p>
      <w:pPr>
        <w:pStyle w:val="BodyText"/>
      </w:pPr>
      <w:r>
        <w:t xml:space="preserve">Table A.7.6 – Impact of sub-option 3.1 on revenues</w:t>
      </w:r>
    </w:p>
    <w:p>
      <w:pPr>
        <w:pStyle w:val="BodyText"/>
      </w:pPr>
      <w:r>
        <w:t xml:space="preserve">The reduction of revenue will increase usage of past accumulated budgetary results.</w:t>
      </w:r>
    </w:p>
    <w:p>
      <w:pPr>
        <w:pStyle w:val="BodyText"/>
      </w:pPr>
      <w:r>
        <w:t xml:space="preserve">Table A.7.7 – Usage of past accumulated budgetary results</w:t>
      </w:r>
    </w:p>
    <w:p>
      <w:pPr>
        <w:pStyle w:val="BodyText"/>
      </w:pPr>
      <w:r>
        <w:t xml:space="preserve">The contribution of RCDs for the cross-subsidising process is reduced.</w:t>
      </w:r>
      <w:r>
        <w:t xml:space="preserve"> </w:t>
      </w:r>
      <w:r>
        <w:t xml:space="preserve">Table A.7.8 – Contribution of RCDs for cross-subsidising process</w:t>
      </w:r>
    </w:p>
    <w:p>
      <w:pPr>
        <w:pStyle w:val="BodyText"/>
      </w:pPr>
      <w:r>
        <w:t xml:space="preserve">86</w:t>
      </w:r>
    </w:p>
    <w:p>
      <w:pPr>
        <w:pStyle w:val="Compact"/>
        <w:numPr>
          <w:ilvl w:val="0"/>
          <w:numId w:val="1010"/>
        </w:numPr>
      </w:pPr>
      <w:r>
        <w:t xml:space="preserve">Situation under Option 3.2</w:t>
      </w:r>
      <w:r>
        <w:t xml:space="preserve"> </w:t>
      </w:r>
      <w:r>
        <w:t xml:space="preserve">The conclusions are identical to sub-option 3.1 (lower level of revenues and therefore</w:t>
      </w:r>
      <w:r>
        <w:t xml:space="preserve"> </w:t>
      </w:r>
      <w:r>
        <w:t xml:space="preserve">increasing funding from the past accumulated budgetary results), the impact being</w:t>
      </w:r>
      <w:r>
        <w:t xml:space="preserve"> </w:t>
      </w:r>
      <w:r>
        <w:t xml:space="preserve">slightly lower after 2025.</w:t>
      </w:r>
    </w:p>
    <w:p>
      <w:pPr>
        <w:pStyle w:val="FirstParagraph"/>
      </w:pPr>
      <w:r>
        <w:t xml:space="preserve">87</w:t>
      </w:r>
    </w:p>
    <w:p>
      <w:pPr>
        <w:pStyle w:val="BodyText"/>
      </w:pPr>
      <w:r>
        <w:t xml:space="preserve">Table A.7.9 – Implications of sub-option 3.2</w:t>
      </w:r>
    </w:p>
    <w:p>
      <w:pPr>
        <w:pStyle w:val="BodyText"/>
      </w:pPr>
      <w:r>
        <w:t xml:space="preserve">88</w:t>
      </w:r>
    </w:p>
    <w:p>
      <w:pPr>
        <w:pStyle w:val="BodyText"/>
      </w:pPr>
      <w:r>
        <w:t xml:space="preserve">ANNEX 8: MEMBER STATE FEES</w:t>
      </w:r>
      <w:r>
        <w:t xml:space="preserve"> </w:t>
      </w:r>
      <w:r>
        <w:t xml:space="preserve">Abbreviations:</w:t>
      </w:r>
      <w:r>
        <w:t xml:space="preserve"> </w:t>
      </w:r>
      <w:r>
        <w:t xml:space="preserve">D: Design; E: Electronic; GP: Grace Period; MA: Multiple Applications; P: Paper; surch.: surcharge</w:t>
      </w:r>
    </w:p>
    <w:p>
      <w:pPr>
        <w:pStyle w:val="BodyText"/>
      </w:pPr>
      <w:r>
        <w:t xml:space="preserve">Filing</w:t>
      </w:r>
    </w:p>
    <w:p>
      <w:pPr>
        <w:pStyle w:val="BodyText"/>
      </w:pPr>
      <w:r>
        <w:t xml:space="preserve">Costs(175)</w:t>
      </w:r>
    </w:p>
    <w:p>
      <w:pPr>
        <w:pStyle w:val="BodyText"/>
      </w:pPr>
      <w:r>
        <w:t xml:space="preserve">Deferment</w:t>
      </w:r>
    </w:p>
    <w:p>
      <w:pPr>
        <w:pStyle w:val="BodyText"/>
      </w:pPr>
      <w:r>
        <w:t xml:space="preserve">Renewals</w:t>
      </w:r>
    </w:p>
    <w:p>
      <w:pPr>
        <w:pStyle w:val="BodyText"/>
      </w:pPr>
      <w:r>
        <w:t xml:space="preserve">AT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also</w:t>
      </w:r>
      <w:r>
        <w:t xml:space="preserve"> </w:t>
      </w:r>
      <w: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t xml:space="preserve">here</w:t>
      </w:r>
    </w:p>
    <w:p>
      <w:pPr>
        <w:pStyle w:val="BodyText"/>
      </w:pPr>
      <w:r>
        <w:t xml:space="preserve">82(E) / 87(P)</w:t>
      </w:r>
    </w:p>
    <w:p>
      <w:pPr>
        <w:pStyle w:val="Compact"/>
        <w:numPr>
          <w:ilvl w:val="0"/>
          <w:numId w:val="1011"/>
        </w:numPr>
      </w:pPr>
      <w:r>
        <w:t xml:space="preserve">15.50 per class</w:t>
      </w:r>
    </w:p>
    <w:p>
      <w:pPr>
        <w:pStyle w:val="FirstParagraph"/>
      </w:pPr>
      <w:r>
        <w:t xml:space="preserve">MA:</w:t>
      </w:r>
    </w:p>
    <w:p>
      <w:pPr>
        <w:pStyle w:val="BodyText"/>
      </w:pPr>
      <w:r>
        <w:t xml:space="preserve">142(E) / 147(P)</w:t>
      </w:r>
    </w:p>
    <w:p>
      <w:pPr>
        <w:numPr>
          <w:ilvl w:val="0"/>
          <w:numId w:val="1012"/>
        </w:numPr>
      </w:pPr>
      <w:r>
        <w:t xml:space="preserve">20 for 2nd - 10th</w:t>
      </w:r>
    </w:p>
    <w:p>
      <w:pPr>
        <w:numPr>
          <w:ilvl w:val="0"/>
          <w:numId w:val="1012"/>
        </w:numPr>
      </w:pPr>
      <w:r>
        <w:t xml:space="preserve">18.50 as of 11th</w:t>
      </w:r>
    </w:p>
    <w:p>
      <w:pPr>
        <w:pStyle w:val="FirstParagraph"/>
      </w:pPr>
      <w:r>
        <w:t xml:space="preserve">97.50(E) / 102.50(P)</w:t>
      </w:r>
      <w:r>
        <w:t xml:space="preserve"> </w:t>
      </w:r>
      <w:r>
        <w:t xml:space="preserve">–</w:t>
      </w:r>
      <w:r>
        <w:t xml:space="preserve"> </w:t>
      </w:r>
      <w:r>
        <w:t xml:space="preserve">322(E) / 327(P)</w:t>
      </w:r>
    </w:p>
    <w:p>
      <w:pPr>
        <w:pStyle w:val="BodyText"/>
      </w:pPr>
      <w:r>
        <w:t xml:space="preserve">50% surch. of</w:t>
      </w:r>
      <w:r>
        <w:t xml:space="preserve"> </w:t>
      </w:r>
      <w:r>
        <w:t xml:space="preserve">filing fee</w:t>
      </w:r>
    </w:p>
    <w:p>
      <w:pPr>
        <w:pStyle w:val="BodyText"/>
      </w:pPr>
      <w:r>
        <w:t xml:space="preserve">130</w:t>
      </w:r>
      <w:r>
        <w:t xml:space="preserve"> </w:t>
      </w:r>
      <w:r>
        <w:t xml:space="preserve">(GP: 156)</w:t>
      </w:r>
    </w:p>
    <w:p>
      <w:pPr>
        <w:pStyle w:val="BodyText"/>
      </w:pPr>
      <w:r>
        <w:t xml:space="preserve">MA:</w:t>
      </w:r>
    </w:p>
    <w:p>
      <w:pPr>
        <w:pStyle w:val="BodyText"/>
      </w:pPr>
      <w:r>
        <w:t xml:space="preserve">88</w:t>
      </w:r>
      <w:r>
        <w:t xml:space="preserve"> </w:t>
      </w:r>
      <w:r>
        <w:t xml:space="preserve">(GP: 105.6)</w:t>
      </w:r>
    </w:p>
    <w:p>
      <w:pPr>
        <w:pStyle w:val="BodyText"/>
      </w:pPr>
      <w:r>
        <w:t xml:space="preserve">BLX</w:t>
      </w:r>
    </w:p>
    <w:p>
      <w:pPr>
        <w:pStyle w:val="BodyText"/>
      </w:pPr>
      <w:r>
        <w:t xml:space="preserve">150(E) / 172(P)</w:t>
      </w:r>
    </w:p>
    <w:p>
      <w:pPr>
        <w:numPr>
          <w:ilvl w:val="0"/>
          <w:numId w:val="1013"/>
        </w:numPr>
      </w:pPr>
      <w:r>
        <w:t xml:space="preserve">42(E) / 48(P) adding a characteristic</w:t>
      </w:r>
      <w:r>
        <w:t xml:space="preserve"> </w:t>
      </w:r>
      <w:r>
        <w:t xml:space="preserve">feature</w:t>
      </w:r>
    </w:p>
    <w:p>
      <w:pPr>
        <w:numPr>
          <w:ilvl w:val="0"/>
          <w:numId w:val="1013"/>
        </w:numPr>
      </w:pPr>
      <w:r>
        <w:t xml:space="preserve">12(E) / 13(P) registration of priority</w:t>
      </w:r>
      <w:r>
        <w:t xml:space="preserve"> </w:t>
      </w:r>
      <w:r>
        <w:t xml:space="preserve">declaration</w:t>
      </w:r>
    </w:p>
    <w:p>
      <w:pPr>
        <w:pStyle w:val="FirstParagraph"/>
      </w:pPr>
      <w:r>
        <w:t xml:space="preserve">MA:</w:t>
      </w:r>
    </w:p>
    <w:p>
      <w:pPr>
        <w:numPr>
          <w:ilvl w:val="0"/>
          <w:numId w:val="1014"/>
        </w:numPr>
      </w:pPr>
      <w:r>
        <w:t xml:space="preserve">75(E) / 86(P) for 2nd - 10th D</w:t>
      </w:r>
    </w:p>
    <w:p>
      <w:pPr>
        <w:numPr>
          <w:ilvl w:val="0"/>
          <w:numId w:val="1014"/>
        </w:numPr>
      </w:pPr>
      <w:r>
        <w:t xml:space="preserve">38(E) / 43(P) for 11th - 20th D</w:t>
      </w:r>
    </w:p>
    <w:p>
      <w:pPr>
        <w:numPr>
          <w:ilvl w:val="0"/>
          <w:numId w:val="1014"/>
        </w:numPr>
      </w:pPr>
      <w:r>
        <w:t xml:space="preserve">32(E) / 36(P) for 21st - 50th D</w:t>
      </w:r>
    </w:p>
    <w:p>
      <w:pPr>
        <w:pStyle w:val="FirstParagraph"/>
      </w:pPr>
      <w:r>
        <w:t xml:space="preserve">192(E)(176) /</w:t>
      </w:r>
      <w:r>
        <w:t xml:space="preserve"> </w:t>
      </w:r>
      <w:r>
        <w:t xml:space="preserve">220(P)(177)</w:t>
      </w:r>
      <w:r>
        <w:t xml:space="preserve"> </w:t>
      </w:r>
      <w:r>
        <w:t xml:space="preserve">–</w:t>
      </w:r>
      <w:r>
        <w:t xml:space="preserve"> </w:t>
      </w:r>
      <w:r>
        <w:t xml:space="preserve">825(E)(178) /</w:t>
      </w:r>
      <w:r>
        <w:t xml:space="preserve"> </w:t>
      </w:r>
      <w:r>
        <w:t xml:space="preserve">994(P)(179)</w:t>
      </w:r>
    </w:p>
    <w:p>
      <w:pPr>
        <w:pStyle w:val="BodyText"/>
      </w:pPr>
      <w:r>
        <w:t xml:space="preserve">40</w:t>
      </w:r>
    </w:p>
    <w:p>
      <w:pPr>
        <w:pStyle w:val="BodyText"/>
      </w:pPr>
      <w:r>
        <w:t xml:space="preserve">102</w:t>
      </w:r>
      <w:r>
        <w:t xml:space="preserve"> </w:t>
      </w:r>
      <w:r>
        <w:t xml:space="preserve">(GP: 12)</w:t>
      </w:r>
    </w:p>
    <w:p>
      <w:pPr>
        <w:pStyle w:val="BodyText"/>
      </w:pPr>
      <w:r>
        <w:t xml:space="preserve">MA:</w:t>
      </w:r>
    </w:p>
    <w:p>
      <w:pPr>
        <w:pStyle w:val="BodyText"/>
      </w:pPr>
      <w:r>
        <w:t xml:space="preserve">51 for 2nd - 10th D</w:t>
      </w:r>
      <w:r>
        <w:t xml:space="preserve"> </w:t>
      </w:r>
      <w:r>
        <w:t xml:space="preserve">25 for 11th - 20th D</w:t>
      </w:r>
      <w:r>
        <w:t xml:space="preserve"> </w:t>
      </w:r>
      <w:r>
        <w:t xml:space="preserve">21 above 21st D</w:t>
      </w:r>
    </w:p>
    <w:p>
      <w:pPr>
        <w:pStyle w:val="BodyText"/>
      </w:pPr>
      <w:r>
        <w:t xml:space="preserve">BG</w:t>
      </w:r>
    </w:p>
    <w:p>
      <w:pPr>
        <w:pStyle w:val="BodyText"/>
      </w:pPr>
      <w:r>
        <w:t xml:space="preserve">20 (40 BGN) filing fee</w:t>
      </w:r>
    </w:p>
    <w:p>
      <w:pPr>
        <w:numPr>
          <w:ilvl w:val="0"/>
          <w:numId w:val="1015"/>
        </w:numPr>
      </w:pPr>
      <w:r>
        <w:t xml:space="preserve">35 (70 BGN) examination fee</w:t>
      </w:r>
    </w:p>
    <w:p>
      <w:pPr>
        <w:numPr>
          <w:ilvl w:val="0"/>
          <w:numId w:val="1015"/>
        </w:numPr>
      </w:pPr>
      <w:r>
        <w:t xml:space="preserve">90 (180 BGN) registration fee</w:t>
      </w:r>
    </w:p>
    <w:p>
      <w:pPr>
        <w:numPr>
          <w:ilvl w:val="0"/>
          <w:numId w:val="1015"/>
        </w:numPr>
      </w:pPr>
      <w:r>
        <w:t xml:space="preserve">25 (50 BGN) registration certificate</w:t>
      </w:r>
    </w:p>
    <w:p>
      <w:pPr>
        <w:numPr>
          <w:ilvl w:val="0"/>
          <w:numId w:val="1015"/>
        </w:numPr>
      </w:pPr>
      <w:r>
        <w:t xml:space="preserve">15 (30 BGN) publication fee per view</w:t>
      </w:r>
    </w:p>
    <w:p>
      <w:pPr>
        <w:numPr>
          <w:ilvl w:val="0"/>
          <w:numId w:val="1015"/>
        </w:numPr>
      </w:pPr>
      <w:r>
        <w:t xml:space="preserve">10 (20 BGN) for priority claim</w:t>
      </w:r>
    </w:p>
    <w:p>
      <w:pPr>
        <w:pStyle w:val="FirstParagraph"/>
      </w:pPr>
      <w:r>
        <w:t xml:space="preserve">MA:</w:t>
      </w:r>
    </w:p>
    <w:p>
      <w:pPr>
        <w:pStyle w:val="Compact"/>
        <w:numPr>
          <w:ilvl w:val="0"/>
          <w:numId w:val="1016"/>
        </w:numPr>
      </w:pPr>
      <w:r>
        <w:t xml:space="preserve">17.50 (35 BGN) examination fee as of 2nd</w:t>
      </w:r>
    </w:p>
    <w:p>
      <w:pPr>
        <w:pStyle w:val="FirstParagraph"/>
      </w:pPr>
      <w:r>
        <w:t xml:space="preserve">170 (340 BGN)(180)</w:t>
      </w:r>
      <w:r>
        <w:t xml:space="preserve"> </w:t>
      </w:r>
      <w:r>
        <w:t xml:space="preserve">–</w:t>
      </w:r>
      <w:r>
        <w:t xml:space="preserve"> </w:t>
      </w:r>
      <w:r>
        <w:t xml:space="preserve">1542,50</w:t>
      </w:r>
      <w:r>
        <w:t xml:space="preserve"> </w:t>
      </w:r>
      <w:r>
        <w:t xml:space="preserve">(3085 BGN)(181)</w:t>
      </w:r>
    </w:p>
    <w:p>
      <w:pPr>
        <w:pStyle w:val="BodyText"/>
      </w:pPr>
      <w:r>
        <w:t xml:space="preserve">25 (50 BGN) 1st D</w:t>
      </w:r>
    </w:p>
    <w:p>
      <w:pPr>
        <w:pStyle w:val="BodyText"/>
      </w:pPr>
      <w:r>
        <w:t xml:space="preserve">45 (90 BGN)</w:t>
      </w:r>
      <w:r>
        <w:t xml:space="preserve"> </w:t>
      </w:r>
      <w:r>
        <w:t xml:space="preserve">composition/set of</w:t>
      </w:r>
      <w:r>
        <w:t xml:space="preserve"> </w:t>
      </w:r>
      <w:r>
        <w:t xml:space="preserve">products</w:t>
      </w:r>
    </w:p>
    <w:p>
      <w:pPr>
        <w:pStyle w:val="BodyText"/>
      </w:pPr>
      <w:r>
        <w:t xml:space="preserve">MA:</w:t>
      </w:r>
    </w:p>
    <w:p>
      <w:pPr>
        <w:pStyle w:val="BodyText"/>
      </w:pPr>
      <w:r>
        <w:t xml:space="preserve">12.50 (25 BGN)</w:t>
      </w:r>
      <w:r>
        <w:t xml:space="preserve"> </w:t>
      </w:r>
      <w:r>
        <w:t xml:space="preserve">as of 2nd D</w:t>
      </w:r>
    </w:p>
    <w:p>
      <w:pPr>
        <w:pStyle w:val="BodyText"/>
      </w:pPr>
      <w:r>
        <w:t xml:space="preserve">Registered for 10 yr.</w:t>
      </w:r>
      <w:r>
        <w:t xml:space="preserve"> </w:t>
      </w:r>
      <w:r>
        <w:t xml:space="preserve">– 135 (270 BGN)</w:t>
      </w:r>
      <w:r>
        <w:br/>
      </w:r>
      <w:r>
        <w:t xml:space="preserve">– 180 (360 BGN)</w:t>
      </w:r>
      <w:r>
        <w:br/>
      </w:r>
      <w:r>
        <w:t xml:space="preserve">– 250 (500 BGN)</w:t>
      </w:r>
    </w:p>
    <w:p>
      <w:pPr>
        <w:pStyle w:val="BodyText"/>
      </w:pPr>
      <w:r>
        <w:t xml:space="preserve">(GP: 125 (250</w:t>
      </w:r>
      <w:r>
        <w:t xml:space="preserve"> </w:t>
      </w:r>
      <w:r>
        <w:t xml:space="preserve">BGN))</w:t>
      </w:r>
    </w:p>
    <w:p>
      <w:pPr>
        <w:pStyle w:val="BodyText"/>
      </w:pPr>
      <w:r>
        <w:t xml:space="preserve">HR</w:t>
      </w:r>
    </w:p>
    <w:p>
      <w:pPr>
        <w:pStyle w:val="BodyText"/>
      </w:pPr>
      <w:r>
        <w:t xml:space="preserve">6.63 (50 HRK) filing fee</w:t>
      </w:r>
    </w:p>
    <w:p>
      <w:pPr>
        <w:numPr>
          <w:ilvl w:val="0"/>
          <w:numId w:val="1017"/>
        </w:numPr>
      </w:pPr>
      <w:r>
        <w:t xml:space="preserve">26.43 (200 HRK) administrative fee</w:t>
      </w:r>
    </w:p>
    <w:p>
      <w:pPr>
        <w:numPr>
          <w:ilvl w:val="0"/>
          <w:numId w:val="1017"/>
        </w:numPr>
      </w:pPr>
      <w:r>
        <w:t xml:space="preserve">52.87 (400 HRK) maintenance /</w:t>
      </w:r>
      <w:r>
        <w:t xml:space="preserve"> </w:t>
      </w:r>
      <w:r>
        <w:t xml:space="preserve">publication fee</w:t>
      </w:r>
    </w:p>
    <w:p>
      <w:pPr>
        <w:numPr>
          <w:ilvl w:val="0"/>
          <w:numId w:val="1017"/>
        </w:numPr>
      </w:pPr>
      <w:r>
        <w:t xml:space="preserve">2.65 (20 HRK) publication of description</w:t>
      </w:r>
    </w:p>
    <w:p>
      <w:pPr>
        <w:pStyle w:val="FirstParagraph"/>
      </w:pPr>
      <w:r>
        <w:t xml:space="preserve">20% (E) discount</w:t>
      </w:r>
    </w:p>
    <w:p>
      <w:pPr>
        <w:pStyle w:val="BodyText"/>
      </w:pPr>
      <w:r>
        <w:t xml:space="preserve">68.72(E) (520 HRK) /</w:t>
      </w:r>
      <w:r>
        <w:t xml:space="preserve"> </w:t>
      </w:r>
      <w:r>
        <w:t xml:space="preserve">85.91(P) (650 HRK)</w:t>
      </w:r>
      <w:r>
        <w:t xml:space="preserve"> </w:t>
      </w:r>
      <w:r>
        <w:t xml:space="preserve">–</w:t>
      </w:r>
      <w:r>
        <w:t xml:space="preserve"> </w:t>
      </w:r>
      <w:r>
        <w:t xml:space="preserve">325.6(E) / 407(P)</w:t>
      </w:r>
    </w:p>
    <w:p>
      <w:pPr>
        <w:pStyle w:val="BodyText"/>
      </w:pPr>
      <w:r>
        <w:t xml:space="preserve">47.64 (60 HRK +</w:t>
      </w:r>
      <w:r>
        <w:t xml:space="preserve"> </w:t>
      </w:r>
      <w:r>
        <w:t xml:space="preserve">300 HRK)</w:t>
      </w:r>
    </w:p>
    <w:p>
      <w:pPr>
        <w:pStyle w:val="BodyText"/>
      </w:pPr>
      <w:r>
        <w:t xml:space="preserve">60.88 (60 HRK +</w:t>
      </w:r>
      <w:r>
        <w:t xml:space="preserve"> </w:t>
      </w:r>
      <w:r>
        <w:t xml:space="preserve">400 HRK)</w:t>
      </w:r>
      <w:r>
        <w:t xml:space="preserve"> </w:t>
      </w:r>
      <w:r>
        <w:t xml:space="preserve">(GP: 100% surch.)</w:t>
      </w:r>
    </w:p>
    <w:p>
      <w:pPr>
        <w:pStyle w:val="Compact"/>
        <w:numPr>
          <w:ilvl w:val="0"/>
          <w:numId w:val="1018"/>
        </w:numPr>
      </w:pPr>
      <w:r>
        <w:t xml:space="preserve">For 1 and 10 designs, including 1 class, colour / characteristic features, publication and registration.</w:t>
      </w:r>
    </w:p>
    <w:p>
      <w:pPr>
        <w:pStyle w:val="Compact"/>
        <w:numPr>
          <w:ilvl w:val="0"/>
          <w:numId w:val="1018"/>
        </w:numPr>
      </w:pPr>
      <w:r>
        <w:t xml:space="preserve">Claiming a characteristic feature.</w:t>
      </w:r>
    </w:p>
    <w:p>
      <w:pPr>
        <w:pStyle w:val="Compact"/>
        <w:numPr>
          <w:ilvl w:val="0"/>
          <w:numId w:val="1018"/>
        </w:numPr>
      </w:pPr>
      <w:r>
        <w:t xml:space="preserve">Claiming a characteristic feature.</w:t>
      </w:r>
    </w:p>
    <w:p>
      <w:pPr>
        <w:pStyle w:val="Compact"/>
        <w:numPr>
          <w:ilvl w:val="0"/>
          <w:numId w:val="1018"/>
        </w:numPr>
      </w:pPr>
      <w:r>
        <w:t xml:space="preserve">Claiming characteristic features.</w:t>
      </w:r>
    </w:p>
    <w:p>
      <w:pPr>
        <w:pStyle w:val="Compact"/>
        <w:numPr>
          <w:ilvl w:val="0"/>
          <w:numId w:val="1018"/>
        </w:numPr>
      </w:pPr>
      <w:r>
        <w:t xml:space="preserve">Claiming characteristic features.</w:t>
      </w:r>
    </w:p>
    <w:p>
      <w:pPr>
        <w:pStyle w:val="Compact"/>
        <w:numPr>
          <w:ilvl w:val="0"/>
          <w:numId w:val="1018"/>
        </w:numPr>
      </w:pPr>
      <w:r>
        <w:t xml:space="preserve">Claiming priority (without registration certificate, one view).</w:t>
      </w:r>
    </w:p>
    <w:p>
      <w:pPr>
        <w:pStyle w:val="Compact"/>
        <w:numPr>
          <w:ilvl w:val="0"/>
          <w:numId w:val="1018"/>
        </w:numPr>
      </w:pPr>
      <w:r>
        <w:t xml:space="preserve">Claiming priority (without registration certificate, one view per design).</w:t>
      </w:r>
    </w:p>
    <w:p>
      <w:pPr>
        <w:pStyle w:val="FirstParagraph"/>
      </w:pPr>
      <w:r>
        <w:t xml:space="preserve">89</w:t>
      </w:r>
    </w:p>
    <w:p>
      <w:pPr>
        <w:pStyle w:val="BodyText"/>
      </w:pPr>
      <w:r>
        <w:t xml:space="preserve">Designer: 50% discount</w:t>
      </w:r>
    </w:p>
    <w:p>
      <w:pPr>
        <w:pStyle w:val="BodyText"/>
      </w:pPr>
      <w:r>
        <w:t xml:space="preserve">MA:</w:t>
      </w:r>
    </w:p>
    <w:p>
      <w:pPr>
        <w:pStyle w:val="BodyText"/>
      </w:pPr>
      <w:r>
        <w:t xml:space="preserve">Per D:</w:t>
      </w:r>
    </w:p>
    <w:p>
      <w:pPr>
        <w:numPr>
          <w:ilvl w:val="0"/>
          <w:numId w:val="1019"/>
        </w:numPr>
      </w:pPr>
      <w:r>
        <w:t xml:space="preserve">2.65 (20 HRK) filing fee</w:t>
      </w:r>
    </w:p>
    <w:p>
      <w:pPr>
        <w:numPr>
          <w:ilvl w:val="0"/>
          <w:numId w:val="1019"/>
        </w:numPr>
      </w:pPr>
      <w:r>
        <w:t xml:space="preserve">6.63 (50 HRK) administrative fee</w:t>
      </w:r>
    </w:p>
    <w:p>
      <w:pPr>
        <w:numPr>
          <w:ilvl w:val="0"/>
          <w:numId w:val="1019"/>
        </w:numPr>
      </w:pPr>
      <w:r>
        <w:t xml:space="preserve">26.52 (200 HRK) publication fee</w:t>
      </w:r>
    </w:p>
    <w:p>
      <w:pPr>
        <w:pStyle w:val="FirstParagraph"/>
      </w:pPr>
      <w:r>
        <w:t xml:space="preserve">MA:</w:t>
      </w:r>
    </w:p>
    <w:p>
      <w:pPr>
        <w:pStyle w:val="BodyText"/>
      </w:pPr>
      <w:r>
        <w:t xml:space="preserve">29.78 (25 HRK +</w:t>
      </w:r>
      <w:r>
        <w:t xml:space="preserve"> </w:t>
      </w:r>
      <w:r>
        <w:t xml:space="preserve">200 HRK) per D</w:t>
      </w:r>
    </w:p>
    <w:p>
      <w:pPr>
        <w:pStyle w:val="BodyText"/>
      </w:pPr>
      <w:r>
        <w:t xml:space="preserve">CY</w:t>
      </w:r>
    </w:p>
    <w:p>
      <w:pPr>
        <w:pStyle w:val="BodyText"/>
      </w:pPr>
      <w:r>
        <w:t xml:space="preserve">85.43 filing fee</w:t>
      </w:r>
    </w:p>
    <w:p>
      <w:pPr>
        <w:numPr>
          <w:ilvl w:val="0"/>
          <w:numId w:val="1020"/>
        </w:numPr>
      </w:pPr>
      <w:r>
        <w:t xml:space="preserve">51.26 registration fee</w:t>
      </w:r>
    </w:p>
    <w:p>
      <w:pPr>
        <w:numPr>
          <w:ilvl w:val="0"/>
          <w:numId w:val="1020"/>
        </w:numPr>
      </w:pPr>
      <w:r>
        <w:t xml:space="preserve">68.34 publication fee</w:t>
      </w:r>
    </w:p>
    <w:p>
      <w:pPr>
        <w:pStyle w:val="FirstParagraph"/>
      </w:pPr>
      <w:r>
        <w:t xml:space="preserve">205.03</w:t>
      </w:r>
    </w:p>
    <w:p>
      <w:pPr>
        <w:pStyle w:val="BodyText"/>
      </w:pPr>
      <w:r>
        <w:t xml:space="preserve">42.72</w:t>
      </w:r>
    </w:p>
    <w:p>
      <w:pPr>
        <w:pStyle w:val="BodyText"/>
      </w:pPr>
      <w:r>
        <w:t xml:space="preserve">– 85.43</w:t>
      </w:r>
      <w:r>
        <w:br/>
      </w:r>
      <w:r>
        <w:t xml:space="preserve">– 136.69</w:t>
      </w:r>
      <w:r>
        <w:br/>
      </w:r>
      <w:r>
        <w:t xml:space="preserve">– 170.86</w:t>
      </w:r>
      <w:r>
        <w:br/>
      </w:r>
      <w:r>
        <w:t xml:space="preserve">– 256.29</w:t>
      </w:r>
    </w:p>
    <w:p>
      <w:pPr>
        <w:pStyle w:val="BodyText"/>
      </w:pPr>
      <w:r>
        <w:t xml:space="preserve">CZ</w:t>
      </w:r>
    </w:p>
    <w:p>
      <w:pPr>
        <w:pStyle w:val="BodyText"/>
      </w:pPr>
      <w:r>
        <w:t xml:space="preserve">39.19 (1 000 CZK)</w:t>
      </w:r>
    </w:p>
    <w:p>
      <w:pPr>
        <w:pStyle w:val="BodyText"/>
      </w:pPr>
      <w:r>
        <w:t xml:space="preserve">Designer: 50% discount</w:t>
      </w:r>
    </w:p>
    <w:p>
      <w:pPr>
        <w:pStyle w:val="BodyText"/>
      </w:pPr>
      <w:r>
        <w:t xml:space="preserve">MA:</w:t>
      </w:r>
    </w:p>
    <w:p>
      <w:pPr>
        <w:pStyle w:val="Compact"/>
        <w:numPr>
          <w:ilvl w:val="0"/>
          <w:numId w:val="1021"/>
        </w:numPr>
      </w:pPr>
      <w:r>
        <w:t xml:space="preserve">23.51 (600 CZK) as of 2nd D</w:t>
      </w:r>
    </w:p>
    <w:p>
      <w:pPr>
        <w:pStyle w:val="FirstParagraph"/>
      </w:pPr>
      <w:r>
        <w:t xml:space="preserve">39.19</w:t>
      </w:r>
      <w:r>
        <w:t xml:space="preserve"> </w:t>
      </w:r>
      <w:r>
        <w:t xml:space="preserve">–</w:t>
      </w:r>
      <w:r>
        <w:t xml:space="preserve"> </w:t>
      </w:r>
      <w:r>
        <w:t xml:space="preserve">250.82</w:t>
      </w:r>
    </w:p>
    <w:p>
      <w:pPr>
        <w:pStyle w:val="BodyText"/>
      </w:pPr>
      <w:r>
        <w:t xml:space="preserve">No surch.</w:t>
      </w:r>
    </w:p>
    <w:p>
      <w:pPr>
        <w:pStyle w:val="BodyText"/>
      </w:pPr>
      <w:r>
        <w:t xml:space="preserve">– 117.57 (3 000</w:t>
      </w:r>
      <w:r>
        <w:t xml:space="preserve"> </w:t>
      </w:r>
      <w:r>
        <w:t xml:space="preserve">CZK)</w:t>
      </w:r>
      <w:r>
        <w:br/>
      </w:r>
      <w:r>
        <w:t xml:space="preserve">– 235.15 (6 000</w:t>
      </w:r>
      <w:r>
        <w:t xml:space="preserve"> </w:t>
      </w:r>
      <w:r>
        <w:t xml:space="preserve">CZK)</w:t>
      </w:r>
      <w:r>
        <w:br/>
      </w:r>
      <w:r>
        <w:t xml:space="preserve">– 352.73 (9 000</w:t>
      </w:r>
      <w:r>
        <w:t xml:space="preserve"> </w:t>
      </w:r>
      <w:r>
        <w:t xml:space="preserve">CZK)</w:t>
      </w:r>
      <w:r>
        <w:br/>
      </w:r>
      <w:r>
        <w:t xml:space="preserve">– 470.33 (12 000</w:t>
      </w:r>
      <w:r>
        <w:t xml:space="preserve"> </w:t>
      </w:r>
      <w:r>
        <w:t xml:space="preserve">CZK)</w:t>
      </w:r>
    </w:p>
    <w:p>
      <w:pPr>
        <w:pStyle w:val="BodyText"/>
      </w:pPr>
      <w:r>
        <w:t xml:space="preserve">The fee is also per</w:t>
      </w:r>
      <w:r>
        <w:t xml:space="preserve"> </w:t>
      </w:r>
      <w:r>
        <w:t xml:space="preserve">MA, irrespective of</w:t>
      </w:r>
      <w:r>
        <w:t xml:space="preserve"> </w:t>
      </w:r>
      <w:r>
        <w:t xml:space="preserve">how many designs</w:t>
      </w:r>
      <w:r>
        <w:t xml:space="preserve"> </w:t>
      </w:r>
      <w:r>
        <w:t xml:space="preserve">are included.</w:t>
      </w:r>
    </w:p>
    <w:p>
      <w:pPr>
        <w:pStyle w:val="BodyText"/>
      </w:pPr>
      <w:r>
        <w:t xml:space="preserve">DK</w:t>
      </w:r>
    </w:p>
    <w:p>
      <w:pPr>
        <w:pStyle w:val="BodyText"/>
      </w:pPr>
      <w:r>
        <w:t xml:space="preserve">161.14 (1 200 DKK)</w:t>
      </w:r>
    </w:p>
    <w:p>
      <w:pPr>
        <w:pStyle w:val="Compact"/>
        <w:numPr>
          <w:ilvl w:val="0"/>
          <w:numId w:val="1022"/>
        </w:numPr>
      </w:pPr>
      <w:r>
        <w:t xml:space="preserve">53.71 (400 DKK) publication fee for each</w:t>
      </w:r>
      <w:r>
        <w:t xml:space="preserve"> </w:t>
      </w:r>
      <w:r>
        <w:t xml:space="preserve">reproduction (view) as of 2nd</w:t>
      </w:r>
    </w:p>
    <w:p>
      <w:pPr>
        <w:pStyle w:val="FirstParagraph"/>
      </w:pPr>
      <w:r>
        <w:t xml:space="preserve">MA:</w:t>
      </w:r>
    </w:p>
    <w:p>
      <w:pPr>
        <w:pStyle w:val="Compact"/>
        <w:numPr>
          <w:ilvl w:val="0"/>
          <w:numId w:val="1023"/>
        </w:numPr>
      </w:pPr>
      <w:r>
        <w:t xml:space="preserve">94 (700 DKK) as of 2nd D</w:t>
      </w:r>
    </w:p>
    <w:p>
      <w:pPr>
        <w:pStyle w:val="FirstParagraph"/>
      </w:pPr>
      <w:r>
        <w:t xml:space="preserve">161.14(182)</w:t>
      </w:r>
      <w:r>
        <w:t xml:space="preserve"> </w:t>
      </w:r>
      <w:r>
        <w:t xml:space="preserve">–</w:t>
      </w:r>
      <w:r>
        <w:t xml:space="preserve"> </w:t>
      </w:r>
      <w:r>
        <w:t xml:space="preserve">1 007.14(183)</w:t>
      </w:r>
    </w:p>
    <w:p>
      <w:pPr>
        <w:pStyle w:val="BodyText"/>
      </w:pPr>
      <w:r>
        <w:t xml:space="preserve">295.42 (2 200 DKK)</w:t>
      </w:r>
      <w:r>
        <w:br/>
      </w:r>
      <w:r>
        <w:t xml:space="preserve">(GP: 20% surch.)</w:t>
      </w:r>
    </w:p>
    <w:p>
      <w:pPr>
        <w:pStyle w:val="BodyText"/>
      </w:pPr>
      <w:r>
        <w:t xml:space="preserve">MA:</w:t>
      </w:r>
    </w:p>
    <w:p>
      <w:pPr>
        <w:pStyle w:val="BodyText"/>
      </w:pPr>
      <w:r>
        <w:t xml:space="preserve">147.71 (1 100 DKK)</w:t>
      </w:r>
      <w:r>
        <w:t xml:space="preserve"> </w:t>
      </w:r>
      <w:r>
        <w:t xml:space="preserve">per D</w:t>
      </w:r>
    </w:p>
    <w:p>
      <w:pPr>
        <w:pStyle w:val="BodyText"/>
      </w:pPr>
      <w:r>
        <w:t xml:space="preserve">EE</w:t>
      </w:r>
    </w:p>
    <w:p>
      <w:pPr>
        <w:pStyle w:val="BodyText"/>
      </w:pPr>
      <w:r>
        <w:t xml:space="preserve">105</w:t>
      </w:r>
    </w:p>
    <w:p>
      <w:pPr>
        <w:pStyle w:val="Compact"/>
        <w:numPr>
          <w:ilvl w:val="0"/>
          <w:numId w:val="1024"/>
        </w:numPr>
      </w:pPr>
      <w:r>
        <w:t xml:space="preserve">26 as of the 3rd variant(184)</w:t>
      </w:r>
    </w:p>
    <w:p>
      <w:pPr>
        <w:pStyle w:val="FirstParagraph"/>
      </w:pPr>
      <w:r>
        <w:t xml:space="preserve">Natural persons: 26</w:t>
      </w:r>
    </w:p>
    <w:p>
      <w:pPr>
        <w:pStyle w:val="BodyText"/>
      </w:pPr>
      <w:r>
        <w:t xml:space="preserve">105</w:t>
      </w:r>
      <w:r>
        <w:t xml:space="preserve"> </w:t>
      </w:r>
      <w:r>
        <w:t xml:space="preserve">–</w:t>
      </w:r>
      <w:r>
        <w:t xml:space="preserve"> </w:t>
      </w:r>
      <w:r>
        <w:t xml:space="preserve">339</w:t>
      </w:r>
    </w:p>
    <w:p>
      <w:pPr>
        <w:pStyle w:val="BodyText"/>
      </w:pPr>
      <w:r>
        <w:t xml:space="preserve">– 130</w:t>
      </w:r>
      <w:r>
        <w:br/>
      </w:r>
      <w:r>
        <w:t xml:space="preserve">– 260</w:t>
      </w:r>
      <w:r>
        <w:br/>
      </w:r>
      <w:r>
        <w:t xml:space="preserve">– 260</w:t>
      </w:r>
      <w:r>
        <w:t xml:space="preserve"> </w:t>
      </w:r>
      <w:r>
        <w:t xml:space="preserve">– 260</w:t>
      </w:r>
    </w:p>
    <w:p>
      <w:pPr>
        <w:pStyle w:val="BodyText"/>
      </w:pPr>
      <w:r>
        <w:t xml:space="preserve">(GP: 45 surch.)</w:t>
      </w:r>
    </w:p>
    <w:p>
      <w:pPr>
        <w:pStyle w:val="BodyText"/>
      </w:pPr>
      <w:r>
        <w:t xml:space="preserve">FR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also</w:t>
      </w:r>
    </w:p>
    <w:p>
      <w:pPr>
        <w:pStyle w:val="BodyText"/>
      </w:pPr>
      <w:r>
        <w:t xml:space="preserve">here</w:t>
      </w:r>
    </w:p>
    <w:p>
      <w:pPr>
        <w:pStyle w:val="BodyText"/>
      </w:pPr>
      <w:r>
        <w:t xml:space="preserve">39 filing fee for 5 yr. registration</w:t>
      </w:r>
    </w:p>
    <w:p>
      <w:pPr>
        <w:numPr>
          <w:ilvl w:val="0"/>
          <w:numId w:val="1025"/>
        </w:numPr>
      </w:pPr>
      <w:r>
        <w:t xml:space="preserve">23 publication fee b&amp;w</w:t>
      </w:r>
    </w:p>
    <w:p>
      <w:pPr>
        <w:numPr>
          <w:ilvl w:val="0"/>
          <w:numId w:val="1025"/>
        </w:numPr>
      </w:pPr>
      <w:r>
        <w:t xml:space="preserve">47 publication fee colour</w:t>
      </w:r>
    </w:p>
    <w:p>
      <w:pPr>
        <w:pStyle w:val="FirstParagraph"/>
      </w:pPr>
      <w:r>
        <w:t xml:space="preserve">86(185)</w:t>
      </w:r>
      <w:r>
        <w:br/>
      </w:r>
      <w:r>
        <w:t xml:space="preserve">–</w:t>
      </w:r>
      <w:r>
        <w:t xml:space="preserve"> </w:t>
      </w:r>
      <w:r>
        <w:t xml:space="preserve">509(186)</w:t>
      </w:r>
    </w:p>
    <w:p>
      <w:pPr>
        <w:pStyle w:val="BodyText"/>
      </w:pPr>
      <w:r>
        <w:t xml:space="preserve">No surch.</w:t>
      </w:r>
      <w:r>
        <w:t xml:space="preserve"> </w:t>
      </w:r>
      <w:r>
        <w:t xml:space="preserve">(payment of</w:t>
      </w:r>
      <w:r>
        <w:t xml:space="preserve"> </w:t>
      </w:r>
      <w:r>
        <w:t xml:space="preserve">publication fee</w:t>
      </w:r>
      <w:r>
        <w:t xml:space="preserve"> </w:t>
      </w:r>
      <w:r>
        <w:t xml:space="preserve">can be delayed)</w:t>
      </w:r>
    </w:p>
    <w:p>
      <w:pPr>
        <w:pStyle w:val="BodyText"/>
      </w:pPr>
      <w:r>
        <w:t xml:space="preserve">52</w:t>
      </w:r>
      <w:r>
        <w:t xml:space="preserve"> </w:t>
      </w:r>
      <w:r>
        <w:t xml:space="preserve">(GP: 50% surch.)</w:t>
      </w:r>
    </w:p>
    <w:p>
      <w:pPr>
        <w:pStyle w:val="Compact"/>
        <w:numPr>
          <w:ilvl w:val="0"/>
          <w:numId w:val="1026"/>
        </w:numPr>
      </w:pPr>
      <w:r>
        <w:t xml:space="preserve">1 view.</w:t>
      </w:r>
    </w:p>
    <w:p>
      <w:pPr>
        <w:pStyle w:val="Compact"/>
        <w:numPr>
          <w:ilvl w:val="0"/>
          <w:numId w:val="1026"/>
        </w:numPr>
      </w:pPr>
      <w:r>
        <w:t xml:space="preserve">each 1 view.</w:t>
      </w:r>
    </w:p>
    <w:p>
      <w:pPr>
        <w:pStyle w:val="Compact"/>
        <w:numPr>
          <w:ilvl w:val="0"/>
          <w:numId w:val="1026"/>
        </w:numPr>
      </w:pPr>
      <w:r>
        <w:t xml:space="preserve">Industrial designs may have variants. The variants of an industrial design are such modifications of the</w:t>
      </w:r>
      <w:r>
        <w:t xml:space="preserve"> </w:t>
      </w:r>
      <w:r>
        <w:t xml:space="preserve">industrial design which produce a similar overall impression on persons skilled in the art.</w:t>
      </w:r>
    </w:p>
    <w:p>
      <w:pPr>
        <w:pStyle w:val="Compact"/>
        <w:numPr>
          <w:ilvl w:val="0"/>
          <w:numId w:val="1026"/>
        </w:numPr>
      </w:pPr>
      <w:r>
        <w:t xml:space="preserve">In colour.</w:t>
      </w:r>
    </w:p>
    <w:p>
      <w:pPr>
        <w:pStyle w:val="Compact"/>
        <w:numPr>
          <w:ilvl w:val="0"/>
          <w:numId w:val="1026"/>
        </w:numPr>
      </w:pPr>
      <w:r>
        <w:t xml:space="preserve">In colour.</w:t>
      </w:r>
    </w:p>
    <w:p>
      <w:pPr>
        <w:pStyle w:val="FirstParagraph"/>
      </w:pPr>
      <w:r>
        <w:t xml:space="preserve">90</w:t>
      </w:r>
    </w:p>
    <w:p>
      <w:pPr>
        <w:pStyle w:val="BodyText"/>
      </w:pPr>
      <w:r>
        <w:t xml:space="preserve">FI</w:t>
      </w:r>
      <w:r>
        <w:t xml:space="preserve"> </w:t>
      </w:r>
      <w:r>
        <w:t xml:space="preserve">250(E) / 300(P)</w:t>
      </w:r>
    </w:p>
    <w:p>
      <w:pPr>
        <w:numPr>
          <w:ilvl w:val="0"/>
          <w:numId w:val="1027"/>
        </w:numPr>
      </w:pPr>
      <w:r>
        <w:t xml:space="preserve">55 as of 2nd class</w:t>
      </w:r>
    </w:p>
    <w:p>
      <w:pPr>
        <w:numPr>
          <w:ilvl w:val="0"/>
          <w:numId w:val="1027"/>
        </w:numPr>
      </w:pPr>
      <w:r>
        <w:t xml:space="preserve">? publication fee per additional view</w:t>
      </w:r>
    </w:p>
    <w:p>
      <w:pPr>
        <w:pStyle w:val="FirstParagraph"/>
      </w:pPr>
      <w:r>
        <w:t xml:space="preserve">MA:</w:t>
      </w:r>
    </w:p>
    <w:p>
      <w:pPr>
        <w:pStyle w:val="Compact"/>
        <w:numPr>
          <w:ilvl w:val="0"/>
          <w:numId w:val="1028"/>
        </w:numPr>
      </w:pPr>
      <w:r>
        <w:t xml:space="preserve">130 per D as of 2nd</w:t>
      </w:r>
    </w:p>
    <w:p>
      <w:pPr>
        <w:pStyle w:val="FirstParagraph"/>
      </w:pPr>
      <w:r>
        <w:t xml:space="preserve">250(E) / 300(P)</w:t>
      </w:r>
      <w:r>
        <w:t xml:space="preserve"> </w:t>
      </w:r>
      <w:r>
        <w:t xml:space="preserve">–</w:t>
      </w:r>
      <w:r>
        <w:t xml:space="preserve"> </w:t>
      </w:r>
      <w:r>
        <w:t xml:space="preserve">1 420(E) / 1 470(P)</w:t>
      </w:r>
      <w:r>
        <w:t xml:space="preserve"> </w:t>
      </w:r>
      <w:r>
        <w:t xml:space="preserve">380</w:t>
      </w:r>
    </w:p>
    <w:p>
      <w:pPr>
        <w:pStyle w:val="Compact"/>
        <w:numPr>
          <w:ilvl w:val="0"/>
          <w:numId w:val="1029"/>
        </w:numPr>
      </w:pPr>
      <w:r>
        <w:t xml:space="preserve">55 as of 2nd class</w:t>
      </w:r>
    </w:p>
    <w:p>
      <w:pPr>
        <w:pStyle w:val="FirstParagraph"/>
      </w:pPr>
      <w:r>
        <w:t xml:space="preserve">MA:</w:t>
      </w:r>
    </w:p>
    <w:p>
      <w:pPr>
        <w:pStyle w:val="Compact"/>
        <w:numPr>
          <w:ilvl w:val="0"/>
          <w:numId w:val="1030"/>
        </w:numPr>
      </w:pPr>
      <w:r>
        <w:t xml:space="preserve">130 as of 2nd D</w:t>
      </w:r>
    </w:p>
    <w:p>
      <w:pPr>
        <w:pStyle w:val="FirstParagraph"/>
      </w:pPr>
      <w:r>
        <w:t xml:space="preserve">DE</w:t>
      </w:r>
    </w:p>
    <w:p>
      <w:pPr>
        <w:pStyle w:val="BodyText"/>
      </w:pPr>
      <w:r>
        <w:t xml:space="preserve">60(E) / 70(P)</w:t>
      </w:r>
    </w:p>
    <w:p>
      <w:pPr>
        <w:pStyle w:val="BodyText"/>
      </w:pPr>
      <w:r>
        <w:t xml:space="preserve">MA:</w:t>
      </w:r>
    </w:p>
    <w:p>
      <w:pPr>
        <w:numPr>
          <w:ilvl w:val="0"/>
          <w:numId w:val="1031"/>
        </w:numPr>
      </w:pPr>
      <w:r>
        <w:t xml:space="preserve">60(E) / 70(E) as of 2nd D for up to 10 D</w:t>
      </w:r>
      <w:r>
        <w:t xml:space="preserve"> </w:t>
      </w:r>
      <w:r>
        <w:t xml:space="preserve">together</w:t>
      </w:r>
    </w:p>
    <w:p>
      <w:pPr>
        <w:numPr>
          <w:ilvl w:val="0"/>
          <w:numId w:val="1031"/>
        </w:numPr>
      </w:pPr>
      <w:r>
        <w:t xml:space="preserve">6(E) / 7(P) as of 11th D</w:t>
      </w:r>
    </w:p>
    <w:p>
      <w:pPr>
        <w:pStyle w:val="FirstParagraph"/>
      </w:pPr>
      <w:r>
        <w:t xml:space="preserve">60(E) / 70(P)</w:t>
      </w:r>
      <w:r>
        <w:t xml:space="preserve"> </w:t>
      </w:r>
      <w:r>
        <w:t xml:space="preserve">–</w:t>
      </w:r>
      <w:r>
        <w:t xml:space="preserve"> </w:t>
      </w:r>
      <w:r>
        <w:t xml:space="preserve">120(E) / 140(P)</w:t>
      </w:r>
    </w:p>
    <w:p>
      <w:pPr>
        <w:pStyle w:val="BodyText"/>
      </w:pPr>
      <w:r>
        <w:t xml:space="preserve">30</w:t>
      </w:r>
    </w:p>
    <w:p>
      <w:pPr>
        <w:pStyle w:val="BodyText"/>
      </w:pPr>
      <w:r>
        <w:t xml:space="preserve">MA:</w:t>
      </w:r>
    </w:p>
    <w:p>
      <w:pPr>
        <w:numPr>
          <w:ilvl w:val="0"/>
          <w:numId w:val="1032"/>
        </w:numPr>
      </w:pPr>
      <w:r>
        <w:t xml:space="preserve">30 for 2 - 10 D</w:t>
      </w:r>
      <w:r>
        <w:t xml:space="preserve"> </w:t>
      </w:r>
      <w:r>
        <w:t xml:space="preserve">together</w:t>
      </w:r>
    </w:p>
    <w:p>
      <w:pPr>
        <w:numPr>
          <w:ilvl w:val="0"/>
          <w:numId w:val="1032"/>
        </w:numPr>
      </w:pPr>
      <w:r>
        <w:t xml:space="preserve">3 as of 11th D</w:t>
      </w:r>
    </w:p>
    <w:p>
      <w:pPr>
        <w:pStyle w:val="FirstParagraph"/>
      </w:pPr>
      <w:r>
        <w:t xml:space="preserve">– 90</w:t>
      </w:r>
      <w:r>
        <w:br/>
      </w:r>
      <w:r>
        <w:t xml:space="preserve">– 120</w:t>
      </w:r>
      <w:r>
        <w:br/>
      </w:r>
      <w:r>
        <w:t xml:space="preserve">– 150</w:t>
      </w:r>
      <w:r>
        <w:br/>
      </w:r>
      <w:r>
        <w:t xml:space="preserve">– 180</w:t>
      </w:r>
    </w:p>
    <w:p>
      <w:pPr>
        <w:pStyle w:val="BodyText"/>
      </w:pPr>
      <w:r>
        <w:t xml:space="preserve">(GP: 50 surch.)</w:t>
      </w:r>
    </w:p>
    <w:p>
      <w:pPr>
        <w:pStyle w:val="BodyText"/>
      </w:pPr>
      <w:r>
        <w:t xml:space="preserve">EL</w:t>
      </w:r>
    </w:p>
    <w:p>
      <w:pPr>
        <w:pStyle w:val="BodyText"/>
      </w:pPr>
      <w:r>
        <w:t xml:space="preserve">100</w:t>
      </w:r>
    </w:p>
    <w:p>
      <w:pPr>
        <w:pStyle w:val="Compact"/>
        <w:numPr>
          <w:ilvl w:val="0"/>
          <w:numId w:val="1033"/>
        </w:numPr>
      </w:pPr>
      <w:r>
        <w:t xml:space="preserve">30 publication fee</w:t>
      </w:r>
    </w:p>
    <w:p>
      <w:pPr>
        <w:pStyle w:val="FirstParagraph"/>
      </w:pPr>
      <w:r>
        <w:t xml:space="preserve">MA:</w:t>
      </w:r>
    </w:p>
    <w:p>
      <w:pPr>
        <w:numPr>
          <w:ilvl w:val="0"/>
          <w:numId w:val="1034"/>
        </w:numPr>
      </w:pPr>
      <w:r>
        <w:t xml:space="preserve">10 as of 2nd D</w:t>
      </w:r>
    </w:p>
    <w:p>
      <w:pPr>
        <w:numPr>
          <w:ilvl w:val="0"/>
          <w:numId w:val="1034"/>
        </w:numPr>
      </w:pPr>
      <w:r>
        <w:t xml:space="preserve">10 publication fee as of 2nd D</w:t>
      </w:r>
    </w:p>
    <w:p>
      <w:pPr>
        <w:pStyle w:val="FirstParagraph"/>
      </w:pPr>
      <w:r>
        <w:t xml:space="preserve">130</w:t>
      </w:r>
      <w:r>
        <w:t xml:space="preserve"> </w:t>
      </w:r>
      <w:r>
        <w:t xml:space="preserve">–</w:t>
      </w:r>
      <w:r>
        <w:t xml:space="preserve"> </w:t>
      </w:r>
      <w:r>
        <w:t xml:space="preserve">310</w:t>
      </w:r>
    </w:p>
    <w:p>
      <w:pPr>
        <w:pStyle w:val="BodyText"/>
      </w:pPr>
      <w:r>
        <w:t xml:space="preserve">30</w:t>
      </w:r>
    </w:p>
    <w:p>
      <w:pPr>
        <w:pStyle w:val="BodyText"/>
      </w:pPr>
      <w:r>
        <w:t xml:space="preserve">MA:</w:t>
      </w:r>
    </w:p>
    <w:p>
      <w:pPr>
        <w:pStyle w:val="Compact"/>
        <w:numPr>
          <w:ilvl w:val="0"/>
          <w:numId w:val="1035"/>
        </w:numPr>
      </w:pPr>
      <w:r>
        <w:t xml:space="preserve">10 as of 2nd D</w:t>
      </w:r>
    </w:p>
    <w:p>
      <w:pPr>
        <w:pStyle w:val="FirstParagraph"/>
      </w:pPr>
      <w:r>
        <w:t xml:space="preserve">– 100</w:t>
      </w:r>
      <w:r>
        <w:br/>
      </w:r>
      <w:r>
        <w:t xml:space="preserve">– 150</w:t>
      </w:r>
      <w:r>
        <w:br/>
      </w:r>
      <w:r>
        <w:t xml:space="preserve">– 200</w:t>
      </w:r>
      <w:r>
        <w:br/>
      </w:r>
      <w:r>
        <w:t xml:space="preserve">– 250</w:t>
      </w:r>
    </w:p>
    <w:p>
      <w:pPr>
        <w:pStyle w:val="BodyText"/>
      </w:pPr>
      <w:r>
        <w:t xml:space="preserve">HU</w:t>
      </w:r>
    </w:p>
    <w:p>
      <w:pPr>
        <w:pStyle w:val="BodyText"/>
      </w:pPr>
      <w:r>
        <w:t xml:space="preserve">89.84 (32 000 HUF)</w:t>
      </w:r>
    </w:p>
    <w:p>
      <w:pPr>
        <w:pStyle w:val="BodyText"/>
      </w:pPr>
      <w:r>
        <w:t xml:space="preserve">Designer: 22.20 (8 000 HUF)</w:t>
      </w:r>
    </w:p>
    <w:p>
      <w:pPr>
        <w:pStyle w:val="BodyText"/>
      </w:pPr>
      <w:r>
        <w:t xml:space="preserve">MA:</w:t>
      </w:r>
    </w:p>
    <w:p>
      <w:pPr>
        <w:pStyle w:val="Compact"/>
        <w:numPr>
          <w:ilvl w:val="0"/>
          <w:numId w:val="1036"/>
        </w:numPr>
      </w:pPr>
      <w:r>
        <w:t xml:space="preserve">17.97 (6 400 HUF) as of 2nd D</w:t>
      </w:r>
    </w:p>
    <w:p>
      <w:pPr>
        <w:pStyle w:val="FirstParagraph"/>
      </w:pPr>
      <w:r>
        <w:t xml:space="preserve">Designer: + 4.40 (1 600 HUF) as of 2nd D</w:t>
      </w:r>
    </w:p>
    <w:p>
      <w:pPr>
        <w:pStyle w:val="BodyText"/>
      </w:pPr>
      <w:r>
        <w:t xml:space="preserve">89.84</w:t>
      </w:r>
      <w:r>
        <w:t xml:space="preserve"> </w:t>
      </w:r>
      <w:r>
        <w:t xml:space="preserve">–</w:t>
      </w:r>
      <w:r>
        <w:t xml:space="preserve"> </w:t>
      </w:r>
      <w:r>
        <w:t xml:space="preserve">251.57</w:t>
      </w:r>
    </w:p>
    <w:p>
      <w:pPr>
        <w:pStyle w:val="BodyText"/>
      </w:pPr>
      <w:r>
        <w:t xml:space="preserve">– 179.69 (64 000</w:t>
      </w:r>
      <w:r>
        <w:t xml:space="preserve"> </w:t>
      </w:r>
      <w:r>
        <w:t xml:space="preserve">HUF)</w:t>
      </w:r>
      <w:r>
        <w:br/>
      </w:r>
      <w:r>
        <w:t xml:space="preserve">– 239.77 (85 400</w:t>
      </w:r>
      <w:r>
        <w:t xml:space="preserve"> </w:t>
      </w:r>
      <w:r>
        <w:t xml:space="preserve">HUF)</w:t>
      </w:r>
      <w:r>
        <w:t xml:space="preserve"> </w:t>
      </w:r>
      <w:r>
        <w:t xml:space="preserve">– 300.41 (107 000</w:t>
      </w:r>
      <w:r>
        <w:t xml:space="preserve"> </w:t>
      </w:r>
      <w:r>
        <w:t xml:space="preserve">HUF)</w:t>
      </w:r>
      <w:r>
        <w:br/>
      </w:r>
      <w:r>
        <w:t xml:space="preserve">– 449.22 (160 000</w:t>
      </w:r>
      <w:r>
        <w:t xml:space="preserve"> </w:t>
      </w:r>
      <w:r>
        <w:t xml:space="preserve">HUF)</w:t>
      </w:r>
    </w:p>
    <w:p>
      <w:pPr>
        <w:pStyle w:val="BodyText"/>
      </w:pPr>
      <w:r>
        <w:t xml:space="preserve">50% discount on all</w:t>
      </w:r>
      <w:r>
        <w:t xml:space="preserve"> </w:t>
      </w:r>
      <w:r>
        <w:t xml:space="preserve">these fees for</w:t>
      </w:r>
      <w:r>
        <w:t xml:space="preserve"> </w:t>
      </w:r>
      <w:r>
        <w:t xml:space="preserve">designer.</w:t>
      </w:r>
    </w:p>
    <w:p>
      <w:pPr>
        <w:pStyle w:val="BodyText"/>
      </w:pPr>
      <w:r>
        <w:t xml:space="preserve">IE</w:t>
      </w:r>
    </w:p>
    <w:p>
      <w:pPr>
        <w:pStyle w:val="BodyText"/>
      </w:pPr>
      <w:r>
        <w:t xml:space="preserve">70</w:t>
      </w:r>
    </w:p>
    <w:p>
      <w:pPr>
        <w:pStyle w:val="BodyText"/>
      </w:pPr>
      <w:r>
        <w:t xml:space="preserve">MA:</w:t>
      </w:r>
    </w:p>
    <w:p>
      <w:pPr>
        <w:pStyle w:val="Compact"/>
        <w:numPr>
          <w:ilvl w:val="0"/>
          <w:numId w:val="1037"/>
        </w:numPr>
      </w:pPr>
      <w:r>
        <w:t xml:space="preserve">25 as of 2nd D</w:t>
      </w:r>
    </w:p>
    <w:p>
      <w:pPr>
        <w:pStyle w:val="FirstParagraph"/>
      </w:pPr>
      <w:r>
        <w:t xml:space="preserve">70</w:t>
      </w:r>
      <w:r>
        <w:t xml:space="preserve"> </w:t>
      </w:r>
      <w:r>
        <w:t xml:space="preserve">–</w:t>
      </w:r>
      <w:r>
        <w:t xml:space="preserve"> </w:t>
      </w:r>
      <w:r>
        <w:t xml:space="preserve">295</w:t>
      </w:r>
    </w:p>
    <w:p>
      <w:pPr>
        <w:pStyle w:val="BodyText"/>
      </w:pPr>
      <w:r>
        <w:t xml:space="preserve">35</w:t>
      </w:r>
    </w:p>
    <w:p>
      <w:pPr>
        <w:pStyle w:val="BodyText"/>
      </w:pPr>
      <w:r>
        <w:t xml:space="preserve">– 50</w:t>
      </w:r>
      <w:r>
        <w:br/>
      </w:r>
      <w:r>
        <w:t xml:space="preserve">– 70</w:t>
      </w:r>
      <w:r>
        <w:br/>
      </w:r>
      <w:r>
        <w:t xml:space="preserve">– 80</w:t>
      </w:r>
      <w:r>
        <w:t xml:space="preserve"> </w:t>
      </w:r>
      <w:r>
        <w:t xml:space="preserve">– 100</w:t>
      </w:r>
      <w:r>
        <w:t xml:space="preserve"> </w:t>
      </w:r>
      <w:r>
        <w:t xml:space="preserve">(GP: 100 surch.)</w:t>
      </w:r>
    </w:p>
    <w:p>
      <w:pPr>
        <w:pStyle w:val="BodyText"/>
      </w:pPr>
      <w:r>
        <w:t xml:space="preserve">IT</w:t>
      </w:r>
    </w:p>
    <w:p>
      <w:pPr>
        <w:pStyle w:val="BodyText"/>
      </w:pPr>
      <w:r>
        <w:t xml:space="preserve">50(E) / 100(P)</w:t>
      </w:r>
    </w:p>
    <w:p>
      <w:pPr>
        <w:pStyle w:val="Compact"/>
        <w:numPr>
          <w:ilvl w:val="0"/>
          <w:numId w:val="1038"/>
        </w:numPr>
      </w:pPr>
      <w:r>
        <w:t xml:space="preserve">40(P)</w:t>
      </w:r>
    </w:p>
    <w:p>
      <w:pPr>
        <w:pStyle w:val="Compact"/>
        <w:numPr>
          <w:ilvl w:val="0"/>
          <w:numId w:val="1038"/>
        </w:numPr>
      </w:pPr>
      <w:r>
        <w:t xml:space="preserve">fee and photocopy fees</w:t>
      </w:r>
    </w:p>
    <w:p>
      <w:pPr>
        <w:pStyle w:val="FirstParagraph"/>
      </w:pPr>
      <w:r>
        <w:t xml:space="preserve">MA:</w:t>
      </w:r>
    </w:p>
    <w:p>
      <w:pPr>
        <w:pStyle w:val="BodyText"/>
      </w:pPr>
      <w:r>
        <w:t xml:space="preserve">100(E) / 200(P) per MA (up to 100 incl.)</w:t>
      </w:r>
    </w:p>
    <w:p>
      <w:pPr>
        <w:pStyle w:val="Compact"/>
        <w:numPr>
          <w:ilvl w:val="0"/>
          <w:numId w:val="1039"/>
        </w:numPr>
      </w:pPr>
      <w:r>
        <w:t xml:space="preserve">40 fee when filed via chamber of</w:t>
      </w:r>
      <w:r>
        <w:t xml:space="preserve"> </w:t>
      </w:r>
      <w:r>
        <w:t xml:space="preserve">commerce</w:t>
      </w:r>
    </w:p>
    <w:p>
      <w:pPr>
        <w:pStyle w:val="FirstParagraph"/>
      </w:pPr>
      <w:r>
        <w:t xml:space="preserve">50</w:t>
      </w:r>
      <w:r>
        <w:t xml:space="preserve"> </w:t>
      </w:r>
      <w:r>
        <w:t xml:space="preserve">–</w:t>
      </w:r>
      <w:r>
        <w:t xml:space="preserve"> </w:t>
      </w:r>
      <w:r>
        <w:t xml:space="preserve">140</w:t>
      </w:r>
    </w:p>
    <w:p>
      <w:pPr>
        <w:pStyle w:val="BodyText"/>
      </w:pPr>
      <w:r>
        <w:t xml:space="preserve">No surch.</w:t>
      </w:r>
    </w:p>
    <w:p>
      <w:pPr>
        <w:pStyle w:val="BodyText"/>
      </w:pPr>
      <w:r>
        <w:t xml:space="preserve">– 30</w:t>
      </w:r>
      <w:r>
        <w:br/>
      </w:r>
      <w:r>
        <w:t xml:space="preserve">– 50</w:t>
      </w:r>
      <w:r>
        <w:br/>
      </w:r>
      <w:r>
        <w:t xml:space="preserve">– 70</w:t>
      </w:r>
      <w:r>
        <w:br/>
      </w:r>
      <w:r>
        <w:t xml:space="preserve">– 80</w:t>
      </w:r>
    </w:p>
    <w:p>
      <w:pPr>
        <w:pStyle w:val="BodyText"/>
      </w:pPr>
      <w:r>
        <w:t xml:space="preserve">(GP: 100 surcharge)</w:t>
      </w:r>
    </w:p>
    <w:p>
      <w:pPr>
        <w:pStyle w:val="BodyText"/>
      </w:pPr>
      <w:r>
        <w:t xml:space="preserve">The fee is also per</w:t>
      </w:r>
      <w:r>
        <w:t xml:space="preserve"> </w:t>
      </w:r>
      <w:r>
        <w:t xml:space="preserve">MA, irrespective of</w:t>
      </w:r>
      <w:r>
        <w:t xml:space="preserve"> </w:t>
      </w:r>
      <w:r>
        <w:t xml:space="preserve">how many designs</w:t>
      </w:r>
      <w:r>
        <w:t xml:space="preserve"> </w:t>
      </w:r>
      <w:r>
        <w:t xml:space="preserve">are included.</w:t>
      </w:r>
    </w:p>
    <w:p>
      <w:pPr>
        <w:pStyle w:val="BodyText"/>
      </w:pPr>
      <w:r>
        <w:t xml:space="preserve">LV</w:t>
      </w:r>
    </w:p>
    <w:p>
      <w:pPr>
        <w:pStyle w:val="BodyText"/>
      </w:pPr>
      <w:r>
        <w:t xml:space="preserve">36(E) / 40(P)</w:t>
      </w:r>
    </w:p>
    <w:p>
      <w:pPr>
        <w:numPr>
          <w:ilvl w:val="0"/>
          <w:numId w:val="1040"/>
        </w:numPr>
      </w:pPr>
      <w:r>
        <w:t xml:space="preserve">58.5(E) / 65(P) publication and registration</w:t>
      </w:r>
      <w:r>
        <w:t xml:space="preserve"> </w:t>
      </w:r>
      <w:r>
        <w:t xml:space="preserve">fee</w:t>
      </w:r>
    </w:p>
    <w:p>
      <w:pPr>
        <w:numPr>
          <w:ilvl w:val="0"/>
          <w:numId w:val="1040"/>
        </w:numPr>
      </w:pPr>
      <w:r>
        <w:t xml:space="preserve">9(E) / 10(P) for each additional view</w:t>
      </w:r>
    </w:p>
    <w:p>
      <w:pPr>
        <w:pStyle w:val="FirstParagraph"/>
      </w:pPr>
      <w:r>
        <w:t xml:space="preserve">Designers pay 40% of fee</w:t>
      </w:r>
      <w:r>
        <w:t xml:space="preserve"> </w:t>
      </w:r>
      <w:r>
        <w:t xml:space="preserve">Pupils, students, pensioners, disabled pay</w:t>
      </w:r>
      <w:r>
        <w:t xml:space="preserve"> </w:t>
      </w:r>
      <w:r>
        <w:t xml:space="preserve">20% of fee</w:t>
      </w:r>
    </w:p>
    <w:p>
      <w:pPr>
        <w:pStyle w:val="BodyText"/>
      </w:pPr>
      <w:r>
        <w:t xml:space="preserve">94,5(E) / 105(P)</w:t>
      </w:r>
      <w:r>
        <w:t xml:space="preserve"> </w:t>
      </w:r>
      <w:r>
        <w:t xml:space="preserve">–</w:t>
      </w:r>
      <w:r>
        <w:t xml:space="preserve"> </w:t>
      </w:r>
      <w:r>
        <w:t xml:space="preserve">364.5(E) / 375(P)</w:t>
      </w:r>
    </w:p>
    <w:p>
      <w:pPr>
        <w:pStyle w:val="BodyText"/>
      </w:pPr>
      <w:r>
        <w:t xml:space="preserve">40</w:t>
      </w:r>
    </w:p>
    <w:p>
      <w:pPr>
        <w:pStyle w:val="BodyText"/>
      </w:pPr>
      <w:r>
        <w:t xml:space="preserve">– 170</w:t>
      </w:r>
      <w:r>
        <w:br/>
      </w:r>
      <w:r>
        <w:t xml:space="preserve">– 225</w:t>
      </w:r>
      <w:r>
        <w:br/>
      </w:r>
      <w:r>
        <w:t xml:space="preserve">– 280</w:t>
      </w:r>
      <w:r>
        <w:t xml:space="preserve"> </w:t>
      </w:r>
      <w:r>
        <w:t xml:space="preserve">– 335</w:t>
      </w:r>
    </w:p>
    <w:p>
      <w:pPr>
        <w:pStyle w:val="BodyText"/>
      </w:pPr>
      <w:r>
        <w:t xml:space="preserve">(GP: 70 surcharge)</w:t>
      </w:r>
    </w:p>
    <w:p>
      <w:pPr>
        <w:pStyle w:val="BodyText"/>
      </w:pPr>
      <w:r>
        <w:t xml:space="preserve">91</w:t>
      </w:r>
    </w:p>
    <w:p>
      <w:pPr>
        <w:pStyle w:val="BodyText"/>
      </w:pPr>
      <w:r>
        <w:t xml:space="preserve">MA:</w:t>
      </w:r>
    </w:p>
    <w:p>
      <w:pPr>
        <w:numPr>
          <w:ilvl w:val="0"/>
          <w:numId w:val="1041"/>
        </w:numPr>
      </w:pPr>
      <w:r>
        <w:t xml:space="preserve">27(E) / 30(P) for 2nd - 10th D</w:t>
      </w:r>
    </w:p>
    <w:p>
      <w:pPr>
        <w:numPr>
          <w:ilvl w:val="0"/>
          <w:numId w:val="1041"/>
        </w:numPr>
      </w:pPr>
      <w:r>
        <w:t xml:space="preserve">18(E) / 20(P) for 11th - 20th D</w:t>
      </w:r>
    </w:p>
    <w:p>
      <w:pPr>
        <w:pStyle w:val="FirstParagraph"/>
      </w:pPr>
      <w:r>
        <w:t xml:space="preserve">LT</w:t>
      </w:r>
    </w:p>
    <w:p>
      <w:pPr>
        <w:pStyle w:val="BodyText"/>
      </w:pPr>
      <w:r>
        <w:t xml:space="preserve">69</w:t>
      </w:r>
    </w:p>
    <w:p>
      <w:pPr>
        <w:pStyle w:val="Compact"/>
        <w:numPr>
          <w:ilvl w:val="0"/>
          <w:numId w:val="1042"/>
        </w:numPr>
      </w:pPr>
      <w:r>
        <w:t xml:space="preserve">69 registration and publication fee</w:t>
      </w:r>
    </w:p>
    <w:p>
      <w:pPr>
        <w:pStyle w:val="FirstParagraph"/>
      </w:pPr>
      <w:r>
        <w:t xml:space="preserve">Natural persons: 50%</w:t>
      </w:r>
    </w:p>
    <w:p>
      <w:pPr>
        <w:pStyle w:val="BodyText"/>
      </w:pPr>
      <w:r>
        <w:t xml:space="preserve">MA:</w:t>
      </w:r>
    </w:p>
    <w:p>
      <w:pPr>
        <w:pStyle w:val="Compact"/>
        <w:numPr>
          <w:ilvl w:val="0"/>
          <w:numId w:val="1043"/>
        </w:numPr>
      </w:pPr>
      <w:r>
        <w:t xml:space="preserve">26 as of 11th design</w:t>
      </w:r>
    </w:p>
    <w:p>
      <w:pPr>
        <w:pStyle w:val="FirstParagraph"/>
      </w:pPr>
      <w:r>
        <w:t xml:space="preserve">138</w:t>
      </w:r>
      <w:r>
        <w:t xml:space="preserve"> </w:t>
      </w:r>
      <w:r>
        <w:t xml:space="preserve">–</w:t>
      </w:r>
      <w:r>
        <w:t xml:space="preserve"> </w:t>
      </w:r>
      <w:r>
        <w:t xml:space="preserve">1380</w:t>
      </w:r>
    </w:p>
    <w:p>
      <w:pPr>
        <w:pStyle w:val="BodyText"/>
      </w:pPr>
      <w:r>
        <w:t xml:space="preserve">34 “resumption”</w:t>
      </w:r>
    </w:p>
    <w:p>
      <w:pPr>
        <w:pStyle w:val="BodyText"/>
      </w:pPr>
      <w:r>
        <w:t xml:space="preserve">– 86</w:t>
      </w:r>
      <w:r>
        <w:br/>
      </w:r>
      <w:r>
        <w:t xml:space="preserve">– 115</w:t>
      </w:r>
      <w:r>
        <w:br/>
      </w:r>
      <w:r>
        <w:t xml:space="preserve">– 144</w:t>
      </w:r>
      <w:r>
        <w:br/>
      </w:r>
      <w:r>
        <w:t xml:space="preserve">– 173</w:t>
      </w:r>
    </w:p>
    <w:p>
      <w:pPr>
        <w:pStyle w:val="BodyText"/>
      </w:pPr>
      <w:r>
        <w:t xml:space="preserve">(GP: 50% surch.)</w:t>
      </w:r>
    </w:p>
    <w:p>
      <w:pPr>
        <w:pStyle w:val="BodyText"/>
      </w:pPr>
      <w:r>
        <w:t xml:space="preserve">MT</w:t>
      </w:r>
    </w:p>
    <w:p>
      <w:pPr>
        <w:pStyle w:val="BodyText"/>
      </w:pPr>
      <w:r>
        <w:t xml:space="preserve">46.59</w:t>
      </w:r>
    </w:p>
    <w:p>
      <w:pPr>
        <w:pStyle w:val="BodyText"/>
      </w:pPr>
      <w:r>
        <w:t xml:space="preserve">46.59</w:t>
      </w:r>
      <w:r>
        <w:t xml:space="preserve"> </w:t>
      </w:r>
      <w:r>
        <w:t xml:space="preserve">–</w:t>
      </w:r>
      <w:r>
        <w:t xml:space="preserve"> </w:t>
      </w:r>
      <w:r>
        <w:t xml:space="preserve">465.9</w:t>
      </w:r>
    </w:p>
    <w:p>
      <w:pPr>
        <w:pStyle w:val="BodyText"/>
      </w:pPr>
      <w:r>
        <w:t xml:space="preserve">34.94</w:t>
      </w:r>
    </w:p>
    <w:p>
      <w:pPr>
        <w:pStyle w:val="BodyText"/>
      </w:pPr>
      <w:r>
        <w:t xml:space="preserve">(GP: 100% surch.)</w:t>
      </w:r>
    </w:p>
    <w:p>
      <w:pPr>
        <w:pStyle w:val="BodyText"/>
      </w:pPr>
      <w:r>
        <w:t xml:space="preserve">PL</w:t>
      </w:r>
    </w:p>
    <w:p>
      <w:pPr>
        <w:pStyle w:val="BodyText"/>
      </w:pPr>
      <w:r>
        <w:t xml:space="preserve">67.08 (300 PLN) – filing fee per design</w:t>
      </w:r>
      <w:r>
        <w:t xml:space="preserve"> </w:t>
      </w:r>
      <w:r>
        <w:t xml:space="preserve">covering up to 10 forms of an industrial</w:t>
      </w:r>
      <w:r>
        <w:t xml:space="preserve"> </w:t>
      </w:r>
      <w:r>
        <w:t xml:space="preserve">design with the same essential features</w:t>
      </w:r>
    </w:p>
    <w:p>
      <w:pPr>
        <w:numPr>
          <w:ilvl w:val="0"/>
          <w:numId w:val="1044"/>
        </w:numPr>
      </w:pPr>
      <w:r>
        <w:t xml:space="preserve">EUR 22.36 EUR (PLN 100) priority claim</w:t>
      </w:r>
      <w:r>
        <w:t xml:space="preserve"> </w:t>
      </w:r>
      <w:r>
        <w:t xml:space="preserve">per design</w:t>
      </w:r>
    </w:p>
    <w:p>
      <w:pPr>
        <w:numPr>
          <w:ilvl w:val="0"/>
          <w:numId w:val="1044"/>
        </w:numPr>
      </w:pPr>
      <w:r>
        <w:t xml:space="preserve">EUR 15.65 (PLN 70) publication fee</w:t>
      </w:r>
    </w:p>
    <w:p>
      <w:pPr>
        <w:numPr>
          <w:ilvl w:val="0"/>
          <w:numId w:val="1044"/>
        </w:numPr>
      </w:pPr>
      <w:r>
        <w:t xml:space="preserve">EUR 33.54 (PLN 150) registration fee</w:t>
      </w:r>
    </w:p>
    <w:p>
      <w:pPr>
        <w:pStyle w:val="FirstParagraph"/>
      </w:pPr>
      <w:r>
        <w:t xml:space="preserve">138.63</w:t>
      </w:r>
      <w:r>
        <w:t xml:space="preserve"> </w:t>
      </w:r>
      <w:r>
        <w:t xml:space="preserve">–</w:t>
      </w:r>
      <w:r>
        <w:t xml:space="preserve"> </w:t>
      </w:r>
      <w:r>
        <w:t xml:space="preserve">1386.3</w:t>
      </w:r>
    </w:p>
    <w:p>
      <w:pPr>
        <w:pStyle w:val="BodyText"/>
      </w:pPr>
      <w:r>
        <w:t xml:space="preserve">– 55.76 (250 PLN)</w:t>
      </w:r>
      <w:r>
        <w:br/>
      </w:r>
      <w:r>
        <w:t xml:space="preserve">– 111.52 (500 PLN)</w:t>
      </w:r>
      <w:r>
        <w:br/>
      </w:r>
      <w:r>
        <w:t xml:space="preserve">– 223.04 (1000</w:t>
      </w:r>
      <w:r>
        <w:t xml:space="preserve"> </w:t>
      </w:r>
      <w:r>
        <w:t xml:space="preserve">PLN)</w:t>
      </w:r>
      <w:r>
        <w:t xml:space="preserve"> </w:t>
      </w:r>
      <w:r>
        <w:t xml:space="preserve">– 446.08 (2000</w:t>
      </w:r>
      <w:r>
        <w:t xml:space="preserve"> </w:t>
      </w:r>
      <w:r>
        <w:t xml:space="preserve">PLN)</w:t>
      </w:r>
    </w:p>
    <w:p>
      <w:pPr>
        <w:pStyle w:val="BodyText"/>
      </w:pPr>
      <w:r>
        <w:t xml:space="preserve">(fees were reduced</w:t>
      </w:r>
      <w:r>
        <w:t xml:space="preserve"> </w:t>
      </w:r>
      <w:r>
        <w:t xml:space="preserve">in 2016)</w:t>
      </w:r>
    </w:p>
    <w:p>
      <w:pPr>
        <w:pStyle w:val="BodyText"/>
      </w:pPr>
      <w:r>
        <w:t xml:space="preserve">PT</w:t>
      </w:r>
    </w:p>
    <w:p>
      <w:pPr>
        <w:pStyle w:val="BodyText"/>
      </w:pPr>
      <w:r>
        <w:t xml:space="preserve">107.62(E) / 215.24(P) for ≤ 5 D incl. </w:t>
      </w:r>
    </w:p>
    <w:p>
      <w:pPr>
        <w:pStyle w:val="BodyText"/>
      </w:pPr>
      <w:r>
        <w:t xml:space="preserve">MA:</w:t>
      </w:r>
    </w:p>
    <w:p>
      <w:pPr>
        <w:pStyle w:val="Compact"/>
        <w:numPr>
          <w:ilvl w:val="0"/>
          <w:numId w:val="1045"/>
        </w:numPr>
      </w:pPr>
      <w:r>
        <w:t xml:space="preserve">10.77(E) / 21.53(P) per D</w:t>
      </w:r>
    </w:p>
    <w:p>
      <w:pPr>
        <w:pStyle w:val="FirstParagraph"/>
      </w:pPr>
      <w:r>
        <w:t xml:space="preserve">107.62(E) / 215.24(P)</w:t>
      </w:r>
      <w:r>
        <w:t xml:space="preserve"> </w:t>
      </w:r>
      <w:r>
        <w:t xml:space="preserve">–</w:t>
      </w:r>
      <w:r>
        <w:t xml:space="preserve"> </w:t>
      </w:r>
      <w:r>
        <w:t xml:space="preserve">161.47(E) / 322.89(P)</w:t>
      </w:r>
    </w:p>
    <w:p>
      <w:pPr>
        <w:pStyle w:val="BodyText"/>
      </w:pPr>
      <w:r>
        <w:t xml:space="preserve">32.29(E) /</w:t>
      </w:r>
      <w:r>
        <w:t xml:space="preserve"> </w:t>
      </w:r>
      <w:r>
        <w:t xml:space="preserve">64.57(P)</w:t>
      </w:r>
    </w:p>
    <w:p>
      <w:pPr>
        <w:pStyle w:val="BodyText"/>
      </w:pPr>
      <w:r>
        <w:t xml:space="preserve">– 32.29(E) /</w:t>
      </w:r>
      <w:r>
        <w:t xml:space="preserve"> </w:t>
      </w:r>
      <w:r>
        <w:t xml:space="preserve">64.57(P)</w:t>
      </w:r>
      <w:r>
        <w:t xml:space="preserve"> </w:t>
      </w:r>
      <w:r>
        <w:t xml:space="preserve">– 43.05(E) /</w:t>
      </w:r>
      <w:r>
        <w:t xml:space="preserve"> </w:t>
      </w:r>
      <w:r>
        <w:t xml:space="preserve">86.10(P)</w:t>
      </w:r>
      <w:r>
        <w:t xml:space="preserve"> </w:t>
      </w:r>
      <w:r>
        <w:t xml:space="preserve">– 53.81(E) /</w:t>
      </w:r>
      <w:r>
        <w:t xml:space="preserve"> </w:t>
      </w:r>
      <w:r>
        <w:t xml:space="preserve">107.62(P)</w:t>
      </w:r>
      <w:r>
        <w:br/>
      </w:r>
      <w:r>
        <w:t xml:space="preserve">– 64.57(E) /</w:t>
      </w:r>
      <w:r>
        <w:t xml:space="preserve"> </w:t>
      </w:r>
      <w:r>
        <w:t xml:space="preserve">129.15(P)</w:t>
      </w:r>
    </w:p>
    <w:p>
      <w:pPr>
        <w:pStyle w:val="BodyText"/>
      </w:pPr>
      <w:r>
        <w:t xml:space="preserve">RO</w:t>
      </w:r>
    </w:p>
    <w:p>
      <w:pPr>
        <w:pStyle w:val="BodyText"/>
      </w:pPr>
      <w:r>
        <w:t xml:space="preserve">30 filing fee</w:t>
      </w:r>
    </w:p>
    <w:p>
      <w:pPr>
        <w:numPr>
          <w:ilvl w:val="0"/>
          <w:numId w:val="1046"/>
        </w:numPr>
      </w:pPr>
      <w:r>
        <w:t xml:space="preserve">50 examination fee</w:t>
      </w:r>
    </w:p>
    <w:p>
      <w:pPr>
        <w:numPr>
          <w:ilvl w:val="0"/>
          <w:numId w:val="1046"/>
        </w:numPr>
      </w:pPr>
      <w:r>
        <w:t xml:space="preserve">20 publication fee for b&amp;w</w:t>
      </w:r>
    </w:p>
    <w:p>
      <w:pPr>
        <w:numPr>
          <w:ilvl w:val="0"/>
          <w:numId w:val="1046"/>
        </w:numPr>
      </w:pPr>
      <w:r>
        <w:t xml:space="preserve">100 publication fee for colour</w:t>
      </w:r>
    </w:p>
    <w:p>
      <w:pPr>
        <w:numPr>
          <w:ilvl w:val="0"/>
          <w:numId w:val="1046"/>
        </w:numPr>
      </w:pPr>
      <w:r>
        <w:t xml:space="preserve">10 publication fee for words</w:t>
      </w:r>
    </w:p>
    <w:p>
      <w:pPr>
        <w:numPr>
          <w:ilvl w:val="0"/>
          <w:numId w:val="1046"/>
        </w:numPr>
      </w:pPr>
      <w:r>
        <w:t xml:space="preserve">20 for priority claim</w:t>
      </w:r>
    </w:p>
    <w:p>
      <w:pPr>
        <w:pStyle w:val="FirstParagraph"/>
      </w:pPr>
      <w:r>
        <w:t xml:space="preserve">MA:</w:t>
      </w:r>
    </w:p>
    <w:p>
      <w:pPr>
        <w:numPr>
          <w:ilvl w:val="0"/>
          <w:numId w:val="1047"/>
        </w:numPr>
      </w:pPr>
      <w:r>
        <w:t xml:space="preserve">10 as of 2nd D</w:t>
      </w:r>
    </w:p>
    <w:p>
      <w:pPr>
        <w:numPr>
          <w:ilvl w:val="0"/>
          <w:numId w:val="1047"/>
        </w:numPr>
      </w:pPr>
      <w:r>
        <w:t xml:space="preserve">10 examination fee as of 2nd D</w:t>
      </w:r>
    </w:p>
    <w:p>
      <w:pPr>
        <w:pStyle w:val="FirstParagraph"/>
      </w:pPr>
      <w:r>
        <w:t xml:space="preserve">180</w:t>
      </w:r>
      <w:r>
        <w:t xml:space="preserve"> </w:t>
      </w:r>
      <w:r>
        <w:t xml:space="preserve">–</w:t>
      </w:r>
      <w:r>
        <w:t xml:space="preserve"> </w:t>
      </w:r>
      <w:r>
        <w:t xml:space="preserve">1260</w:t>
      </w:r>
    </w:p>
    <w:p>
      <w:pPr>
        <w:pStyle w:val="BodyText"/>
      </w:pPr>
      <w:r>
        <w:t xml:space="preserve">20</w:t>
      </w:r>
    </w:p>
    <w:p>
      <w:pPr>
        <w:pStyle w:val="BodyText"/>
      </w:pPr>
      <w:r>
        <w:t xml:space="preserve">100 for 1-20 designs</w:t>
      </w:r>
    </w:p>
    <w:p>
      <w:pPr>
        <w:pStyle w:val="BodyText"/>
      </w:pPr>
      <w:r>
        <w:t xml:space="preserve">125 for 21-50</w:t>
      </w:r>
      <w:r>
        <w:t xml:space="preserve"> </w:t>
      </w:r>
      <w:r>
        <w:t xml:space="preserve">designs</w:t>
      </w:r>
    </w:p>
    <w:p>
      <w:pPr>
        <w:pStyle w:val="BodyText"/>
      </w:pPr>
      <w:r>
        <w:t xml:space="preserve">150 for 51-100</w:t>
      </w:r>
      <w:r>
        <w:t xml:space="preserve"> </w:t>
      </w:r>
      <w:r>
        <w:t xml:space="preserve">designs</w:t>
      </w:r>
    </w:p>
    <w:p>
      <w:pPr>
        <w:pStyle w:val="BodyText"/>
      </w:pPr>
      <w:r>
        <w:t xml:space="preserve">Plus costs for the</w:t>
      </w:r>
      <w:r>
        <w:t xml:space="preserve"> </w:t>
      </w:r>
      <w:r>
        <w:t xml:space="preserve">renewal certificate</w:t>
      </w:r>
    </w:p>
    <w:p>
      <w:pPr>
        <w:pStyle w:val="BodyText"/>
      </w:pPr>
      <w:r>
        <w:t xml:space="preserve">SK</w:t>
      </w:r>
    </w:p>
    <w:p>
      <w:pPr>
        <w:pStyle w:val="BodyText"/>
      </w:pPr>
      <w:r>
        <w:t xml:space="preserve">40</w:t>
      </w:r>
    </w:p>
    <w:p>
      <w:pPr>
        <w:pStyle w:val="BodyText"/>
      </w:pPr>
      <w:r>
        <w:t xml:space="preserve">Designer: 20</w:t>
      </w:r>
    </w:p>
    <w:p>
      <w:pPr>
        <w:pStyle w:val="BodyText"/>
      </w:pPr>
      <w:r>
        <w:t xml:space="preserve">MA:</w:t>
      </w:r>
    </w:p>
    <w:p>
      <w:pPr>
        <w:pStyle w:val="Compact"/>
        <w:numPr>
          <w:ilvl w:val="0"/>
          <w:numId w:val="1048"/>
        </w:numPr>
      </w:pPr>
      <w:r>
        <w:t xml:space="preserve">20 as of 2nd D</w:t>
      </w:r>
    </w:p>
    <w:p>
      <w:pPr>
        <w:pStyle w:val="FirstParagraph"/>
      </w:pPr>
      <w:r>
        <w:t xml:space="preserve">Designer: + 10 as of 2nd D</w:t>
      </w:r>
    </w:p>
    <w:p>
      <w:pPr>
        <w:pStyle w:val="BodyText"/>
      </w:pPr>
      <w:r>
        <w:t xml:space="preserve">40</w:t>
      </w:r>
      <w:r>
        <w:t xml:space="preserve"> </w:t>
      </w:r>
      <w:r>
        <w:t xml:space="preserve">–</w:t>
      </w:r>
      <w:r>
        <w:t xml:space="preserve"> </w:t>
      </w:r>
      <w:r>
        <w:t xml:space="preserve">220</w:t>
      </w:r>
    </w:p>
    <w:p>
      <w:pPr>
        <w:pStyle w:val="BodyText"/>
      </w:pPr>
      <w:r>
        <w:t xml:space="preserve">20</w:t>
      </w:r>
    </w:p>
    <w:p>
      <w:pPr>
        <w:pStyle w:val="BodyText"/>
      </w:pPr>
      <w:r>
        <w:t xml:space="preserve">– 100</w:t>
      </w:r>
      <w:r>
        <w:br/>
      </w:r>
      <w:r>
        <w:t xml:space="preserve">– 200</w:t>
      </w:r>
      <w:r>
        <w:br/>
      </w:r>
      <w:r>
        <w:t xml:space="preserve">– 300</w:t>
      </w:r>
      <w:r>
        <w:br/>
      </w:r>
      <w:r>
        <w:t xml:space="preserve">– 400</w:t>
      </w:r>
      <w:r>
        <w:br/>
      </w:r>
      <w:r>
        <w:t xml:space="preserve">(GP: 100% surch.)</w:t>
      </w:r>
    </w:p>
    <w:p>
      <w:pPr>
        <w:pStyle w:val="BodyText"/>
      </w:pPr>
      <w:r>
        <w:t xml:space="preserve">SI</w:t>
      </w:r>
    </w:p>
    <w:p>
      <w:pPr>
        <w:pStyle w:val="BodyText"/>
      </w:pPr>
      <w:r>
        <w:t xml:space="preserve">80</w:t>
      </w:r>
    </w:p>
    <w:p>
      <w:pPr>
        <w:pStyle w:val="BodyText"/>
      </w:pPr>
      <w:r>
        <w:t xml:space="preserve">80</w:t>
      </w:r>
      <w:r>
        <w:t xml:space="preserve"> </w:t>
      </w:r>
      <w:r>
        <w:t xml:space="preserve">–</w:t>
      </w:r>
    </w:p>
    <w:p>
      <w:pPr>
        <w:pStyle w:val="BodyText"/>
      </w:pPr>
      <w:r>
        <w:t xml:space="preserve">70</w:t>
      </w:r>
    </w:p>
    <w:p>
      <w:pPr>
        <w:pStyle w:val="BodyText"/>
      </w:pPr>
      <w:r>
        <w:t xml:space="preserve">92</w:t>
      </w:r>
    </w:p>
    <w:p>
      <w:pPr>
        <w:pStyle w:val="BodyText"/>
      </w:pPr>
      <w:r>
        <w:t xml:space="preserve">MA:</w:t>
      </w:r>
    </w:p>
    <w:p>
      <w:pPr>
        <w:pStyle w:val="BodyText"/>
      </w:pPr>
      <w:r>
        <w:t xml:space="preserve">65 as of 2nd D</w:t>
      </w:r>
    </w:p>
    <w:p>
      <w:pPr>
        <w:pStyle w:val="BodyText"/>
      </w:pPr>
      <w:r>
        <w:t xml:space="preserve">665</w:t>
      </w:r>
    </w:p>
    <w:p>
      <w:pPr>
        <w:pStyle w:val="BodyText"/>
      </w:pPr>
      <w:r>
        <w:t xml:space="preserve">ES</w:t>
      </w:r>
    </w:p>
    <w:p>
      <w:pPr>
        <w:pStyle w:val="BodyText"/>
      </w:pPr>
      <w:r>
        <w:t xml:space="preserve">64.96(E) / 76.43(P) for ≤ 10 D incl. </w:t>
      </w:r>
    </w:p>
    <w:p>
      <w:pPr>
        <w:pStyle w:val="Compact"/>
        <w:numPr>
          <w:ilvl w:val="0"/>
          <w:numId w:val="1049"/>
        </w:numPr>
      </w:pPr>
      <w:r>
        <w:t xml:space="preserve">7.75 per priority claim(P)</w:t>
      </w:r>
    </w:p>
    <w:p>
      <w:pPr>
        <w:pStyle w:val="FirstParagraph"/>
      </w:pPr>
      <w:r>
        <w:t xml:space="preserve">MA:</w:t>
      </w:r>
    </w:p>
    <w:p>
      <w:pPr>
        <w:numPr>
          <w:ilvl w:val="0"/>
          <w:numId w:val="1050"/>
        </w:numPr>
      </w:pPr>
      <w:r>
        <w:t xml:space="preserve">56.86(E) / 66.88(P) for 11th - 20th D</w:t>
      </w:r>
    </w:p>
    <w:p>
      <w:pPr>
        <w:numPr>
          <w:ilvl w:val="0"/>
          <w:numId w:val="1050"/>
        </w:numPr>
      </w:pPr>
      <w:r>
        <w:t xml:space="preserve">47.21(E) / 55.54(P) for 21st - 30th D</w:t>
      </w:r>
    </w:p>
    <w:p>
      <w:pPr>
        <w:numPr>
          <w:ilvl w:val="0"/>
          <w:numId w:val="1050"/>
        </w:numPr>
      </w:pPr>
      <w:r>
        <w:t xml:space="preserve">37.77(E) / 44.45(P) for 31st - 40th D</w:t>
      </w:r>
    </w:p>
    <w:p>
      <w:pPr>
        <w:numPr>
          <w:ilvl w:val="0"/>
          <w:numId w:val="1050"/>
        </w:numPr>
      </w:pPr>
      <w:r>
        <w:t xml:space="preserve">30.25(E) / 35.58(P) for 41st - 50th D</w:t>
      </w:r>
    </w:p>
    <w:p>
      <w:pPr>
        <w:pStyle w:val="FirstParagraph"/>
      </w:pPr>
      <w:r>
        <w:t xml:space="preserve">72.71(E) / 84.18(P)</w:t>
      </w:r>
      <w:r>
        <w:t xml:space="preserve"> </w:t>
      </w:r>
      <w:r>
        <w:t xml:space="preserve">–</w:t>
      </w:r>
      <w:r>
        <w:t xml:space="preserve"> </w:t>
      </w:r>
      <w:r>
        <w:t xml:space="preserve">72.71(E) / 84.18(P)</w:t>
      </w:r>
    </w:p>
    <w:p>
      <w:pPr>
        <w:pStyle w:val="BodyText"/>
      </w:pPr>
      <w:r>
        <w:t xml:space="preserve">83.85(E) / 98.65(P)</w:t>
      </w:r>
    </w:p>
    <w:p>
      <w:pPr>
        <w:pStyle w:val="BodyText"/>
      </w:pPr>
      <w:r>
        <w:t xml:space="preserve">(GP: 41.50(E) /</w:t>
      </w:r>
      <w:r>
        <w:t xml:space="preserve"> </w:t>
      </w:r>
      <w:r>
        <w:t xml:space="preserve">48.82(P))</w:t>
      </w:r>
    </w:p>
    <w:p>
      <w:pPr>
        <w:pStyle w:val="BodyText"/>
      </w:pPr>
      <w:r>
        <w:t xml:space="preserve">MA:</w:t>
      </w:r>
    </w:p>
    <w:p>
      <w:pPr>
        <w:pStyle w:val="BodyText"/>
      </w:pPr>
      <w:r>
        <w:t xml:space="preserve">– 67.09(E) /</w:t>
      </w:r>
      <w:r>
        <w:t xml:space="preserve"> </w:t>
      </w:r>
      <w:r>
        <w:t xml:space="preserve">78.93(P) each D 11th</w:t>
      </w:r>
      <w:r>
        <w:t xml:space="preserve"> </w:t>
      </w:r>
      <w:r>
        <w:t xml:space="preserve">- 20th</w:t>
      </w:r>
      <w:r>
        <w:t xml:space="preserve"> </w:t>
      </w:r>
      <w:r>
        <w:t xml:space="preserve">– 53.66(E) /</w:t>
      </w:r>
      <w:r>
        <w:t xml:space="preserve"> </w:t>
      </w:r>
      <w:r>
        <w:t xml:space="preserve">63.13(P) each D 21st</w:t>
      </w:r>
      <w:r>
        <w:t xml:space="preserve"> </w:t>
      </w:r>
      <w:r>
        <w:t xml:space="preserve">- 30th</w:t>
      </w:r>
      <w:r>
        <w:t xml:space="preserve"> </w:t>
      </w:r>
      <w:r>
        <w:t xml:space="preserve">– 42.94(E) /</w:t>
      </w:r>
      <w:r>
        <w:t xml:space="preserve"> </w:t>
      </w:r>
      <w:r>
        <w:t xml:space="preserve">50.52(P) each D 31st</w:t>
      </w:r>
      <w:r>
        <w:t xml:space="preserve"> </w:t>
      </w:r>
      <w:r>
        <w:t xml:space="preserve">- 40th</w:t>
      </w:r>
      <w:r>
        <w:t xml:space="preserve"> </w:t>
      </w:r>
      <w:r>
        <w:t xml:space="preserve">– 34.34(E) /</w:t>
      </w:r>
      <w:r>
        <w:t xml:space="preserve"> </w:t>
      </w:r>
      <w:r>
        <w:t xml:space="preserve">40.40(P)</w:t>
      </w:r>
      <w:r>
        <w:t xml:space="preserve"> </w:t>
      </w:r>
      <w:r>
        <w:t xml:space="preserve">each D 41st - 50th</w:t>
      </w:r>
    </w:p>
    <w:p>
      <w:pPr>
        <w:pStyle w:val="BodyText"/>
      </w:pPr>
      <w:r>
        <w:t xml:space="preserve">SE</w:t>
      </w:r>
    </w:p>
    <w:p>
      <w:pPr>
        <w:pStyle w:val="BodyText"/>
      </w:pPr>
      <w:r>
        <w:t xml:space="preserve">196.05(E) (2000 SEK) / 244.40(P) (2 500</w:t>
      </w:r>
      <w:r>
        <w:t xml:space="preserve"> </w:t>
      </w:r>
      <w:r>
        <w:t xml:space="preserve">SEK)</w:t>
      </w:r>
    </w:p>
    <w:p>
      <w:pPr>
        <w:numPr>
          <w:ilvl w:val="0"/>
          <w:numId w:val="1051"/>
        </w:numPr>
      </w:pPr>
      <w:r>
        <w:t xml:space="preserve">48.88 (500 SEK) as of 2nd class</w:t>
      </w:r>
    </w:p>
    <w:p>
      <w:pPr>
        <w:numPr>
          <w:ilvl w:val="0"/>
          <w:numId w:val="1051"/>
        </w:numPr>
      </w:pPr>
      <w:r>
        <w:t xml:space="preserve">19.55 (200 SEK) – publication fee as of</w:t>
      </w:r>
      <w:r>
        <w:t xml:space="preserve"> </w:t>
      </w:r>
      <w:r>
        <w:t xml:space="preserve">the 2nd view per D</w:t>
      </w:r>
    </w:p>
    <w:p>
      <w:pPr>
        <w:pStyle w:val="FirstParagraph"/>
      </w:pPr>
      <w:r>
        <w:t xml:space="preserve">MA:</w:t>
      </w:r>
    </w:p>
    <w:p>
      <w:pPr>
        <w:pStyle w:val="Compact"/>
        <w:numPr>
          <w:ilvl w:val="0"/>
          <w:numId w:val="1052"/>
        </w:numPr>
      </w:pPr>
      <w:r>
        <w:t xml:space="preserve">136.87 (1 400 SEK) – registration fee as of</w:t>
      </w:r>
      <w:r>
        <w:t xml:space="preserve"> </w:t>
      </w:r>
      <w:r>
        <w:t xml:space="preserve">2nd D</w:t>
      </w:r>
    </w:p>
    <w:p>
      <w:pPr>
        <w:pStyle w:val="FirstParagraph"/>
      </w:pPr>
      <w:r>
        <w:t xml:space="preserve">196.05(E) (2 000</w:t>
      </w:r>
      <w:r>
        <w:t xml:space="preserve"> </w:t>
      </w:r>
      <w:r>
        <w:t xml:space="preserve">SEK) / 244.40(P) (</w:t>
      </w:r>
      <w:r>
        <w:t xml:space="preserve"> </w:t>
      </w:r>
      <w:r>
        <w:t xml:space="preserve">2 500 SEK)</w:t>
      </w:r>
      <w:r>
        <w:t xml:space="preserve"> </w:t>
      </w:r>
      <w:r>
        <w:t xml:space="preserve">–</w:t>
      </w:r>
      <w:r>
        <w:t xml:space="preserve"> </w:t>
      </w:r>
      <w:r>
        <w:t xml:space="preserve">1 421.98(E) (14 600</w:t>
      </w:r>
      <w:r>
        <w:t xml:space="preserve"> </w:t>
      </w:r>
      <w:r>
        <w:t xml:space="preserve">SEK) / 1 470.67(P)</w:t>
      </w:r>
      <w:r>
        <w:t xml:space="preserve"> </w:t>
      </w:r>
      <w:r>
        <w:t xml:space="preserve">(15 100 SEK)</w:t>
      </w:r>
    </w:p>
    <w:p>
      <w:pPr>
        <w:pStyle w:val="BodyText"/>
      </w:pPr>
      <w:r>
        <w:t xml:space="preserve">244.40(E) (2 500</w:t>
      </w:r>
      <w:r>
        <w:t xml:space="preserve"> </w:t>
      </w:r>
      <w:r>
        <w:t xml:space="preserve">SEK)</w:t>
      </w:r>
      <w:r>
        <w:br/>
      </w:r>
      <w:r>
        <w:t xml:space="preserve">/</w:t>
      </w:r>
      <w:r>
        <w:t xml:space="preserve"> </w:t>
      </w:r>
      <w:r>
        <w:t xml:space="preserve">295.20(P) (3 000</w:t>
      </w:r>
      <w:r>
        <w:t xml:space="preserve"> </w:t>
      </w:r>
      <w:r>
        <w:t xml:space="preserve">SEK)</w:t>
      </w:r>
    </w:p>
    <w:p>
      <w:pPr>
        <w:pStyle w:val="BodyText"/>
      </w:pPr>
      <w:r>
        <w:t xml:space="preserve">(GP: 48.89 (500</w:t>
      </w:r>
      <w:r>
        <w:t xml:space="preserve"> </w:t>
      </w:r>
      <w:r>
        <w:t xml:space="preserve">SEK))</w:t>
      </w:r>
    </w:p>
    <w:p>
      <w:pPr>
        <w:pStyle w:val="BodyText"/>
      </w:pPr>
      <w:r>
        <w:t xml:space="preserve">93</w:t>
      </w:r>
    </w:p>
    <w:p>
      <w:pPr>
        <w:pStyle w:val="BodyText"/>
      </w:pPr>
      <w:r>
        <w:t xml:space="preserve">ANNEX 9: IMPACT OF FEE CHANGES AND OTHER SIMPLIFICATIONS</w:t>
      </w:r>
      <w:r>
        <w:t xml:space="preserve"> </w:t>
      </w:r>
      <w:r>
        <w:t xml:space="preserve">9.1 Proposed changes and summary of impacts</w:t>
      </w:r>
      <w:r>
        <w:t xml:space="preserve"> </w:t>
      </w:r>
      <w:r>
        <w:t xml:space="preserve">The table below presents the current and proposed fee structure for the Registered</w:t>
      </w:r>
      <w:r>
        <w:t xml:space="preserve"> </w:t>
      </w:r>
      <w:r>
        <w:t xml:space="preserve">Community Design.</w:t>
      </w:r>
      <w:r>
        <w:br/>
      </w:r>
      <w:r>
        <w:t xml:space="preserve">Table A.9.1. Overview of current and proposed structure for RCD (in EUR)</w:t>
      </w:r>
      <w:r>
        <w:t xml:space="preserve"> </w:t>
      </w:r>
      <w:r>
        <w:t xml:space="preserve">First 5 year period</w:t>
      </w:r>
      <w:r>
        <w:t xml:space="preserve"> </w:t>
      </w:r>
      <w:r>
        <w:t xml:space="preserve">No of designs per application</w:t>
      </w:r>
      <w:r>
        <w:t xml:space="preserve"> </w:t>
      </w:r>
      <w:r>
        <w:t xml:space="preserve">Current</w:t>
      </w:r>
      <w:r>
        <w:br/>
      </w:r>
      <w:r>
        <w:t xml:space="preserve">Option 3.1</w:t>
      </w:r>
      <w:r>
        <w:t xml:space="preserve"> </w:t>
      </w:r>
      <w:r>
        <w:t xml:space="preserve">Option 3.2</w:t>
      </w:r>
      <w:r>
        <w:t xml:space="preserve"> </w:t>
      </w:r>
      <w:r>
        <w:t xml:space="preserve">1</w:t>
      </w:r>
      <w:r>
        <w:t xml:space="preserve"> </w:t>
      </w:r>
      <w:r>
        <w:t xml:space="preserve">350</w:t>
      </w:r>
      <w:r>
        <w:t xml:space="preserve"> </w:t>
      </w:r>
      <w:r>
        <w:t xml:space="preserve">250</w:t>
      </w:r>
      <w:r>
        <w:t xml:space="preserve"> </w:t>
      </w:r>
      <w:r>
        <w:t xml:space="preserve">250</w:t>
      </w:r>
      <w:r>
        <w:t xml:space="preserve"> </w:t>
      </w:r>
      <w:r>
        <w:t xml:space="preserve">2-10</w:t>
      </w:r>
      <w:r>
        <w:t xml:space="preserve"> </w:t>
      </w:r>
      <w:r>
        <w:t xml:space="preserve">175</w:t>
      </w:r>
      <w:r>
        <w:t xml:space="preserve"> </w:t>
      </w:r>
      <w:r>
        <w:t xml:space="preserve">125</w:t>
      </w:r>
      <w:r>
        <w:t xml:space="preserve"> </w:t>
      </w:r>
      <w:r>
        <w:t xml:space="preserve">100</w:t>
      </w:r>
      <w:r>
        <w:t xml:space="preserve"> </w:t>
      </w:r>
      <w:r>
        <w:t xml:space="preserve">11 and more*</w:t>
      </w:r>
      <w:r>
        <w:t xml:space="preserve"> </w:t>
      </w:r>
      <w:r>
        <w:t xml:space="preserve">80</w:t>
      </w:r>
      <w:r>
        <w:t xml:space="preserve"> </w:t>
      </w:r>
      <w:r>
        <w:t xml:space="preserve">125</w:t>
      </w:r>
      <w:r>
        <w:t xml:space="preserve"> </w:t>
      </w:r>
      <w:r>
        <w:t xml:space="preserve">100</w:t>
      </w:r>
      <w:r>
        <w:t xml:space="preserve"> </w:t>
      </w:r>
      <w:r>
        <w:t xml:space="preserve">Cost of each renewal (each for 5 years)</w:t>
      </w:r>
      <w:r>
        <w:t xml:space="preserve"> </w:t>
      </w:r>
      <w:r>
        <w:t xml:space="preserve">1st</w:t>
      </w:r>
      <w:r>
        <w:t xml:space="preserve"> </w:t>
      </w:r>
      <w:r>
        <w:t xml:space="preserve">90</w:t>
      </w:r>
      <w:r>
        <w:t xml:space="preserve"> </w:t>
      </w:r>
      <w:r>
        <w:t xml:space="preserve">70</w:t>
      </w:r>
      <w:r>
        <w:t xml:space="preserve"> </w:t>
      </w:r>
      <w:r>
        <w:t xml:space="preserve">80</w:t>
      </w:r>
      <w:r>
        <w:t xml:space="preserve"> </w:t>
      </w:r>
      <w:r>
        <w:t xml:space="preserve">2nd</w:t>
      </w:r>
      <w:r>
        <w:br/>
      </w:r>
      <w:r>
        <w:t xml:space="preserve">120</w:t>
      </w:r>
      <w:r>
        <w:t xml:space="preserve"> </w:t>
      </w:r>
      <w:r>
        <w:t xml:space="preserve">140</w:t>
      </w:r>
      <w:r>
        <w:t xml:space="preserve"> </w:t>
      </w:r>
      <w:r>
        <w:t xml:space="preserve">160</w:t>
      </w:r>
      <w:r>
        <w:t xml:space="preserve"> </w:t>
      </w:r>
      <w:r>
        <w:t xml:space="preserve">3rd</w:t>
      </w:r>
      <w:r>
        <w:br/>
      </w:r>
      <w:r>
        <w:t xml:space="preserve">150</w:t>
      </w:r>
      <w:r>
        <w:t xml:space="preserve"> </w:t>
      </w:r>
      <w:r>
        <w:t xml:space="preserve">280</w:t>
      </w:r>
      <w:r>
        <w:t xml:space="preserve"> </w:t>
      </w:r>
      <w:r>
        <w:t xml:space="preserve">320</w:t>
      </w:r>
      <w:r>
        <w:t xml:space="preserve"> </w:t>
      </w:r>
      <w:r>
        <w:t xml:space="preserve">4th</w:t>
      </w:r>
      <w:r>
        <w:br/>
      </w:r>
      <w:r>
        <w:t xml:space="preserve">180</w:t>
      </w:r>
      <w:r>
        <w:t xml:space="preserve"> </w:t>
      </w:r>
      <w:r>
        <w:t xml:space="preserve">560</w:t>
      </w:r>
      <w:r>
        <w:t xml:space="preserve"> </w:t>
      </w:r>
      <w:r>
        <w:t xml:space="preserve">640</w:t>
      </w:r>
      <w:r>
        <w:t xml:space="preserve"> </w:t>
      </w:r>
      <w:r>
        <w:t xml:space="preserve">* No limit currently, in case of Option 3.1 and 3.2 limit of 50 designs per application</w:t>
      </w:r>
      <w:r>
        <w:br/>
      </w:r>
      <w:r>
        <w:t xml:space="preserve">Source: Own assessment</w:t>
      </w:r>
    </w:p>
    <w:p>
      <w:pPr>
        <w:pStyle w:val="BodyText"/>
      </w:pPr>
      <w:r>
        <w:t xml:space="preserve">9.2 Changes in basic registration fee</w:t>
      </w:r>
      <w:r>
        <w:t xml:space="preserve"> </w:t>
      </w:r>
      <w:r>
        <w:t xml:space="preserve">The new fee structure will benefit designers who include up to 22 designs in a single</w:t>
      </w:r>
      <w:r>
        <w:t xml:space="preserve"> </w:t>
      </w:r>
      <w:r>
        <w:t xml:space="preserve">application in case of Opt 3.1 and up to 48 designs in case of Opt. 3.2 (see Figure A.9.1).</w:t>
      </w:r>
      <w:r>
        <w:t xml:space="preserve"> </w:t>
      </w:r>
      <w:r>
        <w:t xml:space="preserve">The largest cost saving in case of Opt. 3.1. amounts to 29% for those including from 1 to</w:t>
      </w:r>
      <w:r>
        <w:t xml:space="preserve"> </w:t>
      </w:r>
      <w:r>
        <w:t xml:space="preserve">10 designs per application. Opt. 3.2. delivers higher saving than Opt. 3.1, with maximum</w:t>
      </w:r>
      <w:r>
        <w:t xml:space="preserve"> </w:t>
      </w:r>
      <w:r>
        <w:t xml:space="preserve">of 40% for those including 8-10 designs in a single application.</w:t>
      </w:r>
      <w:r>
        <w:br/>
      </w:r>
      <w:r>
        <w:t xml:space="preserve">Figure A.9.1. Percentage savings from proposed option per number of designs included in application</w:t>
      </w:r>
    </w:p>
    <w:p>
      <w:pPr>
        <w:pStyle w:val="BodyText"/>
      </w:pPr>
      <w:r>
        <w:t xml:space="preserve">Source: Own assessment.</w:t>
      </w:r>
      <w:r>
        <w:t xml:space="preserve"> </w:t>
      </w:r>
      <w:r>
        <w:t xml:space="preserve">For 2019 and 2020 the average number of designs per application was 3.4 for all</w:t>
      </w:r>
      <w:r>
        <w:t xml:space="preserve"> </w:t>
      </w:r>
      <w:r>
        <w:t xml:space="preserve">applicants, 3.7 for companies, and 2.4 for individuals. Therefore, an average applicant</w:t>
      </w:r>
      <w:r>
        <w:t xml:space="preserve"> </w:t>
      </w:r>
      <w:r>
        <w:t xml:space="preserve">-30%</w:t>
      </w:r>
      <w:r>
        <w:t xml:space="preserve"> </w:t>
      </w:r>
      <w:r>
        <w:t xml:space="preserve">-20%</w:t>
      </w:r>
      <w:r>
        <w:t xml:space="preserve"> </w:t>
      </w:r>
      <w:r>
        <w:t xml:space="preserve">-10%</w:t>
      </w:r>
      <w:r>
        <w:t xml:space="preserve"> </w:t>
      </w:r>
      <w:r>
        <w:t xml:space="preserve">0%</w:t>
      </w:r>
      <w:r>
        <w:t xml:space="preserve"> </w:t>
      </w:r>
      <w:r>
        <w:t xml:space="preserve">10%</w:t>
      </w:r>
      <w:r>
        <w:t xml:space="preserve"> </w:t>
      </w:r>
      <w:r>
        <w:t xml:space="preserve">20%</w:t>
      </w:r>
      <w:r>
        <w:t xml:space="preserve"> </w:t>
      </w:r>
      <w:r>
        <w:t xml:space="preserve">30%</w:t>
      </w:r>
      <w:r>
        <w:t xml:space="preserve"> </w:t>
      </w:r>
      <w:r>
        <w:t xml:space="preserve">40%</w:t>
      </w:r>
      <w:r>
        <w:t xml:space="preserve"> </w:t>
      </w:r>
      <w:r>
        <w:t xml:space="preserve">50%</w:t>
      </w:r>
      <w:r>
        <w:t xml:space="preserve"> </w:t>
      </w:r>
      <w:r>
        <w:t xml:space="preserve">1</w:t>
      </w:r>
      <w:r>
        <w:t xml:space="preserve"> </w:t>
      </w:r>
      <w:r>
        <w:t xml:space="preserve">3</w:t>
      </w:r>
      <w:r>
        <w:t xml:space="preserve"> </w:t>
      </w:r>
      <w:r>
        <w:t xml:space="preserve">5</w:t>
      </w:r>
      <w:r>
        <w:t xml:space="preserve"> </w:t>
      </w:r>
      <w:r>
        <w:t xml:space="preserve">7</w:t>
      </w:r>
      <w:r>
        <w:t xml:space="preserve"> </w:t>
      </w:r>
      <w:r>
        <w:t xml:space="preserve">9 11 13 15 17 19 21 23 25 27 29 31 33 35 37 39 41 43 45 47 49</w:t>
      </w:r>
      <w:r>
        <w:t xml:space="preserve"> </w:t>
      </w:r>
      <w:r>
        <w:t xml:space="preserve">Savings as % of current fees</w:t>
      </w:r>
      <w:r>
        <w:t xml:space="preserve"> </w:t>
      </w:r>
      <w:r>
        <w:t xml:space="preserve">Number of designs in application</w:t>
      </w:r>
      <w:r>
        <w:t xml:space="preserve"> </w:t>
      </w:r>
      <w:r>
        <w:t xml:space="preserve">Option 3.1</w:t>
      </w:r>
      <w:r>
        <w:t xml:space="preserve"> </w:t>
      </w:r>
      <w:r>
        <w:t xml:space="preserve">Option 3.2</w:t>
      </w:r>
    </w:p>
    <w:p>
      <w:pPr>
        <w:pStyle w:val="BodyText"/>
      </w:pPr>
      <w:r>
        <w:t xml:space="preserve">94</w:t>
      </w:r>
    </w:p>
    <w:p>
      <w:pPr>
        <w:pStyle w:val="BodyText"/>
      </w:pPr>
      <w:r>
        <w:t xml:space="preserve">will save around EUR 142 in case of Opt. 3.1 and EUR 203 in case of Opt. 3.2. The</w:t>
      </w:r>
      <w:r>
        <w:t xml:space="preserve"> </w:t>
      </w:r>
      <w:r>
        <w:t xml:space="preserve">average saving for individuals will be EUR 132 and EUR 166 in case of Opt. 3.1 and</w:t>
      </w:r>
      <w:r>
        <w:t xml:space="preserve"> </w:t>
      </w:r>
      <w:r>
        <w:t xml:space="preserve">Opt. 3.2 respectively. The average savings for companies arrive at EUR 144 and EUR</w:t>
      </w:r>
      <w:r>
        <w:t xml:space="preserve"> </w:t>
      </w:r>
      <w:r>
        <w:t xml:space="preserve">211 respectively in case of Opt. 3.1 and Opt. 3.2 (see table 9.2).</w:t>
      </w:r>
      <w:r>
        <w:br/>
      </w:r>
      <w:r>
        <w:t xml:space="preserve">Table A.9.2. Application fee saving by option and average number of designs per application in 2019-</w:t>
      </w:r>
      <w:r>
        <w:t xml:space="preserve"> </w:t>
      </w:r>
      <w:r>
        <w:t xml:space="preserve">2020.</w:t>
      </w:r>
    </w:p>
    <w:p>
      <w:pPr>
        <w:pStyle w:val="BodyText"/>
      </w:pPr>
      <w:r>
        <w:t xml:space="preserve">Companies</w:t>
      </w:r>
      <w:r>
        <w:t xml:space="preserve"> </w:t>
      </w:r>
      <w:r>
        <w:t xml:space="preserve">Individuals</w:t>
      </w:r>
      <w:r>
        <w:t xml:space="preserve"> </w:t>
      </w:r>
      <w:r>
        <w:t xml:space="preserve">All</w:t>
      </w:r>
      <w:r>
        <w:t xml:space="preserve"> </w:t>
      </w:r>
      <w:r>
        <w:t xml:space="preserve">Average number of designs per</w:t>
      </w:r>
      <w:r>
        <w:t xml:space="preserve"> </w:t>
      </w:r>
      <w:r>
        <w:t xml:space="preserve">application</w:t>
      </w:r>
      <w:r>
        <w:t xml:space="preserve"> </w:t>
      </w:r>
      <w:r>
        <w:t xml:space="preserve">3.7</w:t>
      </w:r>
      <w:r>
        <w:t xml:space="preserve"> </w:t>
      </w:r>
      <w:r>
        <w:t xml:space="preserve">2.3</w:t>
      </w:r>
      <w:r>
        <w:t xml:space="preserve"> </w:t>
      </w:r>
      <w:r>
        <w:t xml:space="preserve">3.4</w:t>
      </w:r>
      <w:r>
        <w:t xml:space="preserve"> </w:t>
      </w:r>
      <w:r>
        <w:t xml:space="preserve">Avg. fee current system</w:t>
      </w:r>
      <w:r>
        <w:t xml:space="preserve"> </w:t>
      </w:r>
      <w:r>
        <w:t xml:space="preserve">729</w:t>
      </w:r>
      <w:r>
        <w:t xml:space="preserve"> </w:t>
      </w:r>
      <w:r>
        <w:t xml:space="preserve">551</w:t>
      </w:r>
      <w:r>
        <w:t xml:space="preserve"> </w:t>
      </w:r>
      <w:r>
        <w:t xml:space="preserve">695</w:t>
      </w:r>
      <w:r>
        <w:t xml:space="preserve"> </w:t>
      </w:r>
      <w:r>
        <w:t xml:space="preserve">Avg. fee Opt. 3.1</w:t>
      </w:r>
      <w:r>
        <w:t xml:space="preserve"> </w:t>
      </w:r>
      <w:r>
        <w:t xml:space="preserve">585</w:t>
      </w:r>
      <w:r>
        <w:t xml:space="preserve"> </w:t>
      </w:r>
      <w:r>
        <w:t xml:space="preserve">419</w:t>
      </w:r>
      <w:r>
        <w:t xml:space="preserve"> </w:t>
      </w:r>
      <w:r>
        <w:t xml:space="preserve">552</w:t>
      </w:r>
      <w:r>
        <w:t xml:space="preserve"> </w:t>
      </w:r>
      <w:r>
        <w:t xml:space="preserve">Avg. fee Opt. 3.2</w:t>
      </w:r>
      <w:r>
        <w:t xml:space="preserve"> </w:t>
      </w:r>
      <w:r>
        <w:t xml:space="preserve">518</w:t>
      </w:r>
      <w:r>
        <w:t xml:space="preserve"> </w:t>
      </w:r>
      <w:r>
        <w:t xml:space="preserve">385</w:t>
      </w:r>
      <w:r>
        <w:t xml:space="preserve"> </w:t>
      </w:r>
      <w:r>
        <w:t xml:space="preserve">492</w:t>
      </w:r>
      <w:r>
        <w:t xml:space="preserve"> </w:t>
      </w:r>
      <w:r>
        <w:t xml:space="preserve">Opt 3.1 savings (EUR, %)</w:t>
      </w:r>
      <w:r>
        <w:br/>
      </w:r>
      <w:r>
        <w:t xml:space="preserve">144</w:t>
      </w:r>
      <w:r>
        <w:t xml:space="preserve"> </w:t>
      </w:r>
      <w:r>
        <w:t xml:space="preserve">20%</w:t>
      </w:r>
      <w:r>
        <w:t xml:space="preserve"> </w:t>
      </w:r>
      <w:r>
        <w:t xml:space="preserve">132</w:t>
      </w:r>
      <w:r>
        <w:t xml:space="preserve"> </w:t>
      </w:r>
      <w:r>
        <w:t xml:space="preserve">24%</w:t>
      </w:r>
      <w:r>
        <w:t xml:space="preserve"> </w:t>
      </w:r>
      <w:r>
        <w:t xml:space="preserve">142</w:t>
      </w:r>
      <w:r>
        <w:t xml:space="preserve"> </w:t>
      </w:r>
      <w:r>
        <w:t xml:space="preserve">20%</w:t>
      </w:r>
      <w:r>
        <w:t xml:space="preserve"> </w:t>
      </w:r>
      <w:r>
        <w:t xml:space="preserve">Opt 3.2 savings (EUR, %)</w:t>
      </w:r>
      <w:r>
        <w:t xml:space="preserve"> </w:t>
      </w:r>
      <w:r>
        <w:t xml:space="preserve">211</w:t>
      </w:r>
      <w:r>
        <w:t xml:space="preserve"> </w:t>
      </w:r>
      <w:r>
        <w:t xml:space="preserve">29%</w:t>
      </w:r>
      <w:r>
        <w:t xml:space="preserve"> </w:t>
      </w:r>
      <w:r>
        <w:t xml:space="preserve">166</w:t>
      </w:r>
      <w:r>
        <w:t xml:space="preserve"> </w:t>
      </w:r>
      <w:r>
        <w:t xml:space="preserve">30%</w:t>
      </w:r>
      <w:r>
        <w:t xml:space="preserve"> </w:t>
      </w:r>
      <w:r>
        <w:t xml:space="preserve">203</w:t>
      </w:r>
      <w:r>
        <w:t xml:space="preserve"> </w:t>
      </w:r>
      <w:r>
        <w:t xml:space="preserve">29%</w:t>
      </w:r>
      <w:r>
        <w:t xml:space="preserve"> </w:t>
      </w:r>
      <w:r>
        <w:t xml:space="preserve">Source: Own assessment based on EUIPO data, numbers based on whole distribution see next table,</w:t>
      </w:r>
      <w:r>
        <w:t xml:space="preserve"> </w:t>
      </w:r>
      <w:r>
        <w:t xml:space="preserve">numbers rounded</w:t>
      </w:r>
      <w:r>
        <w:t xml:space="preserve"> </w:t>
      </w:r>
      <w:r>
        <w:t xml:space="preserve">Taking into account the historical distribution of number of designs per application,</w:t>
      </w:r>
      <w:r>
        <w:t xml:space="preserve"> </w:t>
      </w:r>
      <w:r>
        <w:t xml:space="preserve">97.7% of applications will experience cost saving on the basic fee in case Opt 3.1 is</w:t>
      </w:r>
      <w:r>
        <w:t xml:space="preserve"> </w:t>
      </w:r>
      <w:r>
        <w:t xml:space="preserve">selected and 99% in case of Opt. 3.2 (see table 9.3).</w:t>
      </w:r>
      <w:r>
        <w:t xml:space="preserve"> </w:t>
      </w:r>
      <w:r>
        <w:t xml:space="preserve">Table A.9.3. Application fee saving by option and number of designs per application</w:t>
      </w:r>
      <w:r>
        <w:t xml:space="preserve"> </w:t>
      </w:r>
      <w:r>
        <w:t xml:space="preserve">No. of</w:t>
      </w:r>
      <w:r>
        <w:t xml:space="preserve"> </w:t>
      </w:r>
      <w:r>
        <w:t xml:space="preserve">designs per</w:t>
      </w:r>
      <w:r>
        <w:t xml:space="preserve"> </w:t>
      </w:r>
      <w:r>
        <w:t xml:space="preserve">application</w:t>
      </w:r>
      <w:r>
        <w:t xml:space="preserve"> </w:t>
      </w:r>
      <w:r>
        <w:t xml:space="preserve">% of</w:t>
      </w:r>
      <w:r>
        <w:t xml:space="preserve"> </w:t>
      </w:r>
      <w:r>
        <w:t xml:space="preserve">applications</w:t>
      </w:r>
      <w:r>
        <w:br/>
      </w:r>
      <w:r>
        <w:t xml:space="preserve">(2019-2020)</w:t>
      </w:r>
      <w:r>
        <w:t xml:space="preserve"> </w:t>
      </w:r>
      <w:r>
        <w:t xml:space="preserve">Cumulative</w:t>
      </w:r>
      <w:r>
        <w:t xml:space="preserve"> </w:t>
      </w:r>
      <w:r>
        <w:t xml:space="preserve">%</w:t>
      </w:r>
      <w:r>
        <w:t xml:space="preserve"> </w:t>
      </w:r>
      <w:r>
        <w:t xml:space="preserve">Option 3.1 savings</w:t>
      </w:r>
      <w:r>
        <w:t xml:space="preserve"> </w:t>
      </w:r>
      <w:r>
        <w:t xml:space="preserve">Option 3.2 savings</w:t>
      </w:r>
      <w:r>
        <w:t xml:space="preserve"> </w:t>
      </w:r>
      <w:r>
        <w:t xml:space="preserve">EUR</w:t>
      </w:r>
      <w:r>
        <w:t xml:space="preserve"> </w:t>
      </w:r>
      <w:r>
        <w:t xml:space="preserve">% from</w:t>
      </w:r>
      <w:r>
        <w:t xml:space="preserve"> </w:t>
      </w:r>
      <w:r>
        <w:t xml:space="preserve">current</w:t>
      </w:r>
      <w:r>
        <w:t xml:space="preserve"> </w:t>
      </w:r>
      <w:r>
        <w:t xml:space="preserve">EUR</w:t>
      </w:r>
      <w:r>
        <w:t xml:space="preserve"> </w:t>
      </w:r>
      <w:r>
        <w:t xml:space="preserve">% from</w:t>
      </w:r>
      <w:r>
        <w:t xml:space="preserve"> </w:t>
      </w:r>
      <w:r>
        <w:t xml:space="preserve">current</w:t>
      </w:r>
      <w:r>
        <w:t xml:space="preserve"> </w:t>
      </w:r>
      <w:r>
        <w:t xml:space="preserve">1</w:t>
      </w:r>
      <w:r>
        <w:t xml:space="preserve"> </w:t>
      </w:r>
      <w:r>
        <w:t xml:space="preserve">54.8%</w:t>
      </w:r>
      <w:r>
        <w:t xml:space="preserve"> </w:t>
      </w:r>
      <w:r>
        <w:t xml:space="preserve">54.8%</w:t>
      </w:r>
      <w:r>
        <w:t xml:space="preserve"> </w:t>
      </w:r>
      <w:r>
        <w:t xml:space="preserve">100</w:t>
      </w:r>
      <w:r>
        <w:t xml:space="preserve"> </w:t>
      </w:r>
      <w:r>
        <w:t xml:space="preserve">29%</w:t>
      </w:r>
      <w:r>
        <w:t xml:space="preserve"> </w:t>
      </w:r>
      <w:r>
        <w:t xml:space="preserve">100</w:t>
      </w:r>
      <w:r>
        <w:t xml:space="preserve"> </w:t>
      </w:r>
      <w:r>
        <w:t xml:space="preserve">29%</w:t>
      </w:r>
      <w:r>
        <w:t xml:space="preserve"> </w:t>
      </w:r>
      <w:r>
        <w:t xml:space="preserve">2</w:t>
      </w:r>
      <w:r>
        <w:t xml:space="preserve"> </w:t>
      </w:r>
      <w:r>
        <w:t xml:space="preserve">15.8%</w:t>
      </w:r>
      <w:r>
        <w:t xml:space="preserve"> </w:t>
      </w:r>
      <w:r>
        <w:t xml:space="preserve">70.7%</w:t>
      </w:r>
      <w:r>
        <w:t xml:space="preserve"> </w:t>
      </w:r>
      <w:r>
        <w:t xml:space="preserve">150</w:t>
      </w:r>
      <w:r>
        <w:t xml:space="preserve"> </w:t>
      </w:r>
      <w:r>
        <w:t xml:space="preserve">29%</w:t>
      </w:r>
      <w:r>
        <w:t xml:space="preserve"> </w:t>
      </w:r>
      <w:r>
        <w:t xml:space="preserve">175</w:t>
      </w:r>
      <w:r>
        <w:t xml:space="preserve"> </w:t>
      </w:r>
      <w:r>
        <w:t xml:space="preserve">33%</w:t>
      </w:r>
      <w:r>
        <w:t xml:space="preserve"> </w:t>
      </w:r>
      <w:r>
        <w:t xml:space="preserve">3</w:t>
      </w:r>
      <w:r>
        <w:t xml:space="preserve"> </w:t>
      </w:r>
      <w:r>
        <w:t xml:space="preserve">7.7%</w:t>
      </w:r>
      <w:r>
        <w:t xml:space="preserve"> </w:t>
      </w:r>
      <w:r>
        <w:t xml:space="preserve">78.4%</w:t>
      </w:r>
      <w:r>
        <w:t xml:space="preserve"> </w:t>
      </w:r>
      <w:r>
        <w:t xml:space="preserve">200</w:t>
      </w:r>
      <w:r>
        <w:t xml:space="preserve"> </w:t>
      </w:r>
      <w:r>
        <w:t xml:space="preserve">29%</w:t>
      </w:r>
      <w:r>
        <w:t xml:space="preserve"> </w:t>
      </w:r>
      <w:r>
        <w:t xml:space="preserve">250</w:t>
      </w:r>
      <w:r>
        <w:t xml:space="preserve"> </w:t>
      </w:r>
      <w:r>
        <w:t xml:space="preserve">36%</w:t>
      </w:r>
      <w:r>
        <w:t xml:space="preserve"> </w:t>
      </w:r>
      <w:r>
        <w:t xml:space="preserve">4</w:t>
      </w:r>
      <w:r>
        <w:t xml:space="preserve"> </w:t>
      </w:r>
      <w:r>
        <w:t xml:space="preserve">5.5%</w:t>
      </w:r>
      <w:r>
        <w:t xml:space="preserve"> </w:t>
      </w:r>
      <w:r>
        <w:t xml:space="preserve">83.9%</w:t>
      </w:r>
      <w:r>
        <w:t xml:space="preserve"> </w:t>
      </w:r>
      <w:r>
        <w:t xml:space="preserve">250</w:t>
      </w:r>
      <w:r>
        <w:t xml:space="preserve"> </w:t>
      </w:r>
      <w:r>
        <w:t xml:space="preserve">29%</w:t>
      </w:r>
      <w:r>
        <w:t xml:space="preserve"> </w:t>
      </w:r>
      <w:r>
        <w:t xml:space="preserve">325</w:t>
      </w:r>
      <w:r>
        <w:t xml:space="preserve"> </w:t>
      </w:r>
      <w:r>
        <w:t xml:space="preserve">37%</w:t>
      </w:r>
      <w:r>
        <w:t xml:space="preserve"> </w:t>
      </w:r>
      <w:r>
        <w:t xml:space="preserve">5</w:t>
      </w:r>
      <w:r>
        <w:t xml:space="preserve"> </w:t>
      </w:r>
      <w:r>
        <w:t xml:space="preserve">3.0%</w:t>
      </w:r>
      <w:r>
        <w:t xml:space="preserve"> </w:t>
      </w:r>
      <w:r>
        <w:t xml:space="preserve">87.0%</w:t>
      </w:r>
      <w:r>
        <w:t xml:space="preserve"> </w:t>
      </w:r>
      <w:r>
        <w:t xml:space="preserve">300</w:t>
      </w:r>
      <w:r>
        <w:t xml:space="preserve"> </w:t>
      </w:r>
      <w:r>
        <w:t xml:space="preserve">29%</w:t>
      </w:r>
      <w:r>
        <w:t xml:space="preserve"> </w:t>
      </w:r>
      <w:r>
        <w:t xml:space="preserve">400</w:t>
      </w:r>
      <w:r>
        <w:t xml:space="preserve"> </w:t>
      </w:r>
      <w:r>
        <w:t xml:space="preserve">38%</w:t>
      </w:r>
      <w:r>
        <w:t xml:space="preserve"> </w:t>
      </w:r>
      <w:r>
        <w:t xml:space="preserve">6</w:t>
      </w:r>
      <w:r>
        <w:t xml:space="preserve"> </w:t>
      </w:r>
      <w:r>
        <w:t xml:space="preserve">2.6%</w:t>
      </w:r>
      <w:r>
        <w:t xml:space="preserve"> </w:t>
      </w:r>
      <w:r>
        <w:t xml:space="preserve">89.6%</w:t>
      </w:r>
      <w:r>
        <w:t xml:space="preserve"> </w:t>
      </w:r>
      <w:r>
        <w:t xml:space="preserve">350</w:t>
      </w:r>
      <w:r>
        <w:t xml:space="preserve"> </w:t>
      </w:r>
      <w:r>
        <w:t xml:space="preserve">29%</w:t>
      </w:r>
      <w:r>
        <w:t xml:space="preserve"> </w:t>
      </w:r>
      <w:r>
        <w:t xml:space="preserve">475</w:t>
      </w:r>
      <w:r>
        <w:t xml:space="preserve"> </w:t>
      </w:r>
      <w:r>
        <w:t xml:space="preserve">39%</w:t>
      </w:r>
      <w:r>
        <w:t xml:space="preserve"> </w:t>
      </w:r>
      <w:r>
        <w:t xml:space="preserve">7</w:t>
      </w:r>
      <w:r>
        <w:t xml:space="preserve"> </w:t>
      </w:r>
      <w:r>
        <w:t xml:space="preserve">1.4%</w:t>
      </w:r>
      <w:r>
        <w:t xml:space="preserve"> </w:t>
      </w:r>
      <w:r>
        <w:t xml:space="preserve">90.9%</w:t>
      </w:r>
      <w:r>
        <w:t xml:space="preserve"> </w:t>
      </w:r>
      <w:r>
        <w:t xml:space="preserve">400</w:t>
      </w:r>
      <w:r>
        <w:t xml:space="preserve"> </w:t>
      </w:r>
      <w:r>
        <w:t xml:space="preserve">29%</w:t>
      </w:r>
      <w:r>
        <w:t xml:space="preserve"> </w:t>
      </w:r>
      <w:r>
        <w:t xml:space="preserve">550</w:t>
      </w:r>
      <w:r>
        <w:t xml:space="preserve"> </w:t>
      </w:r>
      <w:r>
        <w:t xml:space="preserve">39%</w:t>
      </w:r>
      <w:r>
        <w:t xml:space="preserve"> </w:t>
      </w:r>
      <w:r>
        <w:t xml:space="preserve">8</w:t>
      </w:r>
      <w:r>
        <w:t xml:space="preserve"> </w:t>
      </w:r>
      <w:r>
        <w:t xml:space="preserve">1.5%</w:t>
      </w:r>
      <w:r>
        <w:t xml:space="preserve"> </w:t>
      </w:r>
      <w:r>
        <w:t xml:space="preserve">92.4%</w:t>
      </w:r>
      <w:r>
        <w:t xml:space="preserve"> </w:t>
      </w:r>
      <w:r>
        <w:t xml:space="preserve">450</w:t>
      </w:r>
      <w:r>
        <w:t xml:space="preserve"> </w:t>
      </w:r>
      <w:r>
        <w:t xml:space="preserve">29%</w:t>
      </w:r>
      <w:r>
        <w:t xml:space="preserve"> </w:t>
      </w:r>
      <w:r>
        <w:t xml:space="preserve">625</w:t>
      </w:r>
      <w:r>
        <w:t xml:space="preserve"> </w:t>
      </w:r>
      <w:r>
        <w:t xml:space="preserve">40%</w:t>
      </w:r>
      <w:r>
        <w:t xml:space="preserve"> </w:t>
      </w:r>
      <w:r>
        <w:t xml:space="preserve">9</w:t>
      </w:r>
      <w:r>
        <w:t xml:space="preserve"> </w:t>
      </w:r>
      <w:r>
        <w:t xml:space="preserve">0.9%</w:t>
      </w:r>
      <w:r>
        <w:t xml:space="preserve"> </w:t>
      </w:r>
      <w:r>
        <w:t xml:space="preserve">93.3%</w:t>
      </w:r>
      <w:r>
        <w:t xml:space="preserve"> </w:t>
      </w:r>
      <w:r>
        <w:t xml:space="preserve">500</w:t>
      </w:r>
      <w:r>
        <w:t xml:space="preserve"> </w:t>
      </w:r>
      <w:r>
        <w:t xml:space="preserve">29%</w:t>
      </w:r>
      <w:r>
        <w:t xml:space="preserve"> </w:t>
      </w:r>
      <w:r>
        <w:t xml:space="preserve">700</w:t>
      </w:r>
      <w:r>
        <w:t xml:space="preserve"> </w:t>
      </w:r>
      <w:r>
        <w:t xml:space="preserve">40%</w:t>
      </w:r>
      <w:r>
        <w:t xml:space="preserve"> </w:t>
      </w:r>
      <w:r>
        <w:t xml:space="preserve">10</w:t>
      </w:r>
      <w:r>
        <w:t xml:space="preserve"> </w:t>
      </w:r>
      <w:r>
        <w:t xml:space="preserve">1.0%</w:t>
      </w:r>
      <w:r>
        <w:t xml:space="preserve"> </w:t>
      </w:r>
      <w:r>
        <w:t xml:space="preserve">94.3%</w:t>
      </w:r>
      <w:r>
        <w:t xml:space="preserve"> </w:t>
      </w:r>
      <w:r>
        <w:t xml:space="preserve">550</w:t>
      </w:r>
      <w:r>
        <w:t xml:space="preserve"> </w:t>
      </w:r>
      <w:r>
        <w:t xml:space="preserve">29%</w:t>
      </w:r>
      <w:r>
        <w:t xml:space="preserve"> </w:t>
      </w:r>
      <w:r>
        <w:t xml:space="preserve">775</w:t>
      </w:r>
      <w:r>
        <w:t xml:space="preserve"> </w:t>
      </w:r>
      <w:r>
        <w:t xml:space="preserve">40%</w:t>
      </w:r>
      <w:r>
        <w:t xml:space="preserve"> </w:t>
      </w:r>
      <w:r>
        <w:t xml:space="preserve">11</w:t>
      </w:r>
      <w:r>
        <w:t xml:space="preserve"> </w:t>
      </w:r>
      <w:r>
        <w:t xml:space="preserve">0.5%</w:t>
      </w:r>
      <w:r>
        <w:t xml:space="preserve"> </w:t>
      </w:r>
      <w:r>
        <w:t xml:space="preserve">94.8%</w:t>
      </w:r>
      <w:r>
        <w:t xml:space="preserve"> </w:t>
      </w:r>
      <w:r>
        <w:t xml:space="preserve">505</w:t>
      </w:r>
      <w:r>
        <w:t xml:space="preserve"> </w:t>
      </w:r>
      <w:r>
        <w:t xml:space="preserve">25%</w:t>
      </w:r>
      <w:r>
        <w:t xml:space="preserve"> </w:t>
      </w:r>
      <w:r>
        <w:t xml:space="preserve">755</w:t>
      </w:r>
      <w:r>
        <w:t xml:space="preserve"> </w:t>
      </w:r>
      <w:r>
        <w:t xml:space="preserve">38%</w:t>
      </w:r>
      <w:r>
        <w:t xml:space="preserve"> </w:t>
      </w:r>
      <w:r>
        <w:t xml:space="preserve">12</w:t>
      </w:r>
      <w:r>
        <w:t xml:space="preserve"> </w:t>
      </w:r>
      <w:r>
        <w:t xml:space="preserve">0.6%</w:t>
      </w:r>
      <w:r>
        <w:t xml:space="preserve"> </w:t>
      </w:r>
      <w:r>
        <w:t xml:space="preserve">95.4%</w:t>
      </w:r>
      <w:r>
        <w:t xml:space="preserve"> </w:t>
      </w:r>
      <w:r>
        <w:t xml:space="preserve">460</w:t>
      </w:r>
      <w:r>
        <w:t xml:space="preserve"> </w:t>
      </w:r>
      <w:r>
        <w:t xml:space="preserve">22%</w:t>
      </w:r>
      <w:r>
        <w:t xml:space="preserve"> </w:t>
      </w:r>
      <w:r>
        <w:t xml:space="preserve">735</w:t>
      </w:r>
      <w:r>
        <w:t xml:space="preserve"> </w:t>
      </w:r>
      <w:r>
        <w:t xml:space="preserve">35%</w:t>
      </w:r>
      <w:r>
        <w:t xml:space="preserve"> </w:t>
      </w:r>
      <w:r>
        <w:t xml:space="preserve">13</w:t>
      </w:r>
      <w:r>
        <w:t xml:space="preserve"> </w:t>
      </w:r>
      <w:r>
        <w:t xml:space="preserve">0.4%</w:t>
      </w:r>
      <w:r>
        <w:t xml:space="preserve"> </w:t>
      </w:r>
      <w:r>
        <w:t xml:space="preserve">95.8%</w:t>
      </w:r>
      <w:r>
        <w:t xml:space="preserve"> </w:t>
      </w:r>
      <w:r>
        <w:t xml:space="preserve">415</w:t>
      </w:r>
      <w:r>
        <w:t xml:space="preserve"> </w:t>
      </w:r>
      <w:r>
        <w:t xml:space="preserve">19%</w:t>
      </w:r>
      <w:r>
        <w:t xml:space="preserve"> </w:t>
      </w:r>
      <w:r>
        <w:t xml:space="preserve">715</w:t>
      </w:r>
      <w:r>
        <w:t xml:space="preserve"> </w:t>
      </w:r>
      <w:r>
        <w:t xml:space="preserve">33%</w:t>
      </w:r>
      <w:r>
        <w:t xml:space="preserve"> </w:t>
      </w:r>
      <w:r>
        <w:t xml:space="preserve">14</w:t>
      </w:r>
      <w:r>
        <w:t xml:space="preserve"> </w:t>
      </w:r>
      <w:r>
        <w:t xml:space="preserve">0.3%</w:t>
      </w:r>
      <w:r>
        <w:t xml:space="preserve"> </w:t>
      </w:r>
      <w:r>
        <w:t xml:space="preserve">96.1%</w:t>
      </w:r>
      <w:r>
        <w:t xml:space="preserve"> </w:t>
      </w:r>
      <w:r>
        <w:t xml:space="preserve">370</w:t>
      </w:r>
      <w:r>
        <w:t xml:space="preserve"> </w:t>
      </w:r>
      <w:r>
        <w:t xml:space="preserve">16%</w:t>
      </w:r>
      <w:r>
        <w:t xml:space="preserve"> </w:t>
      </w:r>
      <w:r>
        <w:t xml:space="preserve">695</w:t>
      </w:r>
      <w:r>
        <w:t xml:space="preserve"> </w:t>
      </w:r>
      <w:r>
        <w:t xml:space="preserve">31%</w:t>
      </w:r>
      <w:r>
        <w:t xml:space="preserve"> </w:t>
      </w:r>
      <w:r>
        <w:t xml:space="preserve">15</w:t>
      </w:r>
      <w:r>
        <w:t xml:space="preserve"> </w:t>
      </w:r>
      <w:r>
        <w:t xml:space="preserve">0.3%</w:t>
      </w:r>
      <w:r>
        <w:t xml:space="preserve"> </w:t>
      </w:r>
      <w:r>
        <w:t xml:space="preserve">96.4%</w:t>
      </w:r>
      <w:r>
        <w:t xml:space="preserve"> </w:t>
      </w:r>
      <w:r>
        <w:t xml:space="preserve">325</w:t>
      </w:r>
      <w:r>
        <w:t xml:space="preserve"> </w:t>
      </w:r>
      <w:r>
        <w:t xml:space="preserve">14%</w:t>
      </w:r>
      <w:r>
        <w:t xml:space="preserve"> </w:t>
      </w:r>
      <w:r>
        <w:t xml:space="preserve">675</w:t>
      </w:r>
      <w:r>
        <w:t xml:space="preserve"> </w:t>
      </w:r>
      <w:r>
        <w:t xml:space="preserve">29%</w:t>
      </w:r>
      <w:r>
        <w:t xml:space="preserve"> </w:t>
      </w:r>
      <w:r>
        <w:t xml:space="preserve">16</w:t>
      </w:r>
      <w:r>
        <w:t xml:space="preserve"> </w:t>
      </w:r>
      <w:r>
        <w:t xml:space="preserve">0.3%</w:t>
      </w:r>
      <w:r>
        <w:t xml:space="preserve"> </w:t>
      </w:r>
      <w:r>
        <w:t xml:space="preserve">96.7%</w:t>
      </w:r>
      <w:r>
        <w:t xml:space="preserve"> </w:t>
      </w:r>
      <w:r>
        <w:t xml:space="preserve">280</w:t>
      </w:r>
      <w:r>
        <w:t xml:space="preserve"> </w:t>
      </w:r>
      <w:r>
        <w:t xml:space="preserve">12%</w:t>
      </w:r>
      <w:r>
        <w:t xml:space="preserve"> </w:t>
      </w:r>
      <w:r>
        <w:t xml:space="preserve">655</w:t>
      </w:r>
      <w:r>
        <w:t xml:space="preserve"> </w:t>
      </w:r>
      <w:r>
        <w:t xml:space="preserve">27%</w:t>
      </w:r>
      <w:r>
        <w:t xml:space="preserve"> </w:t>
      </w:r>
      <w:r>
        <w:t xml:space="preserve">17</w:t>
      </w:r>
      <w:r>
        <w:t xml:space="preserve"> </w:t>
      </w:r>
      <w:r>
        <w:t xml:space="preserve">0.2%</w:t>
      </w:r>
      <w:r>
        <w:t xml:space="preserve"> </w:t>
      </w:r>
      <w:r>
        <w:t xml:space="preserve">96.9%</w:t>
      </w:r>
      <w:r>
        <w:t xml:space="preserve"> </w:t>
      </w:r>
      <w:r>
        <w:t xml:space="preserve">235</w:t>
      </w:r>
      <w:r>
        <w:t xml:space="preserve"> </w:t>
      </w:r>
      <w:r>
        <w:t xml:space="preserve">9%</w:t>
      </w:r>
      <w:r>
        <w:t xml:space="preserve"> </w:t>
      </w:r>
      <w:r>
        <w:t xml:space="preserve">635</w:t>
      </w:r>
      <w:r>
        <w:t xml:space="preserve"> </w:t>
      </w:r>
      <w:r>
        <w:t xml:space="preserve">26%</w:t>
      </w:r>
      <w:r>
        <w:t xml:space="preserve"> </w:t>
      </w:r>
      <w:r>
        <w:t xml:space="preserve">18</w:t>
      </w:r>
      <w:r>
        <w:t xml:space="preserve"> </w:t>
      </w:r>
      <w:r>
        <w:t xml:space="preserve">0.2%</w:t>
      </w:r>
      <w:r>
        <w:t xml:space="preserve"> </w:t>
      </w:r>
      <w:r>
        <w:t xml:space="preserve">97.2%</w:t>
      </w:r>
      <w:r>
        <w:t xml:space="preserve"> </w:t>
      </w:r>
      <w:r>
        <w:t xml:space="preserve">190</w:t>
      </w:r>
      <w:r>
        <w:t xml:space="preserve"> </w:t>
      </w:r>
      <w:r>
        <w:t xml:space="preserve">7%</w:t>
      </w:r>
      <w:r>
        <w:t xml:space="preserve"> </w:t>
      </w:r>
      <w:r>
        <w:t xml:space="preserve">615</w:t>
      </w:r>
      <w:r>
        <w:t xml:space="preserve"> </w:t>
      </w:r>
      <w:r>
        <w:t xml:space="preserve">24%</w:t>
      </w:r>
      <w:r>
        <w:t xml:space="preserve"> </w:t>
      </w:r>
      <w:r>
        <w:t xml:space="preserve">19</w:t>
      </w:r>
      <w:r>
        <w:t xml:space="preserve"> </w:t>
      </w:r>
      <w:r>
        <w:t xml:space="preserve">0.2%</w:t>
      </w:r>
      <w:r>
        <w:t xml:space="preserve"> </w:t>
      </w:r>
      <w:r>
        <w:t xml:space="preserve">97.3%</w:t>
      </w:r>
      <w:r>
        <w:t xml:space="preserve"> </w:t>
      </w:r>
      <w:r>
        <w:t xml:space="preserve">145</w:t>
      </w:r>
      <w:r>
        <w:t xml:space="preserve"> </w:t>
      </w:r>
      <w:r>
        <w:t xml:space="preserve">5%</w:t>
      </w:r>
      <w:r>
        <w:t xml:space="preserve"> </w:t>
      </w:r>
      <w:r>
        <w:t xml:space="preserve">595</w:t>
      </w:r>
      <w:r>
        <w:t xml:space="preserve"> </w:t>
      </w:r>
      <w:r>
        <w:t xml:space="preserve">22%</w:t>
      </w:r>
      <w:r>
        <w:t xml:space="preserve"> </w:t>
      </w:r>
      <w:r>
        <w:t xml:space="preserve">20</w:t>
      </w:r>
      <w:r>
        <w:t xml:space="preserve"> </w:t>
      </w:r>
      <w:r>
        <w:t xml:space="preserve">0.2%</w:t>
      </w:r>
      <w:r>
        <w:t xml:space="preserve"> </w:t>
      </w:r>
      <w:r>
        <w:t xml:space="preserve">97.5%</w:t>
      </w:r>
      <w:r>
        <w:t xml:space="preserve"> </w:t>
      </w:r>
      <w:r>
        <w:t xml:space="preserve">100</w:t>
      </w:r>
      <w:r>
        <w:t xml:space="preserve"> </w:t>
      </w:r>
      <w:r>
        <w:t xml:space="preserve">4%</w:t>
      </w:r>
      <w:r>
        <w:t xml:space="preserve"> </w:t>
      </w:r>
      <w:r>
        <w:t xml:space="preserve">575</w:t>
      </w:r>
      <w:r>
        <w:t xml:space="preserve"> </w:t>
      </w:r>
      <w:r>
        <w:t xml:space="preserve">21%</w:t>
      </w:r>
      <w:r>
        <w:t xml:space="preserve"> </w:t>
      </w:r>
      <w:r>
        <w:t xml:space="preserve">21</w:t>
      </w:r>
      <w:r>
        <w:t xml:space="preserve"> </w:t>
      </w:r>
      <w:r>
        <w:t xml:space="preserve">0.1%</w:t>
      </w:r>
      <w:r>
        <w:t xml:space="preserve"> </w:t>
      </w:r>
      <w:r>
        <w:t xml:space="preserve">97.6%</w:t>
      </w:r>
      <w:r>
        <w:t xml:space="preserve"> </w:t>
      </w:r>
      <w:r>
        <w:t xml:space="preserve">55</w:t>
      </w:r>
      <w:r>
        <w:t xml:space="preserve"> </w:t>
      </w:r>
      <w:r>
        <w:t xml:space="preserve">2%</w:t>
      </w:r>
      <w:r>
        <w:t xml:space="preserve"> </w:t>
      </w:r>
      <w:r>
        <w:t xml:space="preserve">555</w:t>
      </w:r>
      <w:r>
        <w:t xml:space="preserve"> </w:t>
      </w:r>
      <w:r>
        <w:t xml:space="preserve">20%</w:t>
      </w:r>
      <w:r>
        <w:t xml:space="preserve"> </w:t>
      </w:r>
      <w:r>
        <w:t xml:space="preserve">22</w:t>
      </w:r>
      <w:r>
        <w:t xml:space="preserve"> </w:t>
      </w:r>
      <w:r>
        <w:t xml:space="preserve">0.1%</w:t>
      </w:r>
      <w:r>
        <w:t xml:space="preserve"> </w:t>
      </w:r>
      <w:r>
        <w:t xml:space="preserve">97.7%</w:t>
      </w:r>
      <w:r>
        <w:t xml:space="preserve"> </w:t>
      </w:r>
      <w:r>
        <w:t xml:space="preserve">10</w:t>
      </w:r>
      <w:r>
        <w:t xml:space="preserve"> </w:t>
      </w:r>
      <w:r>
        <w:t xml:space="preserve">0%</w:t>
      </w:r>
      <w:r>
        <w:t xml:space="preserve"> </w:t>
      </w:r>
      <w:r>
        <w:t xml:space="preserve">535</w:t>
      </w:r>
      <w:r>
        <w:t xml:space="preserve"> </w:t>
      </w:r>
      <w:r>
        <w:t xml:space="preserve">19%</w:t>
      </w:r>
      <w:r>
        <w:t xml:space="preserve"> </w:t>
      </w:r>
      <w:r>
        <w:t xml:space="preserve">23</w:t>
      </w:r>
      <w:r>
        <w:t xml:space="preserve"> </w:t>
      </w:r>
      <w:r>
        <w:t xml:space="preserve">0.1%</w:t>
      </w:r>
      <w:r>
        <w:t xml:space="preserve"> </w:t>
      </w:r>
      <w:r>
        <w:t xml:space="preserve">97.9%</w:t>
      </w:r>
      <w:r>
        <w:t xml:space="preserve"> </w:t>
      </w:r>
      <w:r>
        <w:t xml:space="preserve">-35</w:t>
      </w:r>
      <w:r>
        <w:t xml:space="preserve"> </w:t>
      </w:r>
      <w:r>
        <w:t xml:space="preserve">-1%</w:t>
      </w:r>
      <w:r>
        <w:t xml:space="preserve"> </w:t>
      </w:r>
      <w:r>
        <w:t xml:space="preserve">515</w:t>
      </w:r>
      <w:r>
        <w:t xml:space="preserve"> </w:t>
      </w:r>
      <w:r>
        <w:t xml:space="preserve">17%</w:t>
      </w:r>
      <w:r>
        <w:t xml:space="preserve"> </w:t>
      </w:r>
      <w:r>
        <w:t xml:space="preserve">24</w:t>
      </w:r>
      <w:r>
        <w:t xml:space="preserve"> </w:t>
      </w:r>
      <w:r>
        <w:t xml:space="preserve">0.1%</w:t>
      </w:r>
      <w:r>
        <w:t xml:space="preserve"> </w:t>
      </w:r>
      <w:r>
        <w:t xml:space="preserve">98.0%</w:t>
      </w:r>
      <w:r>
        <w:t xml:space="preserve"> </w:t>
      </w:r>
      <w:r>
        <w:t xml:space="preserve">-80</w:t>
      </w:r>
      <w:r>
        <w:t xml:space="preserve"> </w:t>
      </w:r>
      <w:r>
        <w:t xml:space="preserve">-3%</w:t>
      </w:r>
      <w:r>
        <w:t xml:space="preserve"> </w:t>
      </w:r>
      <w:r>
        <w:t xml:space="preserve">495</w:t>
      </w:r>
      <w:r>
        <w:t xml:space="preserve"> </w:t>
      </w:r>
      <w:r>
        <w:t xml:space="preserve">16%</w:t>
      </w:r>
      <w:r>
        <w:t xml:space="preserve"> </w:t>
      </w:r>
      <w:r>
        <w:t xml:space="preserve">25</w:t>
      </w:r>
      <w:r>
        <w:t xml:space="preserve"> </w:t>
      </w:r>
      <w:r>
        <w:t xml:space="preserve">0.1%</w:t>
      </w:r>
      <w:r>
        <w:t xml:space="preserve"> </w:t>
      </w:r>
      <w:r>
        <w:t xml:space="preserve">98.1%</w:t>
      </w:r>
      <w:r>
        <w:t xml:space="preserve"> </w:t>
      </w:r>
      <w:r>
        <w:t xml:space="preserve">-125</w:t>
      </w:r>
      <w:r>
        <w:t xml:space="preserve"> </w:t>
      </w:r>
      <w:r>
        <w:t xml:space="preserve">-4%</w:t>
      </w:r>
      <w:r>
        <w:t xml:space="preserve"> </w:t>
      </w:r>
      <w:r>
        <w:t xml:space="preserve">475</w:t>
      </w:r>
      <w:r>
        <w:t xml:space="preserve"> </w:t>
      </w:r>
      <w:r>
        <w:t xml:space="preserve">15%</w:t>
      </w:r>
      <w:r>
        <w:t xml:space="preserve"> </w:t>
      </w:r>
      <w:r>
        <w:t xml:space="preserve">26</w:t>
      </w:r>
      <w:r>
        <w:t xml:space="preserve"> </w:t>
      </w:r>
      <w:r>
        <w:t xml:space="preserve">0.1%</w:t>
      </w:r>
      <w:r>
        <w:t xml:space="preserve"> </w:t>
      </w:r>
      <w:r>
        <w:t xml:space="preserve">98.2%</w:t>
      </w:r>
      <w:r>
        <w:t xml:space="preserve"> </w:t>
      </w:r>
      <w:r>
        <w:t xml:space="preserve">-170</w:t>
      </w:r>
      <w:r>
        <w:t xml:space="preserve"> </w:t>
      </w:r>
      <w:r>
        <w:t xml:space="preserve">-5%</w:t>
      </w:r>
      <w:r>
        <w:t xml:space="preserve"> </w:t>
      </w:r>
      <w:r>
        <w:t xml:space="preserve">455</w:t>
      </w:r>
      <w:r>
        <w:t xml:space="preserve"> </w:t>
      </w:r>
      <w:r>
        <w:t xml:space="preserve">14%</w:t>
      </w:r>
      <w:r>
        <w:t xml:space="preserve"> </w:t>
      </w:r>
      <w:r>
        <w:t xml:space="preserve">27</w:t>
      </w:r>
      <w:r>
        <w:t xml:space="preserve"> </w:t>
      </w:r>
      <w:r>
        <w:t xml:space="preserve">0.1%</w:t>
      </w:r>
      <w:r>
        <w:t xml:space="preserve"> </w:t>
      </w:r>
      <w:r>
        <w:t xml:space="preserve">98.2%</w:t>
      </w:r>
      <w:r>
        <w:t xml:space="preserve"> </w:t>
      </w:r>
      <w:r>
        <w:t xml:space="preserve">-215</w:t>
      </w:r>
      <w:r>
        <w:t xml:space="preserve"> </w:t>
      </w:r>
      <w:r>
        <w:t xml:space="preserve">-7%</w:t>
      </w:r>
      <w:r>
        <w:t xml:space="preserve"> </w:t>
      </w:r>
      <w:r>
        <w:t xml:space="preserve">435</w:t>
      </w:r>
      <w:r>
        <w:t xml:space="preserve"> </w:t>
      </w:r>
      <w:r>
        <w:t xml:space="preserve">13%</w:t>
      </w:r>
      <w:r>
        <w:t xml:space="preserve"> </w:t>
      </w:r>
      <w:r>
        <w:t xml:space="preserve">28</w:t>
      </w:r>
      <w:r>
        <w:t xml:space="preserve"> </w:t>
      </w:r>
      <w:r>
        <w:t xml:space="preserve">0.1%</w:t>
      </w:r>
      <w:r>
        <w:t xml:space="preserve"> </w:t>
      </w:r>
      <w:r>
        <w:t xml:space="preserve">98.3%</w:t>
      </w:r>
      <w:r>
        <w:t xml:space="preserve"> </w:t>
      </w:r>
      <w:r>
        <w:t xml:space="preserve">-260</w:t>
      </w:r>
      <w:r>
        <w:t xml:space="preserve"> </w:t>
      </w:r>
      <w:r>
        <w:t xml:space="preserve">-8%</w:t>
      </w:r>
      <w:r>
        <w:t xml:space="preserve"> </w:t>
      </w:r>
      <w:r>
        <w:t xml:space="preserve">415</w:t>
      </w:r>
      <w:r>
        <w:t xml:space="preserve"> </w:t>
      </w:r>
      <w:r>
        <w:t xml:space="preserve">12%</w:t>
      </w:r>
      <w:r>
        <w:t xml:space="preserve"> </w:t>
      </w:r>
      <w:r>
        <w:t xml:space="preserve">29</w:t>
      </w:r>
      <w:r>
        <w:t xml:space="preserve"> </w:t>
      </w:r>
      <w:r>
        <w:t xml:space="preserve">0.1%</w:t>
      </w:r>
      <w:r>
        <w:t xml:space="preserve"> </w:t>
      </w:r>
      <w:r>
        <w:t xml:space="preserve">98.4%</w:t>
      </w:r>
      <w:r>
        <w:t xml:space="preserve"> </w:t>
      </w:r>
      <w:r>
        <w:t xml:space="preserve">-305</w:t>
      </w:r>
      <w:r>
        <w:t xml:space="preserve"> </w:t>
      </w:r>
      <w:r>
        <w:t xml:space="preserve">-9%</w:t>
      </w:r>
      <w:r>
        <w:t xml:space="preserve"> </w:t>
      </w:r>
      <w:r>
        <w:t xml:space="preserve">395</w:t>
      </w:r>
      <w:r>
        <w:t xml:space="preserve"> </w:t>
      </w:r>
      <w:r>
        <w:t xml:space="preserve">11%</w:t>
      </w:r>
      <w:r>
        <w:t xml:space="preserve"> </w:t>
      </w:r>
      <w:r>
        <w:t xml:space="preserve">30</w:t>
      </w:r>
      <w:r>
        <w:t xml:space="preserve"> </w:t>
      </w:r>
      <w:r>
        <w:t xml:space="preserve">0.1%</w:t>
      </w:r>
      <w:r>
        <w:t xml:space="preserve"> </w:t>
      </w:r>
      <w:r>
        <w:t xml:space="preserve">98.5%</w:t>
      </w:r>
      <w:r>
        <w:t xml:space="preserve"> </w:t>
      </w:r>
      <w:r>
        <w:t xml:space="preserve">-350</w:t>
      </w:r>
      <w:r>
        <w:t xml:space="preserve"> </w:t>
      </w:r>
      <w:r>
        <w:t xml:space="preserve">-10%</w:t>
      </w:r>
      <w:r>
        <w:t xml:space="preserve"> </w:t>
      </w:r>
      <w:r>
        <w:t xml:space="preserve">375</w:t>
      </w:r>
      <w:r>
        <w:t xml:space="preserve"> </w:t>
      </w:r>
      <w:r>
        <w:t xml:space="preserve">11%</w:t>
      </w:r>
    </w:p>
    <w:p>
      <w:pPr>
        <w:pStyle w:val="BodyText"/>
      </w:pPr>
      <w:r>
        <w:t xml:space="preserve">95</w:t>
      </w:r>
    </w:p>
    <w:p>
      <w:pPr>
        <w:pStyle w:val="BodyText"/>
      </w:pPr>
      <w:r>
        <w:t xml:space="preserve">No. of</w:t>
      </w:r>
      <w:r>
        <w:t xml:space="preserve"> </w:t>
      </w:r>
      <w:r>
        <w:t xml:space="preserve">designs per</w:t>
      </w:r>
      <w:r>
        <w:t xml:space="preserve"> </w:t>
      </w:r>
      <w:r>
        <w:t xml:space="preserve">application</w:t>
      </w:r>
      <w:r>
        <w:t xml:space="preserve"> </w:t>
      </w:r>
      <w:r>
        <w:t xml:space="preserve">% of</w:t>
      </w:r>
      <w:r>
        <w:t xml:space="preserve"> </w:t>
      </w:r>
      <w:r>
        <w:t xml:space="preserve">applications</w:t>
      </w:r>
      <w:r>
        <w:br/>
      </w:r>
      <w:r>
        <w:t xml:space="preserve">(2019-2020)</w:t>
      </w:r>
      <w:r>
        <w:t xml:space="preserve"> </w:t>
      </w:r>
      <w:r>
        <w:t xml:space="preserve">Cumulative</w:t>
      </w:r>
      <w:r>
        <w:t xml:space="preserve"> </w:t>
      </w:r>
      <w:r>
        <w:t xml:space="preserve">%</w:t>
      </w:r>
      <w:r>
        <w:t xml:space="preserve"> </w:t>
      </w:r>
      <w:r>
        <w:t xml:space="preserve">Option 3.1 savings</w:t>
      </w:r>
      <w:r>
        <w:t xml:space="preserve"> </w:t>
      </w:r>
      <w:r>
        <w:t xml:space="preserve">Option 3.2 savings</w:t>
      </w:r>
      <w:r>
        <w:t xml:space="preserve"> </w:t>
      </w:r>
      <w:r>
        <w:t xml:space="preserve">EUR</w:t>
      </w:r>
      <w:r>
        <w:t xml:space="preserve"> </w:t>
      </w:r>
      <w:r>
        <w:t xml:space="preserve">% from</w:t>
      </w:r>
      <w:r>
        <w:t xml:space="preserve"> </w:t>
      </w:r>
      <w:r>
        <w:t xml:space="preserve">current</w:t>
      </w:r>
      <w:r>
        <w:t xml:space="preserve"> </w:t>
      </w:r>
      <w:r>
        <w:t xml:space="preserve">EUR</w:t>
      </w:r>
      <w:r>
        <w:t xml:space="preserve"> </w:t>
      </w:r>
      <w:r>
        <w:t xml:space="preserve">% from</w:t>
      </w:r>
      <w:r>
        <w:t xml:space="preserve"> </w:t>
      </w:r>
      <w:r>
        <w:t xml:space="preserve">current</w:t>
      </w:r>
      <w:r>
        <w:t xml:space="preserve"> </w:t>
      </w:r>
      <w:r>
        <w:t xml:space="preserve">31</w:t>
      </w:r>
      <w:r>
        <w:t xml:space="preserve"> </w:t>
      </w:r>
      <w:r>
        <w:t xml:space="preserve">0.1%</w:t>
      </w:r>
      <w:r>
        <w:t xml:space="preserve"> </w:t>
      </w:r>
      <w:r>
        <w:t xml:space="preserve">98.5%</w:t>
      </w:r>
      <w:r>
        <w:t xml:space="preserve"> </w:t>
      </w:r>
      <w:r>
        <w:t xml:space="preserve">-395</w:t>
      </w:r>
      <w:r>
        <w:t xml:space="preserve"> </w:t>
      </w:r>
      <w:r>
        <w:t xml:space="preserve">-11%</w:t>
      </w:r>
      <w:r>
        <w:t xml:space="preserve"> </w:t>
      </w:r>
      <w:r>
        <w:t xml:space="preserve">355</w:t>
      </w:r>
      <w:r>
        <w:t xml:space="preserve"> </w:t>
      </w:r>
      <w:r>
        <w:t xml:space="preserve">10%</w:t>
      </w:r>
      <w:r>
        <w:t xml:space="preserve"> </w:t>
      </w:r>
      <w:r>
        <w:t xml:space="preserve">32</w:t>
      </w:r>
      <w:r>
        <w:t xml:space="preserve"> </w:t>
      </w:r>
      <w:r>
        <w:t xml:space="preserve">0.1%</w:t>
      </w:r>
      <w:r>
        <w:t xml:space="preserve"> </w:t>
      </w:r>
      <w:r>
        <w:t xml:space="preserve">98.6%</w:t>
      </w:r>
      <w:r>
        <w:t xml:space="preserve"> </w:t>
      </w:r>
      <w:r>
        <w:t xml:space="preserve">-440</w:t>
      </w:r>
      <w:r>
        <w:t xml:space="preserve"> </w:t>
      </w:r>
      <w:r>
        <w:t xml:space="preserve">-12%</w:t>
      </w:r>
      <w:r>
        <w:t xml:space="preserve"> </w:t>
      </w:r>
      <w:r>
        <w:t xml:space="preserve">335</w:t>
      </w:r>
      <w:r>
        <w:t xml:space="preserve"> </w:t>
      </w:r>
      <w:r>
        <w:t xml:space="preserve">9%</w:t>
      </w:r>
      <w:r>
        <w:t xml:space="preserve"> </w:t>
      </w:r>
      <w:r>
        <w:t xml:space="preserve">33</w:t>
      </w:r>
      <w:r>
        <w:t xml:space="preserve"> </w:t>
      </w:r>
      <w:r>
        <w:t xml:space="preserve">0.0%</w:t>
      </w:r>
      <w:r>
        <w:t xml:space="preserve"> </w:t>
      </w:r>
      <w:r>
        <w:t xml:space="preserve">98.6%</w:t>
      </w:r>
      <w:r>
        <w:t xml:space="preserve"> </w:t>
      </w:r>
      <w:r>
        <w:t xml:space="preserve">-485</w:t>
      </w:r>
      <w:r>
        <w:t xml:space="preserve"> </w:t>
      </w:r>
      <w:r>
        <w:t xml:space="preserve">-13%</w:t>
      </w:r>
      <w:r>
        <w:t xml:space="preserve"> </w:t>
      </w:r>
      <w:r>
        <w:t xml:space="preserve">315</w:t>
      </w:r>
      <w:r>
        <w:t xml:space="preserve"> </w:t>
      </w:r>
      <w:r>
        <w:t xml:space="preserve">8%</w:t>
      </w:r>
      <w:r>
        <w:t xml:space="preserve"> </w:t>
      </w:r>
      <w:r>
        <w:t xml:space="preserve">34</w:t>
      </w:r>
      <w:r>
        <w:t xml:space="preserve"> </w:t>
      </w:r>
      <w:r>
        <w:t xml:space="preserve">0.1%</w:t>
      </w:r>
      <w:r>
        <w:t xml:space="preserve"> </w:t>
      </w:r>
      <w:r>
        <w:t xml:space="preserve">98.6%</w:t>
      </w:r>
      <w:r>
        <w:t xml:space="preserve"> </w:t>
      </w:r>
      <w:r>
        <w:t xml:space="preserve">-530</w:t>
      </w:r>
      <w:r>
        <w:t xml:space="preserve"> </w:t>
      </w:r>
      <w:r>
        <w:t xml:space="preserve">-14%</w:t>
      </w:r>
      <w:r>
        <w:t xml:space="preserve"> </w:t>
      </w:r>
      <w:r>
        <w:t xml:space="preserve">295</w:t>
      </w:r>
      <w:r>
        <w:t xml:space="preserve"> </w:t>
      </w:r>
      <w:r>
        <w:t xml:space="preserve">8%</w:t>
      </w:r>
      <w:r>
        <w:t xml:space="preserve"> </w:t>
      </w:r>
      <w:r>
        <w:t xml:space="preserve">35</w:t>
      </w:r>
      <w:r>
        <w:t xml:space="preserve"> </w:t>
      </w:r>
      <w:r>
        <w:t xml:space="preserve">0.0%</w:t>
      </w:r>
      <w:r>
        <w:t xml:space="preserve"> </w:t>
      </w:r>
      <w:r>
        <w:t xml:space="preserve">98.7%</w:t>
      </w:r>
      <w:r>
        <w:t xml:space="preserve"> </w:t>
      </w:r>
      <w:r>
        <w:t xml:space="preserve">-575</w:t>
      </w:r>
      <w:r>
        <w:t xml:space="preserve"> </w:t>
      </w:r>
      <w:r>
        <w:t xml:space="preserve">-15%</w:t>
      </w:r>
      <w:r>
        <w:t xml:space="preserve"> </w:t>
      </w:r>
      <w:r>
        <w:t xml:space="preserve">275</w:t>
      </w:r>
      <w:r>
        <w:t xml:space="preserve"> </w:t>
      </w:r>
      <w:r>
        <w:t xml:space="preserve">7%</w:t>
      </w:r>
      <w:r>
        <w:t xml:space="preserve"> </w:t>
      </w:r>
      <w:r>
        <w:t xml:space="preserve">36</w:t>
      </w:r>
      <w:r>
        <w:t xml:space="preserve"> </w:t>
      </w:r>
      <w:r>
        <w:t xml:space="preserve">0.0%</w:t>
      </w:r>
      <w:r>
        <w:t xml:space="preserve"> </w:t>
      </w:r>
      <w:r>
        <w:t xml:space="preserve">98.7%</w:t>
      </w:r>
      <w:r>
        <w:t xml:space="preserve"> </w:t>
      </w:r>
      <w:r>
        <w:t xml:space="preserve">-620</w:t>
      </w:r>
      <w:r>
        <w:t xml:space="preserve"> </w:t>
      </w:r>
      <w:r>
        <w:t xml:space="preserve">-15%</w:t>
      </w:r>
      <w:r>
        <w:t xml:space="preserve"> </w:t>
      </w:r>
      <w:r>
        <w:t xml:space="preserve">255</w:t>
      </w:r>
      <w:r>
        <w:t xml:space="preserve"> </w:t>
      </w:r>
      <w:r>
        <w:t xml:space="preserve">6%</w:t>
      </w:r>
      <w:r>
        <w:t xml:space="preserve"> </w:t>
      </w:r>
      <w:r>
        <w:t xml:space="preserve">37</w:t>
      </w:r>
      <w:r>
        <w:t xml:space="preserve"> </w:t>
      </w:r>
      <w:r>
        <w:t xml:space="preserve">0.0%</w:t>
      </w:r>
      <w:r>
        <w:t xml:space="preserve"> </w:t>
      </w:r>
      <w:r>
        <w:t xml:space="preserve">98.8%</w:t>
      </w:r>
      <w:r>
        <w:t xml:space="preserve"> </w:t>
      </w:r>
      <w:r>
        <w:t xml:space="preserve">-665</w:t>
      </w:r>
      <w:r>
        <w:t xml:space="preserve"> </w:t>
      </w:r>
      <w:r>
        <w:t xml:space="preserve">-16%</w:t>
      </w:r>
      <w:r>
        <w:t xml:space="preserve"> </w:t>
      </w:r>
      <w:r>
        <w:t xml:space="preserve">235</w:t>
      </w:r>
      <w:r>
        <w:t xml:space="preserve"> </w:t>
      </w:r>
      <w:r>
        <w:t xml:space="preserve">6%</w:t>
      </w:r>
      <w:r>
        <w:t xml:space="preserve"> </w:t>
      </w:r>
      <w:r>
        <w:t xml:space="preserve">38</w:t>
      </w:r>
      <w:r>
        <w:t xml:space="preserve"> </w:t>
      </w:r>
      <w:r>
        <w:t xml:space="preserve">0.0%</w:t>
      </w:r>
      <w:r>
        <w:t xml:space="preserve"> </w:t>
      </w:r>
      <w:r>
        <w:t xml:space="preserve">98.8%</w:t>
      </w:r>
      <w:r>
        <w:t xml:space="preserve"> </w:t>
      </w:r>
      <w:r>
        <w:t xml:space="preserve">-710</w:t>
      </w:r>
      <w:r>
        <w:t xml:space="preserve"> </w:t>
      </w:r>
      <w:r>
        <w:t xml:space="preserve">-17%</w:t>
      </w:r>
      <w:r>
        <w:t xml:space="preserve"> </w:t>
      </w:r>
      <w:r>
        <w:t xml:space="preserve">215</w:t>
      </w:r>
      <w:r>
        <w:t xml:space="preserve"> </w:t>
      </w:r>
      <w:r>
        <w:t xml:space="preserve">5%</w:t>
      </w:r>
      <w:r>
        <w:t xml:space="preserve"> </w:t>
      </w:r>
      <w:r>
        <w:t xml:space="preserve">39</w:t>
      </w:r>
      <w:r>
        <w:t xml:space="preserve"> </w:t>
      </w:r>
      <w:r>
        <w:t xml:space="preserve">0.0%</w:t>
      </w:r>
      <w:r>
        <w:t xml:space="preserve"> </w:t>
      </w:r>
      <w:r>
        <w:t xml:space="preserve">98.8%</w:t>
      </w:r>
      <w:r>
        <w:t xml:space="preserve"> </w:t>
      </w:r>
      <w:r>
        <w:t xml:space="preserve">-755</w:t>
      </w:r>
      <w:r>
        <w:t xml:space="preserve"> </w:t>
      </w:r>
      <w:r>
        <w:t xml:space="preserve">-18%</w:t>
      </w:r>
      <w:r>
        <w:t xml:space="preserve"> </w:t>
      </w:r>
      <w:r>
        <w:t xml:space="preserve">195</w:t>
      </w:r>
      <w:r>
        <w:t xml:space="preserve"> </w:t>
      </w:r>
      <w:r>
        <w:t xml:space="preserve">5%</w:t>
      </w:r>
      <w:r>
        <w:t xml:space="preserve"> </w:t>
      </w:r>
      <w:r>
        <w:t xml:space="preserve">40</w:t>
      </w:r>
      <w:r>
        <w:t xml:space="preserve"> </w:t>
      </w:r>
      <w:r>
        <w:t xml:space="preserve">0.0%</w:t>
      </w:r>
      <w:r>
        <w:t xml:space="preserve"> </w:t>
      </w:r>
      <w:r>
        <w:t xml:space="preserve">98.9%</w:t>
      </w:r>
      <w:r>
        <w:t xml:space="preserve"> </w:t>
      </w:r>
      <w:r>
        <w:t xml:space="preserve">-800</w:t>
      </w:r>
      <w:r>
        <w:t xml:space="preserve"> </w:t>
      </w:r>
      <w:r>
        <w:t xml:space="preserve">-18%</w:t>
      </w:r>
      <w:r>
        <w:t xml:space="preserve"> </w:t>
      </w:r>
      <w:r>
        <w:t xml:space="preserve">175</w:t>
      </w:r>
      <w:r>
        <w:t xml:space="preserve"> </w:t>
      </w:r>
      <w:r>
        <w:t xml:space="preserve">4%</w:t>
      </w:r>
      <w:r>
        <w:t xml:space="preserve"> </w:t>
      </w:r>
      <w:r>
        <w:t xml:space="preserve">41</w:t>
      </w:r>
      <w:r>
        <w:t xml:space="preserve"> </w:t>
      </w:r>
      <w:r>
        <w:t xml:space="preserve">0.0%</w:t>
      </w:r>
      <w:r>
        <w:t xml:space="preserve"> </w:t>
      </w:r>
      <w:r>
        <w:t xml:space="preserve">98.9%</w:t>
      </w:r>
      <w:r>
        <w:t xml:space="preserve"> </w:t>
      </w:r>
      <w:r>
        <w:t xml:space="preserve">-845</w:t>
      </w:r>
      <w:r>
        <w:t xml:space="preserve"> </w:t>
      </w:r>
      <w:r>
        <w:t xml:space="preserve">-19%</w:t>
      </w:r>
      <w:r>
        <w:t xml:space="preserve"> </w:t>
      </w:r>
      <w:r>
        <w:t xml:space="preserve">155</w:t>
      </w:r>
      <w:r>
        <w:t xml:space="preserve"> </w:t>
      </w:r>
      <w:r>
        <w:t xml:space="preserve">4%</w:t>
      </w:r>
      <w:r>
        <w:t xml:space="preserve"> </w:t>
      </w:r>
      <w:r>
        <w:t xml:space="preserve">42</w:t>
      </w:r>
      <w:r>
        <w:t xml:space="preserve"> </w:t>
      </w:r>
      <w:r>
        <w:t xml:space="preserve">0.0%</w:t>
      </w:r>
      <w:r>
        <w:t xml:space="preserve"> </w:t>
      </w:r>
      <w:r>
        <w:t xml:space="preserve">98.9%</w:t>
      </w:r>
      <w:r>
        <w:t xml:space="preserve"> </w:t>
      </w:r>
      <w:r>
        <w:t xml:space="preserve">-890</w:t>
      </w:r>
      <w:r>
        <w:t xml:space="preserve"> </w:t>
      </w:r>
      <w:r>
        <w:t xml:space="preserve">-20%</w:t>
      </w:r>
      <w:r>
        <w:t xml:space="preserve"> </w:t>
      </w:r>
      <w:r>
        <w:t xml:space="preserve">135</w:t>
      </w:r>
      <w:r>
        <w:t xml:space="preserve"> </w:t>
      </w:r>
      <w:r>
        <w:t xml:space="preserve">3%</w:t>
      </w:r>
      <w:r>
        <w:t xml:space="preserve"> </w:t>
      </w:r>
      <w:r>
        <w:t xml:space="preserve">43</w:t>
      </w:r>
      <w:r>
        <w:t xml:space="preserve"> </w:t>
      </w:r>
      <w:r>
        <w:t xml:space="preserve">0.0%</w:t>
      </w:r>
      <w:r>
        <w:t xml:space="preserve"> </w:t>
      </w:r>
      <w:r>
        <w:t xml:space="preserve">98.9%</w:t>
      </w:r>
      <w:r>
        <w:t xml:space="preserve"> </w:t>
      </w:r>
      <w:r>
        <w:t xml:space="preserve">-935</w:t>
      </w:r>
      <w:r>
        <w:t xml:space="preserve"> </w:t>
      </w:r>
      <w:r>
        <w:t xml:space="preserve">-20%</w:t>
      </w:r>
      <w:r>
        <w:t xml:space="preserve"> </w:t>
      </w:r>
      <w:r>
        <w:t xml:space="preserve">115</w:t>
      </w:r>
      <w:r>
        <w:t xml:space="preserve"> </w:t>
      </w:r>
      <w:r>
        <w:t xml:space="preserve">3%</w:t>
      </w:r>
      <w:r>
        <w:t xml:space="preserve"> </w:t>
      </w:r>
      <w:r>
        <w:t xml:space="preserve">44</w:t>
      </w:r>
      <w:r>
        <w:t xml:space="preserve"> </w:t>
      </w:r>
      <w:r>
        <w:t xml:space="preserve">0.0%</w:t>
      </w:r>
      <w:r>
        <w:t xml:space="preserve"> </w:t>
      </w:r>
      <w:r>
        <w:t xml:space="preserve">99.0%</w:t>
      </w:r>
      <w:r>
        <w:t xml:space="preserve"> </w:t>
      </w:r>
      <w:r>
        <w:t xml:space="preserve">-980</w:t>
      </w:r>
      <w:r>
        <w:t xml:space="preserve"> </w:t>
      </w:r>
      <w:r>
        <w:t xml:space="preserve">-21%</w:t>
      </w:r>
      <w:r>
        <w:t xml:space="preserve"> </w:t>
      </w:r>
      <w:r>
        <w:t xml:space="preserve">95</w:t>
      </w:r>
      <w:r>
        <w:t xml:space="preserve"> </w:t>
      </w:r>
      <w:r>
        <w:t xml:space="preserve">2%</w:t>
      </w:r>
      <w:r>
        <w:t xml:space="preserve"> </w:t>
      </w:r>
      <w:r>
        <w:t xml:space="preserve">45</w:t>
      </w:r>
      <w:r>
        <w:t xml:space="preserve"> </w:t>
      </w:r>
      <w:r>
        <w:t xml:space="preserve">0.0%</w:t>
      </w:r>
      <w:r>
        <w:t xml:space="preserve"> </w:t>
      </w:r>
      <w:r>
        <w:t xml:space="preserve">99.0%</w:t>
      </w:r>
      <w:r>
        <w:t xml:space="preserve"> </w:t>
      </w:r>
      <w:r>
        <w:t xml:space="preserve">-1025</w:t>
      </w:r>
      <w:r>
        <w:t xml:space="preserve"> </w:t>
      </w:r>
      <w:r>
        <w:t xml:space="preserve">-22%</w:t>
      </w:r>
      <w:r>
        <w:t xml:space="preserve"> </w:t>
      </w:r>
      <w:r>
        <w:t xml:space="preserve">75</w:t>
      </w:r>
      <w:r>
        <w:t xml:space="preserve"> </w:t>
      </w:r>
      <w:r>
        <w:t xml:space="preserve">2%</w:t>
      </w:r>
      <w:r>
        <w:t xml:space="preserve"> </w:t>
      </w:r>
      <w:r>
        <w:t xml:space="preserve">46</w:t>
      </w:r>
      <w:r>
        <w:t xml:space="preserve"> </w:t>
      </w:r>
      <w:r>
        <w:t xml:space="preserve">0.0%</w:t>
      </w:r>
      <w:r>
        <w:t xml:space="preserve"> </w:t>
      </w:r>
      <w:r>
        <w:t xml:space="preserve">99.0%</w:t>
      </w:r>
      <w:r>
        <w:t xml:space="preserve"> </w:t>
      </w:r>
      <w:r>
        <w:t xml:space="preserve">-1070</w:t>
      </w:r>
      <w:r>
        <w:t xml:space="preserve"> </w:t>
      </w:r>
      <w:r>
        <w:t xml:space="preserve">-22%</w:t>
      </w:r>
      <w:r>
        <w:t xml:space="preserve"> </w:t>
      </w:r>
      <w:r>
        <w:t xml:space="preserve">55</w:t>
      </w:r>
      <w:r>
        <w:t xml:space="preserve"> </w:t>
      </w:r>
      <w:r>
        <w:t xml:space="preserve">1%</w:t>
      </w:r>
      <w:r>
        <w:t xml:space="preserve"> </w:t>
      </w:r>
      <w:r>
        <w:t xml:space="preserve">47</w:t>
      </w:r>
      <w:r>
        <w:t xml:space="preserve"> </w:t>
      </w:r>
      <w:r>
        <w:t xml:space="preserve">0.0%</w:t>
      </w:r>
      <w:r>
        <w:t xml:space="preserve"> </w:t>
      </w:r>
      <w:r>
        <w:t xml:space="preserve">99.0%</w:t>
      </w:r>
      <w:r>
        <w:t xml:space="preserve"> </w:t>
      </w:r>
      <w:r>
        <w:t xml:space="preserve">-1115</w:t>
      </w:r>
      <w:r>
        <w:t xml:space="preserve"> </w:t>
      </w:r>
      <w:r>
        <w:t xml:space="preserve">-23%</w:t>
      </w:r>
      <w:r>
        <w:t xml:space="preserve"> </w:t>
      </w:r>
      <w:r>
        <w:t xml:space="preserve">35</w:t>
      </w:r>
      <w:r>
        <w:t xml:space="preserve"> </w:t>
      </w:r>
      <w:r>
        <w:t xml:space="preserve">1%</w:t>
      </w:r>
      <w:r>
        <w:t xml:space="preserve"> </w:t>
      </w:r>
      <w:r>
        <w:t xml:space="preserve">48</w:t>
      </w:r>
      <w:r>
        <w:t xml:space="preserve"> </w:t>
      </w:r>
      <w:r>
        <w:t xml:space="preserve">0.0%</w:t>
      </w:r>
      <w:r>
        <w:t xml:space="preserve"> </w:t>
      </w:r>
      <w:r>
        <w:t xml:space="preserve">99.0%</w:t>
      </w:r>
      <w:r>
        <w:t xml:space="preserve"> </w:t>
      </w:r>
      <w:r>
        <w:t xml:space="preserve">-1160</w:t>
      </w:r>
      <w:r>
        <w:t xml:space="preserve"> </w:t>
      </w:r>
      <w:r>
        <w:t xml:space="preserve">-23%</w:t>
      </w:r>
      <w:r>
        <w:t xml:space="preserve"> </w:t>
      </w:r>
      <w:r>
        <w:t xml:space="preserve">15</w:t>
      </w:r>
      <w:r>
        <w:t xml:space="preserve"> </w:t>
      </w:r>
      <w:r>
        <w:t xml:space="preserve">0.3%</w:t>
      </w:r>
      <w:r>
        <w:t xml:space="preserve"> </w:t>
      </w:r>
      <w:r>
        <w:t xml:space="preserve">49</w:t>
      </w:r>
      <w:r>
        <w:t xml:space="preserve"> </w:t>
      </w:r>
      <w:r>
        <w:t xml:space="preserve">0.0%</w:t>
      </w:r>
      <w:r>
        <w:t xml:space="preserve"> </w:t>
      </w:r>
      <w:r>
        <w:t xml:space="preserve">99.1%</w:t>
      </w:r>
      <w:r>
        <w:t xml:space="preserve"> </w:t>
      </w:r>
      <w:r>
        <w:t xml:space="preserve">-1205</w:t>
      </w:r>
      <w:r>
        <w:t xml:space="preserve"> </w:t>
      </w:r>
      <w:r>
        <w:t xml:space="preserve">-24%</w:t>
      </w:r>
      <w:r>
        <w:t xml:space="preserve"> </w:t>
      </w:r>
      <w:r>
        <w:t xml:space="preserve">-5</w:t>
      </w:r>
      <w:r>
        <w:t xml:space="preserve"> </w:t>
      </w:r>
      <w:r>
        <w:t xml:space="preserve">-0.1%</w:t>
      </w:r>
      <w:r>
        <w:t xml:space="preserve"> </w:t>
      </w:r>
      <w:r>
        <w:t xml:space="preserve">50</w:t>
      </w:r>
      <w:r>
        <w:t xml:space="preserve"> </w:t>
      </w:r>
      <w:r>
        <w:t xml:space="preserve">0.9%</w:t>
      </w:r>
      <w:r>
        <w:t xml:space="preserve"> </w:t>
      </w:r>
      <w:r>
        <w:t xml:space="preserve">100.0%</w:t>
      </w:r>
      <w:r>
        <w:t xml:space="preserve"> </w:t>
      </w:r>
      <w:r>
        <w:t xml:space="preserve">-1250</w:t>
      </w:r>
      <w:r>
        <w:t xml:space="preserve"> </w:t>
      </w:r>
      <w:r>
        <w:t xml:space="preserve">-24%</w:t>
      </w:r>
      <w:r>
        <w:t xml:space="preserve"> </w:t>
      </w:r>
      <w:r>
        <w:t xml:space="preserve">-25</w:t>
      </w:r>
      <w:r>
        <w:t xml:space="preserve"> </w:t>
      </w:r>
      <w:r>
        <w:t xml:space="preserve">-0.5%</w:t>
      </w:r>
      <w:r>
        <w:t xml:space="preserve"> </w:t>
      </w:r>
      <w:r>
        <w:t xml:space="preserve">Weighted average savings</w:t>
      </w:r>
      <w:r>
        <w:t xml:space="preserve"> </w:t>
      </w:r>
      <w:r>
        <w:t xml:space="preserve">142</w:t>
      </w:r>
      <w:r>
        <w:t xml:space="preserve"> </w:t>
      </w:r>
      <w:r>
        <w:t xml:space="preserve">20%</w:t>
      </w:r>
      <w:r>
        <w:t xml:space="preserve"> </w:t>
      </w:r>
      <w:r>
        <w:t xml:space="preserve">203</w:t>
      </w:r>
      <w:r>
        <w:t xml:space="preserve"> </w:t>
      </w:r>
      <w:r>
        <w:t xml:space="preserve">29%</w:t>
      </w:r>
      <w:r>
        <w:t xml:space="preserve"> </w:t>
      </w:r>
      <w:r>
        <w:t xml:space="preserve">Notes: * Currently there is no limit for designs per application. A cap at 50 would apply in Opt 3.1 and</w:t>
      </w:r>
      <w:r>
        <w:t xml:space="preserve"> </w:t>
      </w:r>
      <w:r>
        <w:t xml:space="preserve">3.2. Applications above 50 added to the 50 bracket. Note: Negative saving is an increase in costs.</w:t>
      </w:r>
      <w:r>
        <w:t xml:space="preserve"> </w:t>
      </w:r>
      <w:r>
        <w:t xml:space="preserve">Source: Own assessment based on EUIPO data</w:t>
      </w:r>
      <w:r>
        <w:t xml:space="preserve"> </w:t>
      </w:r>
      <w:r>
        <w:t xml:space="preserve">9.3 Changes in renewal fees</w:t>
      </w:r>
      <w:r>
        <w:t xml:space="preserve"> </w:t>
      </w:r>
      <w:r>
        <w:t xml:space="preserve">The new renewal fees will affect both new and current users of design protection. The</w:t>
      </w:r>
      <w:r>
        <w:t xml:space="preserve"> </w:t>
      </w:r>
      <w:r>
        <w:t xml:space="preserve">basic protection period lasts five years. It is possible to renew up to four times, each time</w:t>
      </w:r>
      <w:r>
        <w:t xml:space="preserve"> </w:t>
      </w:r>
      <w:r>
        <w:t xml:space="preserve">for a five-year period (for the total maximum period of protection of 25 years).</w:t>
      </w:r>
      <w:r>
        <w:t xml:space="preserve"> </w:t>
      </w:r>
      <w:r>
        <w:t xml:space="preserve">Table A.9.4. Overview of current and proposed renewal fees for RCD (in EUR)</w:t>
      </w:r>
      <w:r>
        <w:t xml:space="preserve"> </w:t>
      </w:r>
      <w:r>
        <w:t xml:space="preserve">renewal</w:t>
      </w:r>
      <w:r>
        <w:br/>
      </w:r>
      <w:r>
        <w:t xml:space="preserve">Current</w:t>
      </w:r>
      <w:r>
        <w:br/>
      </w:r>
      <w:r>
        <w:t xml:space="preserve">Option 3.1</w:t>
      </w:r>
      <w:r>
        <w:t xml:space="preserve"> </w:t>
      </w:r>
      <w:r>
        <w:t xml:space="preserve">Option 3.2</w:t>
      </w:r>
    </w:p>
    <w:p>
      <w:pPr>
        <w:pStyle w:val="BodyText"/>
      </w:pPr>
      <w:r>
        <w:t xml:space="preserve">nominal</w:t>
      </w:r>
      <w:r>
        <w:t xml:space="preserve"> </w:t>
      </w:r>
      <w:r>
        <w:t xml:space="preserve">PV</w:t>
      </w:r>
      <w:r>
        <w:t xml:space="preserve"> </w:t>
      </w:r>
      <w:r>
        <w:t xml:space="preserve">nominal</w:t>
      </w:r>
      <w:r>
        <w:t xml:space="preserve"> </w:t>
      </w:r>
      <w:r>
        <w:t xml:space="preserve">PV</w:t>
      </w:r>
      <w:r>
        <w:t xml:space="preserve"> </w:t>
      </w:r>
      <w:r>
        <w:t xml:space="preserve">nominal</w:t>
      </w:r>
      <w:r>
        <w:t xml:space="preserve"> </w:t>
      </w:r>
      <w:r>
        <w:t xml:space="preserve">PV</w:t>
      </w:r>
      <w:r>
        <w:t xml:space="preserve"> </w:t>
      </w:r>
      <w:r>
        <w:t xml:space="preserve">1st (after 5 years)</w:t>
      </w:r>
      <w:r>
        <w:t xml:space="preserve"> </w:t>
      </w:r>
      <w:r>
        <w:t xml:space="preserve">90</w:t>
      </w:r>
      <w:r>
        <w:t xml:space="preserve"> </w:t>
      </w:r>
      <w:r>
        <w:t xml:space="preserve">82</w:t>
      </w:r>
      <w:r>
        <w:t xml:space="preserve"> </w:t>
      </w:r>
      <w:r>
        <w:t xml:space="preserve">70</w:t>
      </w:r>
      <w:r>
        <w:t xml:space="preserve"> </w:t>
      </w:r>
      <w:r>
        <w:t xml:space="preserve">63</w:t>
      </w:r>
      <w:r>
        <w:t xml:space="preserve"> </w:t>
      </w:r>
      <w:r>
        <w:t xml:space="preserve">80</w:t>
      </w:r>
      <w:r>
        <w:t xml:space="preserve"> </w:t>
      </w:r>
      <w:r>
        <w:t xml:space="preserve">72</w:t>
      </w:r>
      <w:r>
        <w:t xml:space="preserve"> </w:t>
      </w:r>
      <w:r>
        <w:t xml:space="preserve">2nd (after 10 years)</w:t>
      </w:r>
      <w:r>
        <w:t xml:space="preserve"> </w:t>
      </w:r>
      <w:r>
        <w:t xml:space="preserve">120</w:t>
      </w:r>
      <w:r>
        <w:t xml:space="preserve"> </w:t>
      </w:r>
      <w:r>
        <w:t xml:space="preserve">98</w:t>
      </w:r>
      <w:r>
        <w:t xml:space="preserve"> </w:t>
      </w:r>
      <w:r>
        <w:t xml:space="preserve">140</w:t>
      </w:r>
      <w:r>
        <w:t xml:space="preserve"> </w:t>
      </w:r>
      <w:r>
        <w:t xml:space="preserve">115</w:t>
      </w:r>
      <w:r>
        <w:t xml:space="preserve"> </w:t>
      </w:r>
      <w:r>
        <w:t xml:space="preserve">160</w:t>
      </w:r>
      <w:r>
        <w:t xml:space="preserve"> </w:t>
      </w:r>
      <w:r>
        <w:t xml:space="preserve">131</w:t>
      </w:r>
      <w:r>
        <w:t xml:space="preserve"> </w:t>
      </w:r>
      <w:r>
        <w:t xml:space="preserve">3rd (after 15 years)</w:t>
      </w:r>
      <w:r>
        <w:t xml:space="preserve"> </w:t>
      </w:r>
      <w:r>
        <w:t xml:space="preserve">150</w:t>
      </w:r>
      <w:r>
        <w:t xml:space="preserve"> </w:t>
      </w:r>
      <w:r>
        <w:t xml:space="preserve">111</w:t>
      </w:r>
      <w:r>
        <w:t xml:space="preserve"> </w:t>
      </w:r>
      <w:r>
        <w:t xml:space="preserve">280</w:t>
      </w:r>
      <w:r>
        <w:t xml:space="preserve"> </w:t>
      </w:r>
      <w:r>
        <w:t xml:space="preserve">208</w:t>
      </w:r>
      <w:r>
        <w:t xml:space="preserve"> </w:t>
      </w:r>
      <w:r>
        <w:t xml:space="preserve">320</w:t>
      </w:r>
      <w:r>
        <w:t xml:space="preserve"> </w:t>
      </w:r>
      <w:r>
        <w:t xml:space="preserve">238</w:t>
      </w:r>
      <w:r>
        <w:t xml:space="preserve"> </w:t>
      </w:r>
      <w:r>
        <w:t xml:space="preserve">4th (after 20 years)</w:t>
      </w:r>
      <w:r>
        <w:t xml:space="preserve"> </w:t>
      </w:r>
      <w:r>
        <w:t xml:space="preserve">180</w:t>
      </w:r>
      <w:r>
        <w:t xml:space="preserve"> </w:t>
      </w:r>
      <w:r>
        <w:t xml:space="preserve">121</w:t>
      </w:r>
      <w:r>
        <w:t xml:space="preserve"> </w:t>
      </w:r>
      <w:r>
        <w:t xml:space="preserve">560</w:t>
      </w:r>
      <w:r>
        <w:t xml:space="preserve"> </w:t>
      </w:r>
      <w:r>
        <w:t xml:space="preserve">377</w:t>
      </w:r>
      <w:r>
        <w:t xml:space="preserve"> </w:t>
      </w:r>
      <w:r>
        <w:t xml:space="preserve">640</w:t>
      </w:r>
      <w:r>
        <w:t xml:space="preserve"> </w:t>
      </w:r>
      <w:r>
        <w:t xml:space="preserve">431</w:t>
      </w:r>
      <w:r>
        <w:t xml:space="preserve"> </w:t>
      </w:r>
      <w:r>
        <w:t xml:space="preserve">Note: PV – present value, ECB inflation target of 2% per year used as the discount rate</w:t>
      </w:r>
      <w:r>
        <w:t xml:space="preserve"> </w:t>
      </w:r>
      <w:r>
        <w:t xml:space="preserve">Source: Own assessment</w:t>
      </w:r>
      <w:r>
        <w:br/>
      </w:r>
      <w:r>
        <w:t xml:space="preserve">The proposed structure lowers the first renewal fee as compared to the current system</w:t>
      </w:r>
      <w:r>
        <w:t xml:space="preserve"> </w:t>
      </w:r>
      <w:r>
        <w:t xml:space="preserve">and increases subsequent renewal fees, with the most dramatic raises for the 3rd and 4th</w:t>
      </w:r>
      <w:r>
        <w:t xml:space="preserve"> </w:t>
      </w:r>
      <w:r>
        <w:t xml:space="preserve">renewal. For all calculations below, and to ease comparison, the present value of future</w:t>
      </w:r>
      <w:r>
        <w:t xml:space="preserve"> </w:t>
      </w:r>
      <w:r>
        <w:t xml:space="preserve">fees is used (see Table A.9.4).</w:t>
      </w:r>
      <w:r>
        <w:t xml:space="preserve"> </w:t>
      </w:r>
      <w:r>
        <w:t xml:space="preserve">The following table presents savings and cost increases from Opt 3.1.</w:t>
      </w:r>
      <w:r>
        <w:t xml:space="preserve"> </w:t>
      </w:r>
      <w:r>
        <w:t xml:space="preserve">Table A.9.5. Total cost difference of protection for a given period of time between Opt. 3.1 and current</w:t>
      </w:r>
      <w:r>
        <w:t xml:space="preserve"> </w:t>
      </w:r>
      <w:r>
        <w:t xml:space="preserve">fees dependent on number of designs. In present value in EUR (left) and as percentage of current fees</w:t>
      </w:r>
      <w:r>
        <w:t xml:space="preserve"> </w:t>
      </w:r>
      <w:r>
        <w:t xml:space="preserve">(right).</w:t>
      </w:r>
      <w:r>
        <w:t xml:space="preserve"> </w:t>
      </w:r>
      <w:r>
        <w:t xml:space="preserve">5 yrs.</w:t>
      </w:r>
      <w:r>
        <w:t xml:space="preserve"> </w:t>
      </w:r>
      <w:r>
        <w:t xml:space="preserve">10 yrs.</w:t>
      </w:r>
      <w:r>
        <w:t xml:space="preserve"> </w:t>
      </w:r>
      <w:r>
        <w:t xml:space="preserve">15 yrs.</w:t>
      </w:r>
      <w:r>
        <w:t xml:space="preserve"> </w:t>
      </w:r>
      <w:r>
        <w:t xml:space="preserve">20 yrs.</w:t>
      </w:r>
      <w:r>
        <w:t xml:space="preserve"> </w:t>
      </w:r>
      <w:r>
        <w:t xml:space="preserve">25 yrs.</w:t>
      </w:r>
      <w:r>
        <w:t xml:space="preserve"> </w:t>
      </w:r>
      <w:r>
        <w:t xml:space="preserve">5 yrs.</w:t>
      </w:r>
      <w:r>
        <w:t xml:space="preserve"> </w:t>
      </w:r>
      <w:r>
        <w:t xml:space="preserve">10 yrs.</w:t>
      </w:r>
      <w:r>
        <w:t xml:space="preserve"> </w:t>
      </w:r>
      <w:r>
        <w:t xml:space="preserve">15 yrs.</w:t>
      </w:r>
      <w:r>
        <w:t xml:space="preserve"> </w:t>
      </w:r>
      <w:r>
        <w:t xml:space="preserve">20 yrs.</w:t>
      </w:r>
      <w:r>
        <w:t xml:space="preserve"> </w:t>
      </w:r>
      <w:r>
        <w:t xml:space="preserve">25 yrs.</w:t>
      </w:r>
      <w:r>
        <w:t xml:space="preserve"> </w:t>
      </w:r>
      <w:r>
        <w:t xml:space="preserve">1</w:t>
      </w:r>
      <w:r>
        <w:t xml:space="preserve"> </w:t>
      </w:r>
      <w:r>
        <w:t xml:space="preserve">-100</w:t>
      </w:r>
      <w:r>
        <w:t xml:space="preserve"> </w:t>
      </w:r>
      <w:r>
        <w:t xml:space="preserve">-118</w:t>
      </w:r>
      <w:r>
        <w:t xml:space="preserve"> </w:t>
      </w:r>
      <w:r>
        <w:t xml:space="preserve">-102</w:t>
      </w:r>
      <w:r>
        <w:t xml:space="preserve"> </w:t>
      </w:r>
      <w:r>
        <w:t xml:space="preserve">-5</w:t>
      </w:r>
      <w:r>
        <w:t xml:space="preserve"> </w:t>
      </w:r>
      <w:r>
        <w:t xml:space="preserve">251</w:t>
      </w:r>
    </w:p>
    <w:p>
      <w:pPr>
        <w:pStyle w:val="BodyText"/>
      </w:pPr>
      <w:r>
        <w:t xml:space="preserve">-29%</w:t>
      </w:r>
      <w:r>
        <w:t xml:space="preserve"> </w:t>
      </w:r>
      <w:r>
        <w:t xml:space="preserve">-27%</w:t>
      </w:r>
      <w:r>
        <w:t xml:space="preserve"> </w:t>
      </w:r>
      <w:r>
        <w:t xml:space="preserve">-19%</w:t>
      </w:r>
      <w:r>
        <w:t xml:space="preserve"> </w:t>
      </w:r>
      <w:r>
        <w:t xml:space="preserve">-1%</w:t>
      </w:r>
      <w:r>
        <w:t xml:space="preserve"> </w:t>
      </w:r>
      <w:r>
        <w:t xml:space="preserve">33%</w:t>
      </w:r>
    </w:p>
    <w:p>
      <w:pPr>
        <w:pStyle w:val="BodyText"/>
      </w:pPr>
      <w:r>
        <w:t xml:space="preserve">96</w:t>
      </w:r>
    </w:p>
    <w:p>
      <w:pPr>
        <w:pStyle w:val="BodyText"/>
      </w:pPr>
      <w:r>
        <w:t xml:space="preserve">5 yrs.</w:t>
      </w:r>
      <w:r>
        <w:t xml:space="preserve"> </w:t>
      </w:r>
      <w:r>
        <w:t xml:space="preserve">10 yrs.</w:t>
      </w:r>
      <w:r>
        <w:t xml:space="preserve"> </w:t>
      </w:r>
      <w:r>
        <w:t xml:space="preserve">15 yrs.</w:t>
      </w:r>
      <w:r>
        <w:t xml:space="preserve"> </w:t>
      </w:r>
      <w:r>
        <w:t xml:space="preserve">20 yrs.</w:t>
      </w:r>
      <w:r>
        <w:t xml:space="preserve"> </w:t>
      </w:r>
      <w:r>
        <w:t xml:space="preserve">25 yrs.</w:t>
      </w:r>
      <w:r>
        <w:t xml:space="preserve"> </w:t>
      </w:r>
      <w:r>
        <w:t xml:space="preserve">5 yrs.</w:t>
      </w:r>
      <w:r>
        <w:t xml:space="preserve"> </w:t>
      </w:r>
      <w:r>
        <w:t xml:space="preserve">10 yrs.</w:t>
      </w:r>
      <w:r>
        <w:t xml:space="preserve"> </w:t>
      </w:r>
      <w:r>
        <w:t xml:space="preserve">15 yrs.</w:t>
      </w:r>
      <w:r>
        <w:t xml:space="preserve"> </w:t>
      </w:r>
      <w:r>
        <w:t xml:space="preserve">20 yrs.</w:t>
      </w:r>
      <w:r>
        <w:t xml:space="preserve"> </w:t>
      </w:r>
      <w:r>
        <w:t xml:space="preserve">25 yrs.</w:t>
      </w:r>
      <w:r>
        <w:t xml:space="preserve"> </w:t>
      </w:r>
      <w:r>
        <w:t xml:space="preserve">2</w:t>
      </w:r>
      <w:r>
        <w:t xml:space="preserve"> </w:t>
      </w:r>
      <w:r>
        <w:t xml:space="preserve">-150</w:t>
      </w:r>
      <w:r>
        <w:t xml:space="preserve"> </w:t>
      </w:r>
      <w:r>
        <w:t xml:space="preserve">-186</w:t>
      </w:r>
      <w:r>
        <w:t xml:space="preserve"> </w:t>
      </w:r>
      <w:r>
        <w:t xml:space="preserve">-153</w:t>
      </w:r>
      <w:r>
        <w:t xml:space="preserve"> </w:t>
      </w:r>
      <w:r>
        <w:t xml:space="preserve">40</w:t>
      </w:r>
      <w:r>
        <w:t xml:space="preserve"> </w:t>
      </w:r>
      <w:r>
        <w:t xml:space="preserve">551</w:t>
      </w:r>
    </w:p>
    <w:p>
      <w:pPr>
        <w:pStyle w:val="BodyText"/>
      </w:pPr>
      <w:r>
        <w:t xml:space="preserve">-29%</w:t>
      </w:r>
      <w:r>
        <w:t xml:space="preserve"> </w:t>
      </w:r>
      <w:r>
        <w:t xml:space="preserve">-27%</w:t>
      </w:r>
      <w:r>
        <w:t xml:space="preserve"> </w:t>
      </w:r>
      <w:r>
        <w:t xml:space="preserve">-17%</w:t>
      </w:r>
      <w:r>
        <w:t xml:space="preserve"> </w:t>
      </w:r>
      <w:r>
        <w:t xml:space="preserve">4%</w:t>
      </w:r>
      <w:r>
        <w:t xml:space="preserve"> </w:t>
      </w:r>
      <w:r>
        <w:t xml:space="preserve">41%</w:t>
      </w:r>
      <w:r>
        <w:t xml:space="preserve"> </w:t>
      </w:r>
      <w:r>
        <w:t xml:space="preserve">3</w:t>
      </w:r>
      <w:r>
        <w:t xml:space="preserve"> </w:t>
      </w:r>
      <w:r>
        <w:t xml:space="preserve">-200</w:t>
      </w:r>
      <w:r>
        <w:t xml:space="preserve"> </w:t>
      </w:r>
      <w:r>
        <w:t xml:space="preserve">-254</w:t>
      </w:r>
      <w:r>
        <w:t xml:space="preserve"> </w:t>
      </w:r>
      <w:r>
        <w:t xml:space="preserve">-205</w:t>
      </w:r>
      <w:r>
        <w:t xml:space="preserve"> </w:t>
      </w:r>
      <w:r>
        <w:t xml:space="preserve">85</w:t>
      </w:r>
      <w:r>
        <w:t xml:space="preserve"> </w:t>
      </w:r>
      <w:r>
        <w:t xml:space="preserve">852</w:t>
      </w:r>
    </w:p>
    <w:p>
      <w:pPr>
        <w:pStyle w:val="BodyText"/>
      </w:pPr>
      <w:r>
        <w:t xml:space="preserve">-29%</w:t>
      </w:r>
      <w:r>
        <w:t xml:space="preserve"> </w:t>
      </w:r>
      <w:r>
        <w:t xml:space="preserve">-27%</w:t>
      </w:r>
      <w:r>
        <w:t xml:space="preserve"> </w:t>
      </w:r>
      <w:r>
        <w:t xml:space="preserve">-17%</w:t>
      </w:r>
      <w:r>
        <w:t xml:space="preserve"> </w:t>
      </w:r>
      <w:r>
        <w:t xml:space="preserve">5%</w:t>
      </w:r>
      <w:r>
        <w:t xml:space="preserve"> </w:t>
      </w:r>
      <w:r>
        <w:t xml:space="preserve">44%</w:t>
      </w:r>
      <w:r>
        <w:t xml:space="preserve"> </w:t>
      </w:r>
      <w:r>
        <w:t xml:space="preserve">4</w:t>
      </w:r>
      <w:r>
        <w:t xml:space="preserve"> </w:t>
      </w:r>
      <w:r>
        <w:t xml:space="preserve">-250</w:t>
      </w:r>
      <w:r>
        <w:t xml:space="preserve"> </w:t>
      </w:r>
      <w:r>
        <w:t xml:space="preserve">-322</w:t>
      </w:r>
      <w:r>
        <w:t xml:space="preserve"> </w:t>
      </w:r>
      <w:r>
        <w:t xml:space="preserve">-257</w:t>
      </w:r>
      <w:r>
        <w:t xml:space="preserve"> </w:t>
      </w:r>
      <w:r>
        <w:t xml:space="preserve">130</w:t>
      </w:r>
      <w:r>
        <w:t xml:space="preserve"> </w:t>
      </w:r>
      <w:r>
        <w:t xml:space="preserve">1,152</w:t>
      </w:r>
    </w:p>
    <w:p>
      <w:pPr>
        <w:pStyle w:val="BodyText"/>
      </w:pPr>
      <w:r>
        <w:t xml:space="preserve">-29%</w:t>
      </w:r>
      <w:r>
        <w:t xml:space="preserve"> </w:t>
      </w:r>
      <w:r>
        <w:t xml:space="preserve">-27%</w:t>
      </w:r>
      <w:r>
        <w:t xml:space="preserve"> </w:t>
      </w:r>
      <w:r>
        <w:t xml:space="preserve">-16%</w:t>
      </w:r>
      <w:r>
        <w:t xml:space="preserve"> </w:t>
      </w:r>
      <w:r>
        <w:t xml:space="preserve">6%</w:t>
      </w:r>
      <w:r>
        <w:t xml:space="preserve"> </w:t>
      </w:r>
      <w:r>
        <w:t xml:space="preserve">46%</w:t>
      </w:r>
      <w:r>
        <w:t xml:space="preserve"> </w:t>
      </w:r>
      <w:r>
        <w:t xml:space="preserve">5</w:t>
      </w:r>
      <w:r>
        <w:t xml:space="preserve"> </w:t>
      </w:r>
      <w:r>
        <w:t xml:space="preserve">-300</w:t>
      </w:r>
      <w:r>
        <w:t xml:space="preserve"> </w:t>
      </w:r>
      <w:r>
        <w:t xml:space="preserve">-391</w:t>
      </w:r>
      <w:r>
        <w:t xml:space="preserve"> </w:t>
      </w:r>
      <w:r>
        <w:t xml:space="preserve">-309</w:t>
      </w:r>
      <w:r>
        <w:t xml:space="preserve"> </w:t>
      </w:r>
      <w:r>
        <w:t xml:space="preserve">174</w:t>
      </w:r>
      <w:r>
        <w:t xml:space="preserve"> </w:t>
      </w:r>
      <w:r>
        <w:t xml:space="preserve">1,453</w:t>
      </w:r>
    </w:p>
    <w:p>
      <w:pPr>
        <w:pStyle w:val="BodyText"/>
      </w:pPr>
      <w:r>
        <w:t xml:space="preserve">-29%</w:t>
      </w:r>
      <w:r>
        <w:t xml:space="preserve"> </w:t>
      </w:r>
      <w:r>
        <w:t xml:space="preserve">-27%</w:t>
      </w:r>
      <w:r>
        <w:t xml:space="preserve"> </w:t>
      </w:r>
      <w:r>
        <w:t xml:space="preserve">-16%</w:t>
      </w:r>
      <w:r>
        <w:t xml:space="preserve"> </w:t>
      </w:r>
      <w:r>
        <w:t xml:space="preserve">7%</w:t>
      </w:r>
      <w:r>
        <w:t xml:space="preserve"> </w:t>
      </w:r>
      <w:r>
        <w:t xml:space="preserve">47%</w:t>
      </w:r>
      <w:r>
        <w:t xml:space="preserve"> </w:t>
      </w:r>
      <w:r>
        <w:t xml:space="preserve">6</w:t>
      </w:r>
      <w:r>
        <w:t xml:space="preserve"> </w:t>
      </w:r>
      <w:r>
        <w:t xml:space="preserve">-350</w:t>
      </w:r>
      <w:r>
        <w:t xml:space="preserve"> </w:t>
      </w:r>
      <w:r>
        <w:t xml:space="preserve">-459</w:t>
      </w:r>
      <w:r>
        <w:t xml:space="preserve"> </w:t>
      </w:r>
      <w:r>
        <w:t xml:space="preserve">-360</w:t>
      </w:r>
      <w:r>
        <w:t xml:space="preserve"> </w:t>
      </w:r>
      <w:r>
        <w:t xml:space="preserve">219</w:t>
      </w:r>
      <w:r>
        <w:t xml:space="preserve"> </w:t>
      </w:r>
      <w:r>
        <w:t xml:space="preserve">1,754</w:t>
      </w:r>
    </w:p>
    <w:p>
      <w:pPr>
        <w:pStyle w:val="BodyText"/>
      </w:pPr>
      <w:r>
        <w:t xml:space="preserve">-29%</w:t>
      </w:r>
      <w:r>
        <w:t xml:space="preserve"> </w:t>
      </w:r>
      <w:r>
        <w:t xml:space="preserve">-27%</w:t>
      </w:r>
      <w:r>
        <w:t xml:space="preserve"> </w:t>
      </w:r>
      <w:r>
        <w:t xml:space="preserve">-16%</w:t>
      </w:r>
      <w:r>
        <w:t xml:space="preserve"> </w:t>
      </w:r>
      <w:r>
        <w:t xml:space="preserve">7%</w:t>
      </w:r>
      <w:r>
        <w:t xml:space="preserve"> </w:t>
      </w:r>
      <w:r>
        <w:t xml:space="preserve">47%</w:t>
      </w:r>
      <w:r>
        <w:t xml:space="preserve"> </w:t>
      </w:r>
      <w:r>
        <w:t xml:space="preserve">7</w:t>
      </w:r>
      <w:r>
        <w:t xml:space="preserve"> </w:t>
      </w:r>
      <w:r>
        <w:t xml:space="preserve">-400</w:t>
      </w:r>
      <w:r>
        <w:t xml:space="preserve"> </w:t>
      </w:r>
      <w:r>
        <w:t xml:space="preserve">-527</w:t>
      </w:r>
      <w:r>
        <w:t xml:space="preserve"> </w:t>
      </w:r>
      <w:r>
        <w:t xml:space="preserve">-412</w:t>
      </w:r>
      <w:r>
        <w:t xml:space="preserve"> </w:t>
      </w:r>
      <w:r>
        <w:t xml:space="preserve">264</w:t>
      </w:r>
      <w:r>
        <w:t xml:space="preserve"> </w:t>
      </w:r>
      <w:r>
        <w:t xml:space="preserve">2,054</w:t>
      </w:r>
    </w:p>
    <w:p>
      <w:pPr>
        <w:pStyle w:val="BodyText"/>
      </w:pPr>
      <w:r>
        <w:t xml:space="preserve">-29%</w:t>
      </w:r>
      <w:r>
        <w:t xml:space="preserve"> </w:t>
      </w:r>
      <w:r>
        <w:t xml:space="preserve">-27%</w:t>
      </w:r>
      <w:r>
        <w:t xml:space="preserve"> </w:t>
      </w:r>
      <w:r>
        <w:t xml:space="preserve">-15%</w:t>
      </w:r>
      <w:r>
        <w:t xml:space="preserve"> </w:t>
      </w:r>
      <w:r>
        <w:t xml:space="preserve">8%</w:t>
      </w:r>
      <w:r>
        <w:t xml:space="preserve"> </w:t>
      </w:r>
      <w:r>
        <w:t xml:space="preserve">48%</w:t>
      </w:r>
      <w:r>
        <w:t xml:space="preserve"> </w:t>
      </w:r>
      <w:r>
        <w:t xml:space="preserve">8</w:t>
      </w:r>
      <w:r>
        <w:t xml:space="preserve"> </w:t>
      </w:r>
      <w:r>
        <w:t xml:space="preserve">-450</w:t>
      </w:r>
      <w:r>
        <w:t xml:space="preserve"> </w:t>
      </w:r>
      <w:r>
        <w:t xml:space="preserve">-595</w:t>
      </w:r>
      <w:r>
        <w:t xml:space="preserve"> </w:t>
      </w:r>
      <w:r>
        <w:t xml:space="preserve">-464</w:t>
      </w:r>
      <w:r>
        <w:t xml:space="preserve"> </w:t>
      </w:r>
      <w:r>
        <w:t xml:space="preserve">309</w:t>
      </w:r>
      <w:r>
        <w:t xml:space="preserve"> </w:t>
      </w:r>
      <w:r>
        <w:t xml:space="preserve">2,355</w:t>
      </w:r>
    </w:p>
    <w:p>
      <w:pPr>
        <w:pStyle w:val="BodyText"/>
      </w:pPr>
      <w:r>
        <w:t xml:space="preserve">-29%</w:t>
      </w:r>
      <w:r>
        <w:t xml:space="preserve"> </w:t>
      </w:r>
      <w:r>
        <w:t xml:space="preserve">-27%</w:t>
      </w:r>
      <w:r>
        <w:t xml:space="preserve"> </w:t>
      </w:r>
      <w:r>
        <w:t xml:space="preserve">-15%</w:t>
      </w:r>
      <w:r>
        <w:t xml:space="preserve"> </w:t>
      </w:r>
      <w:r>
        <w:t xml:space="preserve">8%</w:t>
      </w:r>
      <w:r>
        <w:t xml:space="preserve"> </w:t>
      </w:r>
      <w:r>
        <w:t xml:space="preserve">48%</w:t>
      </w:r>
      <w:r>
        <w:t xml:space="preserve"> </w:t>
      </w:r>
      <w:r>
        <w:t xml:space="preserve">9</w:t>
      </w:r>
      <w:r>
        <w:t xml:space="preserve"> </w:t>
      </w:r>
      <w:r>
        <w:t xml:space="preserve">-500</w:t>
      </w:r>
      <w:r>
        <w:t xml:space="preserve"> </w:t>
      </w:r>
      <w:r>
        <w:t xml:space="preserve">-663</w:t>
      </w:r>
      <w:r>
        <w:t xml:space="preserve"> </w:t>
      </w:r>
      <w:r>
        <w:t xml:space="preserve">-515</w:t>
      </w:r>
      <w:r>
        <w:t xml:space="preserve"> </w:t>
      </w:r>
      <w:r>
        <w:t xml:space="preserve">354</w:t>
      </w:r>
      <w:r>
        <w:t xml:space="preserve"> </w:t>
      </w:r>
      <w:r>
        <w:t xml:space="preserve">2,656</w:t>
      </w:r>
    </w:p>
    <w:p>
      <w:pPr>
        <w:pStyle w:val="BodyText"/>
      </w:pPr>
      <w:r>
        <w:t xml:space="preserve">-29%</w:t>
      </w:r>
      <w:r>
        <w:t xml:space="preserve"> </w:t>
      </w:r>
      <w:r>
        <w:t xml:space="preserve">-27%</w:t>
      </w:r>
      <w:r>
        <w:t xml:space="preserve"> </w:t>
      </w:r>
      <w:r>
        <w:t xml:space="preserve">-15%</w:t>
      </w:r>
      <w:r>
        <w:t xml:space="preserve"> </w:t>
      </w:r>
      <w:r>
        <w:t xml:space="preserve">8%</w:t>
      </w:r>
      <w:r>
        <w:t xml:space="preserve"> </w:t>
      </w:r>
      <w:r>
        <w:t xml:space="preserve">49%</w:t>
      </w:r>
      <w:r>
        <w:t xml:space="preserve"> </w:t>
      </w:r>
      <w:r>
        <w:t xml:space="preserve">10</w:t>
      </w:r>
      <w:r>
        <w:t xml:space="preserve"> </w:t>
      </w:r>
      <w:r>
        <w:t xml:space="preserve">-550</w:t>
      </w:r>
      <w:r>
        <w:t xml:space="preserve"> </w:t>
      </w:r>
      <w:r>
        <w:t xml:space="preserve">-731</w:t>
      </w:r>
      <w:r>
        <w:t xml:space="preserve"> </w:t>
      </w:r>
      <w:r>
        <w:t xml:space="preserve">-567</w:t>
      </w:r>
      <w:r>
        <w:t xml:space="preserve"> </w:t>
      </w:r>
      <w:r>
        <w:t xml:space="preserve">399</w:t>
      </w:r>
      <w:r>
        <w:t xml:space="preserve"> </w:t>
      </w:r>
      <w:r>
        <w:t xml:space="preserve">2,956</w:t>
      </w:r>
    </w:p>
    <w:p>
      <w:pPr>
        <w:pStyle w:val="BodyText"/>
      </w:pPr>
      <w:r>
        <w:t xml:space="preserve">-29%</w:t>
      </w:r>
      <w:r>
        <w:t xml:space="preserve"> </w:t>
      </w:r>
      <w:r>
        <w:t xml:space="preserve">-27%</w:t>
      </w:r>
      <w:r>
        <w:t xml:space="preserve"> </w:t>
      </w:r>
      <w:r>
        <w:t xml:space="preserve">-15%</w:t>
      </w:r>
      <w:r>
        <w:t xml:space="preserve"> </w:t>
      </w:r>
      <w:r>
        <w:t xml:space="preserve">8%</w:t>
      </w:r>
      <w:r>
        <w:t xml:space="preserve"> </w:t>
      </w:r>
      <w:r>
        <w:t xml:space="preserve">49%</w:t>
      </w:r>
      <w:r>
        <w:t xml:space="preserve"> </w:t>
      </w:r>
      <w:r>
        <w:t xml:space="preserve">11</w:t>
      </w:r>
      <w:r>
        <w:t xml:space="preserve"> </w:t>
      </w:r>
      <w:r>
        <w:t xml:space="preserve">-505</w:t>
      </w:r>
      <w:r>
        <w:t xml:space="preserve"> </w:t>
      </w:r>
      <w:r>
        <w:t xml:space="preserve">-704</w:t>
      </w:r>
      <w:r>
        <w:t xml:space="preserve"> </w:t>
      </w:r>
      <w:r>
        <w:t xml:space="preserve">-524</w:t>
      </w:r>
      <w:r>
        <w:t xml:space="preserve"> </w:t>
      </w:r>
      <w:r>
        <w:t xml:space="preserve">539</w:t>
      </w:r>
      <w:r>
        <w:t xml:space="preserve"> </w:t>
      </w:r>
      <w:r>
        <w:t xml:space="preserve">3,352</w:t>
      </w:r>
    </w:p>
    <w:p>
      <w:pPr>
        <w:pStyle w:val="BodyText"/>
      </w:pPr>
      <w:r>
        <w:t xml:space="preserve">-25%</w:t>
      </w:r>
      <w:r>
        <w:t xml:space="preserve"> </w:t>
      </w:r>
      <w:r>
        <w:t xml:space="preserve">-24%</w:t>
      </w:r>
      <w:r>
        <w:t xml:space="preserve"> </w:t>
      </w:r>
      <w:r>
        <w:t xml:space="preserve">-13%</w:t>
      </w:r>
      <w:r>
        <w:t xml:space="preserve"> </w:t>
      </w:r>
      <w:r>
        <w:t xml:space="preserve">10%</w:t>
      </w:r>
      <w:r>
        <w:t xml:space="preserve"> </w:t>
      </w:r>
      <w:r>
        <w:t xml:space="preserve">51%</w:t>
      </w:r>
      <w:r>
        <w:t xml:space="preserve"> </w:t>
      </w:r>
      <w:r>
        <w:t xml:space="preserve">12</w:t>
      </w:r>
      <w:r>
        <w:t xml:space="preserve"> </w:t>
      </w:r>
      <w:r>
        <w:t xml:space="preserve">-460</w:t>
      </w:r>
      <w:r>
        <w:t xml:space="preserve"> </w:t>
      </w:r>
      <w:r>
        <w:t xml:space="preserve">-677</w:t>
      </w:r>
      <w:r>
        <w:t xml:space="preserve"> </w:t>
      </w:r>
      <w:r>
        <w:t xml:space="preserve">-480</w:t>
      </w:r>
      <w:r>
        <w:t xml:space="preserve"> </w:t>
      </w:r>
      <w:r>
        <w:t xml:space="preserve">679</w:t>
      </w:r>
      <w:r>
        <w:t xml:space="preserve"> </w:t>
      </w:r>
      <w:r>
        <w:t xml:space="preserve">3,747</w:t>
      </w:r>
    </w:p>
    <w:p>
      <w:pPr>
        <w:pStyle w:val="BodyText"/>
      </w:pPr>
      <w:r>
        <w:t xml:space="preserve">-22%</w:t>
      </w:r>
      <w:r>
        <w:t xml:space="preserve"> </w:t>
      </w:r>
      <w:r>
        <w:t xml:space="preserve">-22%</w:t>
      </w:r>
      <w:r>
        <w:t xml:space="preserve"> </w:t>
      </w:r>
      <w:r>
        <w:t xml:space="preserve">-11%</w:t>
      </w:r>
      <w:r>
        <w:t xml:space="preserve"> </w:t>
      </w:r>
      <w:r>
        <w:t xml:space="preserve">12%</w:t>
      </w:r>
      <w:r>
        <w:t xml:space="preserve"> </w:t>
      </w:r>
      <w:r>
        <w:t xml:space="preserve">53%</w:t>
      </w:r>
      <w:r>
        <w:t xml:space="preserve"> </w:t>
      </w:r>
      <w:r>
        <w:t xml:space="preserve">13</w:t>
      </w:r>
      <w:r>
        <w:t xml:space="preserve"> </w:t>
      </w:r>
      <w:r>
        <w:t xml:space="preserve">-415</w:t>
      </w:r>
      <w:r>
        <w:t xml:space="preserve"> </w:t>
      </w:r>
      <w:r>
        <w:t xml:space="preserve">-650</w:t>
      </w:r>
      <w:r>
        <w:t xml:space="preserve"> </w:t>
      </w:r>
      <w:r>
        <w:t xml:space="preserve">-437</w:t>
      </w:r>
      <w:r>
        <w:t xml:space="preserve"> </w:t>
      </w:r>
      <w:r>
        <w:t xml:space="preserve">818</w:t>
      </w:r>
      <w:r>
        <w:t xml:space="preserve"> </w:t>
      </w:r>
      <w:r>
        <w:t xml:space="preserve">4,143</w:t>
      </w:r>
    </w:p>
    <w:p>
      <w:pPr>
        <w:pStyle w:val="BodyText"/>
      </w:pPr>
      <w:r>
        <w:t xml:space="preserve">-19%</w:t>
      </w:r>
      <w:r>
        <w:t xml:space="preserve"> </w:t>
      </w:r>
      <w:r>
        <w:t xml:space="preserve">-20%</w:t>
      </w:r>
      <w:r>
        <w:t xml:space="preserve"> </w:t>
      </w:r>
      <w:r>
        <w:t xml:space="preserve">-10%</w:t>
      </w:r>
      <w:r>
        <w:t xml:space="preserve"> </w:t>
      </w:r>
      <w:r>
        <w:t xml:space="preserve">14%</w:t>
      </w:r>
      <w:r>
        <w:t xml:space="preserve"> </w:t>
      </w:r>
      <w:r>
        <w:t xml:space="preserve">55%</w:t>
      </w:r>
      <w:r>
        <w:t xml:space="preserve"> </w:t>
      </w:r>
      <w:r>
        <w:t xml:space="preserve">14</w:t>
      </w:r>
      <w:r>
        <w:t xml:space="preserve"> </w:t>
      </w:r>
      <w:r>
        <w:t xml:space="preserve">-370</w:t>
      </w:r>
      <w:r>
        <w:t xml:space="preserve"> </w:t>
      </w:r>
      <w:r>
        <w:t xml:space="preserve">-624</w:t>
      </w:r>
      <w:r>
        <w:t xml:space="preserve"> </w:t>
      </w:r>
      <w:r>
        <w:t xml:space="preserve">-394</w:t>
      </w:r>
      <w:r>
        <w:t xml:space="preserve"> </w:t>
      </w:r>
      <w:r>
        <w:t xml:space="preserve">958</w:t>
      </w:r>
      <w:r>
        <w:t xml:space="preserve"> </w:t>
      </w:r>
      <w:r>
        <w:t xml:space="preserve">4,539</w:t>
      </w:r>
    </w:p>
    <w:p>
      <w:pPr>
        <w:pStyle w:val="BodyText"/>
      </w:pPr>
      <w:r>
        <w:t xml:space="preserve">-16%</w:t>
      </w:r>
      <w:r>
        <w:t xml:space="preserve"> </w:t>
      </w:r>
      <w:r>
        <w:t xml:space="preserve">-18%</w:t>
      </w:r>
      <w:r>
        <w:t xml:space="preserve"> </w:t>
      </w:r>
      <w:r>
        <w:t xml:space="preserve">-8%</w:t>
      </w:r>
      <w:r>
        <w:t xml:space="preserve"> </w:t>
      </w:r>
      <w:r>
        <w:t xml:space="preserve">15%</w:t>
      </w:r>
      <w:r>
        <w:t xml:space="preserve"> </w:t>
      </w:r>
      <w:r>
        <w:t xml:space="preserve">57%</w:t>
      </w:r>
      <w:r>
        <w:t xml:space="preserve"> </w:t>
      </w:r>
      <w:r>
        <w:t xml:space="preserve">15</w:t>
      </w:r>
      <w:r>
        <w:t xml:space="preserve"> </w:t>
      </w:r>
      <w:r>
        <w:t xml:space="preserve">-325</w:t>
      </w:r>
      <w:r>
        <w:t xml:space="preserve"> </w:t>
      </w:r>
      <w:r>
        <w:t xml:space="preserve">-597</w:t>
      </w:r>
      <w:r>
        <w:t xml:space="preserve"> </w:t>
      </w:r>
      <w:r>
        <w:t xml:space="preserve">-351</w:t>
      </w:r>
      <w:r>
        <w:t xml:space="preserve"> </w:t>
      </w:r>
      <w:r>
        <w:t xml:space="preserve">1,098</w:t>
      </w:r>
      <w:r>
        <w:t xml:space="preserve"> </w:t>
      </w:r>
      <w:r>
        <w:t xml:space="preserve">4,934</w:t>
      </w:r>
    </w:p>
    <w:p>
      <w:pPr>
        <w:pStyle w:val="BodyText"/>
      </w:pPr>
      <w:r>
        <w:t xml:space="preserve">-14%</w:t>
      </w:r>
      <w:r>
        <w:t xml:space="preserve"> </w:t>
      </w:r>
      <w:r>
        <w:t xml:space="preserve">-17%</w:t>
      </w:r>
      <w:r>
        <w:t xml:space="preserve"> </w:t>
      </w:r>
      <w:r>
        <w:t xml:space="preserve">-7%</w:t>
      </w:r>
      <w:r>
        <w:t xml:space="preserve"> </w:t>
      </w:r>
      <w:r>
        <w:t xml:space="preserve">16%</w:t>
      </w:r>
      <w:r>
        <w:t xml:space="preserve"> </w:t>
      </w:r>
      <w:r>
        <w:t xml:space="preserve">58%</w:t>
      </w:r>
      <w:r>
        <w:t xml:space="preserve"> </w:t>
      </w:r>
      <w:r>
        <w:t xml:space="preserve">16</w:t>
      </w:r>
      <w:r>
        <w:t xml:space="preserve"> </w:t>
      </w:r>
      <w:r>
        <w:t xml:space="preserve">-280</w:t>
      </w:r>
      <w:r>
        <w:t xml:space="preserve"> </w:t>
      </w:r>
      <w:r>
        <w:t xml:space="preserve">-570</w:t>
      </w:r>
      <w:r>
        <w:t xml:space="preserve"> </w:t>
      </w:r>
      <w:r>
        <w:t xml:space="preserve">-307</w:t>
      </w:r>
      <w:r>
        <w:t xml:space="preserve"> </w:t>
      </w:r>
      <w:r>
        <w:t xml:space="preserve">1,238</w:t>
      </w:r>
      <w:r>
        <w:t xml:space="preserve"> </w:t>
      </w:r>
      <w:r>
        <w:t xml:space="preserve">5,330</w:t>
      </w:r>
    </w:p>
    <w:p>
      <w:pPr>
        <w:pStyle w:val="BodyText"/>
      </w:pPr>
      <w:r>
        <w:t xml:space="preserve">-12%</w:t>
      </w:r>
      <w:r>
        <w:t xml:space="preserve"> </w:t>
      </w:r>
      <w:r>
        <w:t xml:space="preserve">-15%</w:t>
      </w:r>
      <w:r>
        <w:t xml:space="preserve"> </w:t>
      </w:r>
      <w:r>
        <w:t xml:space="preserve">-6%</w:t>
      </w:r>
      <w:r>
        <w:t xml:space="preserve"> </w:t>
      </w:r>
      <w:r>
        <w:t xml:space="preserve">18%</w:t>
      </w:r>
      <w:r>
        <w:t xml:space="preserve"> </w:t>
      </w:r>
      <w:r>
        <w:t xml:space="preserve">59%</w:t>
      </w:r>
      <w:r>
        <w:t xml:space="preserve"> </w:t>
      </w:r>
      <w:r>
        <w:t xml:space="preserve">17</w:t>
      </w:r>
      <w:r>
        <w:t xml:space="preserve"> </w:t>
      </w:r>
      <w:r>
        <w:t xml:space="preserve">-235</w:t>
      </w:r>
      <w:r>
        <w:t xml:space="preserve"> </w:t>
      </w:r>
      <w:r>
        <w:t xml:space="preserve">-543</w:t>
      </w:r>
      <w:r>
        <w:t xml:space="preserve"> </w:t>
      </w:r>
      <w:r>
        <w:t xml:space="preserve">-264</w:t>
      </w:r>
      <w:r>
        <w:t xml:space="preserve"> </w:t>
      </w:r>
      <w:r>
        <w:t xml:space="preserve">1,378</w:t>
      </w:r>
      <w:r>
        <w:t xml:space="preserve"> </w:t>
      </w:r>
      <w:r>
        <w:t xml:space="preserve">5,725</w:t>
      </w:r>
    </w:p>
    <w:p>
      <w:pPr>
        <w:pStyle w:val="BodyText"/>
      </w:pPr>
      <w:r>
        <w:t xml:space="preserve">-9%</w:t>
      </w:r>
      <w:r>
        <w:t xml:space="preserve"> </w:t>
      </w:r>
      <w:r>
        <w:t xml:space="preserve">-14%</w:t>
      </w:r>
      <w:r>
        <w:t xml:space="preserve"> </w:t>
      </w:r>
      <w:r>
        <w:t xml:space="preserve">-5%</w:t>
      </w:r>
      <w:r>
        <w:t xml:space="preserve"> </w:t>
      </w:r>
      <w:r>
        <w:t xml:space="preserve">19%</w:t>
      </w:r>
      <w:r>
        <w:t xml:space="preserve"> </w:t>
      </w:r>
      <w:r>
        <w:t xml:space="preserve">60%</w:t>
      </w:r>
      <w:r>
        <w:t xml:space="preserve"> </w:t>
      </w:r>
      <w:r>
        <w:t xml:space="preserve">18</w:t>
      </w:r>
      <w:r>
        <w:t xml:space="preserve"> </w:t>
      </w:r>
      <w:r>
        <w:t xml:space="preserve">-190</w:t>
      </w:r>
      <w:r>
        <w:t xml:space="preserve"> </w:t>
      </w:r>
      <w:r>
        <w:t xml:space="preserve">-516</w:t>
      </w:r>
      <w:r>
        <w:t xml:space="preserve"> </w:t>
      </w:r>
      <w:r>
        <w:t xml:space="preserve">-221</w:t>
      </w:r>
      <w:r>
        <w:t xml:space="preserve"> </w:t>
      </w:r>
      <w:r>
        <w:t xml:space="preserve">1,518</w:t>
      </w:r>
      <w:r>
        <w:t xml:space="preserve"> </w:t>
      </w:r>
      <w:r>
        <w:t xml:space="preserve">6,121</w:t>
      </w:r>
    </w:p>
    <w:p>
      <w:pPr>
        <w:pStyle w:val="BodyText"/>
      </w:pPr>
      <w:r>
        <w:t xml:space="preserve">-7%</w:t>
      </w:r>
      <w:r>
        <w:t xml:space="preserve"> </w:t>
      </w:r>
      <w:r>
        <w:t xml:space="preserve">-13%</w:t>
      </w:r>
      <w:r>
        <w:t xml:space="preserve"> </w:t>
      </w:r>
      <w:r>
        <w:t xml:space="preserve">-4%</w:t>
      </w:r>
      <w:r>
        <w:t xml:space="preserve"> </w:t>
      </w:r>
      <w:r>
        <w:t xml:space="preserve">19%</w:t>
      </w:r>
      <w:r>
        <w:t xml:space="preserve"> </w:t>
      </w:r>
      <w:r>
        <w:t xml:space="preserve">61%</w:t>
      </w:r>
      <w:r>
        <w:t xml:space="preserve"> </w:t>
      </w:r>
      <w:r>
        <w:t xml:space="preserve">19</w:t>
      </w:r>
      <w:r>
        <w:t xml:space="preserve"> </w:t>
      </w:r>
      <w:r>
        <w:t xml:space="preserve">-145</w:t>
      </w:r>
      <w:r>
        <w:t xml:space="preserve"> </w:t>
      </w:r>
      <w:r>
        <w:t xml:space="preserve">-489</w:t>
      </w:r>
      <w:r>
        <w:t xml:space="preserve"> </w:t>
      </w:r>
      <w:r>
        <w:t xml:space="preserve">-177</w:t>
      </w:r>
      <w:r>
        <w:t xml:space="preserve"> </w:t>
      </w:r>
      <w:r>
        <w:t xml:space="preserve">1,658</w:t>
      </w:r>
      <w:r>
        <w:t xml:space="preserve"> </w:t>
      </w:r>
      <w:r>
        <w:t xml:space="preserve">6,517</w:t>
      </w:r>
    </w:p>
    <w:p>
      <w:pPr>
        <w:pStyle w:val="BodyText"/>
      </w:pPr>
      <w:r>
        <w:t xml:space="preserve">-5%</w:t>
      </w:r>
      <w:r>
        <w:t xml:space="preserve"> </w:t>
      </w:r>
      <w:r>
        <w:t xml:space="preserve">-12%</w:t>
      </w:r>
      <w:r>
        <w:t xml:space="preserve"> </w:t>
      </w:r>
      <w:r>
        <w:t xml:space="preserve">-3%</w:t>
      </w:r>
      <w:r>
        <w:t xml:space="preserve"> </w:t>
      </w:r>
      <w:r>
        <w:t xml:space="preserve">20%</w:t>
      </w:r>
      <w:r>
        <w:t xml:space="preserve"> </w:t>
      </w:r>
      <w:r>
        <w:t xml:space="preserve">62%</w:t>
      </w:r>
      <w:r>
        <w:t xml:space="preserve"> </w:t>
      </w:r>
      <w:r>
        <w:t xml:space="preserve">20</w:t>
      </w:r>
      <w:r>
        <w:t xml:space="preserve"> </w:t>
      </w:r>
      <w:r>
        <w:t xml:space="preserve">-100</w:t>
      </w:r>
      <w:r>
        <w:t xml:space="preserve"> </w:t>
      </w:r>
      <w:r>
        <w:t xml:space="preserve">-462</w:t>
      </w:r>
      <w:r>
        <w:t xml:space="preserve"> </w:t>
      </w:r>
      <w:r>
        <w:t xml:space="preserve">-134</w:t>
      </w:r>
      <w:r>
        <w:t xml:space="preserve"> </w:t>
      </w:r>
      <w:r>
        <w:t xml:space="preserve">1,798</w:t>
      </w:r>
      <w:r>
        <w:t xml:space="preserve"> </w:t>
      </w:r>
      <w:r>
        <w:t xml:space="preserve">6,912</w:t>
      </w:r>
    </w:p>
    <w:p>
      <w:pPr>
        <w:pStyle w:val="BodyText"/>
      </w:pPr>
      <w:r>
        <w:t xml:space="preserve">-4%</w:t>
      </w:r>
      <w:r>
        <w:t xml:space="preserve"> </w:t>
      </w:r>
      <w:r>
        <w:t xml:space="preserve">-11%</w:t>
      </w:r>
      <w:r>
        <w:t xml:space="preserve"> </w:t>
      </w:r>
      <w:r>
        <w:t xml:space="preserve">-2%</w:t>
      </w:r>
      <w:r>
        <w:t xml:space="preserve"> </w:t>
      </w:r>
      <w:r>
        <w:t xml:space="preserve">21%</w:t>
      </w:r>
      <w:r>
        <w:t xml:space="preserve"> </w:t>
      </w:r>
      <w:r>
        <w:t xml:space="preserve">63%</w:t>
      </w:r>
      <w:r>
        <w:t xml:space="preserve"> </w:t>
      </w:r>
      <w:r>
        <w:t xml:space="preserve">21</w:t>
      </w:r>
      <w:r>
        <w:t xml:space="preserve"> </w:t>
      </w:r>
      <w:r>
        <w:t xml:space="preserve">-55</w:t>
      </w:r>
      <w:r>
        <w:t xml:space="preserve"> </w:t>
      </w:r>
      <w:r>
        <w:t xml:space="preserve">-435</w:t>
      </w:r>
      <w:r>
        <w:t xml:space="preserve"> </w:t>
      </w:r>
      <w:r>
        <w:t xml:space="preserve">-91</w:t>
      </w:r>
      <w:r>
        <w:t xml:space="preserve"> </w:t>
      </w:r>
      <w:r>
        <w:t xml:space="preserve">1,938</w:t>
      </w:r>
      <w:r>
        <w:t xml:space="preserve"> </w:t>
      </w:r>
      <w:r>
        <w:t xml:space="preserve">7,308</w:t>
      </w:r>
    </w:p>
    <w:p>
      <w:pPr>
        <w:pStyle w:val="BodyText"/>
      </w:pPr>
      <w:r>
        <w:t xml:space="preserve">-2%</w:t>
      </w:r>
      <w:r>
        <w:t xml:space="preserve"> </w:t>
      </w:r>
      <w:r>
        <w:t xml:space="preserve">-10%</w:t>
      </w:r>
      <w:r>
        <w:t xml:space="preserve"> </w:t>
      </w:r>
      <w:r>
        <w:t xml:space="preserve">-1%</w:t>
      </w:r>
      <w:r>
        <w:t xml:space="preserve"> </w:t>
      </w:r>
      <w:r>
        <w:t xml:space="preserve">22%</w:t>
      </w:r>
      <w:r>
        <w:t xml:space="preserve"> </w:t>
      </w:r>
      <w:r>
        <w:t xml:space="preserve">64%</w:t>
      </w:r>
      <w:r>
        <w:t xml:space="preserve"> </w:t>
      </w:r>
      <w:r>
        <w:t xml:space="preserve">22</w:t>
      </w:r>
      <w:r>
        <w:t xml:space="preserve"> </w:t>
      </w:r>
      <w:r>
        <w:t xml:space="preserve">-10</w:t>
      </w:r>
      <w:r>
        <w:t xml:space="preserve"> </w:t>
      </w:r>
      <w:r>
        <w:t xml:space="preserve">-409</w:t>
      </w:r>
      <w:r>
        <w:t xml:space="preserve"> </w:t>
      </w:r>
      <w:r>
        <w:t xml:space="preserve">-48</w:t>
      </w:r>
      <w:r>
        <w:t xml:space="preserve"> </w:t>
      </w:r>
      <w:r>
        <w:t xml:space="preserve">2,077</w:t>
      </w:r>
      <w:r>
        <w:t xml:space="preserve"> </w:t>
      </w:r>
      <w:r>
        <w:t xml:space="preserve">7,703</w:t>
      </w:r>
    </w:p>
    <w:p>
      <w:pPr>
        <w:pStyle w:val="BodyText"/>
      </w:pPr>
      <w:r>
        <w:t xml:space="preserve">0%</w:t>
      </w:r>
      <w:r>
        <w:t xml:space="preserve"> </w:t>
      </w:r>
      <w:r>
        <w:t xml:space="preserve">-9%</w:t>
      </w:r>
      <w:r>
        <w:t xml:space="preserve"> </w:t>
      </w:r>
      <w:r>
        <w:t xml:space="preserve">-1%</w:t>
      </w:r>
      <w:r>
        <w:t xml:space="preserve"> </w:t>
      </w:r>
      <w:r>
        <w:t xml:space="preserve">22%</w:t>
      </w:r>
      <w:r>
        <w:t xml:space="preserve"> </w:t>
      </w:r>
      <w:r>
        <w:t xml:space="preserve">64%</w:t>
      </w:r>
      <w:r>
        <w:t xml:space="preserve"> </w:t>
      </w:r>
      <w:r>
        <w:t xml:space="preserve">23</w:t>
      </w:r>
      <w:r>
        <w:t xml:space="preserve"> </w:t>
      </w:r>
      <w:r>
        <w:t xml:space="preserve">35</w:t>
      </w:r>
      <w:r>
        <w:t xml:space="preserve"> </w:t>
      </w:r>
      <w:r>
        <w:t xml:space="preserve">-382</w:t>
      </w:r>
      <w:r>
        <w:t xml:space="preserve"> </w:t>
      </w:r>
      <w:r>
        <w:t xml:space="preserve">-4</w:t>
      </w:r>
      <w:r>
        <w:t xml:space="preserve"> </w:t>
      </w:r>
      <w:r>
        <w:t xml:space="preserve">2,217</w:t>
      </w:r>
      <w:r>
        <w:t xml:space="preserve"> </w:t>
      </w:r>
      <w:r>
        <w:t xml:space="preserve">8,099</w:t>
      </w:r>
    </w:p>
    <w:p>
      <w:pPr>
        <w:pStyle w:val="BodyText"/>
      </w:pPr>
      <w:r>
        <w:t xml:space="preserve">1%</w:t>
      </w:r>
      <w:r>
        <w:t xml:space="preserve"> </w:t>
      </w:r>
      <w:r>
        <w:t xml:space="preserve">-8%</w:t>
      </w:r>
      <w:r>
        <w:t xml:space="preserve"> </w:t>
      </w:r>
      <w:r>
        <w:t xml:space="preserve">0%</w:t>
      </w:r>
      <w:r>
        <w:t xml:space="preserve"> </w:t>
      </w:r>
      <w:r>
        <w:t xml:space="preserve">23%</w:t>
      </w:r>
      <w:r>
        <w:t xml:space="preserve"> </w:t>
      </w:r>
      <w:r>
        <w:t xml:space="preserve">65%</w:t>
      </w:r>
      <w:r>
        <w:t xml:space="preserve"> </w:t>
      </w:r>
      <w:r>
        <w:t xml:space="preserve">24</w:t>
      </w:r>
      <w:r>
        <w:t xml:space="preserve"> </w:t>
      </w:r>
      <w:r>
        <w:t xml:space="preserve">80</w:t>
      </w:r>
      <w:r>
        <w:t xml:space="preserve"> </w:t>
      </w:r>
      <w:r>
        <w:t xml:space="preserve">-355</w:t>
      </w:r>
      <w:r>
        <w:t xml:space="preserve"> </w:t>
      </w:r>
      <w:r>
        <w:t xml:space="preserve">39</w:t>
      </w:r>
      <w:r>
        <w:t xml:space="preserve"> </w:t>
      </w:r>
      <w:r>
        <w:t xml:space="preserve">2,357</w:t>
      </w:r>
      <w:r>
        <w:t xml:space="preserve"> </w:t>
      </w:r>
      <w:r>
        <w:t xml:space="preserve">8,495</w:t>
      </w:r>
    </w:p>
    <w:p>
      <w:pPr>
        <w:pStyle w:val="BodyText"/>
      </w:pPr>
      <w:r>
        <w:t xml:space="preserve">3%</w:t>
      </w:r>
      <w:r>
        <w:t xml:space="preserve"> </w:t>
      </w:r>
      <w:r>
        <w:t xml:space="preserve">-7%</w:t>
      </w:r>
      <w:r>
        <w:t xml:space="preserve"> </w:t>
      </w:r>
      <w:r>
        <w:t xml:space="preserve">1%</w:t>
      </w:r>
      <w:r>
        <w:t xml:space="preserve"> </w:t>
      </w:r>
      <w:r>
        <w:t xml:space="preserve">23%</w:t>
      </w:r>
      <w:r>
        <w:t xml:space="preserve"> </w:t>
      </w:r>
      <w:r>
        <w:t xml:space="preserve">66%</w:t>
      </w:r>
      <w:r>
        <w:t xml:space="preserve"> </w:t>
      </w:r>
      <w:r>
        <w:t xml:space="preserve">25</w:t>
      </w:r>
      <w:r>
        <w:t xml:space="preserve"> </w:t>
      </w:r>
      <w:r>
        <w:t xml:space="preserve">125</w:t>
      </w:r>
      <w:r>
        <w:t xml:space="preserve"> </w:t>
      </w:r>
      <w:r>
        <w:t xml:space="preserve">-328</w:t>
      </w:r>
      <w:r>
        <w:t xml:space="preserve"> </w:t>
      </w:r>
      <w:r>
        <w:t xml:space="preserve">82</w:t>
      </w:r>
      <w:r>
        <w:t xml:space="preserve"> </w:t>
      </w:r>
      <w:r>
        <w:t xml:space="preserve">2,497</w:t>
      </w:r>
      <w:r>
        <w:t xml:space="preserve"> </w:t>
      </w:r>
      <w:r>
        <w:t xml:space="preserve">8,890</w:t>
      </w:r>
    </w:p>
    <w:p>
      <w:pPr>
        <w:pStyle w:val="BodyText"/>
      </w:pPr>
      <w:r>
        <w:t xml:space="preserve">4%</w:t>
      </w:r>
      <w:r>
        <w:t xml:space="preserve"> </w:t>
      </w:r>
      <w:r>
        <w:t xml:space="preserve">-6%</w:t>
      </w:r>
      <w:r>
        <w:t xml:space="preserve"> </w:t>
      </w:r>
      <w:r>
        <w:t xml:space="preserve">1%</w:t>
      </w:r>
      <w:r>
        <w:t xml:space="preserve"> </w:t>
      </w:r>
      <w:r>
        <w:t xml:space="preserve">24%</w:t>
      </w:r>
      <w:r>
        <w:t xml:space="preserve"> </w:t>
      </w:r>
      <w:r>
        <w:t xml:space="preserve">66%</w:t>
      </w:r>
      <w:r>
        <w:t xml:space="preserve"> </w:t>
      </w:r>
      <w:r>
        <w:t xml:space="preserve">26</w:t>
      </w:r>
      <w:r>
        <w:t xml:space="preserve"> </w:t>
      </w:r>
      <w:r>
        <w:t xml:space="preserve">170</w:t>
      </w:r>
      <w:r>
        <w:t xml:space="preserve"> </w:t>
      </w:r>
      <w:r>
        <w:t xml:space="preserve">-301</w:t>
      </w:r>
      <w:r>
        <w:t xml:space="preserve"> </w:t>
      </w:r>
      <w:r>
        <w:t xml:space="preserve">126</w:t>
      </w:r>
      <w:r>
        <w:t xml:space="preserve"> </w:t>
      </w:r>
      <w:r>
        <w:t xml:space="preserve">2,637</w:t>
      </w:r>
      <w:r>
        <w:t xml:space="preserve"> </w:t>
      </w:r>
      <w:r>
        <w:t xml:space="preserve">9,286</w:t>
      </w:r>
    </w:p>
    <w:p>
      <w:pPr>
        <w:pStyle w:val="BodyText"/>
      </w:pPr>
      <w:r>
        <w:t xml:space="preserve">5%</w:t>
      </w:r>
      <w:r>
        <w:t xml:space="preserve"> </w:t>
      </w:r>
      <w:r>
        <w:t xml:space="preserve">-6%</w:t>
      </w:r>
      <w:r>
        <w:t xml:space="preserve"> </w:t>
      </w:r>
      <w:r>
        <w:t xml:space="preserve">2%</w:t>
      </w:r>
      <w:r>
        <w:t xml:space="preserve"> </w:t>
      </w:r>
      <w:r>
        <w:t xml:space="preserve">24%</w:t>
      </w:r>
      <w:r>
        <w:t xml:space="preserve"> </w:t>
      </w:r>
      <w:r>
        <w:t xml:space="preserve">67%</w:t>
      </w:r>
      <w:r>
        <w:t xml:space="preserve"> </w:t>
      </w:r>
      <w:r>
        <w:t xml:space="preserve">27</w:t>
      </w:r>
      <w:r>
        <w:t xml:space="preserve"> </w:t>
      </w:r>
      <w:r>
        <w:t xml:space="preserve">215</w:t>
      </w:r>
      <w:r>
        <w:t xml:space="preserve"> </w:t>
      </w:r>
      <w:r>
        <w:t xml:space="preserve">-274</w:t>
      </w:r>
      <w:r>
        <w:t xml:space="preserve"> </w:t>
      </w:r>
      <w:r>
        <w:t xml:space="preserve">169</w:t>
      </w:r>
      <w:r>
        <w:t xml:space="preserve"> </w:t>
      </w:r>
      <w:r>
        <w:t xml:space="preserve">2,777</w:t>
      </w:r>
      <w:r>
        <w:t xml:space="preserve"> </w:t>
      </w:r>
      <w:r>
        <w:t xml:space="preserve">9,682</w:t>
      </w:r>
    </w:p>
    <w:p>
      <w:pPr>
        <w:pStyle w:val="BodyText"/>
      </w:pPr>
      <w:r>
        <w:t xml:space="preserve">7%</w:t>
      </w:r>
      <w:r>
        <w:t xml:space="preserve"> </w:t>
      </w:r>
      <w:r>
        <w:t xml:space="preserve">-5%</w:t>
      </w:r>
      <w:r>
        <w:t xml:space="preserve"> </w:t>
      </w:r>
      <w:r>
        <w:t xml:space="preserve">2%</w:t>
      </w:r>
      <w:r>
        <w:t xml:space="preserve"> </w:t>
      </w:r>
      <w:r>
        <w:t xml:space="preserve">25%</w:t>
      </w:r>
      <w:r>
        <w:t xml:space="preserve"> </w:t>
      </w:r>
      <w:r>
        <w:t xml:space="preserve">67%</w:t>
      </w:r>
      <w:r>
        <w:t xml:space="preserve"> </w:t>
      </w:r>
      <w:r>
        <w:t xml:space="preserve">28</w:t>
      </w:r>
      <w:r>
        <w:t xml:space="preserve"> </w:t>
      </w:r>
      <w:r>
        <w:t xml:space="preserve">260</w:t>
      </w:r>
      <w:r>
        <w:t xml:space="preserve"> </w:t>
      </w:r>
      <w:r>
        <w:t xml:space="preserve">-247</w:t>
      </w:r>
      <w:r>
        <w:t xml:space="preserve"> </w:t>
      </w:r>
      <w:r>
        <w:t xml:space="preserve">212</w:t>
      </w:r>
      <w:r>
        <w:t xml:space="preserve"> </w:t>
      </w:r>
      <w:r>
        <w:t xml:space="preserve">2,917</w:t>
      </w:r>
      <w:r>
        <w:t xml:space="preserve"> </w:t>
      </w:r>
      <w:r>
        <w:t xml:space="preserve">10,077</w:t>
      </w:r>
    </w:p>
    <w:p>
      <w:pPr>
        <w:pStyle w:val="BodyText"/>
      </w:pPr>
      <w:r>
        <w:t xml:space="preserve">8%</w:t>
      </w:r>
      <w:r>
        <w:t xml:space="preserve"> </w:t>
      </w:r>
      <w:r>
        <w:t xml:space="preserve">-4%</w:t>
      </w:r>
      <w:r>
        <w:t xml:space="preserve"> </w:t>
      </w:r>
      <w:r>
        <w:t xml:space="preserve">3%</w:t>
      </w:r>
      <w:r>
        <w:t xml:space="preserve"> </w:t>
      </w:r>
      <w:r>
        <w:t xml:space="preserve">25%</w:t>
      </w:r>
      <w:r>
        <w:t xml:space="preserve"> </w:t>
      </w:r>
      <w:r>
        <w:t xml:space="preserve">68%</w:t>
      </w:r>
      <w:r>
        <w:t xml:space="preserve"> </w:t>
      </w:r>
      <w:r>
        <w:t xml:space="preserve">29</w:t>
      </w:r>
      <w:r>
        <w:t xml:space="preserve"> </w:t>
      </w:r>
      <w:r>
        <w:t xml:space="preserve">305</w:t>
      </w:r>
      <w:r>
        <w:t xml:space="preserve"> </w:t>
      </w:r>
      <w:r>
        <w:t xml:space="preserve">-220</w:t>
      </w:r>
      <w:r>
        <w:t xml:space="preserve"> </w:t>
      </w:r>
      <w:r>
        <w:t xml:space="preserve">255</w:t>
      </w:r>
      <w:r>
        <w:t xml:space="preserve"> </w:t>
      </w:r>
      <w:r>
        <w:t xml:space="preserve">3,057</w:t>
      </w:r>
      <w:r>
        <w:t xml:space="preserve"> </w:t>
      </w:r>
      <w:r>
        <w:t xml:space="preserve">10,473</w:t>
      </w:r>
    </w:p>
    <w:p>
      <w:pPr>
        <w:pStyle w:val="BodyText"/>
      </w:pPr>
      <w:r>
        <w:t xml:space="preserve">9%</w:t>
      </w:r>
      <w:r>
        <w:t xml:space="preserve"> </w:t>
      </w:r>
      <w:r>
        <w:t xml:space="preserve">-4%</w:t>
      </w:r>
      <w:r>
        <w:t xml:space="preserve"> </w:t>
      </w:r>
      <w:r>
        <w:t xml:space="preserve">3%</w:t>
      </w:r>
      <w:r>
        <w:t xml:space="preserve"> </w:t>
      </w:r>
      <w:r>
        <w:t xml:space="preserve">26%</w:t>
      </w:r>
      <w:r>
        <w:t xml:space="preserve"> </w:t>
      </w:r>
      <w:r>
        <w:t xml:space="preserve">68%</w:t>
      </w:r>
      <w:r>
        <w:t xml:space="preserve"> </w:t>
      </w:r>
      <w:r>
        <w:t xml:space="preserve">30</w:t>
      </w:r>
      <w:r>
        <w:t xml:space="preserve"> </w:t>
      </w:r>
      <w:r>
        <w:t xml:space="preserve">350</w:t>
      </w:r>
      <w:r>
        <w:t xml:space="preserve"> </w:t>
      </w:r>
      <w:r>
        <w:t xml:space="preserve">-193</w:t>
      </w:r>
      <w:r>
        <w:t xml:space="preserve"> </w:t>
      </w:r>
      <w:r>
        <w:t xml:space="preserve">299</w:t>
      </w:r>
      <w:r>
        <w:t xml:space="preserve"> </w:t>
      </w:r>
      <w:r>
        <w:t xml:space="preserve">3,197</w:t>
      </w:r>
      <w:r>
        <w:t xml:space="preserve"> </w:t>
      </w:r>
      <w:r>
        <w:t xml:space="preserve">10,868</w:t>
      </w:r>
    </w:p>
    <w:p>
      <w:pPr>
        <w:pStyle w:val="BodyText"/>
      </w:pPr>
      <w:r>
        <w:t xml:space="preserve">10%</w:t>
      </w:r>
      <w:r>
        <w:t xml:space="preserve"> </w:t>
      </w:r>
      <w:r>
        <w:t xml:space="preserve">-3%</w:t>
      </w:r>
      <w:r>
        <w:t xml:space="preserve"> </w:t>
      </w:r>
      <w:r>
        <w:t xml:space="preserve">3%</w:t>
      </w:r>
      <w:r>
        <w:t xml:space="preserve"> </w:t>
      </w:r>
      <w:r>
        <w:t xml:space="preserve">26%</w:t>
      </w:r>
      <w:r>
        <w:t xml:space="preserve"> </w:t>
      </w:r>
      <w:r>
        <w:t xml:space="preserve">68%</w:t>
      </w:r>
      <w:r>
        <w:t xml:space="preserve"> </w:t>
      </w:r>
      <w:r>
        <w:t xml:space="preserve">31</w:t>
      </w:r>
      <w:r>
        <w:t xml:space="preserve"> </w:t>
      </w:r>
      <w:r>
        <w:t xml:space="preserve">395</w:t>
      </w:r>
      <w:r>
        <w:t xml:space="preserve"> </w:t>
      </w:r>
      <w:r>
        <w:t xml:space="preserve">-167</w:t>
      </w:r>
      <w:r>
        <w:t xml:space="preserve"> </w:t>
      </w:r>
      <w:r>
        <w:t xml:space="preserve">342</w:t>
      </w:r>
      <w:r>
        <w:t xml:space="preserve"> </w:t>
      </w:r>
      <w:r>
        <w:t xml:space="preserve">3,336</w:t>
      </w:r>
      <w:r>
        <w:t xml:space="preserve"> </w:t>
      </w:r>
      <w:r>
        <w:t xml:space="preserve">11,264</w:t>
      </w:r>
    </w:p>
    <w:p>
      <w:pPr>
        <w:pStyle w:val="BodyText"/>
      </w:pPr>
      <w:r>
        <w:t xml:space="preserve">11%</w:t>
      </w:r>
      <w:r>
        <w:t xml:space="preserve"> </w:t>
      </w:r>
      <w:r>
        <w:t xml:space="preserve">-3%</w:t>
      </w:r>
      <w:r>
        <w:t xml:space="preserve"> </w:t>
      </w:r>
      <w:r>
        <w:t xml:space="preserve">4%</w:t>
      </w:r>
      <w:r>
        <w:t xml:space="preserve"> </w:t>
      </w:r>
      <w:r>
        <w:t xml:space="preserve">26%</w:t>
      </w:r>
      <w:r>
        <w:t xml:space="preserve"> </w:t>
      </w:r>
      <w:r>
        <w:t xml:space="preserve">69%</w:t>
      </w:r>
      <w:r>
        <w:t xml:space="preserve"> </w:t>
      </w:r>
      <w:r>
        <w:t xml:space="preserve">32</w:t>
      </w:r>
      <w:r>
        <w:t xml:space="preserve"> </w:t>
      </w:r>
      <w:r>
        <w:t xml:space="preserve">440</w:t>
      </w:r>
      <w:r>
        <w:t xml:space="preserve"> </w:t>
      </w:r>
      <w:r>
        <w:t xml:space="preserve">-140</w:t>
      </w:r>
      <w:r>
        <w:t xml:space="preserve"> </w:t>
      </w:r>
      <w:r>
        <w:t xml:space="preserve">385</w:t>
      </w:r>
      <w:r>
        <w:t xml:space="preserve"> </w:t>
      </w:r>
      <w:r>
        <w:t xml:space="preserve">3,476</w:t>
      </w:r>
      <w:r>
        <w:t xml:space="preserve"> </w:t>
      </w:r>
      <w:r>
        <w:t xml:space="preserve">11,660</w:t>
      </w:r>
    </w:p>
    <w:p>
      <w:pPr>
        <w:pStyle w:val="BodyText"/>
      </w:pPr>
      <w:r>
        <w:t xml:space="preserve">12%</w:t>
      </w:r>
      <w:r>
        <w:t xml:space="preserve"> </w:t>
      </w:r>
      <w:r>
        <w:t xml:space="preserve">-2%</w:t>
      </w:r>
      <w:r>
        <w:t xml:space="preserve"> </w:t>
      </w:r>
      <w:r>
        <w:t xml:space="preserve">4%</w:t>
      </w:r>
      <w:r>
        <w:t xml:space="preserve"> </w:t>
      </w:r>
      <w:r>
        <w:t xml:space="preserve">27%</w:t>
      </w:r>
      <w:r>
        <w:t xml:space="preserve"> </w:t>
      </w:r>
      <w:r>
        <w:t xml:space="preserve">69%</w:t>
      </w:r>
      <w:r>
        <w:t xml:space="preserve"> </w:t>
      </w:r>
      <w:r>
        <w:t xml:space="preserve">33</w:t>
      </w:r>
      <w:r>
        <w:t xml:space="preserve"> </w:t>
      </w:r>
      <w:r>
        <w:t xml:space="preserve">485</w:t>
      </w:r>
      <w:r>
        <w:t xml:space="preserve"> </w:t>
      </w:r>
      <w:r>
        <w:t xml:space="preserve">-113</w:t>
      </w:r>
      <w:r>
        <w:t xml:space="preserve"> </w:t>
      </w:r>
      <w:r>
        <w:t xml:space="preserve">429</w:t>
      </w:r>
      <w:r>
        <w:t xml:space="preserve"> </w:t>
      </w:r>
      <w:r>
        <w:t xml:space="preserve">3,616</w:t>
      </w:r>
      <w:r>
        <w:t xml:space="preserve"> </w:t>
      </w:r>
      <w:r>
        <w:t xml:space="preserve">12,055</w:t>
      </w:r>
    </w:p>
    <w:p>
      <w:pPr>
        <w:pStyle w:val="BodyText"/>
      </w:pPr>
      <w:r>
        <w:t xml:space="preserve">13%</w:t>
      </w:r>
      <w:r>
        <w:t xml:space="preserve"> </w:t>
      </w:r>
      <w:r>
        <w:t xml:space="preserve">-2%</w:t>
      </w:r>
      <w:r>
        <w:t xml:space="preserve"> </w:t>
      </w:r>
      <w:r>
        <w:t xml:space="preserve">4%</w:t>
      </w:r>
      <w:r>
        <w:t xml:space="preserve"> </w:t>
      </w:r>
      <w:r>
        <w:t xml:space="preserve">27%</w:t>
      </w:r>
      <w:r>
        <w:t xml:space="preserve"> </w:t>
      </w:r>
      <w:r>
        <w:t xml:space="preserve">69%</w:t>
      </w:r>
      <w:r>
        <w:t xml:space="preserve"> </w:t>
      </w:r>
      <w:r>
        <w:t xml:space="preserve">34</w:t>
      </w:r>
      <w:r>
        <w:t xml:space="preserve"> </w:t>
      </w:r>
      <w:r>
        <w:t xml:space="preserve">530</w:t>
      </w:r>
      <w:r>
        <w:t xml:space="preserve"> </w:t>
      </w:r>
      <w:r>
        <w:t xml:space="preserve">-86</w:t>
      </w:r>
      <w:r>
        <w:t xml:space="preserve"> </w:t>
      </w:r>
      <w:r>
        <w:t xml:space="preserve">472</w:t>
      </w:r>
      <w:r>
        <w:t xml:space="preserve"> </w:t>
      </w:r>
      <w:r>
        <w:t xml:space="preserve">3,756</w:t>
      </w:r>
      <w:r>
        <w:t xml:space="preserve"> </w:t>
      </w:r>
      <w:r>
        <w:t xml:space="preserve">12,451</w:t>
      </w:r>
    </w:p>
    <w:p>
      <w:pPr>
        <w:pStyle w:val="BodyText"/>
      </w:pPr>
      <w:r>
        <w:t xml:space="preserve">14%</w:t>
      </w:r>
      <w:r>
        <w:t xml:space="preserve"> </w:t>
      </w:r>
      <w:r>
        <w:t xml:space="preserve">-1%</w:t>
      </w:r>
      <w:r>
        <w:t xml:space="preserve"> </w:t>
      </w:r>
      <w:r>
        <w:t xml:space="preserve">5%</w:t>
      </w:r>
      <w:r>
        <w:t xml:space="preserve"> </w:t>
      </w:r>
      <w:r>
        <w:t xml:space="preserve">27%</w:t>
      </w:r>
      <w:r>
        <w:t xml:space="preserve"> </w:t>
      </w:r>
      <w:r>
        <w:t xml:space="preserve">70%</w:t>
      </w:r>
      <w:r>
        <w:t xml:space="preserve"> </w:t>
      </w:r>
      <w:r>
        <w:t xml:space="preserve">35</w:t>
      </w:r>
      <w:r>
        <w:t xml:space="preserve"> </w:t>
      </w:r>
      <w:r>
        <w:t xml:space="preserve">575</w:t>
      </w:r>
      <w:r>
        <w:t xml:space="preserve"> </w:t>
      </w:r>
      <w:r>
        <w:t xml:space="preserve">-59</w:t>
      </w:r>
      <w:r>
        <w:t xml:space="preserve"> </w:t>
      </w:r>
      <w:r>
        <w:t xml:space="preserve">515</w:t>
      </w:r>
      <w:r>
        <w:t xml:space="preserve"> </w:t>
      </w:r>
      <w:r>
        <w:t xml:space="preserve">3,896</w:t>
      </w:r>
      <w:r>
        <w:t xml:space="preserve"> </w:t>
      </w:r>
      <w:r>
        <w:t xml:space="preserve">12,846</w:t>
      </w:r>
    </w:p>
    <w:p>
      <w:pPr>
        <w:pStyle w:val="BodyText"/>
      </w:pPr>
      <w:r>
        <w:t xml:space="preserve">15%</w:t>
      </w:r>
      <w:r>
        <w:t xml:space="preserve"> </w:t>
      </w:r>
      <w:r>
        <w:t xml:space="preserve">-1%</w:t>
      </w:r>
      <w:r>
        <w:t xml:space="preserve"> </w:t>
      </w:r>
      <w:r>
        <w:t xml:space="preserve">5%</w:t>
      </w:r>
      <w:r>
        <w:t xml:space="preserve"> </w:t>
      </w:r>
      <w:r>
        <w:t xml:space="preserve">28%</w:t>
      </w:r>
      <w:r>
        <w:t xml:space="preserve"> </w:t>
      </w:r>
      <w:r>
        <w:t xml:space="preserve">70%</w:t>
      </w:r>
      <w:r>
        <w:t xml:space="preserve"> </w:t>
      </w:r>
      <w:r>
        <w:t xml:space="preserve">36</w:t>
      </w:r>
      <w:r>
        <w:t xml:space="preserve"> </w:t>
      </w:r>
      <w:r>
        <w:t xml:space="preserve">620</w:t>
      </w:r>
      <w:r>
        <w:t xml:space="preserve"> </w:t>
      </w:r>
      <w:r>
        <w:t xml:space="preserve">-32</w:t>
      </w:r>
      <w:r>
        <w:t xml:space="preserve"> </w:t>
      </w:r>
      <w:r>
        <w:t xml:space="preserve">559</w:t>
      </w:r>
      <w:r>
        <w:t xml:space="preserve"> </w:t>
      </w:r>
      <w:r>
        <w:t xml:space="preserve">4,036</w:t>
      </w:r>
      <w:r>
        <w:t xml:space="preserve"> </w:t>
      </w:r>
      <w:r>
        <w:t xml:space="preserve">13,242</w:t>
      </w:r>
    </w:p>
    <w:p>
      <w:pPr>
        <w:pStyle w:val="BodyText"/>
      </w:pPr>
      <w:r>
        <w:t xml:space="preserve">15%</w:t>
      </w:r>
      <w:r>
        <w:t xml:space="preserve"> </w:t>
      </w:r>
      <w:r>
        <w:t xml:space="preserve">0%</w:t>
      </w:r>
      <w:r>
        <w:t xml:space="preserve"> </w:t>
      </w:r>
      <w:r>
        <w:t xml:space="preserve">5%</w:t>
      </w:r>
      <w:r>
        <w:t xml:space="preserve"> </w:t>
      </w:r>
      <w:r>
        <w:t xml:space="preserve">28%</w:t>
      </w:r>
      <w:r>
        <w:t xml:space="preserve"> </w:t>
      </w:r>
      <w:r>
        <w:t xml:space="preserve">70%</w:t>
      </w:r>
      <w:r>
        <w:t xml:space="preserve"> </w:t>
      </w:r>
      <w:r>
        <w:t xml:space="preserve">37</w:t>
      </w:r>
      <w:r>
        <w:t xml:space="preserve"> </w:t>
      </w:r>
      <w:r>
        <w:t xml:space="preserve">665</w:t>
      </w:r>
      <w:r>
        <w:t xml:space="preserve"> </w:t>
      </w:r>
      <w:r>
        <w:t xml:space="preserve">-5</w:t>
      </w:r>
      <w:r>
        <w:t xml:space="preserve"> </w:t>
      </w:r>
      <w:r>
        <w:t xml:space="preserve">602</w:t>
      </w:r>
      <w:r>
        <w:t xml:space="preserve"> </w:t>
      </w:r>
      <w:r>
        <w:t xml:space="preserve">4,176</w:t>
      </w:r>
      <w:r>
        <w:t xml:space="preserve"> </w:t>
      </w:r>
      <w:r>
        <w:t xml:space="preserve">13,638</w:t>
      </w:r>
    </w:p>
    <w:p>
      <w:pPr>
        <w:pStyle w:val="BodyText"/>
      </w:pPr>
      <w:r>
        <w:t xml:space="preserve">16%</w:t>
      </w:r>
      <w:r>
        <w:t xml:space="preserve"> </w:t>
      </w:r>
      <w:r>
        <w:t xml:space="preserve">0%</w:t>
      </w:r>
      <w:r>
        <w:t xml:space="preserve"> </w:t>
      </w:r>
      <w:r>
        <w:t xml:space="preserve">6%</w:t>
      </w:r>
      <w:r>
        <w:t xml:space="preserve"> </w:t>
      </w:r>
      <w:r>
        <w:t xml:space="preserve">28%</w:t>
      </w:r>
      <w:r>
        <w:t xml:space="preserve"> </w:t>
      </w:r>
      <w:r>
        <w:t xml:space="preserve">70%</w:t>
      </w:r>
      <w:r>
        <w:t xml:space="preserve"> </w:t>
      </w:r>
      <w:r>
        <w:t xml:space="preserve">38</w:t>
      </w:r>
      <w:r>
        <w:t xml:space="preserve"> </w:t>
      </w:r>
      <w:r>
        <w:t xml:space="preserve">710</w:t>
      </w:r>
      <w:r>
        <w:t xml:space="preserve"> </w:t>
      </w:r>
      <w:r>
        <w:t xml:space="preserve">22</w:t>
      </w:r>
      <w:r>
        <w:t xml:space="preserve"> </w:t>
      </w:r>
      <w:r>
        <w:t xml:space="preserve">645</w:t>
      </w:r>
      <w:r>
        <w:t xml:space="preserve"> </w:t>
      </w:r>
      <w:r>
        <w:t xml:space="preserve">4,316</w:t>
      </w:r>
      <w:r>
        <w:t xml:space="preserve"> </w:t>
      </w:r>
      <w:r>
        <w:t xml:space="preserve">14,033</w:t>
      </w:r>
    </w:p>
    <w:p>
      <w:pPr>
        <w:pStyle w:val="BodyText"/>
      </w:pPr>
      <w:r>
        <w:t xml:space="preserve">17%</w:t>
      </w:r>
      <w:r>
        <w:t xml:space="preserve"> </w:t>
      </w:r>
      <w:r>
        <w:t xml:space="preserve">0%</w:t>
      </w:r>
      <w:r>
        <w:t xml:space="preserve"> </w:t>
      </w:r>
      <w:r>
        <w:t xml:space="preserve">6%</w:t>
      </w:r>
      <w:r>
        <w:t xml:space="preserve"> </w:t>
      </w:r>
      <w:r>
        <w:t xml:space="preserve">28%</w:t>
      </w:r>
      <w:r>
        <w:t xml:space="preserve"> </w:t>
      </w:r>
      <w:r>
        <w:t xml:space="preserve">71%</w:t>
      </w:r>
      <w:r>
        <w:t xml:space="preserve"> </w:t>
      </w:r>
      <w:r>
        <w:t xml:space="preserve">39</w:t>
      </w:r>
      <w:r>
        <w:t xml:space="preserve"> </w:t>
      </w:r>
      <w:r>
        <w:t xml:space="preserve">755</w:t>
      </w:r>
      <w:r>
        <w:t xml:space="preserve"> </w:t>
      </w:r>
      <w:r>
        <w:t xml:space="preserve">49</w:t>
      </w:r>
      <w:r>
        <w:t xml:space="preserve"> </w:t>
      </w:r>
      <w:r>
        <w:t xml:space="preserve">688</w:t>
      </w:r>
      <w:r>
        <w:t xml:space="preserve"> </w:t>
      </w:r>
      <w:r>
        <w:t xml:space="preserve">4,455</w:t>
      </w:r>
      <w:r>
        <w:t xml:space="preserve"> </w:t>
      </w:r>
      <w:r>
        <w:t xml:space="preserve">14,429</w:t>
      </w:r>
    </w:p>
    <w:p>
      <w:pPr>
        <w:pStyle w:val="BodyText"/>
      </w:pPr>
      <w:r>
        <w:t xml:space="preserve">18%</w:t>
      </w:r>
      <w:r>
        <w:t xml:space="preserve"> </w:t>
      </w:r>
      <w:r>
        <w:t xml:space="preserve">1%</w:t>
      </w:r>
      <w:r>
        <w:t xml:space="preserve"> </w:t>
      </w:r>
      <w:r>
        <w:t xml:space="preserve">6%</w:t>
      </w:r>
      <w:r>
        <w:t xml:space="preserve"> </w:t>
      </w:r>
      <w:r>
        <w:t xml:space="preserve">29%</w:t>
      </w:r>
      <w:r>
        <w:t xml:space="preserve"> </w:t>
      </w:r>
      <w:r>
        <w:t xml:space="preserve">71%</w:t>
      </w:r>
      <w:r>
        <w:t xml:space="preserve"> </w:t>
      </w:r>
      <w:r>
        <w:t xml:space="preserve">40</w:t>
      </w:r>
      <w:r>
        <w:t xml:space="preserve"> </w:t>
      </w:r>
      <w:r>
        <w:t xml:space="preserve">800</w:t>
      </w:r>
      <w:r>
        <w:t xml:space="preserve"> </w:t>
      </w:r>
      <w:r>
        <w:t xml:space="preserve">75</w:t>
      </w:r>
      <w:r>
        <w:t xml:space="preserve"> </w:t>
      </w:r>
      <w:r>
        <w:t xml:space="preserve">732</w:t>
      </w:r>
      <w:r>
        <w:t xml:space="preserve"> </w:t>
      </w:r>
      <w:r>
        <w:t xml:space="preserve">4,595</w:t>
      </w:r>
      <w:r>
        <w:t xml:space="preserve"> </w:t>
      </w:r>
      <w:r>
        <w:t xml:space="preserve">14,825</w:t>
      </w:r>
    </w:p>
    <w:p>
      <w:pPr>
        <w:pStyle w:val="BodyText"/>
      </w:pPr>
      <w:r>
        <w:t xml:space="preserve">18%</w:t>
      </w:r>
      <w:r>
        <w:t xml:space="preserve"> </w:t>
      </w:r>
      <w:r>
        <w:t xml:space="preserve">1%</w:t>
      </w:r>
      <w:r>
        <w:t xml:space="preserve"> </w:t>
      </w:r>
      <w:r>
        <w:t xml:space="preserve">6%</w:t>
      </w:r>
      <w:r>
        <w:t xml:space="preserve"> </w:t>
      </w:r>
      <w:r>
        <w:t xml:space="preserve">29%</w:t>
      </w:r>
      <w:r>
        <w:t xml:space="preserve"> </w:t>
      </w:r>
      <w:r>
        <w:t xml:space="preserve">71%</w:t>
      </w:r>
      <w:r>
        <w:t xml:space="preserve"> </w:t>
      </w:r>
      <w:r>
        <w:t xml:space="preserve">41</w:t>
      </w:r>
      <w:r>
        <w:t xml:space="preserve"> </w:t>
      </w:r>
      <w:r>
        <w:t xml:space="preserve">845</w:t>
      </w:r>
      <w:r>
        <w:t xml:space="preserve"> </w:t>
      </w:r>
      <w:r>
        <w:t xml:space="preserve">102</w:t>
      </w:r>
      <w:r>
        <w:t xml:space="preserve"> </w:t>
      </w:r>
      <w:r>
        <w:t xml:space="preserve">775</w:t>
      </w:r>
      <w:r>
        <w:t xml:space="preserve"> </w:t>
      </w:r>
      <w:r>
        <w:t xml:space="preserve">4,735</w:t>
      </w:r>
      <w:r>
        <w:t xml:space="preserve"> </w:t>
      </w:r>
      <w:r>
        <w:t xml:space="preserve">15,220</w:t>
      </w:r>
    </w:p>
    <w:p>
      <w:pPr>
        <w:pStyle w:val="BodyText"/>
      </w:pPr>
      <w:r>
        <w:t xml:space="preserve">19%</w:t>
      </w:r>
      <w:r>
        <w:t xml:space="preserve"> </w:t>
      </w:r>
      <w:r>
        <w:t xml:space="preserve">1%</w:t>
      </w:r>
      <w:r>
        <w:t xml:space="preserve"> </w:t>
      </w:r>
      <w:r>
        <w:t xml:space="preserve">7%</w:t>
      </w:r>
      <w:r>
        <w:t xml:space="preserve"> </w:t>
      </w:r>
      <w:r>
        <w:t xml:space="preserve">29%</w:t>
      </w:r>
      <w:r>
        <w:t xml:space="preserve"> </w:t>
      </w:r>
      <w:r>
        <w:t xml:space="preserve">71%</w:t>
      </w:r>
      <w:r>
        <w:t xml:space="preserve"> </w:t>
      </w:r>
      <w:r>
        <w:t xml:space="preserve">42</w:t>
      </w:r>
      <w:r>
        <w:t xml:space="preserve"> </w:t>
      </w:r>
      <w:r>
        <w:t xml:space="preserve">890</w:t>
      </w:r>
      <w:r>
        <w:t xml:space="preserve"> </w:t>
      </w:r>
      <w:r>
        <w:t xml:space="preserve">129</w:t>
      </w:r>
      <w:r>
        <w:t xml:space="preserve"> </w:t>
      </w:r>
      <w:r>
        <w:t xml:space="preserve">818</w:t>
      </w:r>
      <w:r>
        <w:t xml:space="preserve"> </w:t>
      </w:r>
      <w:r>
        <w:t xml:space="preserve">4,875</w:t>
      </w:r>
      <w:r>
        <w:t xml:space="preserve"> </w:t>
      </w:r>
      <w:r>
        <w:t xml:space="preserve">15,616</w:t>
      </w:r>
    </w:p>
    <w:p>
      <w:pPr>
        <w:pStyle w:val="BodyText"/>
      </w:pPr>
      <w:r>
        <w:t xml:space="preserve">20%</w:t>
      </w:r>
      <w:r>
        <w:t xml:space="preserve"> </w:t>
      </w:r>
      <w:r>
        <w:t xml:space="preserve">2%</w:t>
      </w:r>
      <w:r>
        <w:t xml:space="preserve"> </w:t>
      </w:r>
      <w:r>
        <w:t xml:space="preserve">7%</w:t>
      </w:r>
      <w:r>
        <w:t xml:space="preserve"> </w:t>
      </w:r>
      <w:r>
        <w:t xml:space="preserve">29%</w:t>
      </w:r>
      <w:r>
        <w:t xml:space="preserve"> </w:t>
      </w:r>
      <w:r>
        <w:t xml:space="preserve">72%</w:t>
      </w:r>
      <w:r>
        <w:t xml:space="preserve"> </w:t>
      </w:r>
      <w:r>
        <w:t xml:space="preserve">43</w:t>
      </w:r>
      <w:r>
        <w:t xml:space="preserve"> </w:t>
      </w:r>
      <w:r>
        <w:t xml:space="preserve">935</w:t>
      </w:r>
      <w:r>
        <w:t xml:space="preserve"> </w:t>
      </w:r>
      <w:r>
        <w:t xml:space="preserve">156</w:t>
      </w:r>
      <w:r>
        <w:t xml:space="preserve"> </w:t>
      </w:r>
      <w:r>
        <w:t xml:space="preserve">862</w:t>
      </w:r>
      <w:r>
        <w:t xml:space="preserve"> </w:t>
      </w:r>
      <w:r>
        <w:t xml:space="preserve">5,015</w:t>
      </w:r>
      <w:r>
        <w:t xml:space="preserve"> </w:t>
      </w:r>
      <w:r>
        <w:t xml:space="preserve">16,011</w:t>
      </w:r>
    </w:p>
    <w:p>
      <w:pPr>
        <w:pStyle w:val="BodyText"/>
      </w:pPr>
      <w:r>
        <w:t xml:space="preserve">20%</w:t>
      </w:r>
      <w:r>
        <w:t xml:space="preserve"> </w:t>
      </w:r>
      <w:r>
        <w:t xml:space="preserve">2%</w:t>
      </w:r>
      <w:r>
        <w:t xml:space="preserve"> </w:t>
      </w:r>
      <w:r>
        <w:t xml:space="preserve">7%</w:t>
      </w:r>
      <w:r>
        <w:t xml:space="preserve"> </w:t>
      </w:r>
      <w:r>
        <w:t xml:space="preserve">29%</w:t>
      </w:r>
      <w:r>
        <w:t xml:space="preserve"> </w:t>
      </w:r>
      <w:r>
        <w:t xml:space="preserve">72%</w:t>
      </w:r>
      <w:r>
        <w:t xml:space="preserve"> </w:t>
      </w:r>
      <w:r>
        <w:t xml:space="preserve">44</w:t>
      </w:r>
      <w:r>
        <w:t xml:space="preserve"> </w:t>
      </w:r>
      <w:r>
        <w:t xml:space="preserve">980</w:t>
      </w:r>
      <w:r>
        <w:t xml:space="preserve"> </w:t>
      </w:r>
      <w:r>
        <w:t xml:space="preserve">183</w:t>
      </w:r>
      <w:r>
        <w:t xml:space="preserve"> </w:t>
      </w:r>
      <w:r>
        <w:t xml:space="preserve">905</w:t>
      </w:r>
      <w:r>
        <w:t xml:space="preserve"> </w:t>
      </w:r>
      <w:r>
        <w:t xml:space="preserve">5,155</w:t>
      </w:r>
      <w:r>
        <w:t xml:space="preserve"> </w:t>
      </w:r>
      <w:r>
        <w:t xml:space="preserve">16,407</w:t>
      </w:r>
    </w:p>
    <w:p>
      <w:pPr>
        <w:pStyle w:val="BodyText"/>
      </w:pPr>
      <w:r>
        <w:t xml:space="preserve">21%</w:t>
      </w:r>
      <w:r>
        <w:t xml:space="preserve"> </w:t>
      </w:r>
      <w:r>
        <w:t xml:space="preserve">2%</w:t>
      </w:r>
      <w:r>
        <w:t xml:space="preserve"> </w:t>
      </w:r>
      <w:r>
        <w:t xml:space="preserve">7%</w:t>
      </w:r>
      <w:r>
        <w:t xml:space="preserve"> </w:t>
      </w:r>
      <w:r>
        <w:t xml:space="preserve">30%</w:t>
      </w:r>
      <w:r>
        <w:t xml:space="preserve"> </w:t>
      </w:r>
      <w:r>
        <w:t xml:space="preserve">72%</w:t>
      </w:r>
      <w:r>
        <w:t xml:space="preserve"> </w:t>
      </w:r>
      <w:r>
        <w:t xml:space="preserve">45</w:t>
      </w:r>
      <w:r>
        <w:t xml:space="preserve"> </w:t>
      </w:r>
      <w:r>
        <w:t xml:space="preserve">1,025</w:t>
      </w:r>
      <w:r>
        <w:t xml:space="preserve"> </w:t>
      </w:r>
      <w:r>
        <w:t xml:space="preserve">210</w:t>
      </w:r>
      <w:r>
        <w:t xml:space="preserve"> </w:t>
      </w:r>
      <w:r>
        <w:t xml:space="preserve">948</w:t>
      </w:r>
      <w:r>
        <w:t xml:space="preserve"> </w:t>
      </w:r>
      <w:r>
        <w:t xml:space="preserve">5,295</w:t>
      </w:r>
      <w:r>
        <w:t xml:space="preserve"> </w:t>
      </w:r>
      <w:r>
        <w:t xml:space="preserve">16,803</w:t>
      </w:r>
    </w:p>
    <w:p>
      <w:pPr>
        <w:pStyle w:val="BodyText"/>
      </w:pPr>
      <w:r>
        <w:t xml:space="preserve">22%</w:t>
      </w:r>
      <w:r>
        <w:t xml:space="preserve"> </w:t>
      </w:r>
      <w:r>
        <w:t xml:space="preserve">3%</w:t>
      </w:r>
      <w:r>
        <w:t xml:space="preserve"> </w:t>
      </w:r>
      <w:r>
        <w:t xml:space="preserve">7%</w:t>
      </w:r>
      <w:r>
        <w:t xml:space="preserve"> </w:t>
      </w:r>
      <w:r>
        <w:t xml:space="preserve">30%</w:t>
      </w:r>
      <w:r>
        <w:t xml:space="preserve"> </w:t>
      </w:r>
      <w:r>
        <w:t xml:space="preserve">72%</w:t>
      </w:r>
      <w:r>
        <w:t xml:space="preserve"> </w:t>
      </w:r>
      <w:r>
        <w:t xml:space="preserve">46</w:t>
      </w:r>
      <w:r>
        <w:t xml:space="preserve"> </w:t>
      </w:r>
      <w:r>
        <w:t xml:space="preserve">1,070</w:t>
      </w:r>
      <w:r>
        <w:t xml:space="preserve"> </w:t>
      </w:r>
      <w:r>
        <w:t xml:space="preserve">237</w:t>
      </w:r>
      <w:r>
        <w:t xml:space="preserve"> </w:t>
      </w:r>
      <w:r>
        <w:t xml:space="preserve">991</w:t>
      </w:r>
      <w:r>
        <w:t xml:space="preserve"> </w:t>
      </w:r>
      <w:r>
        <w:t xml:space="preserve">5,435</w:t>
      </w:r>
      <w:r>
        <w:t xml:space="preserve"> </w:t>
      </w:r>
      <w:r>
        <w:t xml:space="preserve">17,198</w:t>
      </w:r>
    </w:p>
    <w:p>
      <w:pPr>
        <w:pStyle w:val="BodyText"/>
      </w:pPr>
      <w:r>
        <w:t xml:space="preserve">22%</w:t>
      </w:r>
      <w:r>
        <w:t xml:space="preserve"> </w:t>
      </w:r>
      <w:r>
        <w:t xml:space="preserve">3%</w:t>
      </w:r>
      <w:r>
        <w:t xml:space="preserve"> </w:t>
      </w:r>
      <w:r>
        <w:t xml:space="preserve">8%</w:t>
      </w:r>
      <w:r>
        <w:t xml:space="preserve"> </w:t>
      </w:r>
      <w:r>
        <w:t xml:space="preserve">30%</w:t>
      </w:r>
      <w:r>
        <w:t xml:space="preserve"> </w:t>
      </w:r>
      <w:r>
        <w:t xml:space="preserve">72%</w:t>
      </w:r>
      <w:r>
        <w:t xml:space="preserve"> </w:t>
      </w:r>
      <w:r>
        <w:t xml:space="preserve">47</w:t>
      </w:r>
      <w:r>
        <w:t xml:space="preserve"> </w:t>
      </w:r>
      <w:r>
        <w:t xml:space="preserve">1,115</w:t>
      </w:r>
      <w:r>
        <w:t xml:space="preserve"> </w:t>
      </w:r>
      <w:r>
        <w:t xml:space="preserve">264</w:t>
      </w:r>
      <w:r>
        <w:t xml:space="preserve"> </w:t>
      </w:r>
      <w:r>
        <w:t xml:space="preserve">1,035</w:t>
      </w:r>
      <w:r>
        <w:t xml:space="preserve"> </w:t>
      </w:r>
      <w:r>
        <w:t xml:space="preserve">5,575</w:t>
      </w:r>
      <w:r>
        <w:t xml:space="preserve"> </w:t>
      </w:r>
      <w:r>
        <w:t xml:space="preserve">17,594</w:t>
      </w:r>
    </w:p>
    <w:p>
      <w:pPr>
        <w:pStyle w:val="BodyText"/>
      </w:pPr>
      <w:r>
        <w:t xml:space="preserve">23%</w:t>
      </w:r>
      <w:r>
        <w:t xml:space="preserve"> </w:t>
      </w:r>
      <w:r>
        <w:t xml:space="preserve">3%</w:t>
      </w:r>
      <w:r>
        <w:t xml:space="preserve"> </w:t>
      </w:r>
      <w:r>
        <w:t xml:space="preserve">8%</w:t>
      </w:r>
      <w:r>
        <w:t xml:space="preserve"> </w:t>
      </w:r>
      <w:r>
        <w:t xml:space="preserve">30%</w:t>
      </w:r>
      <w:r>
        <w:t xml:space="preserve"> </w:t>
      </w:r>
      <w:r>
        <w:t xml:space="preserve">72%</w:t>
      </w:r>
      <w:r>
        <w:t xml:space="preserve"> </w:t>
      </w:r>
      <w:r>
        <w:t xml:space="preserve">48</w:t>
      </w:r>
      <w:r>
        <w:t xml:space="preserve"> </w:t>
      </w:r>
      <w:r>
        <w:t xml:space="preserve">1,160</w:t>
      </w:r>
      <w:r>
        <w:t xml:space="preserve"> </w:t>
      </w:r>
      <w:r>
        <w:t xml:space="preserve">290</w:t>
      </w:r>
      <w:r>
        <w:t xml:space="preserve"> </w:t>
      </w:r>
      <w:r>
        <w:t xml:space="preserve">1,078</w:t>
      </w:r>
      <w:r>
        <w:t xml:space="preserve"> </w:t>
      </w:r>
      <w:r>
        <w:t xml:space="preserve">5,714</w:t>
      </w:r>
      <w:r>
        <w:t xml:space="preserve"> </w:t>
      </w:r>
      <w:r>
        <w:t xml:space="preserve">17,989</w:t>
      </w:r>
    </w:p>
    <w:p>
      <w:pPr>
        <w:pStyle w:val="BodyText"/>
      </w:pPr>
      <w:r>
        <w:t xml:space="preserve">23%</w:t>
      </w:r>
      <w:r>
        <w:t xml:space="preserve"> </w:t>
      </w:r>
      <w:r>
        <w:t xml:space="preserve">3%</w:t>
      </w:r>
      <w:r>
        <w:t xml:space="preserve"> </w:t>
      </w:r>
      <w:r>
        <w:t xml:space="preserve">8%</w:t>
      </w:r>
      <w:r>
        <w:t xml:space="preserve"> </w:t>
      </w:r>
      <w:r>
        <w:t xml:space="preserve">30%</w:t>
      </w:r>
      <w:r>
        <w:t xml:space="preserve"> </w:t>
      </w:r>
      <w:r>
        <w:t xml:space="preserve">73%</w:t>
      </w:r>
      <w:r>
        <w:t xml:space="preserve"> </w:t>
      </w:r>
      <w:r>
        <w:t xml:space="preserve">49</w:t>
      </w:r>
      <w:r>
        <w:t xml:space="preserve"> </w:t>
      </w:r>
      <w:r>
        <w:t xml:space="preserve">1,205</w:t>
      </w:r>
      <w:r>
        <w:t xml:space="preserve"> </w:t>
      </w:r>
      <w:r>
        <w:t xml:space="preserve">317</w:t>
      </w:r>
      <w:r>
        <w:t xml:space="preserve"> </w:t>
      </w:r>
      <w:r>
        <w:t xml:space="preserve">1,121</w:t>
      </w:r>
      <w:r>
        <w:t xml:space="preserve"> </w:t>
      </w:r>
      <w:r>
        <w:t xml:space="preserve">5,854</w:t>
      </w:r>
      <w:r>
        <w:t xml:space="preserve"> </w:t>
      </w:r>
      <w:r>
        <w:t xml:space="preserve">18,385</w:t>
      </w:r>
    </w:p>
    <w:p>
      <w:pPr>
        <w:pStyle w:val="BodyText"/>
      </w:pPr>
      <w:r>
        <w:t xml:space="preserve">24%</w:t>
      </w:r>
      <w:r>
        <w:t xml:space="preserve"> </w:t>
      </w:r>
      <w:r>
        <w:t xml:space="preserve">4%</w:t>
      </w:r>
      <w:r>
        <w:t xml:space="preserve"> </w:t>
      </w:r>
      <w:r>
        <w:t xml:space="preserve">8%</w:t>
      </w:r>
      <w:r>
        <w:t xml:space="preserve"> </w:t>
      </w:r>
      <w:r>
        <w:t xml:space="preserve">30%</w:t>
      </w:r>
      <w:r>
        <w:t xml:space="preserve"> </w:t>
      </w:r>
      <w:r>
        <w:t xml:space="preserve">73%</w:t>
      </w:r>
      <w:r>
        <w:t xml:space="preserve"> </w:t>
      </w:r>
      <w:r>
        <w:t xml:space="preserve">50</w:t>
      </w:r>
      <w:r>
        <w:t xml:space="preserve"> </w:t>
      </w:r>
      <w:r>
        <w:t xml:space="preserve">1,250</w:t>
      </w:r>
      <w:r>
        <w:t xml:space="preserve"> </w:t>
      </w:r>
      <w:r>
        <w:t xml:space="preserve">344</w:t>
      </w:r>
      <w:r>
        <w:t xml:space="preserve"> </w:t>
      </w:r>
      <w:r>
        <w:t xml:space="preserve">1,165</w:t>
      </w:r>
      <w:r>
        <w:t xml:space="preserve"> </w:t>
      </w:r>
      <w:r>
        <w:t xml:space="preserve">5,994</w:t>
      </w:r>
      <w:r>
        <w:t xml:space="preserve"> </w:t>
      </w:r>
      <w:r>
        <w:t xml:space="preserve">18,781</w:t>
      </w:r>
    </w:p>
    <w:p>
      <w:pPr>
        <w:pStyle w:val="BodyText"/>
      </w:pPr>
      <w:r>
        <w:t xml:space="preserve">24%</w:t>
      </w:r>
      <w:r>
        <w:t xml:space="preserve"> </w:t>
      </w:r>
      <w:r>
        <w:t xml:space="preserve">4%</w:t>
      </w:r>
      <w:r>
        <w:t xml:space="preserve"> </w:t>
      </w:r>
      <w:r>
        <w:t xml:space="preserve">8%</w:t>
      </w:r>
      <w:r>
        <w:t xml:space="preserve"> </w:t>
      </w:r>
      <w:r>
        <w:t xml:space="preserve">30%</w:t>
      </w:r>
      <w:r>
        <w:t xml:space="preserve"> </w:t>
      </w:r>
      <w:r>
        <w:t xml:space="preserve">73%</w:t>
      </w:r>
      <w:r>
        <w:t xml:space="preserve"> </w:t>
      </w:r>
      <w:r>
        <w:t xml:space="preserve">Source: Own assessment, present value of future fees used as per Tab. A.9.4.</w:t>
      </w:r>
      <w:r>
        <w:br/>
      </w:r>
      <w:r>
        <w:t xml:space="preserve">In case Opt 3.1 is selected, those having one design per application (55%) will be able to</w:t>
      </w:r>
      <w:r>
        <w:t xml:space="preserve"> </w:t>
      </w:r>
      <w:r>
        <w:t xml:space="preserve">protect their designs at lower cost than currently for up to 20 years. Those with between 2</w:t>
      </w:r>
      <w:r>
        <w:t xml:space="preserve"> </w:t>
      </w:r>
      <w:r>
        <w:t xml:space="preserve">and 23 designs (43%) will be able to protect them at lower cost than currently for a</w:t>
      </w:r>
      <w:r>
        <w:t xml:space="preserve"> </w:t>
      </w:r>
      <w:r>
        <w:t xml:space="preserve">period of up to 15 years. Those with 24 to 37 designs (1%) will pay less for protection of</w:t>
      </w:r>
      <w:r>
        <w:t xml:space="preserve"> </w:t>
      </w:r>
      <w:r>
        <w:t xml:space="preserve">up to 10 years. The remaining 1% will pay more than currently.</w:t>
      </w:r>
      <w:r>
        <w:t xml:space="preserve"> </w:t>
      </w:r>
      <w:r>
        <w:t xml:space="preserve">Table A.9.6. Total cost difference of protection for a given period of time between Opt. 3.2 and current</w:t>
      </w:r>
      <w:r>
        <w:t xml:space="preserve"> </w:t>
      </w:r>
      <w:r>
        <w:t xml:space="preserve">fees. In present value in EUR (left) and as percentage of current fees (right).</w:t>
      </w:r>
    </w:p>
    <w:p>
      <w:pPr>
        <w:pStyle w:val="BodyText"/>
      </w:pPr>
      <w:r>
        <w:t xml:space="preserve">97</w:t>
      </w:r>
    </w:p>
    <w:p>
      <w:pPr>
        <w:pStyle w:val="BodyText"/>
      </w:pPr>
      <w:r>
        <w:t xml:space="preserve">5 yrs.</w:t>
      </w:r>
      <w:r>
        <w:t xml:space="preserve"> </w:t>
      </w:r>
      <w:r>
        <w:t xml:space="preserve">10 yrs.</w:t>
      </w:r>
      <w:r>
        <w:t xml:space="preserve"> </w:t>
      </w:r>
      <w:r>
        <w:t xml:space="preserve">15 yrs.</w:t>
      </w:r>
      <w:r>
        <w:t xml:space="preserve"> </w:t>
      </w:r>
      <w:r>
        <w:t xml:space="preserve">20 yrs.</w:t>
      </w:r>
      <w:r>
        <w:t xml:space="preserve"> </w:t>
      </w:r>
      <w:r>
        <w:t xml:space="preserve">25 yrs.</w:t>
      </w:r>
      <w:r>
        <w:t xml:space="preserve"> </w:t>
      </w:r>
      <w:r>
        <w:t xml:space="preserve">5 yrs.</w:t>
      </w:r>
      <w:r>
        <w:t xml:space="preserve"> </w:t>
      </w:r>
      <w:r>
        <w:t xml:space="preserve">10 yrs.</w:t>
      </w:r>
      <w:r>
        <w:t xml:space="preserve"> </w:t>
      </w:r>
      <w:r>
        <w:t xml:space="preserve">15 yrs.</w:t>
      </w:r>
      <w:r>
        <w:t xml:space="preserve"> </w:t>
      </w:r>
      <w:r>
        <w:t xml:space="preserve">20 yrs.</w:t>
      </w:r>
      <w:r>
        <w:t xml:space="preserve"> </w:t>
      </w:r>
      <w:r>
        <w:t xml:space="preserve">25 yrs.</w:t>
      </w:r>
      <w:r>
        <w:t xml:space="preserve"> </w:t>
      </w:r>
      <w:r>
        <w:t xml:space="preserve">1</w:t>
      </w:r>
      <w:r>
        <w:t xml:space="preserve"> </w:t>
      </w:r>
      <w:r>
        <w:t xml:space="preserve">-100</w:t>
      </w:r>
      <w:r>
        <w:t xml:space="preserve"> </w:t>
      </w:r>
      <w:r>
        <w:t xml:space="preserve">-109</w:t>
      </w:r>
      <w:r>
        <w:t xml:space="preserve"> </w:t>
      </w:r>
      <w:r>
        <w:t xml:space="preserve">-76</w:t>
      </w:r>
      <w:r>
        <w:t xml:space="preserve"> </w:t>
      </w:r>
      <w:r>
        <w:t xml:space="preserve">50</w:t>
      </w:r>
      <w:r>
        <w:t xml:space="preserve"> </w:t>
      </w:r>
      <w:r>
        <w:t xml:space="preserve">360</w:t>
      </w:r>
    </w:p>
    <w:p>
      <w:pPr>
        <w:pStyle w:val="BodyText"/>
      </w:pPr>
      <w:r>
        <w:t xml:space="preserve">-29%</w:t>
      </w:r>
      <w:r>
        <w:t xml:space="preserve"> </w:t>
      </w:r>
      <w:r>
        <w:t xml:space="preserve">-25%</w:t>
      </w:r>
      <w:r>
        <w:t xml:space="preserve"> </w:t>
      </w:r>
      <w:r>
        <w:t xml:space="preserve">-14%</w:t>
      </w:r>
      <w:r>
        <w:t xml:space="preserve"> </w:t>
      </w:r>
      <w:r>
        <w:t xml:space="preserve">8%</w:t>
      </w:r>
      <w:r>
        <w:t xml:space="preserve"> </w:t>
      </w:r>
      <w:r>
        <w:t xml:space="preserve">47%</w:t>
      </w:r>
      <w:r>
        <w:t xml:space="preserve"> </w:t>
      </w:r>
      <w:r>
        <w:t xml:space="preserve">2</w:t>
      </w:r>
      <w:r>
        <w:t xml:space="preserve"> </w:t>
      </w:r>
      <w:r>
        <w:t xml:space="preserve">-175</w:t>
      </w:r>
      <w:r>
        <w:t xml:space="preserve"> </w:t>
      </w:r>
      <w:r>
        <w:t xml:space="preserve">-193</w:t>
      </w:r>
      <w:r>
        <w:t xml:space="preserve"> </w:t>
      </w:r>
      <w:r>
        <w:t xml:space="preserve">-127</w:t>
      </w:r>
      <w:r>
        <w:t xml:space="preserve"> </w:t>
      </w:r>
      <w:r>
        <w:t xml:space="preserve">125</w:t>
      </w:r>
      <w:r>
        <w:t xml:space="preserve"> </w:t>
      </w:r>
      <w:r>
        <w:t xml:space="preserve">744</w:t>
      </w:r>
    </w:p>
    <w:p>
      <w:pPr>
        <w:pStyle w:val="BodyText"/>
      </w:pPr>
      <w:r>
        <w:t xml:space="preserve">-33%</w:t>
      </w:r>
      <w:r>
        <w:t xml:space="preserve"> </w:t>
      </w:r>
      <w:r>
        <w:t xml:space="preserve">-28%</w:t>
      </w:r>
      <w:r>
        <w:t xml:space="preserve"> </w:t>
      </w:r>
      <w:r>
        <w:t xml:space="preserve">-14%</w:t>
      </w:r>
      <w:r>
        <w:t xml:space="preserve"> </w:t>
      </w:r>
      <w:r>
        <w:t xml:space="preserve">11%</w:t>
      </w:r>
      <w:r>
        <w:t xml:space="preserve"> </w:t>
      </w:r>
      <w:r>
        <w:t xml:space="preserve">55%</w:t>
      </w:r>
      <w:r>
        <w:t xml:space="preserve"> </w:t>
      </w:r>
      <w:r>
        <w:t xml:space="preserve">3</w:t>
      </w:r>
      <w:r>
        <w:t xml:space="preserve"> </w:t>
      </w:r>
      <w:r>
        <w:t xml:space="preserve">-250</w:t>
      </w:r>
      <w:r>
        <w:t xml:space="preserve"> </w:t>
      </w:r>
      <w:r>
        <w:t xml:space="preserve">-277</w:t>
      </w:r>
      <w:r>
        <w:t xml:space="preserve"> </w:t>
      </w:r>
      <w:r>
        <w:t xml:space="preserve">-179</w:t>
      </w:r>
      <w:r>
        <w:t xml:space="preserve"> </w:t>
      </w:r>
      <w:r>
        <w:t xml:space="preserve">200</w:t>
      </w:r>
      <w:r>
        <w:t xml:space="preserve"> </w:t>
      </w:r>
      <w:r>
        <w:t xml:space="preserve">1,129</w:t>
      </w:r>
    </w:p>
    <w:p>
      <w:pPr>
        <w:pStyle w:val="BodyText"/>
      </w:pPr>
      <w:r>
        <w:t xml:space="preserve">-36%</w:t>
      </w:r>
      <w:r>
        <w:t xml:space="preserve"> </w:t>
      </w:r>
      <w:r>
        <w:t xml:space="preserve">-29%</w:t>
      </w:r>
      <w:r>
        <w:t xml:space="preserve"> </w:t>
      </w:r>
      <w:r>
        <w:t xml:space="preserve">-14%</w:t>
      </w:r>
      <w:r>
        <w:t xml:space="preserve"> </w:t>
      </w:r>
      <w:r>
        <w:t xml:space="preserve">13%</w:t>
      </w:r>
      <w:r>
        <w:t xml:space="preserve"> </w:t>
      </w:r>
      <w:r>
        <w:t xml:space="preserve">58%</w:t>
      </w:r>
      <w:r>
        <w:t xml:space="preserve"> </w:t>
      </w:r>
      <w:r>
        <w:t xml:space="preserve">4</w:t>
      </w:r>
      <w:r>
        <w:t xml:space="preserve"> </w:t>
      </w:r>
      <w:r>
        <w:t xml:space="preserve">-325</w:t>
      </w:r>
      <w:r>
        <w:t xml:space="preserve"> </w:t>
      </w:r>
      <w:r>
        <w:t xml:space="preserve">-361</w:t>
      </w:r>
      <w:r>
        <w:t xml:space="preserve"> </w:t>
      </w:r>
      <w:r>
        <w:t xml:space="preserve">-230</w:t>
      </w:r>
      <w:r>
        <w:t xml:space="preserve"> </w:t>
      </w:r>
      <w:r>
        <w:t xml:space="preserve">275</w:t>
      </w:r>
      <w:r>
        <w:t xml:space="preserve"> </w:t>
      </w:r>
      <w:r>
        <w:t xml:space="preserve">1,514</w:t>
      </w:r>
    </w:p>
    <w:p>
      <w:pPr>
        <w:pStyle w:val="BodyText"/>
      </w:pPr>
      <w:r>
        <w:t xml:space="preserve">-37%</w:t>
      </w:r>
      <w:r>
        <w:t xml:space="preserve"> </w:t>
      </w:r>
      <w:r>
        <w:t xml:space="preserve">-30%</w:t>
      </w:r>
      <w:r>
        <w:t xml:space="preserve"> </w:t>
      </w:r>
      <w:r>
        <w:t xml:space="preserve">-14%</w:t>
      </w:r>
      <w:r>
        <w:t xml:space="preserve"> </w:t>
      </w:r>
      <w:r>
        <w:t xml:space="preserve">13%</w:t>
      </w:r>
      <w:r>
        <w:t xml:space="preserve"> </w:t>
      </w:r>
      <w:r>
        <w:t xml:space="preserve">60%</w:t>
      </w:r>
      <w:r>
        <w:t xml:space="preserve"> </w:t>
      </w:r>
      <w:r>
        <w:t xml:space="preserve">5</w:t>
      </w:r>
      <w:r>
        <w:t xml:space="preserve"> </w:t>
      </w:r>
      <w:r>
        <w:t xml:space="preserve">-400</w:t>
      </w:r>
      <w:r>
        <w:t xml:space="preserve"> </w:t>
      </w:r>
      <w:r>
        <w:t xml:space="preserve">-445</w:t>
      </w:r>
      <w:r>
        <w:t xml:space="preserve"> </w:t>
      </w:r>
      <w:r>
        <w:t xml:space="preserve">-281</w:t>
      </w:r>
      <w:r>
        <w:t xml:space="preserve"> </w:t>
      </w:r>
      <w:r>
        <w:t xml:space="preserve">350</w:t>
      </w:r>
      <w:r>
        <w:t xml:space="preserve"> </w:t>
      </w:r>
      <w:r>
        <w:t xml:space="preserve">1,898</w:t>
      </w:r>
    </w:p>
    <w:p>
      <w:pPr>
        <w:pStyle w:val="BodyText"/>
      </w:pPr>
      <w:r>
        <w:t xml:space="preserve">-38%</w:t>
      </w:r>
      <w:r>
        <w:t xml:space="preserve"> </w:t>
      </w:r>
      <w:r>
        <w:t xml:space="preserve">-31%</w:t>
      </w:r>
      <w:r>
        <w:t xml:space="preserve"> </w:t>
      </w:r>
      <w:r>
        <w:t xml:space="preserve">-14%</w:t>
      </w:r>
      <w:r>
        <w:t xml:space="preserve"> </w:t>
      </w:r>
      <w:r>
        <w:t xml:space="preserve">14%</w:t>
      </w:r>
      <w:r>
        <w:t xml:space="preserve"> </w:t>
      </w:r>
      <w:r>
        <w:t xml:space="preserve">61%</w:t>
      </w:r>
      <w:r>
        <w:t xml:space="preserve"> </w:t>
      </w:r>
      <w:r>
        <w:t xml:space="preserve">6</w:t>
      </w:r>
      <w:r>
        <w:t xml:space="preserve"> </w:t>
      </w:r>
      <w:r>
        <w:t xml:space="preserve">-475</w:t>
      </w:r>
      <w:r>
        <w:t xml:space="preserve"> </w:t>
      </w:r>
      <w:r>
        <w:t xml:space="preserve">-529</w:t>
      </w:r>
      <w:r>
        <w:t xml:space="preserve"> </w:t>
      </w:r>
      <w:r>
        <w:t xml:space="preserve">-332</w:t>
      </w:r>
      <w:r>
        <w:t xml:space="preserve"> </w:t>
      </w:r>
      <w:r>
        <w:t xml:space="preserve">425</w:t>
      </w:r>
      <w:r>
        <w:t xml:space="preserve"> </w:t>
      </w:r>
      <w:r>
        <w:t xml:space="preserve">2,283</w:t>
      </w:r>
    </w:p>
    <w:p>
      <w:pPr>
        <w:pStyle w:val="BodyText"/>
      </w:pPr>
      <w:r>
        <w:t xml:space="preserve">-39%</w:t>
      </w:r>
      <w:r>
        <w:t xml:space="preserve"> </w:t>
      </w:r>
      <w:r>
        <w:t xml:space="preserve">-31%</w:t>
      </w:r>
      <w:r>
        <w:t xml:space="preserve"> </w:t>
      </w:r>
      <w:r>
        <w:t xml:space="preserve">-14%</w:t>
      </w:r>
      <w:r>
        <w:t xml:space="preserve"> </w:t>
      </w:r>
      <w:r>
        <w:t xml:space="preserve">14%</w:t>
      </w:r>
      <w:r>
        <w:t xml:space="preserve"> </w:t>
      </w:r>
      <w:r>
        <w:t xml:space="preserve">62%</w:t>
      </w:r>
      <w:r>
        <w:t xml:space="preserve"> </w:t>
      </w:r>
      <w:r>
        <w:t xml:space="preserve">7</w:t>
      </w:r>
      <w:r>
        <w:t xml:space="preserve"> </w:t>
      </w:r>
      <w:r>
        <w:t xml:space="preserve">-550</w:t>
      </w:r>
      <w:r>
        <w:t xml:space="preserve"> </w:t>
      </w:r>
      <w:r>
        <w:t xml:space="preserve">-613</w:t>
      </w:r>
      <w:r>
        <w:t xml:space="preserve"> </w:t>
      </w:r>
      <w:r>
        <w:t xml:space="preserve">-384</w:t>
      </w:r>
      <w:r>
        <w:t xml:space="preserve"> </w:t>
      </w:r>
      <w:r>
        <w:t xml:space="preserve">500</w:t>
      </w:r>
      <w:r>
        <w:t xml:space="preserve"> </w:t>
      </w:r>
      <w:r>
        <w:t xml:space="preserve">2,667</w:t>
      </w:r>
    </w:p>
    <w:p>
      <w:pPr>
        <w:pStyle w:val="BodyText"/>
      </w:pPr>
      <w:r>
        <w:t xml:space="preserve">-39%</w:t>
      </w:r>
      <w:r>
        <w:t xml:space="preserve"> </w:t>
      </w:r>
      <w:r>
        <w:t xml:space="preserve">-31%</w:t>
      </w:r>
      <w:r>
        <w:t xml:space="preserve"> </w:t>
      </w:r>
      <w:r>
        <w:t xml:space="preserve">-14%</w:t>
      </w:r>
      <w:r>
        <w:t xml:space="preserve"> </w:t>
      </w:r>
      <w:r>
        <w:t xml:space="preserve">15%</w:t>
      </w:r>
      <w:r>
        <w:t xml:space="preserve"> </w:t>
      </w:r>
      <w:r>
        <w:t xml:space="preserve">62%</w:t>
      </w:r>
      <w:r>
        <w:t xml:space="preserve"> </w:t>
      </w:r>
      <w:r>
        <w:t xml:space="preserve">8</w:t>
      </w:r>
      <w:r>
        <w:t xml:space="preserve"> </w:t>
      </w:r>
      <w:r>
        <w:t xml:space="preserve">-625</w:t>
      </w:r>
      <w:r>
        <w:t xml:space="preserve"> </w:t>
      </w:r>
      <w:r>
        <w:t xml:space="preserve">-697</w:t>
      </w:r>
      <w:r>
        <w:t xml:space="preserve"> </w:t>
      </w:r>
      <w:r>
        <w:t xml:space="preserve">-435</w:t>
      </w:r>
      <w:r>
        <w:t xml:space="preserve"> </w:t>
      </w:r>
      <w:r>
        <w:t xml:space="preserve">576</w:t>
      </w:r>
      <w:r>
        <w:t xml:space="preserve"> </w:t>
      </w:r>
      <w:r>
        <w:t xml:space="preserve">3,052</w:t>
      </w:r>
    </w:p>
    <w:p>
      <w:pPr>
        <w:pStyle w:val="BodyText"/>
      </w:pPr>
      <w:r>
        <w:t xml:space="preserve">-40%</w:t>
      </w:r>
      <w:r>
        <w:t xml:space="preserve"> </w:t>
      </w:r>
      <w:r>
        <w:t xml:space="preserve">-31%</w:t>
      </w:r>
      <w:r>
        <w:t xml:space="preserve"> </w:t>
      </w:r>
      <w:r>
        <w:t xml:space="preserve">-14%</w:t>
      </w:r>
      <w:r>
        <w:t xml:space="preserve"> </w:t>
      </w:r>
      <w:r>
        <w:t xml:space="preserve">15%</w:t>
      </w:r>
      <w:r>
        <w:t xml:space="preserve"> </w:t>
      </w:r>
      <w:r>
        <w:t xml:space="preserve">63%</w:t>
      </w:r>
      <w:r>
        <w:t xml:space="preserve"> </w:t>
      </w:r>
      <w:r>
        <w:t xml:space="preserve">9</w:t>
      </w:r>
      <w:r>
        <w:t xml:space="preserve"> </w:t>
      </w:r>
      <w:r>
        <w:t xml:space="preserve">-700</w:t>
      </w:r>
      <w:r>
        <w:t xml:space="preserve"> </w:t>
      </w:r>
      <w:r>
        <w:t xml:space="preserve">-782</w:t>
      </w:r>
      <w:r>
        <w:t xml:space="preserve"> </w:t>
      </w:r>
      <w:r>
        <w:t xml:space="preserve">-486</w:t>
      </w:r>
      <w:r>
        <w:t xml:space="preserve"> </w:t>
      </w:r>
      <w:r>
        <w:t xml:space="preserve">651</w:t>
      </w:r>
      <w:r>
        <w:t xml:space="preserve"> </w:t>
      </w:r>
      <w:r>
        <w:t xml:space="preserve">3,437</w:t>
      </w:r>
    </w:p>
    <w:p>
      <w:pPr>
        <w:pStyle w:val="BodyText"/>
      </w:pPr>
      <w:r>
        <w:t xml:space="preserve">-40%</w:t>
      </w:r>
      <w:r>
        <w:t xml:space="preserve"> </w:t>
      </w:r>
      <w:r>
        <w:t xml:space="preserve">-31%</w:t>
      </w:r>
      <w:r>
        <w:t xml:space="preserve"> </w:t>
      </w:r>
      <w:r>
        <w:t xml:space="preserve">-14%</w:t>
      </w:r>
      <w:r>
        <w:t xml:space="preserve"> </w:t>
      </w:r>
      <w:r>
        <w:t xml:space="preserve">15%</w:t>
      </w:r>
      <w:r>
        <w:t xml:space="preserve"> </w:t>
      </w:r>
      <w:r>
        <w:t xml:space="preserve">63%</w:t>
      </w:r>
      <w:r>
        <w:t xml:space="preserve"> </w:t>
      </w:r>
      <w:r>
        <w:t xml:space="preserve">10</w:t>
      </w:r>
      <w:r>
        <w:t xml:space="preserve"> </w:t>
      </w:r>
      <w:r>
        <w:t xml:space="preserve">-775</w:t>
      </w:r>
      <w:r>
        <w:t xml:space="preserve"> </w:t>
      </w:r>
      <w:r>
        <w:t xml:space="preserve">-866</w:t>
      </w:r>
      <w:r>
        <w:t xml:space="preserve"> </w:t>
      </w:r>
      <w:r>
        <w:t xml:space="preserve">-537</w:t>
      </w:r>
      <w:r>
        <w:t xml:space="preserve"> </w:t>
      </w:r>
      <w:r>
        <w:t xml:space="preserve">726</w:t>
      </w:r>
      <w:r>
        <w:t xml:space="preserve"> </w:t>
      </w:r>
      <w:r>
        <w:t xml:space="preserve">3,821</w:t>
      </w:r>
    </w:p>
    <w:p>
      <w:pPr>
        <w:pStyle w:val="BodyText"/>
      </w:pPr>
      <w:r>
        <w:t xml:space="preserve">-40%</w:t>
      </w:r>
      <w:r>
        <w:t xml:space="preserve"> </w:t>
      </w:r>
      <w:r>
        <w:t xml:space="preserve">-32%</w:t>
      </w:r>
      <w:r>
        <w:t xml:space="preserve"> </w:t>
      </w:r>
      <w:r>
        <w:t xml:space="preserve">-14%</w:t>
      </w:r>
      <w:r>
        <w:t xml:space="preserve"> </w:t>
      </w:r>
      <w:r>
        <w:t xml:space="preserve">15%</w:t>
      </w:r>
      <w:r>
        <w:t xml:space="preserve"> </w:t>
      </w:r>
      <w:r>
        <w:t xml:space="preserve">63%</w:t>
      </w:r>
      <w:r>
        <w:t xml:space="preserve"> </w:t>
      </w:r>
      <w:r>
        <w:t xml:space="preserve">11</w:t>
      </w:r>
      <w:r>
        <w:t xml:space="preserve"> </w:t>
      </w:r>
      <w:r>
        <w:t xml:space="preserve">-755</w:t>
      </w:r>
      <w:r>
        <w:t xml:space="preserve"> </w:t>
      </w:r>
      <w:r>
        <w:t xml:space="preserve">-855</w:t>
      </w:r>
      <w:r>
        <w:t xml:space="preserve"> </w:t>
      </w:r>
      <w:r>
        <w:t xml:space="preserve">-494</w:t>
      </w:r>
      <w:r>
        <w:t xml:space="preserve"> </w:t>
      </w:r>
      <w:r>
        <w:t xml:space="preserve">896</w:t>
      </w:r>
      <w:r>
        <w:t xml:space="preserve"> </w:t>
      </w:r>
      <w:r>
        <w:t xml:space="preserve">4,301</w:t>
      </w:r>
    </w:p>
    <w:p>
      <w:pPr>
        <w:pStyle w:val="BodyText"/>
      </w:pPr>
      <w:r>
        <w:t xml:space="preserve">-38%</w:t>
      </w:r>
      <w:r>
        <w:t xml:space="preserve"> </w:t>
      </w:r>
      <w:r>
        <w:t xml:space="preserve">-29%</w:t>
      </w:r>
      <w:r>
        <w:t xml:space="preserve"> </w:t>
      </w:r>
      <w:r>
        <w:t xml:space="preserve">-12%</w:t>
      </w:r>
      <w:r>
        <w:t xml:space="preserve"> </w:t>
      </w:r>
      <w:r>
        <w:t xml:space="preserve">17%</w:t>
      </w:r>
      <w:r>
        <w:t xml:space="preserve"> </w:t>
      </w:r>
      <w:r>
        <w:t xml:space="preserve">66%</w:t>
      </w:r>
      <w:r>
        <w:t xml:space="preserve"> </w:t>
      </w:r>
      <w:r>
        <w:t xml:space="preserve">12</w:t>
      </w:r>
      <w:r>
        <w:t xml:space="preserve"> </w:t>
      </w:r>
      <w:r>
        <w:t xml:space="preserve">-735</w:t>
      </w:r>
      <w:r>
        <w:t xml:space="preserve"> </w:t>
      </w:r>
      <w:r>
        <w:t xml:space="preserve">-844</w:t>
      </w:r>
      <w:r>
        <w:t xml:space="preserve"> </w:t>
      </w:r>
      <w:r>
        <w:t xml:space="preserve">-450</w:t>
      </w:r>
      <w:r>
        <w:t xml:space="preserve"> </w:t>
      </w:r>
      <w:r>
        <w:t xml:space="preserve">1,066</w:t>
      </w:r>
      <w:r>
        <w:t xml:space="preserve"> </w:t>
      </w:r>
      <w:r>
        <w:t xml:space="preserve">4,781</w:t>
      </w:r>
    </w:p>
    <w:p>
      <w:pPr>
        <w:pStyle w:val="BodyText"/>
      </w:pPr>
      <w:r>
        <w:t xml:space="preserve">-35%</w:t>
      </w:r>
      <w:r>
        <w:t xml:space="preserve"> </w:t>
      </w:r>
      <w:r>
        <w:t xml:space="preserve">-28%</w:t>
      </w:r>
      <w:r>
        <w:t xml:space="preserve"> </w:t>
      </w:r>
      <w:r>
        <w:t xml:space="preserve">-11%</w:t>
      </w:r>
      <w:r>
        <w:t xml:space="preserve"> </w:t>
      </w:r>
      <w:r>
        <w:t xml:space="preserve">19%</w:t>
      </w:r>
      <w:r>
        <w:t xml:space="preserve"> </w:t>
      </w:r>
      <w:r>
        <w:t xml:space="preserve">68%</w:t>
      </w:r>
      <w:r>
        <w:t xml:space="preserve"> </w:t>
      </w:r>
      <w:r>
        <w:t xml:space="preserve">13</w:t>
      </w:r>
      <w:r>
        <w:t xml:space="preserve"> </w:t>
      </w:r>
      <w:r>
        <w:t xml:space="preserve">-715</w:t>
      </w:r>
      <w:r>
        <w:t xml:space="preserve"> </w:t>
      </w:r>
      <w:r>
        <w:t xml:space="preserve">-833</w:t>
      </w:r>
      <w:r>
        <w:t xml:space="preserve"> </w:t>
      </w:r>
      <w:r>
        <w:t xml:space="preserve">-406</w:t>
      </w:r>
      <w:r>
        <w:t xml:space="preserve"> </w:t>
      </w:r>
      <w:r>
        <w:t xml:space="preserve">1,236</w:t>
      </w:r>
      <w:r>
        <w:t xml:space="preserve"> </w:t>
      </w:r>
      <w:r>
        <w:t xml:space="preserve">5,260</w:t>
      </w:r>
    </w:p>
    <w:p>
      <w:pPr>
        <w:pStyle w:val="BodyText"/>
      </w:pPr>
      <w:r>
        <w:t xml:space="preserve">-33%</w:t>
      </w:r>
      <w:r>
        <w:t xml:space="preserve"> </w:t>
      </w:r>
      <w:r>
        <w:t xml:space="preserve">-26%</w:t>
      </w:r>
      <w:r>
        <w:t xml:space="preserve"> </w:t>
      </w:r>
      <w:r>
        <w:t xml:space="preserve">-9%</w:t>
      </w:r>
      <w:r>
        <w:t xml:space="preserve"> </w:t>
      </w:r>
      <w:r>
        <w:t xml:space="preserve">21%</w:t>
      </w:r>
      <w:r>
        <w:t xml:space="preserve"> </w:t>
      </w:r>
      <w:r>
        <w:t xml:space="preserve">70%</w:t>
      </w:r>
      <w:r>
        <w:t xml:space="preserve"> </w:t>
      </w:r>
      <w:r>
        <w:t xml:space="preserve">14</w:t>
      </w:r>
      <w:r>
        <w:t xml:space="preserve"> </w:t>
      </w:r>
      <w:r>
        <w:t xml:space="preserve">-695</w:t>
      </w:r>
      <w:r>
        <w:t xml:space="preserve"> </w:t>
      </w:r>
      <w:r>
        <w:t xml:space="preserve">-822</w:t>
      </w:r>
      <w:r>
        <w:t xml:space="preserve"> </w:t>
      </w:r>
      <w:r>
        <w:t xml:space="preserve">-362</w:t>
      </w:r>
      <w:r>
        <w:t xml:space="preserve"> </w:t>
      </w:r>
      <w:r>
        <w:t xml:space="preserve">1,406</w:t>
      </w:r>
      <w:r>
        <w:t xml:space="preserve"> </w:t>
      </w:r>
      <w:r>
        <w:t xml:space="preserve">5,740</w:t>
      </w:r>
    </w:p>
    <w:p>
      <w:pPr>
        <w:pStyle w:val="BodyText"/>
      </w:pPr>
      <w:r>
        <w:t xml:space="preserve">-31%</w:t>
      </w:r>
      <w:r>
        <w:t xml:space="preserve"> </w:t>
      </w:r>
      <w:r>
        <w:t xml:space="preserve">-24%</w:t>
      </w:r>
      <w:r>
        <w:t xml:space="preserve"> </w:t>
      </w:r>
      <w:r>
        <w:t xml:space="preserve">-8%</w:t>
      </w:r>
      <w:r>
        <w:t xml:space="preserve"> </w:t>
      </w:r>
      <w:r>
        <w:t xml:space="preserve">22%</w:t>
      </w:r>
      <w:r>
        <w:t xml:space="preserve"> </w:t>
      </w:r>
      <w:r>
        <w:t xml:space="preserve">72%</w:t>
      </w:r>
      <w:r>
        <w:t xml:space="preserve"> </w:t>
      </w:r>
      <w:r>
        <w:t xml:space="preserve">15</w:t>
      </w:r>
      <w:r>
        <w:t xml:space="preserve"> </w:t>
      </w:r>
      <w:r>
        <w:t xml:space="preserve">-675</w:t>
      </w:r>
      <w:r>
        <w:t xml:space="preserve"> </w:t>
      </w:r>
      <w:r>
        <w:t xml:space="preserve">-811</w:t>
      </w:r>
      <w:r>
        <w:t xml:space="preserve"> </w:t>
      </w:r>
      <w:r>
        <w:t xml:space="preserve">-319</w:t>
      </w:r>
      <w:r>
        <w:t xml:space="preserve"> </w:t>
      </w:r>
      <w:r>
        <w:t xml:space="preserve">1,576</w:t>
      </w:r>
      <w:r>
        <w:t xml:space="preserve"> </w:t>
      </w:r>
      <w:r>
        <w:t xml:space="preserve">6,220</w:t>
      </w:r>
    </w:p>
    <w:p>
      <w:pPr>
        <w:pStyle w:val="BodyText"/>
      </w:pPr>
      <w:r>
        <w:t xml:space="preserve">-29%</w:t>
      </w:r>
      <w:r>
        <w:t xml:space="preserve"> </w:t>
      </w:r>
      <w:r>
        <w:t xml:space="preserve">-23%</w:t>
      </w:r>
      <w:r>
        <w:t xml:space="preserve"> </w:t>
      </w:r>
      <w:r>
        <w:t xml:space="preserve">-6%</w:t>
      </w:r>
      <w:r>
        <w:t xml:space="preserve"> </w:t>
      </w:r>
      <w:r>
        <w:t xml:space="preserve">24%</w:t>
      </w:r>
      <w:r>
        <w:t xml:space="preserve"> </w:t>
      </w:r>
      <w:r>
        <w:t xml:space="preserve">73%</w:t>
      </w:r>
      <w:r>
        <w:t xml:space="preserve"> </w:t>
      </w:r>
      <w:r>
        <w:t xml:space="preserve">16</w:t>
      </w:r>
      <w:r>
        <w:t xml:space="preserve"> </w:t>
      </w:r>
      <w:r>
        <w:t xml:space="preserve">-655</w:t>
      </w:r>
      <w:r>
        <w:t xml:space="preserve"> </w:t>
      </w:r>
      <w:r>
        <w:t xml:space="preserve">-800</w:t>
      </w:r>
      <w:r>
        <w:t xml:space="preserve"> </w:t>
      </w:r>
      <w:r>
        <w:t xml:space="preserve">-275</w:t>
      </w:r>
      <w:r>
        <w:t xml:space="preserve"> </w:t>
      </w:r>
      <w:r>
        <w:t xml:space="preserve">1,746</w:t>
      </w:r>
      <w:r>
        <w:t xml:space="preserve"> </w:t>
      </w:r>
      <w:r>
        <w:t xml:space="preserve">6,699</w:t>
      </w:r>
    </w:p>
    <w:p>
      <w:pPr>
        <w:pStyle w:val="BodyText"/>
      </w:pPr>
      <w:r>
        <w:t xml:space="preserve">-27%</w:t>
      </w:r>
      <w:r>
        <w:t xml:space="preserve"> </w:t>
      </w:r>
      <w:r>
        <w:t xml:space="preserve">-22%</w:t>
      </w:r>
      <w:r>
        <w:t xml:space="preserve"> </w:t>
      </w:r>
      <w:r>
        <w:t xml:space="preserve">-5%</w:t>
      </w:r>
      <w:r>
        <w:t xml:space="preserve"> </w:t>
      </w:r>
      <w:r>
        <w:t xml:space="preserve">25%</w:t>
      </w:r>
      <w:r>
        <w:t xml:space="preserve"> </w:t>
      </w:r>
      <w:r>
        <w:t xml:space="preserve">74%</w:t>
      </w:r>
      <w:r>
        <w:t xml:space="preserve"> </w:t>
      </w:r>
      <w:r>
        <w:t xml:space="preserve">17</w:t>
      </w:r>
      <w:r>
        <w:t xml:space="preserve"> </w:t>
      </w:r>
      <w:r>
        <w:t xml:space="preserve">-635</w:t>
      </w:r>
      <w:r>
        <w:t xml:space="preserve"> </w:t>
      </w:r>
      <w:r>
        <w:t xml:space="preserve">-789</w:t>
      </w:r>
      <w:r>
        <w:t xml:space="preserve"> </w:t>
      </w:r>
      <w:r>
        <w:t xml:space="preserve">-231</w:t>
      </w:r>
      <w:r>
        <w:t xml:space="preserve"> </w:t>
      </w:r>
      <w:r>
        <w:t xml:space="preserve">1,916</w:t>
      </w:r>
      <w:r>
        <w:t xml:space="preserve"> </w:t>
      </w:r>
      <w:r>
        <w:t xml:space="preserve">7,179</w:t>
      </w:r>
    </w:p>
    <w:p>
      <w:pPr>
        <w:pStyle w:val="BodyText"/>
      </w:pPr>
      <w:r>
        <w:t xml:space="preserve">-26%</w:t>
      </w:r>
      <w:r>
        <w:t xml:space="preserve"> </w:t>
      </w:r>
      <w:r>
        <w:t xml:space="preserve">-20%</w:t>
      </w:r>
      <w:r>
        <w:t xml:space="preserve"> </w:t>
      </w:r>
      <w:r>
        <w:t xml:space="preserve">-4%</w:t>
      </w:r>
      <w:r>
        <w:t xml:space="preserve"> </w:t>
      </w:r>
      <w:r>
        <w:t xml:space="preserve">26%</w:t>
      </w:r>
      <w:r>
        <w:t xml:space="preserve"> </w:t>
      </w:r>
      <w:r>
        <w:t xml:space="preserve">76%</w:t>
      </w:r>
      <w:r>
        <w:t xml:space="preserve"> </w:t>
      </w:r>
      <w:r>
        <w:t xml:space="preserve">18</w:t>
      </w:r>
      <w:r>
        <w:t xml:space="preserve"> </w:t>
      </w:r>
      <w:r>
        <w:t xml:space="preserve">-615</w:t>
      </w:r>
      <w:r>
        <w:t xml:space="preserve"> </w:t>
      </w:r>
      <w:r>
        <w:t xml:space="preserve">-778</w:t>
      </w:r>
      <w:r>
        <w:t xml:space="preserve"> </w:t>
      </w:r>
      <w:r>
        <w:t xml:space="preserve">-187</w:t>
      </w:r>
      <w:r>
        <w:t xml:space="preserve"> </w:t>
      </w:r>
      <w:r>
        <w:t xml:space="preserve">2,086</w:t>
      </w:r>
      <w:r>
        <w:t xml:space="preserve"> </w:t>
      </w:r>
      <w:r>
        <w:t xml:space="preserve">7,658</w:t>
      </w:r>
    </w:p>
    <w:p>
      <w:pPr>
        <w:pStyle w:val="BodyText"/>
      </w:pPr>
      <w:r>
        <w:t xml:space="preserve">-24%</w:t>
      </w:r>
      <w:r>
        <w:t xml:space="preserve"> </w:t>
      </w:r>
      <w:r>
        <w:t xml:space="preserve">-19%</w:t>
      </w:r>
      <w:r>
        <w:t xml:space="preserve"> </w:t>
      </w:r>
      <w:r>
        <w:t xml:space="preserve">-3%</w:t>
      </w:r>
      <w:r>
        <w:t xml:space="preserve"> </w:t>
      </w:r>
      <w:r>
        <w:t xml:space="preserve">27%</w:t>
      </w:r>
      <w:r>
        <w:t xml:space="preserve"> </w:t>
      </w:r>
      <w:r>
        <w:t xml:space="preserve">77%</w:t>
      </w:r>
      <w:r>
        <w:t xml:space="preserve"> </w:t>
      </w:r>
      <w:r>
        <w:t xml:space="preserve">19</w:t>
      </w:r>
      <w:r>
        <w:t xml:space="preserve"> </w:t>
      </w:r>
      <w:r>
        <w:t xml:space="preserve">-595</w:t>
      </w:r>
      <w:r>
        <w:t xml:space="preserve"> </w:t>
      </w:r>
      <w:r>
        <w:t xml:space="preserve">-767</w:t>
      </w:r>
      <w:r>
        <w:t xml:space="preserve"> </w:t>
      </w:r>
      <w:r>
        <w:t xml:space="preserve">-144</w:t>
      </w:r>
      <w:r>
        <w:t xml:space="preserve"> </w:t>
      </w:r>
      <w:r>
        <w:t xml:space="preserve">2,256</w:t>
      </w:r>
      <w:r>
        <w:t xml:space="preserve"> </w:t>
      </w:r>
      <w:r>
        <w:t xml:space="preserve">8,138</w:t>
      </w:r>
    </w:p>
    <w:p>
      <w:pPr>
        <w:pStyle w:val="BodyText"/>
      </w:pPr>
      <w:r>
        <w:t xml:space="preserve">-22%</w:t>
      </w:r>
      <w:r>
        <w:t xml:space="preserve"> </w:t>
      </w:r>
      <w:r>
        <w:t xml:space="preserve">-18%</w:t>
      </w:r>
      <w:r>
        <w:t xml:space="preserve"> </w:t>
      </w:r>
      <w:r>
        <w:t xml:space="preserve">-2%</w:t>
      </w:r>
      <w:r>
        <w:t xml:space="preserve"> </w:t>
      </w:r>
      <w:r>
        <w:t xml:space="preserve">28%</w:t>
      </w:r>
      <w:r>
        <w:t xml:space="preserve"> </w:t>
      </w:r>
      <w:r>
        <w:t xml:space="preserve">78%</w:t>
      </w:r>
      <w:r>
        <w:t xml:space="preserve"> </w:t>
      </w:r>
      <w:r>
        <w:t xml:space="preserve">20</w:t>
      </w:r>
      <w:r>
        <w:t xml:space="preserve"> </w:t>
      </w:r>
      <w:r>
        <w:t xml:space="preserve">-575</w:t>
      </w:r>
      <w:r>
        <w:t xml:space="preserve"> </w:t>
      </w:r>
      <w:r>
        <w:t xml:space="preserve">-756</w:t>
      </w:r>
      <w:r>
        <w:t xml:space="preserve"> </w:t>
      </w:r>
      <w:r>
        <w:t xml:space="preserve">-100</w:t>
      </w:r>
      <w:r>
        <w:t xml:space="preserve"> </w:t>
      </w:r>
      <w:r>
        <w:t xml:space="preserve">2,426</w:t>
      </w:r>
      <w:r>
        <w:t xml:space="preserve"> </w:t>
      </w:r>
      <w:r>
        <w:t xml:space="preserve">8,618</w:t>
      </w:r>
    </w:p>
    <w:p>
      <w:pPr>
        <w:pStyle w:val="BodyText"/>
      </w:pPr>
      <w:r>
        <w:t xml:space="preserve">-21%</w:t>
      </w:r>
      <w:r>
        <w:t xml:space="preserve"> </w:t>
      </w:r>
      <w:r>
        <w:t xml:space="preserve">-17%</w:t>
      </w:r>
      <w:r>
        <w:t xml:space="preserve"> </w:t>
      </w:r>
      <w:r>
        <w:t xml:space="preserve">-2%</w:t>
      </w:r>
      <w:r>
        <w:t xml:space="preserve"> </w:t>
      </w:r>
      <w:r>
        <w:t xml:space="preserve">28%</w:t>
      </w:r>
      <w:r>
        <w:t xml:space="preserve"> </w:t>
      </w:r>
      <w:r>
        <w:t xml:space="preserve">79%</w:t>
      </w:r>
      <w:r>
        <w:t xml:space="preserve"> </w:t>
      </w:r>
      <w:r>
        <w:t xml:space="preserve">21</w:t>
      </w:r>
      <w:r>
        <w:t xml:space="preserve"> </w:t>
      </w:r>
      <w:r>
        <w:t xml:space="preserve">-555</w:t>
      </w:r>
      <w:r>
        <w:t xml:space="preserve"> </w:t>
      </w:r>
      <w:r>
        <w:t xml:space="preserve">-745</w:t>
      </w:r>
      <w:r>
        <w:t xml:space="preserve"> </w:t>
      </w:r>
      <w:r>
        <w:t xml:space="preserve">-56</w:t>
      </w:r>
      <w:r>
        <w:t xml:space="preserve"> </w:t>
      </w:r>
      <w:r>
        <w:t xml:space="preserve">2,596</w:t>
      </w:r>
      <w:r>
        <w:t xml:space="preserve"> </w:t>
      </w:r>
      <w:r>
        <w:t xml:space="preserve">9,097</w:t>
      </w:r>
    </w:p>
    <w:p>
      <w:pPr>
        <w:pStyle w:val="BodyText"/>
      </w:pPr>
      <w:r>
        <w:t xml:space="preserve">-20%</w:t>
      </w:r>
      <w:r>
        <w:t xml:space="preserve"> </w:t>
      </w:r>
      <w:r>
        <w:t xml:space="preserve">-16%</w:t>
      </w:r>
      <w:r>
        <w:t xml:space="preserve"> </w:t>
      </w:r>
      <w:r>
        <w:t xml:space="preserve">-1%</w:t>
      </w:r>
      <w:r>
        <w:t xml:space="preserve"> </w:t>
      </w:r>
      <w:r>
        <w:t xml:space="preserve">29%</w:t>
      </w:r>
      <w:r>
        <w:t xml:space="preserve"> </w:t>
      </w:r>
      <w:r>
        <w:t xml:space="preserve">79%</w:t>
      </w:r>
      <w:r>
        <w:t xml:space="preserve"> </w:t>
      </w:r>
      <w:r>
        <w:t xml:space="preserve">22</w:t>
      </w:r>
      <w:r>
        <w:t xml:space="preserve"> </w:t>
      </w:r>
      <w:r>
        <w:t xml:space="preserve">-535</w:t>
      </w:r>
      <w:r>
        <w:t xml:space="preserve"> </w:t>
      </w:r>
      <w:r>
        <w:t xml:space="preserve">-734</w:t>
      </w:r>
      <w:r>
        <w:t xml:space="preserve"> </w:t>
      </w:r>
      <w:r>
        <w:t xml:space="preserve">-12</w:t>
      </w:r>
      <w:r>
        <w:t xml:space="preserve"> </w:t>
      </w:r>
      <w:r>
        <w:t xml:space="preserve">2,767</w:t>
      </w:r>
      <w:r>
        <w:t xml:space="preserve"> </w:t>
      </w:r>
      <w:r>
        <w:t xml:space="preserve">9,577</w:t>
      </w:r>
    </w:p>
    <w:p>
      <w:pPr>
        <w:pStyle w:val="BodyText"/>
      </w:pPr>
      <w:r>
        <w:t xml:space="preserve">-19%</w:t>
      </w:r>
      <w:r>
        <w:t xml:space="preserve"> </w:t>
      </w:r>
      <w:r>
        <w:t xml:space="preserve">-16%</w:t>
      </w:r>
      <w:r>
        <w:t xml:space="preserve"> </w:t>
      </w:r>
      <w:r>
        <w:t xml:space="preserve">0%</w:t>
      </w:r>
      <w:r>
        <w:t xml:space="preserve"> </w:t>
      </w:r>
      <w:r>
        <w:t xml:space="preserve">30%</w:t>
      </w:r>
      <w:r>
        <w:t xml:space="preserve"> </w:t>
      </w:r>
      <w:r>
        <w:t xml:space="preserve">80%</w:t>
      </w:r>
      <w:r>
        <w:t xml:space="preserve"> </w:t>
      </w:r>
      <w:r>
        <w:t xml:space="preserve">23</w:t>
      </w:r>
      <w:r>
        <w:t xml:space="preserve"> </w:t>
      </w:r>
      <w:r>
        <w:t xml:space="preserve">-515</w:t>
      </w:r>
      <w:r>
        <w:t xml:space="preserve"> </w:t>
      </w:r>
      <w:r>
        <w:t xml:space="preserve">-723</w:t>
      </w:r>
      <w:r>
        <w:t xml:space="preserve"> </w:t>
      </w:r>
      <w:r>
        <w:t xml:space="preserve">31</w:t>
      </w:r>
      <w:r>
        <w:t xml:space="preserve"> </w:t>
      </w:r>
      <w:r>
        <w:t xml:space="preserve">2,937</w:t>
      </w:r>
      <w:r>
        <w:t xml:space="preserve"> </w:t>
      </w:r>
      <w:r>
        <w:t xml:space="preserve">10,057</w:t>
      </w:r>
    </w:p>
    <w:p>
      <w:pPr>
        <w:pStyle w:val="BodyText"/>
      </w:pPr>
      <w:r>
        <w:t xml:space="preserve">-17%</w:t>
      </w:r>
      <w:r>
        <w:t xml:space="preserve"> </w:t>
      </w:r>
      <w:r>
        <w:t xml:space="preserve">-15%</w:t>
      </w:r>
      <w:r>
        <w:t xml:space="preserve"> </w:t>
      </w:r>
      <w:r>
        <w:t xml:space="preserve">0%</w:t>
      </w:r>
      <w:r>
        <w:t xml:space="preserve"> </w:t>
      </w:r>
      <w:r>
        <w:t xml:space="preserve">30%</w:t>
      </w:r>
      <w:r>
        <w:t xml:space="preserve"> </w:t>
      </w:r>
      <w:r>
        <w:t xml:space="preserve">81%</w:t>
      </w:r>
      <w:r>
        <w:t xml:space="preserve"> </w:t>
      </w:r>
      <w:r>
        <w:t xml:space="preserve">24</w:t>
      </w:r>
      <w:r>
        <w:t xml:space="preserve"> </w:t>
      </w:r>
      <w:r>
        <w:t xml:space="preserve">-495</w:t>
      </w:r>
      <w:r>
        <w:t xml:space="preserve"> </w:t>
      </w:r>
      <w:r>
        <w:t xml:space="preserve">-712</w:t>
      </w:r>
      <w:r>
        <w:t xml:space="preserve"> </w:t>
      </w:r>
      <w:r>
        <w:t xml:space="preserve">75</w:t>
      </w:r>
      <w:r>
        <w:t xml:space="preserve"> </w:t>
      </w:r>
      <w:r>
        <w:t xml:space="preserve">3,107</w:t>
      </w:r>
      <w:r>
        <w:t xml:space="preserve"> </w:t>
      </w:r>
      <w:r>
        <w:t xml:space="preserve">10,536</w:t>
      </w:r>
    </w:p>
    <w:p>
      <w:pPr>
        <w:pStyle w:val="BodyText"/>
      </w:pPr>
      <w:r>
        <w:t xml:space="preserve">-16%</w:t>
      </w:r>
      <w:r>
        <w:t xml:space="preserve"> </w:t>
      </w:r>
      <w:r>
        <w:t xml:space="preserve">-14%</w:t>
      </w:r>
      <w:r>
        <w:t xml:space="preserve"> </w:t>
      </w:r>
      <w:r>
        <w:t xml:space="preserve">1%</w:t>
      </w:r>
      <w:r>
        <w:t xml:space="preserve"> </w:t>
      </w:r>
      <w:r>
        <w:t xml:space="preserve">31%</w:t>
      </w:r>
      <w:r>
        <w:t xml:space="preserve"> </w:t>
      </w:r>
      <w:r>
        <w:t xml:space="preserve">81%</w:t>
      </w:r>
      <w:r>
        <w:t xml:space="preserve"> </w:t>
      </w:r>
      <w:r>
        <w:t xml:space="preserve">25</w:t>
      </w:r>
      <w:r>
        <w:t xml:space="preserve"> </w:t>
      </w:r>
      <w:r>
        <w:t xml:space="preserve">-475</w:t>
      </w:r>
      <w:r>
        <w:t xml:space="preserve"> </w:t>
      </w:r>
      <w:r>
        <w:t xml:space="preserve">-701</w:t>
      </w:r>
      <w:r>
        <w:t xml:space="preserve"> </w:t>
      </w:r>
      <w:r>
        <w:t xml:space="preserve">119</w:t>
      </w:r>
      <w:r>
        <w:t xml:space="preserve"> </w:t>
      </w:r>
      <w:r>
        <w:t xml:space="preserve">3,277</w:t>
      </w:r>
      <w:r>
        <w:t xml:space="preserve"> </w:t>
      </w:r>
      <w:r>
        <w:t xml:space="preserve">11,016</w:t>
      </w:r>
    </w:p>
    <w:p>
      <w:pPr>
        <w:pStyle w:val="BodyText"/>
      </w:pPr>
      <w:r>
        <w:t xml:space="preserve">-15%</w:t>
      </w:r>
      <w:r>
        <w:t xml:space="preserve"> </w:t>
      </w:r>
      <w:r>
        <w:t xml:space="preserve">-14%</w:t>
      </w:r>
      <w:r>
        <w:t xml:space="preserve"> </w:t>
      </w:r>
      <w:r>
        <w:t xml:space="preserve">2%</w:t>
      </w:r>
      <w:r>
        <w:t xml:space="preserve"> </w:t>
      </w:r>
      <w:r>
        <w:t xml:space="preserve">31%</w:t>
      </w:r>
      <w:r>
        <w:t xml:space="preserve"> </w:t>
      </w:r>
      <w:r>
        <w:t xml:space="preserve">82%</w:t>
      </w:r>
      <w:r>
        <w:t xml:space="preserve"> </w:t>
      </w:r>
      <w:r>
        <w:t xml:space="preserve">26</w:t>
      </w:r>
      <w:r>
        <w:t xml:space="preserve"> </w:t>
      </w:r>
      <w:r>
        <w:t xml:space="preserve">-455</w:t>
      </w:r>
      <w:r>
        <w:t xml:space="preserve"> </w:t>
      </w:r>
      <w:r>
        <w:t xml:space="preserve">-690</w:t>
      </w:r>
      <w:r>
        <w:t xml:space="preserve"> </w:t>
      </w:r>
      <w:r>
        <w:t xml:space="preserve">163</w:t>
      </w:r>
      <w:r>
        <w:t xml:space="preserve"> </w:t>
      </w:r>
      <w:r>
        <w:t xml:space="preserve">3,447</w:t>
      </w:r>
      <w:r>
        <w:t xml:space="preserve"> </w:t>
      </w:r>
      <w:r>
        <w:t xml:space="preserve">11,496</w:t>
      </w:r>
    </w:p>
    <w:p>
      <w:pPr>
        <w:pStyle w:val="BodyText"/>
      </w:pPr>
      <w:r>
        <w:t xml:space="preserve">-14%</w:t>
      </w:r>
      <w:r>
        <w:t xml:space="preserve"> </w:t>
      </w:r>
      <w:r>
        <w:t xml:space="preserve">-13%</w:t>
      </w:r>
      <w:r>
        <w:t xml:space="preserve"> </w:t>
      </w:r>
      <w:r>
        <w:t xml:space="preserve">2%</w:t>
      </w:r>
      <w:r>
        <w:t xml:space="preserve"> </w:t>
      </w:r>
      <w:r>
        <w:t xml:space="preserve">32%</w:t>
      </w:r>
      <w:r>
        <w:t xml:space="preserve"> </w:t>
      </w:r>
      <w:r>
        <w:t xml:space="preserve">83%</w:t>
      </w:r>
      <w:r>
        <w:t xml:space="preserve"> </w:t>
      </w:r>
      <w:r>
        <w:t xml:space="preserve">27</w:t>
      </w:r>
      <w:r>
        <w:t xml:space="preserve"> </w:t>
      </w:r>
      <w:r>
        <w:t xml:space="preserve">-435</w:t>
      </w:r>
      <w:r>
        <w:t xml:space="preserve"> </w:t>
      </w:r>
      <w:r>
        <w:t xml:space="preserve">-680</w:t>
      </w:r>
      <w:r>
        <w:t xml:space="preserve"> </w:t>
      </w:r>
      <w:r>
        <w:t xml:space="preserve">206</w:t>
      </w:r>
      <w:r>
        <w:t xml:space="preserve"> </w:t>
      </w:r>
      <w:r>
        <w:t xml:space="preserve">3,617</w:t>
      </w:r>
      <w:r>
        <w:t xml:space="preserve"> </w:t>
      </w:r>
      <w:r>
        <w:t xml:space="preserve">11,975</w:t>
      </w:r>
    </w:p>
    <w:p>
      <w:pPr>
        <w:pStyle w:val="BodyText"/>
      </w:pPr>
      <w:r>
        <w:t xml:space="preserve">-13%</w:t>
      </w:r>
      <w:r>
        <w:t xml:space="preserve"> </w:t>
      </w:r>
      <w:r>
        <w:t xml:space="preserve">-12%</w:t>
      </w:r>
      <w:r>
        <w:t xml:space="preserve"> </w:t>
      </w:r>
      <w:r>
        <w:t xml:space="preserve">3%</w:t>
      </w:r>
      <w:r>
        <w:t xml:space="preserve"> </w:t>
      </w:r>
      <w:r>
        <w:t xml:space="preserve">32%</w:t>
      </w:r>
      <w:r>
        <w:t xml:space="preserve"> </w:t>
      </w:r>
      <w:r>
        <w:t xml:space="preserve">83%</w:t>
      </w:r>
      <w:r>
        <w:t xml:space="preserve"> </w:t>
      </w:r>
      <w:r>
        <w:t xml:space="preserve">28</w:t>
      </w:r>
      <w:r>
        <w:t xml:space="preserve"> </w:t>
      </w:r>
      <w:r>
        <w:t xml:space="preserve">-415</w:t>
      </w:r>
      <w:r>
        <w:t xml:space="preserve"> </w:t>
      </w:r>
      <w:r>
        <w:t xml:space="preserve">-669</w:t>
      </w:r>
      <w:r>
        <w:t xml:space="preserve"> </w:t>
      </w:r>
      <w:r>
        <w:t xml:space="preserve">250</w:t>
      </w:r>
      <w:r>
        <w:t xml:space="preserve"> </w:t>
      </w:r>
      <w:r>
        <w:t xml:space="preserve">3,787</w:t>
      </w:r>
      <w:r>
        <w:t xml:space="preserve"> </w:t>
      </w:r>
      <w:r>
        <w:t xml:space="preserve">12,455</w:t>
      </w:r>
    </w:p>
    <w:p>
      <w:pPr>
        <w:pStyle w:val="BodyText"/>
      </w:pPr>
      <w:r>
        <w:t xml:space="preserve">-12%</w:t>
      </w:r>
      <w:r>
        <w:t xml:space="preserve"> </w:t>
      </w:r>
      <w:r>
        <w:t xml:space="preserve">-12%</w:t>
      </w:r>
      <w:r>
        <w:t xml:space="preserve"> </w:t>
      </w:r>
      <w:r>
        <w:t xml:space="preserve">3%</w:t>
      </w:r>
      <w:r>
        <w:t xml:space="preserve"> </w:t>
      </w:r>
      <w:r>
        <w:t xml:space="preserve">33%</w:t>
      </w:r>
      <w:r>
        <w:t xml:space="preserve"> </w:t>
      </w:r>
      <w:r>
        <w:t xml:space="preserve">83%</w:t>
      </w:r>
      <w:r>
        <w:t xml:space="preserve"> </w:t>
      </w:r>
      <w:r>
        <w:t xml:space="preserve">29</w:t>
      </w:r>
      <w:r>
        <w:t xml:space="preserve"> </w:t>
      </w:r>
      <w:r>
        <w:t xml:space="preserve">-395</w:t>
      </w:r>
      <w:r>
        <w:t xml:space="preserve"> </w:t>
      </w:r>
      <w:r>
        <w:t xml:space="preserve">-658</w:t>
      </w:r>
      <w:r>
        <w:t xml:space="preserve"> </w:t>
      </w:r>
      <w:r>
        <w:t xml:space="preserve">294</w:t>
      </w:r>
      <w:r>
        <w:t xml:space="preserve"> </w:t>
      </w:r>
      <w:r>
        <w:t xml:space="preserve">3,957</w:t>
      </w:r>
      <w:r>
        <w:t xml:space="preserve"> </w:t>
      </w:r>
      <w:r>
        <w:t xml:space="preserve">12,934</w:t>
      </w:r>
    </w:p>
    <w:p>
      <w:pPr>
        <w:pStyle w:val="BodyText"/>
      </w:pPr>
      <w:r>
        <w:t xml:space="preserve">-11%</w:t>
      </w:r>
      <w:r>
        <w:t xml:space="preserve"> </w:t>
      </w:r>
      <w:r>
        <w:t xml:space="preserve">-11%</w:t>
      </w:r>
      <w:r>
        <w:t xml:space="preserve"> </w:t>
      </w:r>
      <w:r>
        <w:t xml:space="preserve">3%</w:t>
      </w:r>
      <w:r>
        <w:t xml:space="preserve"> </w:t>
      </w:r>
      <w:r>
        <w:t xml:space="preserve">33%</w:t>
      </w:r>
      <w:r>
        <w:t xml:space="preserve"> </w:t>
      </w:r>
      <w:r>
        <w:t xml:space="preserve">84%</w:t>
      </w:r>
      <w:r>
        <w:t xml:space="preserve"> </w:t>
      </w:r>
      <w:r>
        <w:t xml:space="preserve">30</w:t>
      </w:r>
      <w:r>
        <w:t xml:space="preserve"> </w:t>
      </w:r>
      <w:r>
        <w:t xml:space="preserve">-375</w:t>
      </w:r>
      <w:r>
        <w:t xml:space="preserve"> </w:t>
      </w:r>
      <w:r>
        <w:t xml:space="preserve">-647</w:t>
      </w:r>
      <w:r>
        <w:t xml:space="preserve"> </w:t>
      </w:r>
      <w:r>
        <w:t xml:space="preserve">338</w:t>
      </w:r>
      <w:r>
        <w:t xml:space="preserve"> </w:t>
      </w:r>
      <w:r>
        <w:t xml:space="preserve">4,127</w:t>
      </w:r>
      <w:r>
        <w:t xml:space="preserve"> </w:t>
      </w:r>
      <w:r>
        <w:t xml:space="preserve">13,414</w:t>
      </w:r>
    </w:p>
    <w:p>
      <w:pPr>
        <w:pStyle w:val="BodyText"/>
      </w:pPr>
      <w:r>
        <w:t xml:space="preserve">-11%</w:t>
      </w:r>
      <w:r>
        <w:t xml:space="preserve"> </w:t>
      </w:r>
      <w:r>
        <w:t xml:space="preserve">-11%</w:t>
      </w:r>
      <w:r>
        <w:t xml:space="preserve"> </w:t>
      </w:r>
      <w:r>
        <w:t xml:space="preserve">4%</w:t>
      </w:r>
      <w:r>
        <w:t xml:space="preserve"> </w:t>
      </w:r>
      <w:r>
        <w:t xml:space="preserve">34%</w:t>
      </w:r>
      <w:r>
        <w:t xml:space="preserve"> </w:t>
      </w:r>
      <w:r>
        <w:t xml:space="preserve">84%</w:t>
      </w:r>
      <w:r>
        <w:t xml:space="preserve"> </w:t>
      </w:r>
      <w:r>
        <w:t xml:space="preserve">31</w:t>
      </w:r>
      <w:r>
        <w:t xml:space="preserve"> </w:t>
      </w:r>
      <w:r>
        <w:t xml:space="preserve">-355</w:t>
      </w:r>
      <w:r>
        <w:t xml:space="preserve"> </w:t>
      </w:r>
      <w:r>
        <w:t xml:space="preserve">-636</w:t>
      </w:r>
      <w:r>
        <w:t xml:space="preserve"> </w:t>
      </w:r>
      <w:r>
        <w:t xml:space="preserve">381</w:t>
      </w:r>
      <w:r>
        <w:t xml:space="preserve"> </w:t>
      </w:r>
      <w:r>
        <w:t xml:space="preserve">4,297</w:t>
      </w:r>
      <w:r>
        <w:t xml:space="preserve"> </w:t>
      </w:r>
      <w:r>
        <w:t xml:space="preserve">13,894</w:t>
      </w:r>
    </w:p>
    <w:p>
      <w:pPr>
        <w:pStyle w:val="BodyText"/>
      </w:pPr>
      <w:r>
        <w:t xml:space="preserve">-10%</w:t>
      </w:r>
      <w:r>
        <w:t xml:space="preserve"> </w:t>
      </w:r>
      <w:r>
        <w:t xml:space="preserve">-10%</w:t>
      </w:r>
      <w:r>
        <w:t xml:space="preserve"> </w:t>
      </w:r>
      <w:r>
        <w:t xml:space="preserve">4%</w:t>
      </w:r>
      <w:r>
        <w:t xml:space="preserve"> </w:t>
      </w:r>
      <w:r>
        <w:t xml:space="preserve">34%</w:t>
      </w:r>
      <w:r>
        <w:t xml:space="preserve"> </w:t>
      </w:r>
      <w:r>
        <w:t xml:space="preserve">85%</w:t>
      </w:r>
      <w:r>
        <w:t xml:space="preserve"> </w:t>
      </w:r>
      <w:r>
        <w:t xml:space="preserve">32</w:t>
      </w:r>
      <w:r>
        <w:t xml:space="preserve"> </w:t>
      </w:r>
      <w:r>
        <w:t xml:space="preserve">-335</w:t>
      </w:r>
      <w:r>
        <w:t xml:space="preserve"> </w:t>
      </w:r>
      <w:r>
        <w:t xml:space="preserve">-625</w:t>
      </w:r>
      <w:r>
        <w:t xml:space="preserve"> </w:t>
      </w:r>
      <w:r>
        <w:t xml:space="preserve">425</w:t>
      </w:r>
      <w:r>
        <w:t xml:space="preserve"> </w:t>
      </w:r>
      <w:r>
        <w:t xml:space="preserve">4,467</w:t>
      </w:r>
      <w:r>
        <w:t xml:space="preserve"> </w:t>
      </w:r>
      <w:r>
        <w:t xml:space="preserve">14,373</w:t>
      </w:r>
    </w:p>
    <w:p>
      <w:pPr>
        <w:pStyle w:val="BodyText"/>
      </w:pPr>
      <w:r>
        <w:t xml:space="preserve">-9%</w:t>
      </w:r>
      <w:r>
        <w:t xml:space="preserve"> </w:t>
      </w:r>
      <w:r>
        <w:t xml:space="preserve">-10%</w:t>
      </w:r>
      <w:r>
        <w:t xml:space="preserve"> </w:t>
      </w:r>
      <w:r>
        <w:t xml:space="preserve">5%</w:t>
      </w:r>
      <w:r>
        <w:t xml:space="preserve"> </w:t>
      </w:r>
      <w:r>
        <w:t xml:space="preserve">34%</w:t>
      </w:r>
      <w:r>
        <w:t xml:space="preserve"> </w:t>
      </w:r>
      <w:r>
        <w:t xml:space="preserve">85%</w:t>
      </w:r>
      <w:r>
        <w:t xml:space="preserve"> </w:t>
      </w:r>
      <w:r>
        <w:t xml:space="preserve">33</w:t>
      </w:r>
      <w:r>
        <w:t xml:space="preserve"> </w:t>
      </w:r>
      <w:r>
        <w:t xml:space="preserve">-315</w:t>
      </w:r>
      <w:r>
        <w:t xml:space="preserve"> </w:t>
      </w:r>
      <w:r>
        <w:t xml:space="preserve">-614</w:t>
      </w:r>
      <w:r>
        <w:t xml:space="preserve"> </w:t>
      </w:r>
      <w:r>
        <w:t xml:space="preserve">469</w:t>
      </w:r>
      <w:r>
        <w:t xml:space="preserve"> </w:t>
      </w:r>
      <w:r>
        <w:t xml:space="preserve">4,637</w:t>
      </w:r>
      <w:r>
        <w:t xml:space="preserve"> </w:t>
      </w:r>
      <w:r>
        <w:t xml:space="preserve">14,853</w:t>
      </w:r>
    </w:p>
    <w:p>
      <w:pPr>
        <w:pStyle w:val="BodyText"/>
      </w:pPr>
      <w:r>
        <w:t xml:space="preserve">-8%</w:t>
      </w:r>
      <w:r>
        <w:t xml:space="preserve"> </w:t>
      </w:r>
      <w:r>
        <w:t xml:space="preserve">-10%</w:t>
      </w:r>
      <w:r>
        <w:t xml:space="preserve"> </w:t>
      </w:r>
      <w:r>
        <w:t xml:space="preserve">5%</w:t>
      </w:r>
      <w:r>
        <w:t xml:space="preserve"> </w:t>
      </w:r>
      <w:r>
        <w:t xml:space="preserve">35%</w:t>
      </w:r>
      <w:r>
        <w:t xml:space="preserve"> </w:t>
      </w:r>
      <w:r>
        <w:t xml:space="preserve">85%</w:t>
      </w:r>
      <w:r>
        <w:t xml:space="preserve"> </w:t>
      </w:r>
      <w:r>
        <w:t xml:space="preserve">34</w:t>
      </w:r>
      <w:r>
        <w:t xml:space="preserve"> </w:t>
      </w:r>
      <w:r>
        <w:t xml:space="preserve">-295</w:t>
      </w:r>
      <w:r>
        <w:t xml:space="preserve"> </w:t>
      </w:r>
      <w:r>
        <w:t xml:space="preserve">-603</w:t>
      </w:r>
      <w:r>
        <w:t xml:space="preserve"> </w:t>
      </w:r>
      <w:r>
        <w:t xml:space="preserve">513</w:t>
      </w:r>
      <w:r>
        <w:t xml:space="preserve"> </w:t>
      </w:r>
      <w:r>
        <w:t xml:space="preserve">4,807</w:t>
      </w:r>
      <w:r>
        <w:t xml:space="preserve"> </w:t>
      </w:r>
      <w:r>
        <w:t xml:space="preserve">15,333</w:t>
      </w:r>
    </w:p>
    <w:p>
      <w:pPr>
        <w:pStyle w:val="BodyText"/>
      </w:pPr>
      <w:r>
        <w:t xml:space="preserve">-8%</w:t>
      </w:r>
      <w:r>
        <w:t xml:space="preserve"> </w:t>
      </w:r>
      <w:r>
        <w:t xml:space="preserve">-9%</w:t>
      </w:r>
      <w:r>
        <w:t xml:space="preserve"> </w:t>
      </w:r>
      <w:r>
        <w:t xml:space="preserve">5%</w:t>
      </w:r>
      <w:r>
        <w:t xml:space="preserve"> </w:t>
      </w:r>
      <w:r>
        <w:t xml:space="preserve">35%</w:t>
      </w:r>
      <w:r>
        <w:t xml:space="preserve"> </w:t>
      </w:r>
      <w:r>
        <w:t xml:space="preserve">86%</w:t>
      </w:r>
      <w:r>
        <w:t xml:space="preserve"> </w:t>
      </w:r>
      <w:r>
        <w:t xml:space="preserve">35</w:t>
      </w:r>
      <w:r>
        <w:t xml:space="preserve"> </w:t>
      </w:r>
      <w:r>
        <w:t xml:space="preserve">-275</w:t>
      </w:r>
      <w:r>
        <w:t xml:space="preserve"> </w:t>
      </w:r>
      <w:r>
        <w:t xml:space="preserve">-592</w:t>
      </w:r>
      <w:r>
        <w:t xml:space="preserve"> </w:t>
      </w:r>
      <w:r>
        <w:t xml:space="preserve">556</w:t>
      </w:r>
      <w:r>
        <w:t xml:space="preserve"> </w:t>
      </w:r>
      <w:r>
        <w:t xml:space="preserve">4,977</w:t>
      </w:r>
      <w:r>
        <w:t xml:space="preserve"> </w:t>
      </w:r>
      <w:r>
        <w:t xml:space="preserve">15,812</w:t>
      </w:r>
    </w:p>
    <w:p>
      <w:pPr>
        <w:pStyle w:val="BodyText"/>
      </w:pPr>
      <w:r>
        <w:t xml:space="preserve">-7%</w:t>
      </w:r>
      <w:r>
        <w:t xml:space="preserve"> </w:t>
      </w:r>
      <w:r>
        <w:t xml:space="preserve">-9%</w:t>
      </w:r>
      <w:r>
        <w:t xml:space="preserve"> </w:t>
      </w:r>
      <w:r>
        <w:t xml:space="preserve">5%</w:t>
      </w:r>
      <w:r>
        <w:t xml:space="preserve"> </w:t>
      </w:r>
      <w:r>
        <w:t xml:space="preserve">35%</w:t>
      </w:r>
      <w:r>
        <w:t xml:space="preserve"> </w:t>
      </w:r>
      <w:r>
        <w:t xml:space="preserve">86%</w:t>
      </w:r>
      <w:r>
        <w:t xml:space="preserve"> </w:t>
      </w:r>
      <w:r>
        <w:t xml:space="preserve">36</w:t>
      </w:r>
      <w:r>
        <w:t xml:space="preserve"> </w:t>
      </w:r>
      <w:r>
        <w:t xml:space="preserve">-255</w:t>
      </w:r>
      <w:r>
        <w:t xml:space="preserve"> </w:t>
      </w:r>
      <w:r>
        <w:t xml:space="preserve">-581</w:t>
      </w:r>
      <w:r>
        <w:t xml:space="preserve"> </w:t>
      </w:r>
      <w:r>
        <w:t xml:space="preserve">600</w:t>
      </w:r>
      <w:r>
        <w:t xml:space="preserve"> </w:t>
      </w:r>
      <w:r>
        <w:t xml:space="preserve">5,147</w:t>
      </w:r>
      <w:r>
        <w:t xml:space="preserve"> </w:t>
      </w:r>
      <w:r>
        <w:t xml:space="preserve">16,292</w:t>
      </w:r>
    </w:p>
    <w:p>
      <w:pPr>
        <w:pStyle w:val="BodyText"/>
      </w:pPr>
      <w:r>
        <w:t xml:space="preserve">-6%</w:t>
      </w:r>
      <w:r>
        <w:t xml:space="preserve"> </w:t>
      </w:r>
      <w:r>
        <w:t xml:space="preserve">-8%</w:t>
      </w:r>
      <w:r>
        <w:t xml:space="preserve"> </w:t>
      </w:r>
      <w:r>
        <w:t xml:space="preserve">6%</w:t>
      </w:r>
      <w:r>
        <w:t xml:space="preserve"> </w:t>
      </w:r>
      <w:r>
        <w:t xml:space="preserve">36%</w:t>
      </w:r>
      <w:r>
        <w:t xml:space="preserve"> </w:t>
      </w:r>
      <w:r>
        <w:t xml:space="preserve">86%</w:t>
      </w:r>
      <w:r>
        <w:t xml:space="preserve"> </w:t>
      </w:r>
      <w:r>
        <w:t xml:space="preserve">37</w:t>
      </w:r>
      <w:r>
        <w:t xml:space="preserve"> </w:t>
      </w:r>
      <w:r>
        <w:t xml:space="preserve">-235</w:t>
      </w:r>
      <w:r>
        <w:t xml:space="preserve"> </w:t>
      </w:r>
      <w:r>
        <w:t xml:space="preserve">-570</w:t>
      </w:r>
      <w:r>
        <w:t xml:space="preserve"> </w:t>
      </w:r>
      <w:r>
        <w:t xml:space="preserve">644</w:t>
      </w:r>
      <w:r>
        <w:t xml:space="preserve"> </w:t>
      </w:r>
      <w:r>
        <w:t xml:space="preserve">5,318</w:t>
      </w:r>
      <w:r>
        <w:t xml:space="preserve"> </w:t>
      </w:r>
      <w:r>
        <w:t xml:space="preserve">16,772</w:t>
      </w:r>
    </w:p>
    <w:p>
      <w:pPr>
        <w:pStyle w:val="BodyText"/>
      </w:pPr>
      <w:r>
        <w:t xml:space="preserve">-6%</w:t>
      </w:r>
      <w:r>
        <w:t xml:space="preserve"> </w:t>
      </w:r>
      <w:r>
        <w:t xml:space="preserve">-8%</w:t>
      </w:r>
      <w:r>
        <w:t xml:space="preserve"> </w:t>
      </w:r>
      <w:r>
        <w:t xml:space="preserve">6%</w:t>
      </w:r>
      <w:r>
        <w:t xml:space="preserve"> </w:t>
      </w:r>
      <w:r>
        <w:t xml:space="preserve">36%</w:t>
      </w:r>
      <w:r>
        <w:t xml:space="preserve"> </w:t>
      </w:r>
      <w:r>
        <w:t xml:space="preserve">87%</w:t>
      </w:r>
      <w:r>
        <w:t xml:space="preserve"> </w:t>
      </w:r>
      <w:r>
        <w:t xml:space="preserve">38</w:t>
      </w:r>
      <w:r>
        <w:t xml:space="preserve"> </w:t>
      </w:r>
      <w:r>
        <w:t xml:space="preserve">-215</w:t>
      </w:r>
      <w:r>
        <w:t xml:space="preserve"> </w:t>
      </w:r>
      <w:r>
        <w:t xml:space="preserve">-559</w:t>
      </w:r>
      <w:r>
        <w:t xml:space="preserve"> </w:t>
      </w:r>
      <w:r>
        <w:t xml:space="preserve">688</w:t>
      </w:r>
      <w:r>
        <w:t xml:space="preserve"> </w:t>
      </w:r>
      <w:r>
        <w:t xml:space="preserve">5,488</w:t>
      </w:r>
      <w:r>
        <w:t xml:space="preserve"> </w:t>
      </w:r>
      <w:r>
        <w:t xml:space="preserve">17,251</w:t>
      </w:r>
    </w:p>
    <w:p>
      <w:pPr>
        <w:pStyle w:val="BodyText"/>
      </w:pPr>
      <w:r>
        <w:t xml:space="preserve">-5%</w:t>
      </w:r>
      <w:r>
        <w:t xml:space="preserve"> </w:t>
      </w:r>
      <w:r>
        <w:t xml:space="preserve">-8%</w:t>
      </w:r>
      <w:r>
        <w:t xml:space="preserve"> </w:t>
      </w:r>
      <w:r>
        <w:t xml:space="preserve">6%</w:t>
      </w:r>
      <w:r>
        <w:t xml:space="preserve"> </w:t>
      </w:r>
      <w:r>
        <w:t xml:space="preserve">36%</w:t>
      </w:r>
      <w:r>
        <w:t xml:space="preserve"> </w:t>
      </w:r>
      <w:r>
        <w:t xml:space="preserve">87%</w:t>
      </w:r>
      <w:r>
        <w:t xml:space="preserve"> </w:t>
      </w:r>
      <w:r>
        <w:t xml:space="preserve">39</w:t>
      </w:r>
      <w:r>
        <w:t xml:space="preserve"> </w:t>
      </w:r>
      <w:r>
        <w:t xml:space="preserve">-195</w:t>
      </w:r>
      <w:r>
        <w:t xml:space="preserve"> </w:t>
      </w:r>
      <w:r>
        <w:t xml:space="preserve">-548</w:t>
      </w:r>
      <w:r>
        <w:t xml:space="preserve"> </w:t>
      </w:r>
      <w:r>
        <w:t xml:space="preserve">732</w:t>
      </w:r>
      <w:r>
        <w:t xml:space="preserve"> </w:t>
      </w:r>
      <w:r>
        <w:t xml:space="preserve">5,658</w:t>
      </w:r>
      <w:r>
        <w:t xml:space="preserve"> </w:t>
      </w:r>
      <w:r>
        <w:t xml:space="preserve">17,731</w:t>
      </w:r>
    </w:p>
    <w:p>
      <w:pPr>
        <w:pStyle w:val="BodyText"/>
      </w:pPr>
      <w:r>
        <w:t xml:space="preserve">-5%</w:t>
      </w:r>
      <w:r>
        <w:t xml:space="preserve"> </w:t>
      </w:r>
      <w:r>
        <w:t xml:space="preserve">-7%</w:t>
      </w:r>
      <w:r>
        <w:t xml:space="preserve"> </w:t>
      </w:r>
      <w:r>
        <w:t xml:space="preserve">6%</w:t>
      </w:r>
      <w:r>
        <w:t xml:space="preserve"> </w:t>
      </w:r>
      <w:r>
        <w:t xml:space="preserve">36%</w:t>
      </w:r>
      <w:r>
        <w:t xml:space="preserve"> </w:t>
      </w:r>
      <w:r>
        <w:t xml:space="preserve">87%</w:t>
      </w:r>
      <w:r>
        <w:t xml:space="preserve"> </w:t>
      </w:r>
      <w:r>
        <w:t xml:space="preserve">40</w:t>
      </w:r>
      <w:r>
        <w:t xml:space="preserve"> </w:t>
      </w:r>
      <w:r>
        <w:t xml:space="preserve">-175</w:t>
      </w:r>
      <w:r>
        <w:t xml:space="preserve"> </w:t>
      </w:r>
      <w:r>
        <w:t xml:space="preserve">-537</w:t>
      </w:r>
      <w:r>
        <w:t xml:space="preserve"> </w:t>
      </w:r>
      <w:r>
        <w:t xml:space="preserve">775</w:t>
      </w:r>
      <w:r>
        <w:t xml:space="preserve"> </w:t>
      </w:r>
      <w:r>
        <w:t xml:space="preserve">5,828</w:t>
      </w:r>
      <w:r>
        <w:t xml:space="preserve"> </w:t>
      </w:r>
      <w:r>
        <w:t xml:space="preserve">18,210</w:t>
      </w:r>
    </w:p>
    <w:p>
      <w:pPr>
        <w:pStyle w:val="BodyText"/>
      </w:pPr>
      <w:r>
        <w:t xml:space="preserve">-4%</w:t>
      </w:r>
      <w:r>
        <w:t xml:space="preserve"> </w:t>
      </w:r>
      <w:r>
        <w:t xml:space="preserve">-7%</w:t>
      </w:r>
      <w:r>
        <w:t xml:space="preserve"> </w:t>
      </w:r>
      <w:r>
        <w:t xml:space="preserve">7%</w:t>
      </w:r>
      <w:r>
        <w:t xml:space="preserve"> </w:t>
      </w:r>
      <w:r>
        <w:t xml:space="preserve">36%</w:t>
      </w:r>
      <w:r>
        <w:t xml:space="preserve"> </w:t>
      </w:r>
      <w:r>
        <w:t xml:space="preserve">87%</w:t>
      </w:r>
      <w:r>
        <w:t xml:space="preserve"> </w:t>
      </w:r>
      <w:r>
        <w:t xml:space="preserve">41</w:t>
      </w:r>
      <w:r>
        <w:t xml:space="preserve"> </w:t>
      </w:r>
      <w:r>
        <w:t xml:space="preserve">-155</w:t>
      </w:r>
      <w:r>
        <w:t xml:space="preserve"> </w:t>
      </w:r>
      <w:r>
        <w:t xml:space="preserve">-526</w:t>
      </w:r>
      <w:r>
        <w:t xml:space="preserve"> </w:t>
      </w:r>
      <w:r>
        <w:t xml:space="preserve">819</w:t>
      </w:r>
      <w:r>
        <w:t xml:space="preserve"> </w:t>
      </w:r>
      <w:r>
        <w:t xml:space="preserve">5,998</w:t>
      </w:r>
      <w:r>
        <w:t xml:space="preserve"> </w:t>
      </w:r>
      <w:r>
        <w:t xml:space="preserve">18,690</w:t>
      </w:r>
    </w:p>
    <w:p>
      <w:pPr>
        <w:pStyle w:val="BodyText"/>
      </w:pPr>
      <w:r>
        <w:t xml:space="preserve">-4%</w:t>
      </w:r>
      <w:r>
        <w:t xml:space="preserve"> </w:t>
      </w:r>
      <w:r>
        <w:t xml:space="preserve">-7%</w:t>
      </w:r>
      <w:r>
        <w:t xml:space="preserve"> </w:t>
      </w:r>
      <w:r>
        <w:t xml:space="preserve">7%</w:t>
      </w:r>
      <w:r>
        <w:t xml:space="preserve"> </w:t>
      </w:r>
      <w:r>
        <w:t xml:space="preserve">37%</w:t>
      </w:r>
      <w:r>
        <w:t xml:space="preserve"> </w:t>
      </w:r>
      <w:r>
        <w:t xml:space="preserve">88%</w:t>
      </w:r>
      <w:r>
        <w:t xml:space="preserve"> </w:t>
      </w:r>
      <w:r>
        <w:t xml:space="preserve">42</w:t>
      </w:r>
      <w:r>
        <w:t xml:space="preserve"> </w:t>
      </w:r>
      <w:r>
        <w:t xml:space="preserve">-135</w:t>
      </w:r>
      <w:r>
        <w:t xml:space="preserve"> </w:t>
      </w:r>
      <w:r>
        <w:t xml:space="preserve">-515</w:t>
      </w:r>
      <w:r>
        <w:t xml:space="preserve"> </w:t>
      </w:r>
      <w:r>
        <w:t xml:space="preserve">863</w:t>
      </w:r>
      <w:r>
        <w:t xml:space="preserve"> </w:t>
      </w:r>
      <w:r>
        <w:t xml:space="preserve">6,168</w:t>
      </w:r>
      <w:r>
        <w:t xml:space="preserve"> </w:t>
      </w:r>
      <w:r>
        <w:t xml:space="preserve">19,170</w:t>
      </w:r>
    </w:p>
    <w:p>
      <w:pPr>
        <w:pStyle w:val="BodyText"/>
      </w:pPr>
      <w:r>
        <w:t xml:space="preserve">-3%</w:t>
      </w:r>
      <w:r>
        <w:t xml:space="preserve"> </w:t>
      </w:r>
      <w:r>
        <w:t xml:space="preserve">-7%</w:t>
      </w:r>
      <w:r>
        <w:t xml:space="preserve"> </w:t>
      </w:r>
      <w:r>
        <w:t xml:space="preserve">7%</w:t>
      </w:r>
      <w:r>
        <w:t xml:space="preserve"> </w:t>
      </w:r>
      <w:r>
        <w:t xml:space="preserve">37%</w:t>
      </w:r>
      <w:r>
        <w:t xml:space="preserve"> </w:t>
      </w:r>
      <w:r>
        <w:t xml:space="preserve">88%</w:t>
      </w:r>
      <w:r>
        <w:t xml:space="preserve"> </w:t>
      </w:r>
      <w:r>
        <w:t xml:space="preserve">43</w:t>
      </w:r>
      <w:r>
        <w:t xml:space="preserve"> </w:t>
      </w:r>
      <w:r>
        <w:t xml:space="preserve">-115</w:t>
      </w:r>
      <w:r>
        <w:t xml:space="preserve"> </w:t>
      </w:r>
      <w:r>
        <w:t xml:space="preserve">-504</w:t>
      </w:r>
      <w:r>
        <w:t xml:space="preserve"> </w:t>
      </w:r>
      <w:r>
        <w:t xml:space="preserve">907</w:t>
      </w:r>
      <w:r>
        <w:t xml:space="preserve"> </w:t>
      </w:r>
      <w:r>
        <w:t xml:space="preserve">6,338</w:t>
      </w:r>
      <w:r>
        <w:t xml:space="preserve"> </w:t>
      </w:r>
      <w:r>
        <w:t xml:space="preserve">19,649</w:t>
      </w:r>
    </w:p>
    <w:p>
      <w:pPr>
        <w:pStyle w:val="BodyText"/>
      </w:pPr>
      <w:r>
        <w:t xml:space="preserve">-3%</w:t>
      </w:r>
      <w:r>
        <w:t xml:space="preserve"> </w:t>
      </w:r>
      <w:r>
        <w:t xml:space="preserve">-6%</w:t>
      </w:r>
      <w:r>
        <w:t xml:space="preserve"> </w:t>
      </w:r>
      <w:r>
        <w:t xml:space="preserve">7%</w:t>
      </w:r>
      <w:r>
        <w:t xml:space="preserve"> </w:t>
      </w:r>
      <w:r>
        <w:t xml:space="preserve">37%</w:t>
      </w:r>
      <w:r>
        <w:t xml:space="preserve"> </w:t>
      </w:r>
      <w:r>
        <w:t xml:space="preserve">88%</w:t>
      </w:r>
      <w:r>
        <w:t xml:space="preserve"> </w:t>
      </w:r>
      <w:r>
        <w:t xml:space="preserve">44</w:t>
      </w:r>
      <w:r>
        <w:t xml:space="preserve"> </w:t>
      </w:r>
      <w:r>
        <w:t xml:space="preserve">-95</w:t>
      </w:r>
      <w:r>
        <w:t xml:space="preserve"> </w:t>
      </w:r>
      <w:r>
        <w:t xml:space="preserve">-494</w:t>
      </w:r>
      <w:r>
        <w:t xml:space="preserve"> </w:t>
      </w:r>
      <w:r>
        <w:t xml:space="preserve">950</w:t>
      </w:r>
      <w:r>
        <w:t xml:space="preserve"> </w:t>
      </w:r>
      <w:r>
        <w:t xml:space="preserve">6,508</w:t>
      </w:r>
      <w:r>
        <w:t xml:space="preserve"> </w:t>
      </w:r>
      <w:r>
        <w:t xml:space="preserve">20,129</w:t>
      </w:r>
    </w:p>
    <w:p>
      <w:pPr>
        <w:pStyle w:val="BodyText"/>
      </w:pPr>
      <w:r>
        <w:t xml:space="preserve">-2%</w:t>
      </w:r>
      <w:r>
        <w:t xml:space="preserve"> </w:t>
      </w:r>
      <w:r>
        <w:t xml:space="preserve">-6%</w:t>
      </w:r>
      <w:r>
        <w:t xml:space="preserve"> </w:t>
      </w:r>
      <w:r>
        <w:t xml:space="preserve">8%</w:t>
      </w:r>
      <w:r>
        <w:t xml:space="preserve"> </w:t>
      </w:r>
      <w:r>
        <w:t xml:space="preserve">37%</w:t>
      </w:r>
      <w:r>
        <w:t xml:space="preserve"> </w:t>
      </w:r>
      <w:r>
        <w:t xml:space="preserve">88%</w:t>
      </w:r>
      <w:r>
        <w:t xml:space="preserve"> </w:t>
      </w:r>
      <w:r>
        <w:t xml:space="preserve">45</w:t>
      </w:r>
      <w:r>
        <w:t xml:space="preserve"> </w:t>
      </w:r>
      <w:r>
        <w:t xml:space="preserve">-75</w:t>
      </w:r>
      <w:r>
        <w:t xml:space="preserve"> </w:t>
      </w:r>
      <w:r>
        <w:t xml:space="preserve">-483</w:t>
      </w:r>
      <w:r>
        <w:t xml:space="preserve"> </w:t>
      </w:r>
      <w:r>
        <w:t xml:space="preserve">994</w:t>
      </w:r>
      <w:r>
        <w:t xml:space="preserve"> </w:t>
      </w:r>
      <w:r>
        <w:t xml:space="preserve">6,678</w:t>
      </w:r>
      <w:r>
        <w:t xml:space="preserve"> </w:t>
      </w:r>
      <w:r>
        <w:t xml:space="preserve">20,609</w:t>
      </w:r>
    </w:p>
    <w:p>
      <w:pPr>
        <w:pStyle w:val="BodyText"/>
      </w:pPr>
      <w:r>
        <w:t xml:space="preserve">-2%</w:t>
      </w:r>
      <w:r>
        <w:t xml:space="preserve"> </w:t>
      </w:r>
      <w:r>
        <w:t xml:space="preserve">-6%</w:t>
      </w:r>
      <w:r>
        <w:t xml:space="preserve"> </w:t>
      </w:r>
      <w:r>
        <w:t xml:space="preserve">8%</w:t>
      </w:r>
      <w:r>
        <w:t xml:space="preserve"> </w:t>
      </w:r>
      <w:r>
        <w:t xml:space="preserve">37%</w:t>
      </w:r>
      <w:r>
        <w:t xml:space="preserve"> </w:t>
      </w:r>
      <w:r>
        <w:t xml:space="preserve">88%</w:t>
      </w:r>
      <w:r>
        <w:t xml:space="preserve"> </w:t>
      </w:r>
      <w:r>
        <w:t xml:space="preserve">46</w:t>
      </w:r>
      <w:r>
        <w:t xml:space="preserve"> </w:t>
      </w:r>
      <w:r>
        <w:t xml:space="preserve">-55</w:t>
      </w:r>
      <w:r>
        <w:t xml:space="preserve"> </w:t>
      </w:r>
      <w:r>
        <w:t xml:space="preserve">-472</w:t>
      </w:r>
      <w:r>
        <w:t xml:space="preserve"> </w:t>
      </w:r>
      <w:r>
        <w:t xml:space="preserve">1,038</w:t>
      </w:r>
      <w:r>
        <w:t xml:space="preserve"> </w:t>
      </w:r>
      <w:r>
        <w:t xml:space="preserve">6,848</w:t>
      </w:r>
      <w:r>
        <w:t xml:space="preserve"> </w:t>
      </w:r>
      <w:r>
        <w:t xml:space="preserve">21,088</w:t>
      </w:r>
    </w:p>
    <w:p>
      <w:pPr>
        <w:pStyle w:val="BodyText"/>
      </w:pPr>
      <w:r>
        <w:t xml:space="preserve">-1%</w:t>
      </w:r>
      <w:r>
        <w:t xml:space="preserve"> </w:t>
      </w:r>
      <w:r>
        <w:t xml:space="preserve">-6%</w:t>
      </w:r>
      <w:r>
        <w:t xml:space="preserve"> </w:t>
      </w:r>
      <w:r>
        <w:t xml:space="preserve">8%</w:t>
      </w:r>
      <w:r>
        <w:t xml:space="preserve"> </w:t>
      </w:r>
      <w:r>
        <w:t xml:space="preserve">38%</w:t>
      </w:r>
      <w:r>
        <w:t xml:space="preserve"> </w:t>
      </w:r>
      <w:r>
        <w:t xml:space="preserve">89%</w:t>
      </w:r>
      <w:r>
        <w:t xml:space="preserve"> </w:t>
      </w:r>
      <w:r>
        <w:t xml:space="preserve">47</w:t>
      </w:r>
      <w:r>
        <w:t xml:space="preserve"> </w:t>
      </w:r>
      <w:r>
        <w:t xml:space="preserve">-35</w:t>
      </w:r>
      <w:r>
        <w:t xml:space="preserve"> </w:t>
      </w:r>
      <w:r>
        <w:t xml:space="preserve">-461</w:t>
      </w:r>
      <w:r>
        <w:t xml:space="preserve"> </w:t>
      </w:r>
      <w:r>
        <w:t xml:space="preserve">1,082</w:t>
      </w:r>
      <w:r>
        <w:t xml:space="preserve"> </w:t>
      </w:r>
      <w:r>
        <w:t xml:space="preserve">7,018</w:t>
      </w:r>
      <w:r>
        <w:t xml:space="preserve"> </w:t>
      </w:r>
      <w:r>
        <w:t xml:space="preserve">21,568</w:t>
      </w:r>
    </w:p>
    <w:p>
      <w:pPr>
        <w:pStyle w:val="BodyText"/>
      </w:pPr>
      <w:r>
        <w:t xml:space="preserve">-1%</w:t>
      </w:r>
      <w:r>
        <w:t xml:space="preserve"> </w:t>
      </w:r>
      <w:r>
        <w:t xml:space="preserve">-5%</w:t>
      </w:r>
      <w:r>
        <w:t xml:space="preserve"> </w:t>
      </w:r>
      <w:r>
        <w:t xml:space="preserve">8%</w:t>
      </w:r>
      <w:r>
        <w:t xml:space="preserve"> </w:t>
      </w:r>
      <w:r>
        <w:t xml:space="preserve">38%</w:t>
      </w:r>
      <w:r>
        <w:t xml:space="preserve"> </w:t>
      </w:r>
      <w:r>
        <w:t xml:space="preserve">89%</w:t>
      </w:r>
      <w:r>
        <w:t xml:space="preserve"> </w:t>
      </w:r>
      <w:r>
        <w:t xml:space="preserve">48</w:t>
      </w:r>
      <w:r>
        <w:t xml:space="preserve"> </w:t>
      </w:r>
      <w:r>
        <w:t xml:space="preserve">-15</w:t>
      </w:r>
      <w:r>
        <w:t xml:space="preserve"> </w:t>
      </w:r>
      <w:r>
        <w:t xml:space="preserve">-450</w:t>
      </w:r>
      <w:r>
        <w:t xml:space="preserve"> </w:t>
      </w:r>
      <w:r>
        <w:t xml:space="preserve">1,125</w:t>
      </w:r>
      <w:r>
        <w:t xml:space="preserve"> </w:t>
      </w:r>
      <w:r>
        <w:t xml:space="preserve">7,188</w:t>
      </w:r>
      <w:r>
        <w:t xml:space="preserve"> </w:t>
      </w:r>
      <w:r>
        <w:t xml:space="preserve">22,048</w:t>
      </w:r>
    </w:p>
    <w:p>
      <w:pPr>
        <w:pStyle w:val="BodyText"/>
      </w:pPr>
      <w:r>
        <w:t xml:space="preserve">0%</w:t>
      </w:r>
      <w:r>
        <w:t xml:space="preserve"> </w:t>
      </w:r>
      <w:r>
        <w:t xml:space="preserve">-5%</w:t>
      </w:r>
      <w:r>
        <w:t xml:space="preserve"> </w:t>
      </w:r>
      <w:r>
        <w:t xml:space="preserve">8%</w:t>
      </w:r>
      <w:r>
        <w:t xml:space="preserve"> </w:t>
      </w:r>
      <w:r>
        <w:t xml:space="preserve">38%</w:t>
      </w:r>
      <w:r>
        <w:t xml:space="preserve"> </w:t>
      </w:r>
      <w:r>
        <w:t xml:space="preserve">89%</w:t>
      </w:r>
      <w:r>
        <w:t xml:space="preserve"> </w:t>
      </w:r>
      <w:r>
        <w:t xml:space="preserve">49</w:t>
      </w:r>
      <w:r>
        <w:t xml:space="preserve"> </w:t>
      </w:r>
      <w:r>
        <w:t xml:space="preserve">5</w:t>
      </w:r>
      <w:r>
        <w:t xml:space="preserve"> </w:t>
      </w:r>
      <w:r>
        <w:t xml:space="preserve">-439</w:t>
      </w:r>
      <w:r>
        <w:t xml:space="preserve"> </w:t>
      </w:r>
      <w:r>
        <w:t xml:space="preserve">1,169</w:t>
      </w:r>
      <w:r>
        <w:t xml:space="preserve"> </w:t>
      </w:r>
      <w:r>
        <w:t xml:space="preserve">7,358</w:t>
      </w:r>
      <w:r>
        <w:t xml:space="preserve"> </w:t>
      </w:r>
      <w:r>
        <w:t xml:space="preserve">22,527</w:t>
      </w:r>
    </w:p>
    <w:p>
      <w:pPr>
        <w:pStyle w:val="BodyText"/>
      </w:pPr>
      <w:r>
        <w:t xml:space="preserve">0%</w:t>
      </w:r>
      <w:r>
        <w:t xml:space="preserve"> </w:t>
      </w:r>
      <w:r>
        <w:t xml:space="preserve">-5%</w:t>
      </w:r>
      <w:r>
        <w:t xml:space="preserve"> </w:t>
      </w:r>
      <w:r>
        <w:t xml:space="preserve">8%</w:t>
      </w:r>
      <w:r>
        <w:t xml:space="preserve"> </w:t>
      </w:r>
      <w:r>
        <w:t xml:space="preserve">38%</w:t>
      </w:r>
      <w:r>
        <w:t xml:space="preserve"> </w:t>
      </w:r>
      <w:r>
        <w:t xml:space="preserve">89%</w:t>
      </w:r>
      <w:r>
        <w:t xml:space="preserve"> </w:t>
      </w:r>
      <w:r>
        <w:t xml:space="preserve">50</w:t>
      </w:r>
      <w:r>
        <w:t xml:space="preserve"> </w:t>
      </w:r>
      <w:r>
        <w:t xml:space="preserve">25</w:t>
      </w:r>
      <w:r>
        <w:t xml:space="preserve"> </w:t>
      </w:r>
      <w:r>
        <w:t xml:space="preserve">-428</w:t>
      </w:r>
      <w:r>
        <w:t xml:space="preserve"> </w:t>
      </w:r>
      <w:r>
        <w:t xml:space="preserve">1,213</w:t>
      </w:r>
      <w:r>
        <w:t xml:space="preserve"> </w:t>
      </w:r>
      <w:r>
        <w:t xml:space="preserve">7,528</w:t>
      </w:r>
      <w:r>
        <w:t xml:space="preserve"> </w:t>
      </w:r>
      <w:r>
        <w:t xml:space="preserve">23,007</w:t>
      </w:r>
    </w:p>
    <w:p>
      <w:pPr>
        <w:pStyle w:val="BodyText"/>
      </w:pPr>
      <w:r>
        <w:t xml:space="preserve">0%</w:t>
      </w:r>
      <w:r>
        <w:t xml:space="preserve"> </w:t>
      </w:r>
      <w:r>
        <w:t xml:space="preserve">-5%</w:t>
      </w:r>
      <w:r>
        <w:t xml:space="preserve"> </w:t>
      </w:r>
      <w:r>
        <w:t xml:space="preserve">9%</w:t>
      </w:r>
      <w:r>
        <w:t xml:space="preserve"> </w:t>
      </w:r>
      <w:r>
        <w:t xml:space="preserve">38%</w:t>
      </w:r>
      <w:r>
        <w:t xml:space="preserve"> </w:t>
      </w:r>
      <w:r>
        <w:t xml:space="preserve">89%</w:t>
      </w:r>
      <w:r>
        <w:t xml:space="preserve"> </w:t>
      </w:r>
      <w:r>
        <w:t xml:space="preserve">Source: Own assessment, present value of future fees used as per Tab. A.9.4.</w:t>
      </w:r>
      <w:r>
        <w:br/>
      </w:r>
      <w:r>
        <w:t xml:space="preserve">In case Opt 3.2 is selected, those having from 1 to 22 designs per application (98%) will</w:t>
      </w:r>
      <w:r>
        <w:t xml:space="preserve"> </w:t>
      </w:r>
      <w:r>
        <w:t xml:space="preserve">be able to protect their designs at lower cost than currently for up to 15 years. Those with</w:t>
      </w:r>
      <w:r>
        <w:t xml:space="preserve"> </w:t>
      </w:r>
      <w:r>
        <w:t xml:space="preserve">between 22 and 50 designs (2%) will be able to protect them at lower cost than currently</w:t>
      </w:r>
      <w:r>
        <w:t xml:space="preserve"> </w:t>
      </w:r>
      <w:r>
        <w:t xml:space="preserve">for a period up to 10 years.</w:t>
      </w:r>
      <w:r>
        <w:t xml:space="preserve"> </w:t>
      </w:r>
      <w:r>
        <w:t xml:space="preserve">Not all designs that are filed are registered and even fewer are renewed. For instance,</w:t>
      </w:r>
      <w:r>
        <w:t xml:space="preserve"> </w:t>
      </w:r>
      <w:r>
        <w:t xml:space="preserve">some products are short-lived and basic protection is sufficient, some designs might not</w:t>
      </w:r>
    </w:p>
    <w:p>
      <w:pPr>
        <w:pStyle w:val="BodyText"/>
      </w:pPr>
      <w:r>
        <w:t xml:space="preserve">98</w:t>
      </w:r>
    </w:p>
    <w:p>
      <w:pPr>
        <w:pStyle w:val="BodyText"/>
      </w:pPr>
      <w:r>
        <w:t xml:space="preserve">have been a commercial success and their protection is not extended. Based on historical</w:t>
      </w:r>
      <w:r>
        <w:t xml:space="preserve"> </w:t>
      </w:r>
      <w:r>
        <w:t xml:space="preserve">data and projections of EUIPO the following table shows average percentages of</w:t>
      </w:r>
      <w:r>
        <w:t xml:space="preserve"> </w:t>
      </w:r>
      <w:r>
        <w:t xml:space="preserve">applications that are renewed. Natural persons (so also firms not having legal entity)</w:t>
      </w:r>
      <w:r>
        <w:t xml:space="preserve"> </w:t>
      </w:r>
      <w:r>
        <w:t xml:space="preserve">renew designs from 2.5 to 3.5 times less often than companies, and do so for shorter</w:t>
      </w:r>
      <w:r>
        <w:t xml:space="preserve"> </w:t>
      </w:r>
      <w:r>
        <w:t xml:space="preserve">periods (mainly additional 5 years).</w:t>
      </w:r>
      <w:r>
        <w:br/>
      </w:r>
      <w:r>
        <w:t xml:space="preserve">Table A.9.7. Percentages of applications renewed</w:t>
      </w:r>
    </w:p>
    <w:p>
      <w:pPr>
        <w:pStyle w:val="BodyText"/>
      </w:pPr>
      <w:r>
        <w:t xml:space="preserve">% of applications renewed after</w:t>
      </w:r>
      <w:r>
        <w:t xml:space="preserve"> </w:t>
      </w:r>
      <w:r>
        <w:t xml:space="preserve">Renewal by</w:t>
      </w:r>
      <w:r>
        <w:t xml:space="preserve"> </w:t>
      </w:r>
      <w:r>
        <w:t xml:space="preserve">5 years</w:t>
      </w:r>
      <w:r>
        <w:t xml:space="preserve"> </w:t>
      </w:r>
      <w:r>
        <w:t xml:space="preserve">10 years</w:t>
      </w:r>
      <w:r>
        <w:t xml:space="preserve"> </w:t>
      </w:r>
      <w:r>
        <w:t xml:space="preserve">15 years</w:t>
      </w:r>
      <w:r>
        <w:t xml:space="preserve"> </w:t>
      </w:r>
      <w:r>
        <w:t xml:space="preserve">20 years*</w:t>
      </w:r>
      <w:r>
        <w:t xml:space="preserve"> </w:t>
      </w:r>
      <w:r>
        <w:t xml:space="preserve">All</w:t>
      </w:r>
      <w:r>
        <w:br/>
      </w:r>
      <w:r>
        <w:t xml:space="preserve">49%</w:t>
      </w:r>
      <w:r>
        <w:t xml:space="preserve"> </w:t>
      </w:r>
      <w:r>
        <w:t xml:space="preserve">29%</w:t>
      </w:r>
      <w:r>
        <w:t xml:space="preserve"> </w:t>
      </w:r>
      <w:r>
        <w:t xml:space="preserve">18%</w:t>
      </w:r>
      <w:r>
        <w:t xml:space="preserve"> </w:t>
      </w:r>
      <w:r>
        <w:t xml:space="preserve">13%</w:t>
      </w:r>
      <w:r>
        <w:t xml:space="preserve"> </w:t>
      </w:r>
      <w:r>
        <w:t xml:space="preserve">companies</w:t>
      </w:r>
      <w:r>
        <w:t xml:space="preserve"> </w:t>
      </w:r>
      <w:r>
        <w:t xml:space="preserve">55%</w:t>
      </w:r>
      <w:r>
        <w:t xml:space="preserve"> </w:t>
      </w:r>
      <w:r>
        <w:t xml:space="preserve">32%</w:t>
      </w:r>
      <w:r>
        <w:t xml:space="preserve"> </w:t>
      </w:r>
      <w:r>
        <w:t xml:space="preserve">20%</w:t>
      </w:r>
      <w:r>
        <w:t xml:space="preserve"> </w:t>
      </w:r>
      <w:r>
        <w:t xml:space="preserve">14%</w:t>
      </w:r>
      <w:r>
        <w:t xml:space="preserve"> </w:t>
      </w:r>
      <w:r>
        <w:t xml:space="preserve">individuals</w:t>
      </w:r>
      <w:r>
        <w:t xml:space="preserve"> </w:t>
      </w:r>
      <w:r>
        <w:t xml:space="preserve">22%</w:t>
      </w:r>
      <w:r>
        <w:t xml:space="preserve"> </w:t>
      </w:r>
      <w:r>
        <w:t xml:space="preserve">10%</w:t>
      </w:r>
      <w:r>
        <w:t xml:space="preserve"> </w:t>
      </w:r>
      <w:r>
        <w:t xml:space="preserve">6%</w:t>
      </w:r>
      <w:r>
        <w:t xml:space="preserve"> </w:t>
      </w:r>
      <w:r>
        <w:t xml:space="preserve">4%</w:t>
      </w:r>
      <w:r>
        <w:t xml:space="preserve"> </w:t>
      </w:r>
      <w:r>
        <w:t xml:space="preserve">* forecast</w:t>
      </w:r>
      <w:r>
        <w:t xml:space="preserve"> </w:t>
      </w:r>
      <w:r>
        <w:t xml:space="preserve">Source: Own calculations based on EUIPO data</w:t>
      </w:r>
      <w:r>
        <w:t xml:space="preserve"> </w:t>
      </w:r>
      <w:r>
        <w:t xml:space="preserve">The following table presents weighted average present value of savings/additional costs</w:t>
      </w:r>
      <w:r>
        <w:t xml:space="preserve"> </w:t>
      </w:r>
      <w:r>
        <w:t xml:space="preserve">from considered options based on distribution of applications and propensity to renew.</w:t>
      </w:r>
      <w:r>
        <w:t xml:space="preserve"> </w:t>
      </w:r>
      <w:r>
        <w:t xml:space="preserve">Table A.9.8. Change in average fee paid per application by type of applicant and propensity to renew</w:t>
      </w:r>
      <w:r>
        <w:t xml:space="preserve"> </w:t>
      </w:r>
      <w:r>
        <w:t xml:space="preserve">(in EUR per application)</w:t>
      </w:r>
    </w:p>
    <w:p>
      <w:pPr>
        <w:pStyle w:val="BodyText"/>
      </w:pPr>
      <w:r>
        <w:t xml:space="preserve">Option 3.1</w:t>
      </w:r>
    </w:p>
    <w:p>
      <w:pPr>
        <w:pStyle w:val="BodyText"/>
      </w:pPr>
      <w:r>
        <w:t xml:space="preserve">Protection for:</w:t>
      </w:r>
      <w:r>
        <w:t xml:space="preserve"> </w:t>
      </w:r>
      <w:r>
        <w:t xml:space="preserve">Application/</w:t>
      </w:r>
      <w:r>
        <w:t xml:space="preserve"> </w:t>
      </w:r>
      <w:r>
        <w:t xml:space="preserve">renewal by</w:t>
      </w:r>
      <w:r>
        <w:t xml:space="preserve"> </w:t>
      </w:r>
      <w:r>
        <w:t xml:space="preserve">5 yrs.</w:t>
      </w:r>
      <w:r>
        <w:t xml:space="preserve"> </w:t>
      </w:r>
      <w:r>
        <w:t xml:space="preserve">10 yrs.</w:t>
      </w:r>
      <w:r>
        <w:t xml:space="preserve"> </w:t>
      </w:r>
      <w:r>
        <w:t xml:space="preserve">15 yrs.</w:t>
      </w:r>
      <w:r>
        <w:t xml:space="preserve"> </w:t>
      </w:r>
      <w:r>
        <w:t xml:space="preserve">20 yrs.</w:t>
      </w:r>
      <w:r>
        <w:t xml:space="preserve"> </w:t>
      </w:r>
      <w:r>
        <w:t xml:space="preserve">25 yrs.</w:t>
      </w:r>
      <w:r>
        <w:t xml:space="preserve"> </w:t>
      </w:r>
      <w:r>
        <w:t xml:space="preserve">All</w:t>
      </w:r>
      <w:r>
        <w:br/>
      </w:r>
      <w:r>
        <w:t xml:space="preserve">-142</w:t>
      </w:r>
      <w:r>
        <w:t xml:space="preserve"> </w:t>
      </w:r>
      <w:r>
        <w:t xml:space="preserve">-101</w:t>
      </w:r>
      <w:r>
        <w:t xml:space="preserve"> </w:t>
      </w:r>
      <w:r>
        <w:t xml:space="preserve">-42</w:t>
      </w:r>
      <w:r>
        <w:t xml:space="preserve"> </w:t>
      </w:r>
      <w:r>
        <w:t xml:space="preserve">33</w:t>
      </w:r>
      <w:r>
        <w:t xml:space="preserve"> </w:t>
      </w:r>
      <w:r>
        <w:t xml:space="preserve">132</w:t>
      </w:r>
      <w:r>
        <w:t xml:space="preserve"> </w:t>
      </w:r>
      <w:r>
        <w:t xml:space="preserve">companies</w:t>
      </w:r>
      <w:r>
        <w:t xml:space="preserve"> </w:t>
      </w:r>
      <w:r>
        <w:t xml:space="preserve">-144</w:t>
      </w:r>
      <w:r>
        <w:t xml:space="preserve"> </w:t>
      </w:r>
      <w:r>
        <w:t xml:space="preserve">-116</w:t>
      </w:r>
      <w:r>
        <w:t xml:space="preserve"> </w:t>
      </w:r>
      <w:r>
        <w:t xml:space="preserve">-49</w:t>
      </w:r>
      <w:r>
        <w:t xml:space="preserve"> </w:t>
      </w:r>
      <w:r>
        <w:t xml:space="preserve">42</w:t>
      </w:r>
      <w:r>
        <w:t xml:space="preserve"> </w:t>
      </w:r>
      <w:r>
        <w:t xml:space="preserve">163</w:t>
      </w:r>
      <w:r>
        <w:t xml:space="preserve"> </w:t>
      </w:r>
      <w:r>
        <w:t xml:space="preserve">individuals</w:t>
      </w:r>
      <w:r>
        <w:t xml:space="preserve"> </w:t>
      </w:r>
      <w:r>
        <w:t xml:space="preserve">-132</w:t>
      </w:r>
      <w:r>
        <w:t xml:space="preserve"> </w:t>
      </w:r>
      <w:r>
        <w:t xml:space="preserve">-39</w:t>
      </w:r>
      <w:r>
        <w:t xml:space="preserve"> </w:t>
      </w:r>
      <w:r>
        <w:t xml:space="preserve">-13</w:t>
      </w:r>
      <w:r>
        <w:t xml:space="preserve"> </w:t>
      </w:r>
      <w:r>
        <w:t xml:space="preserve">5</w:t>
      </w:r>
      <w:r>
        <w:t xml:space="preserve"> </w:t>
      </w:r>
      <w:r>
        <w:t xml:space="preserve">28</w:t>
      </w:r>
    </w:p>
    <w:p>
      <w:pPr>
        <w:pStyle w:val="BodyText"/>
      </w:pPr>
      <w:r>
        <w:t xml:space="preserve">Option 3.2</w:t>
      </w:r>
    </w:p>
    <w:p>
      <w:pPr>
        <w:pStyle w:val="BodyText"/>
      </w:pPr>
      <w:r>
        <w:t xml:space="preserve">Protection for:</w:t>
      </w:r>
      <w:r>
        <w:t xml:space="preserve"> </w:t>
      </w:r>
      <w:r>
        <w:t xml:space="preserve">renewal by</w:t>
      </w:r>
      <w:r>
        <w:t xml:space="preserve"> </w:t>
      </w:r>
      <w:r>
        <w:t xml:space="preserve">5 yrs.</w:t>
      </w:r>
      <w:r>
        <w:t xml:space="preserve"> </w:t>
      </w:r>
      <w:r>
        <w:t xml:space="preserve">10 yrs.</w:t>
      </w:r>
      <w:r>
        <w:t xml:space="preserve"> </w:t>
      </w:r>
      <w:r>
        <w:t xml:space="preserve">15 yrs.</w:t>
      </w:r>
      <w:r>
        <w:t xml:space="preserve"> </w:t>
      </w:r>
      <w:r>
        <w:t xml:space="preserve">20 yrs.</w:t>
      </w:r>
      <w:r>
        <w:t xml:space="preserve"> </w:t>
      </w:r>
      <w:r>
        <w:t xml:space="preserve">25 yrs.</w:t>
      </w:r>
      <w:r>
        <w:t xml:space="preserve"> </w:t>
      </w:r>
      <w:r>
        <w:t xml:space="preserve">All</w:t>
      </w:r>
      <w:r>
        <w:br/>
      </w:r>
      <w:r>
        <w:t xml:space="preserve">-203</w:t>
      </w:r>
      <w:r>
        <w:t xml:space="preserve"> </w:t>
      </w:r>
      <w:r>
        <w:t xml:space="preserve">-115</w:t>
      </w:r>
      <w:r>
        <w:t xml:space="preserve"> </w:t>
      </w:r>
      <w:r>
        <w:t xml:space="preserve">-35</w:t>
      </w:r>
      <w:r>
        <w:t xml:space="preserve"> </w:t>
      </w:r>
      <w:r>
        <w:t xml:space="preserve">56</w:t>
      </w:r>
      <w:r>
        <w:t xml:space="preserve"> </w:t>
      </w:r>
      <w:r>
        <w:t xml:space="preserve">171</w:t>
      </w:r>
      <w:r>
        <w:t xml:space="preserve"> </w:t>
      </w:r>
      <w:r>
        <w:t xml:space="preserve">companies</w:t>
      </w:r>
      <w:r>
        <w:t xml:space="preserve"> </w:t>
      </w:r>
      <w:r>
        <w:t xml:space="preserve">-211</w:t>
      </w:r>
      <w:r>
        <w:t xml:space="preserve"> </w:t>
      </w:r>
      <w:r>
        <w:t xml:space="preserve">-135</w:t>
      </w:r>
      <w:r>
        <w:t xml:space="preserve"> </w:t>
      </w:r>
      <w:r>
        <w:t xml:space="preserve">-40</w:t>
      </w:r>
      <w:r>
        <w:t xml:space="preserve"> </w:t>
      </w:r>
      <w:r>
        <w:t xml:space="preserve">69</w:t>
      </w:r>
      <w:r>
        <w:t xml:space="preserve"> </w:t>
      </w:r>
      <w:r>
        <w:t xml:space="preserve">210</w:t>
      </w:r>
      <w:r>
        <w:t xml:space="preserve"> </w:t>
      </w:r>
      <w:r>
        <w:t xml:space="preserve">individuals</w:t>
      </w:r>
      <w:r>
        <w:t xml:space="preserve"> </w:t>
      </w:r>
      <w:r>
        <w:t xml:space="preserve">-166</w:t>
      </w:r>
      <w:r>
        <w:t xml:space="preserve"> </w:t>
      </w:r>
      <w:r>
        <w:t xml:space="preserve">-41</w:t>
      </w:r>
      <w:r>
        <w:t xml:space="preserve"> </w:t>
      </w:r>
      <w:r>
        <w:t xml:space="preserve">-11</w:t>
      </w:r>
      <w:r>
        <w:t xml:space="preserve"> </w:t>
      </w:r>
      <w:r>
        <w:t xml:space="preserve">11</w:t>
      </w:r>
      <w:r>
        <w:t xml:space="preserve"> </w:t>
      </w:r>
      <w:r>
        <w:t xml:space="preserve">37</w:t>
      </w:r>
      <w:r>
        <w:t xml:space="preserve"> </w:t>
      </w:r>
      <w:r>
        <w:t xml:space="preserve">Weighted average present value of total fees paid. Assumed distribution of designs in case of renewal to be</w:t>
      </w:r>
      <w:r>
        <w:t xml:space="preserve"> </w:t>
      </w:r>
      <w:r>
        <w:t xml:space="preserve">the same as in case of first application. Percentages of renewals from Table A.9.7.</w:t>
      </w:r>
      <w:r>
        <w:t xml:space="preserve"> </w:t>
      </w:r>
      <w:r>
        <w:t xml:space="preserve">Source: Own calculations based on EUIPO data</w:t>
      </w:r>
      <w:r>
        <w:t xml:space="preserve"> </w:t>
      </w:r>
      <w:r>
        <w:t xml:space="preserve">The largest savings will accrue to those that protect for the basic or 10 years term.</w:t>
      </w:r>
      <w:r>
        <w:t xml:space="preserve"> </w:t>
      </w:r>
      <w:r>
        <w:t xml:space="preserve">Protection for up to 25 years will become considerably more expensive.</w:t>
      </w:r>
      <w:r>
        <w:t xml:space="preserve"> </w:t>
      </w:r>
      <w:r>
        <w:t xml:space="preserve">Table below shows the distribution of savings and cost changes for each protection</w:t>
      </w:r>
      <w:r>
        <w:t xml:space="preserve"> </w:t>
      </w:r>
      <w:r>
        <w:t xml:space="preserve">period. For instance 99.5% of individuals will save on average EUR 39 for protecting</w:t>
      </w:r>
      <w:r>
        <w:t xml:space="preserve"> </w:t>
      </w:r>
      <w:r>
        <w:t xml:space="preserve">their designs for 10 years under Option 3.1, while 0.5% of individuals will have to pay</w:t>
      </w:r>
      <w:r>
        <w:t xml:space="preserve"> </w:t>
      </w:r>
      <w:r>
        <w:t xml:space="preserve">EUR 0.3 more.</w:t>
      </w:r>
      <w:r>
        <w:t xml:space="preserve"> </w:t>
      </w:r>
      <w:r>
        <w:t xml:space="preserve">Table A.9.9. Change in average fee paid by type of applicant and propensity to renew</w:t>
      </w:r>
      <w:r>
        <w:br/>
      </w:r>
      <w:r>
        <w:t xml:space="preserve">(in EUR per application) with % of applications affected</w:t>
      </w:r>
    </w:p>
    <w:p>
      <w:pPr>
        <w:pStyle w:val="BodyText"/>
      </w:pPr>
      <w:r>
        <w:t xml:space="preserve">Option 3.1</w:t>
      </w:r>
    </w:p>
    <w:p>
      <w:pPr>
        <w:pStyle w:val="BodyText"/>
      </w:pPr>
      <w:r>
        <w:t xml:space="preserve">Protection for:</w:t>
      </w:r>
      <w:r>
        <w:t xml:space="preserve"> </w:t>
      </w:r>
      <w:r>
        <w:t xml:space="preserve">Application/</w:t>
      </w:r>
      <w:r>
        <w:t xml:space="preserve"> </w:t>
      </w:r>
      <w:r>
        <w:t xml:space="preserve">renewal by</w:t>
      </w:r>
      <w:r>
        <w:t xml:space="preserve"> </w:t>
      </w:r>
      <w:r>
        <w:t xml:space="preserve">5 yrs.</w:t>
      </w:r>
      <w:r>
        <w:t xml:space="preserve"> </w:t>
      </w:r>
      <w:r>
        <w:t xml:space="preserve">10 yrs.</w:t>
      </w:r>
      <w:r>
        <w:t xml:space="preserve"> </w:t>
      </w:r>
      <w:r>
        <w:t xml:space="preserve">15 yrs.</w:t>
      </w:r>
      <w:r>
        <w:t xml:space="preserve"> </w:t>
      </w:r>
      <w:r>
        <w:t xml:space="preserve">20 yrs.</w:t>
      </w:r>
      <w:r>
        <w:t xml:space="preserve"> </w:t>
      </w:r>
      <w:r>
        <w:t xml:space="preserve">25 yrs.</w:t>
      </w:r>
      <w:r>
        <w:t xml:space="preserve"> </w:t>
      </w:r>
      <w:r>
        <w:t xml:space="preserve">All</w:t>
      </w:r>
    </w:p>
    <w:p>
      <w:pPr>
        <w:pStyle w:val="BodyText"/>
      </w:pPr>
      <w:r>
        <w:t xml:space="preserve">Saving: EUR (%)</w:t>
      </w:r>
      <w:r>
        <w:t xml:space="preserve"> </w:t>
      </w:r>
      <w:r>
        <w:t xml:space="preserve">159 (97.7%)</w:t>
      </w:r>
      <w:r>
        <w:t xml:space="preserve"> </w:t>
      </w:r>
      <w:r>
        <w:t xml:space="preserve">102 (98.8%)</w:t>
      </w:r>
      <w:r>
        <w:t xml:space="preserve"> </w:t>
      </w:r>
      <w:r>
        <w:t xml:space="preserve">47 (97.9%)</w:t>
      </w:r>
      <w:r>
        <w:t xml:space="preserve"> </w:t>
      </w:r>
      <w:r>
        <w:t xml:space="preserve">1 (54.8%)</w:t>
      </w:r>
      <w:r>
        <w:t xml:space="preserve"> </w:t>
      </w:r>
      <w:r>
        <w:t xml:space="preserve">0 (0%)</w:t>
      </w:r>
    </w:p>
    <w:p>
      <w:pPr>
        <w:pStyle w:val="BodyText"/>
      </w:pPr>
      <w:r>
        <w:t xml:space="preserve">99</w:t>
      </w:r>
    </w:p>
    <w:p>
      <w:pPr>
        <w:pStyle w:val="BodyText"/>
      </w:pPr>
      <w:r>
        <w:t xml:space="preserve">Option 3.1</w:t>
      </w:r>
    </w:p>
    <w:p>
      <w:pPr>
        <w:pStyle w:val="BodyText"/>
      </w:pPr>
      <w:r>
        <w:t xml:space="preserve">Protection for:</w:t>
      </w:r>
      <w:r>
        <w:t xml:space="preserve"> </w:t>
      </w:r>
      <w:r>
        <w:t xml:space="preserve">Application/</w:t>
      </w:r>
      <w:r>
        <w:t xml:space="preserve"> </w:t>
      </w:r>
      <w:r>
        <w:t xml:space="preserve">renewal by</w:t>
      </w:r>
      <w:r>
        <w:t xml:space="preserve"> </w:t>
      </w:r>
      <w:r>
        <w:t xml:space="preserve">5 yrs.</w:t>
      </w:r>
      <w:r>
        <w:t xml:space="preserve"> </w:t>
      </w:r>
      <w:r>
        <w:t xml:space="preserve">10 yrs.</w:t>
      </w:r>
      <w:r>
        <w:t xml:space="preserve"> </w:t>
      </w:r>
      <w:r>
        <w:t xml:space="preserve">15 yrs.</w:t>
      </w:r>
      <w:r>
        <w:t xml:space="preserve"> </w:t>
      </w:r>
      <w:r>
        <w:t xml:space="preserve">20 yrs.</w:t>
      </w:r>
      <w:r>
        <w:t xml:space="preserve"> </w:t>
      </w:r>
      <w:r>
        <w:t xml:space="preserve">25 yrs.</w:t>
      </w:r>
      <w:r>
        <w:t xml:space="preserve"> </w:t>
      </w:r>
      <w:r>
        <w:t xml:space="preserve">Loss: EUR (%)</w:t>
      </w:r>
      <w:r>
        <w:t xml:space="preserve"> </w:t>
      </w:r>
      <w:r>
        <w:t xml:space="preserve">17 (2.3%)</w:t>
      </w:r>
      <w:r>
        <w:t xml:space="preserve"> </w:t>
      </w:r>
      <w:r>
        <w:t xml:space="preserve">2 (1.2%)</w:t>
      </w:r>
      <w:r>
        <w:t xml:space="preserve"> </w:t>
      </w:r>
      <w:r>
        <w:t xml:space="preserve">5 (2.1%)</w:t>
      </w:r>
      <w:r>
        <w:t xml:space="preserve"> </w:t>
      </w:r>
      <w:r>
        <w:t xml:space="preserve">33 (45.2%)</w:t>
      </w:r>
      <w:r>
        <w:t xml:space="preserve"> </w:t>
      </w:r>
      <w:r>
        <w:t xml:space="preserve">132 (100%)</w:t>
      </w:r>
      <w:r>
        <w:t xml:space="preserve"> </w:t>
      </w:r>
      <w:r>
        <w:t xml:space="preserve">companies</w:t>
      </w:r>
    </w:p>
    <w:p>
      <w:pPr>
        <w:pStyle w:val="BodyText"/>
      </w:pPr>
      <w:r>
        <w:t xml:space="preserve">Saving: EUR (%)</w:t>
      </w:r>
      <w:r>
        <w:t xml:space="preserve"> </w:t>
      </w:r>
      <w:r>
        <w:t xml:space="preserve">164 (97.4%)</w:t>
      </w:r>
      <w:r>
        <w:t xml:space="preserve"> </w:t>
      </w:r>
      <w:r>
        <w:t xml:space="preserve">118 (98.6%)</w:t>
      </w:r>
      <w:r>
        <w:t xml:space="preserve"> </w:t>
      </w:r>
      <w:r>
        <w:t xml:space="preserve">55 (97.6%)</w:t>
      </w:r>
      <w:r>
        <w:t xml:space="preserve"> </w:t>
      </w:r>
      <w:r>
        <w:t xml:space="preserve">1 (51.9%)</w:t>
      </w:r>
      <w:r>
        <w:t xml:space="preserve"> </w:t>
      </w:r>
      <w:r>
        <w:t xml:space="preserve">0 (0%)</w:t>
      </w:r>
      <w:r>
        <w:t xml:space="preserve"> </w:t>
      </w:r>
      <w:r>
        <w:t xml:space="preserve">Loss: EUR (%)</w:t>
      </w:r>
      <w:r>
        <w:t xml:space="preserve"> </w:t>
      </w:r>
      <w:r>
        <w:t xml:space="preserve">20 (2.6%)</w:t>
      </w:r>
      <w:r>
        <w:t xml:space="preserve"> </w:t>
      </w:r>
      <w:r>
        <w:t xml:space="preserve">2 (1.4%)</w:t>
      </w:r>
      <w:r>
        <w:t xml:space="preserve"> </w:t>
      </w:r>
      <w:r>
        <w:t xml:space="preserve">6 (2.4%)</w:t>
      </w:r>
      <w:r>
        <w:t xml:space="preserve"> </w:t>
      </w:r>
      <w:r>
        <w:t xml:space="preserve">42 (48.1%)</w:t>
      </w:r>
      <w:r>
        <w:t xml:space="preserve"> </w:t>
      </w:r>
      <w:r>
        <w:t xml:space="preserve">163 (100%)</w:t>
      </w:r>
      <w:r>
        <w:t xml:space="preserve"> </w:t>
      </w:r>
      <w:r>
        <w:t xml:space="preserve">individuals</w:t>
      </w:r>
    </w:p>
    <w:p>
      <w:pPr>
        <w:pStyle w:val="BodyText"/>
      </w:pPr>
      <w:r>
        <w:t xml:space="preserve">Saving: EUR (%)</w:t>
      </w:r>
      <w:r>
        <w:t xml:space="preserve"> </w:t>
      </w:r>
      <w:r>
        <w:t xml:space="preserve">140 (99%)</w:t>
      </w:r>
      <w:r>
        <w:t xml:space="preserve"> </w:t>
      </w:r>
      <w:r>
        <w:t xml:space="preserve">39 (99.5%)</w:t>
      </w:r>
      <w:r>
        <w:t xml:space="preserve"> </w:t>
      </w:r>
      <w:r>
        <w:t xml:space="preserve">14 (99%)</w:t>
      </w:r>
      <w:r>
        <w:t xml:space="preserve"> </w:t>
      </w:r>
      <w:r>
        <w:t xml:space="preserve">0.2 (67%)</w:t>
      </w:r>
      <w:r>
        <w:t xml:space="preserve"> </w:t>
      </w:r>
      <w:r>
        <w:t xml:space="preserve">0 (0%)</w:t>
      </w:r>
      <w:r>
        <w:t xml:space="preserve"> </w:t>
      </w:r>
      <w:r>
        <w:t xml:space="preserve">Loss: EUR (%)</w:t>
      </w:r>
      <w:r>
        <w:t xml:space="preserve"> </w:t>
      </w:r>
      <w:r>
        <w:t xml:space="preserve">7 (1%)</w:t>
      </w:r>
      <w:r>
        <w:t xml:space="preserve"> </w:t>
      </w:r>
      <w:r>
        <w:t xml:space="preserve">0.3 (0.5%)</w:t>
      </w:r>
      <w:r>
        <w:t xml:space="preserve"> </w:t>
      </w:r>
      <w:r>
        <w:t xml:space="preserve">1 (1%)</w:t>
      </w:r>
      <w:r>
        <w:t xml:space="preserve"> </w:t>
      </w:r>
      <w:r>
        <w:t xml:space="preserve">5 (33%)</w:t>
      </w:r>
      <w:r>
        <w:t xml:space="preserve"> </w:t>
      </w:r>
      <w:r>
        <w:t xml:space="preserve">28 (100%)</w:t>
      </w:r>
    </w:p>
    <w:p>
      <w:pPr>
        <w:pStyle w:val="BodyText"/>
      </w:pPr>
      <w:r>
        <w:t xml:space="preserve">Option 3.2</w:t>
      </w:r>
    </w:p>
    <w:p>
      <w:pPr>
        <w:pStyle w:val="BodyText"/>
      </w:pPr>
      <w:r>
        <w:t xml:space="preserve">Protection for:</w:t>
      </w:r>
      <w:r>
        <w:t xml:space="preserve"> </w:t>
      </w:r>
      <w:r>
        <w:t xml:space="preserve">Application/</w:t>
      </w:r>
      <w:r>
        <w:t xml:space="preserve"> </w:t>
      </w:r>
      <w:r>
        <w:t xml:space="preserve">renewal by</w:t>
      </w:r>
    </w:p>
    <w:p>
      <w:pPr>
        <w:pStyle w:val="BodyText"/>
      </w:pPr>
      <w:r>
        <w:t xml:space="preserve">5 yrs.</w:t>
      </w:r>
    </w:p>
    <w:p>
      <w:pPr>
        <w:pStyle w:val="BodyText"/>
      </w:pPr>
      <w:r>
        <w:t xml:space="preserve">10 yrs.</w:t>
      </w:r>
    </w:p>
    <w:p>
      <w:pPr>
        <w:pStyle w:val="BodyText"/>
      </w:pPr>
      <w:r>
        <w:t xml:space="preserve">15 yrs.</w:t>
      </w:r>
    </w:p>
    <w:p>
      <w:pPr>
        <w:pStyle w:val="BodyText"/>
      </w:pPr>
      <w:r>
        <w:t xml:space="preserve">20 yrs.</w:t>
      </w:r>
    </w:p>
    <w:p>
      <w:pPr>
        <w:pStyle w:val="BodyText"/>
      </w:pPr>
      <w:r>
        <w:t xml:space="preserve">25 yrs.</w:t>
      </w:r>
      <w:r>
        <w:t xml:space="preserve"> </w:t>
      </w:r>
      <w:r>
        <w:t xml:space="preserve">All</w:t>
      </w:r>
    </w:p>
    <w:p>
      <w:pPr>
        <w:pStyle w:val="BodyText"/>
      </w:pPr>
      <w:r>
        <w:t xml:space="preserve">Saving: EUR (%)</w:t>
      </w:r>
      <w:r>
        <w:t xml:space="preserve"> </w:t>
      </w:r>
      <w:r>
        <w:t xml:space="preserve">203 (99%)</w:t>
      </w:r>
      <w:r>
        <w:t xml:space="preserve"> </w:t>
      </w:r>
      <w:r>
        <w:t xml:space="preserve">115 (100%)</w:t>
      </w:r>
      <w:r>
        <w:t xml:space="preserve"> </w:t>
      </w:r>
      <w:r>
        <w:t xml:space="preserve">39 (97.7%)</w:t>
      </w:r>
      <w:r>
        <w:t xml:space="preserve"> </w:t>
      </w:r>
      <w:r>
        <w:t xml:space="preserve">0 (0%)</w:t>
      </w:r>
      <w:r>
        <w:t xml:space="preserve"> </w:t>
      </w:r>
      <w:r>
        <w:t xml:space="preserve">0 (0%)</w:t>
      </w:r>
      <w:r>
        <w:t xml:space="preserve"> </w:t>
      </w:r>
      <w:r>
        <w:t xml:space="preserve">Loss: EUR (%)</w:t>
      </w:r>
      <w:r>
        <w:t xml:space="preserve"> </w:t>
      </w:r>
      <w:r>
        <w:t xml:space="preserve">0.2 (1%)</w:t>
      </w:r>
      <w:r>
        <w:t xml:space="preserve"> </w:t>
      </w:r>
      <w:r>
        <w:t xml:space="preserve">0 (0%)</w:t>
      </w:r>
      <w:r>
        <w:t xml:space="preserve"> </w:t>
      </w:r>
      <w:r>
        <w:t xml:space="preserve">5 (2.3%)</w:t>
      </w:r>
      <w:r>
        <w:t xml:space="preserve"> </w:t>
      </w:r>
      <w:r>
        <w:t xml:space="preserve">56 (100%)</w:t>
      </w:r>
      <w:r>
        <w:t xml:space="preserve"> </w:t>
      </w:r>
      <w:r>
        <w:t xml:space="preserve">171 (100%)</w:t>
      </w:r>
      <w:r>
        <w:t xml:space="preserve"> </w:t>
      </w:r>
      <w:r>
        <w:t xml:space="preserve">companies</w:t>
      </w:r>
    </w:p>
    <w:p>
      <w:pPr>
        <w:pStyle w:val="BodyText"/>
      </w:pPr>
      <w:r>
        <w:t xml:space="preserve">Saving: EUR (%)</w:t>
      </w:r>
      <w:r>
        <w:t xml:space="preserve"> </w:t>
      </w:r>
      <w:r>
        <w:t xml:space="preserve">212 (98.8%)</w:t>
      </w:r>
      <w:r>
        <w:t xml:space="preserve"> </w:t>
      </w:r>
      <w:r>
        <w:t xml:space="preserve">135 (100%)</w:t>
      </w:r>
      <w:r>
        <w:t xml:space="preserve"> </w:t>
      </w:r>
      <w:r>
        <w:t xml:space="preserve">46 (97.4%)</w:t>
      </w:r>
      <w:r>
        <w:t xml:space="preserve"> </w:t>
      </w:r>
      <w:r>
        <w:t xml:space="preserve">0 (0%)</w:t>
      </w:r>
      <w:r>
        <w:t xml:space="preserve"> </w:t>
      </w:r>
      <w:r>
        <w:t xml:space="preserve">0 (0%)</w:t>
      </w:r>
      <w:r>
        <w:t xml:space="preserve"> </w:t>
      </w:r>
      <w:r>
        <w:t xml:space="preserve">Loss: EUR (%)</w:t>
      </w:r>
      <w:r>
        <w:t xml:space="preserve"> </w:t>
      </w:r>
      <w:r>
        <w:t xml:space="preserve">0.3 (1.1%)</w:t>
      </w:r>
      <w:r>
        <w:t xml:space="preserve"> </w:t>
      </w:r>
      <w:r>
        <w:t xml:space="preserve">0 (0%)</w:t>
      </w:r>
      <w:r>
        <w:t xml:space="preserve"> </w:t>
      </w:r>
      <w:r>
        <w:t xml:space="preserve">6 (2.6%)</w:t>
      </w:r>
      <w:r>
        <w:t xml:space="preserve"> </w:t>
      </w:r>
      <w:r>
        <w:t xml:space="preserve">69 (100%)</w:t>
      </w:r>
      <w:r>
        <w:t xml:space="preserve"> </w:t>
      </w:r>
      <w:r>
        <w:t xml:space="preserve">210 (100%)</w:t>
      </w:r>
      <w:r>
        <w:t xml:space="preserve"> </w:t>
      </w:r>
      <w:r>
        <w:t xml:space="preserve">individuals</w:t>
      </w:r>
    </w:p>
    <w:p>
      <w:pPr>
        <w:pStyle w:val="BodyText"/>
      </w:pPr>
      <w:r>
        <w:t xml:space="preserve">Saving: EUR (%)</w:t>
      </w:r>
      <w:r>
        <w:t xml:space="preserve"> </w:t>
      </w:r>
      <w:r>
        <w:t xml:space="preserve">166 (99.7%)</w:t>
      </w:r>
      <w:r>
        <w:br/>
      </w:r>
      <w:r>
        <w:t xml:space="preserve">41 (100%)</w:t>
      </w:r>
      <w:r>
        <w:t xml:space="preserve"> </w:t>
      </w:r>
      <w:r>
        <w:t xml:space="preserve">12 (99%)</w:t>
      </w:r>
      <w:r>
        <w:t xml:space="preserve"> </w:t>
      </w:r>
      <w:r>
        <w:t xml:space="preserve">0 (0%)</w:t>
      </w:r>
      <w:r>
        <w:t xml:space="preserve"> </w:t>
      </w:r>
      <w:r>
        <w:t xml:space="preserve">0 (0%)</w:t>
      </w:r>
      <w:r>
        <w:t xml:space="preserve"> </w:t>
      </w:r>
      <w:r>
        <w:t xml:space="preserve">Loss: EUR (%)</w:t>
      </w:r>
      <w:r>
        <w:t xml:space="preserve"> </w:t>
      </w:r>
      <w:r>
        <w:t xml:space="preserve">0.1 (0.3%)</w:t>
      </w:r>
      <w:r>
        <w:t xml:space="preserve"> </w:t>
      </w:r>
      <w:r>
        <w:t xml:space="preserve">0 (0%)</w:t>
      </w:r>
      <w:r>
        <w:t xml:space="preserve"> </w:t>
      </w:r>
      <w:r>
        <w:t xml:space="preserve">1 (1%)</w:t>
      </w:r>
      <w:r>
        <w:t xml:space="preserve"> </w:t>
      </w:r>
      <w:r>
        <w:t xml:space="preserve">11 (100%)</w:t>
      </w:r>
      <w:r>
        <w:t xml:space="preserve"> </w:t>
      </w:r>
      <w:r>
        <w:t xml:space="preserve">37 (100%)</w:t>
      </w:r>
      <w:r>
        <w:t xml:space="preserve"> </w:t>
      </w:r>
      <w:r>
        <w:t xml:space="preserve">Weighted average present value of total fees paid. Assumed distribution of designs in case of renewal to be</w:t>
      </w:r>
      <w:r>
        <w:t xml:space="preserve"> </w:t>
      </w:r>
      <w:r>
        <w:t xml:space="preserve">the same as in case of first application. Percentages of renewals from Table A.9.7</w:t>
      </w:r>
      <w:r>
        <w:t xml:space="preserve"> </w:t>
      </w:r>
      <w:r>
        <w:t xml:space="preserve">Source: Own calculations based on EUIPO data</w:t>
      </w:r>
    </w:p>
    <w:p>
      <w:pPr>
        <w:pStyle w:val="BodyText"/>
      </w:pPr>
      <w:r>
        <w:t xml:space="preserve">9.4 Annual EU-wide impacts of fee changes</w:t>
      </w:r>
      <w:r>
        <w:br/>
      </w:r>
      <w:r>
        <w:t xml:space="preserve">The changes in fees are expected to be fully in force from 2024. It is important to note</w:t>
      </w:r>
      <w:r>
        <w:t xml:space="preserve"> </w:t>
      </w:r>
      <w:r>
        <w:t xml:space="preserve">that current RCD owners will also have to pay new renewal fees.</w:t>
      </w:r>
      <w:r>
        <w:t xml:space="preserve"> </w:t>
      </w:r>
      <w:r>
        <w:t xml:space="preserve">Below an estimation is presented on the number of design applications affected and</w:t>
      </w:r>
      <w:r>
        <w:t xml:space="preserve"> </w:t>
      </w:r>
      <w:r>
        <w:t xml:space="preserve">global savings in the first year of the new fee structure. It is based on the past behaviour</w:t>
      </w:r>
      <w:r>
        <w:t xml:space="preserve"> </w:t>
      </w:r>
      <w:r>
        <w:t xml:space="preserve">patterns of applicants regarding renewal rates. In the subsequent years this behaviour</w:t>
      </w:r>
      <w:r>
        <w:t xml:space="preserve"> </w:t>
      </w:r>
      <w:r>
        <w:t xml:space="preserve">might change following the new structure – for instance the long term protection of 20 to</w:t>
      </w:r>
      <w:r>
        <w:t xml:space="preserve"> </w:t>
      </w:r>
      <w:r>
        <w:t xml:space="preserve">25 years might decrease due to higher fees, while there might be more companies</w:t>
      </w:r>
      <w:r>
        <w:t xml:space="preserve"> </w:t>
      </w:r>
      <w:r>
        <w:t xml:space="preserve">choosing to protect for the basic or 10 years period.</w:t>
      </w:r>
      <w:r>
        <w:t xml:space="preserve"> </w:t>
      </w:r>
      <w:r>
        <w:t xml:space="preserve">The most accurate data from EUIPO is collected at the level of designs. In particular</w:t>
      </w:r>
      <w:r>
        <w:t xml:space="preserve"> </w:t>
      </w:r>
      <w:r>
        <w:t xml:space="preserve">renewal statistics are based on designs and not applications (one can renew individual</w:t>
      </w:r>
      <w:r>
        <w:t xml:space="preserve"> </w:t>
      </w:r>
      <w:r>
        <w:t xml:space="preserve">designs and not necessarily all designs from a multiple application). Therefore, the</w:t>
      </w:r>
      <w:r>
        <w:t xml:space="preserve"> </w:t>
      </w:r>
      <w:r>
        <w:t xml:space="preserve">numbers below are approximations and thus can differ from those presented in the impact</w:t>
      </w:r>
      <w:r>
        <w:t xml:space="preserve"> </w:t>
      </w:r>
      <w:r>
        <w:t xml:space="preserve">on EUIPO budget (where also e.g. the fourth renewal is not considered). It is also to be</w:t>
      </w:r>
      <w:r>
        <w:t xml:space="preserve"> </w:t>
      </w:r>
      <w:r>
        <w:t xml:space="preserve">noted that those applying, and those renewing each year might be different. There is no</w:t>
      </w:r>
      <w:r>
        <w:t xml:space="preserve"> </w:t>
      </w:r>
      <w:r>
        <w:t xml:space="preserve">obligation to renew, so all fees are one-off dependent on preference of design owner.</w:t>
      </w:r>
      <w:r>
        <w:t xml:space="preserve"> </w:t>
      </w:r>
      <w:r>
        <w:t xml:space="preserve">Impact each year will depend on the number of applications/renewals. The table below</w:t>
      </w:r>
      <w:r>
        <w:t xml:space="preserve"> </w:t>
      </w:r>
      <w:r>
        <w:t xml:space="preserve">shows the expected impact in the first year of the new fee regime.</w:t>
      </w:r>
      <w:r>
        <w:t xml:space="preserve"> </w:t>
      </w:r>
      <w:r>
        <w:t xml:space="preserve">Table A.9.10. Impact of fee change in 2024</w:t>
      </w:r>
      <w:r>
        <w:t xml:space="preserve"> </w:t>
      </w:r>
      <w:r>
        <w:t xml:space="preserve">All applications</w:t>
      </w:r>
    </w:p>
    <w:p>
      <w:pPr>
        <w:pStyle w:val="BodyText"/>
      </w:pPr>
      <w:r>
        <w:t xml:space="preserve">Option 3.1</w:t>
      </w:r>
      <w:r>
        <w:t xml:space="preserve"> </w:t>
      </w:r>
      <w:r>
        <w:t xml:space="preserve">Option 3.2</w:t>
      </w:r>
    </w:p>
    <w:p>
      <w:pPr>
        <w:pStyle w:val="BodyText"/>
      </w:pPr>
      <w:r>
        <w:t xml:space="preserve">100</w:t>
      </w:r>
    </w:p>
    <w:p>
      <w:pPr>
        <w:pStyle w:val="BodyText"/>
      </w:pPr>
      <w:r>
        <w:t xml:space="preserve">No of</w:t>
      </w:r>
      <w:r>
        <w:t xml:space="preserve"> </w:t>
      </w:r>
      <w:r>
        <w:t xml:space="preserve">applications</w:t>
      </w:r>
      <w:r>
        <w:t xml:space="preserve"> </w:t>
      </w:r>
      <w:r>
        <w:t xml:space="preserve">Saving per</w:t>
      </w:r>
      <w:r>
        <w:t xml:space="preserve"> </w:t>
      </w:r>
      <w:r>
        <w:t xml:space="preserve">application</w:t>
      </w:r>
      <w:r>
        <w:t xml:space="preserve"> </w:t>
      </w:r>
      <w:r>
        <w:t xml:space="preserve">(EUR)</w:t>
      </w:r>
      <w:r>
        <w:t xml:space="preserve"> </w:t>
      </w:r>
      <w:r>
        <w:t xml:space="preserve">Total saving</w:t>
      </w:r>
      <w:r>
        <w:t xml:space="preserve"> </w:t>
      </w:r>
      <w:r>
        <w:t xml:space="preserve">(EUR million)</w:t>
      </w:r>
      <w:r>
        <w:t xml:space="preserve"> </w:t>
      </w:r>
      <w:r>
        <w:t xml:space="preserve">Saving per</w:t>
      </w:r>
      <w:r>
        <w:t xml:space="preserve"> </w:t>
      </w:r>
      <w:r>
        <w:t xml:space="preserve">application</w:t>
      </w:r>
      <w:r>
        <w:t xml:space="preserve"> </w:t>
      </w:r>
      <w:r>
        <w:t xml:space="preserve">(EUR)</w:t>
      </w:r>
      <w:r>
        <w:t xml:space="preserve"> </w:t>
      </w:r>
      <w:r>
        <w:t xml:space="preserve">Total saving</w:t>
      </w:r>
      <w:r>
        <w:t xml:space="preserve"> </w:t>
      </w:r>
      <w:r>
        <w:t xml:space="preserve">(EUR million)</w:t>
      </w:r>
      <w:r>
        <w:t xml:space="preserve"> </w:t>
      </w:r>
      <w:r>
        <w:t xml:space="preserve">Application</w:t>
      </w:r>
      <w:r>
        <w:t xml:space="preserve"> </w:t>
      </w:r>
      <w:r>
        <w:t xml:space="preserve">35,698</w:t>
      </w:r>
      <w:r>
        <w:t xml:space="preserve"> </w:t>
      </w:r>
      <w:r>
        <w:t xml:space="preserve">-142</w:t>
      </w:r>
      <w:r>
        <w:t xml:space="preserve"> </w:t>
      </w:r>
      <w:r>
        <w:t xml:space="preserve">-5.1</w:t>
      </w:r>
      <w:r>
        <w:t xml:space="preserve"> </w:t>
      </w:r>
      <w:r>
        <w:t xml:space="preserve">-203</w:t>
      </w:r>
      <w:r>
        <w:t xml:space="preserve"> </w:t>
      </w:r>
      <w:r>
        <w:t xml:space="preserve">-7.2</w:t>
      </w:r>
      <w:r>
        <w:t xml:space="preserve"> </w:t>
      </w:r>
      <w:r>
        <w:t xml:space="preserve">Renewal 1st period</w:t>
      </w:r>
      <w:r>
        <w:t xml:space="preserve"> </w:t>
      </w:r>
      <w:r>
        <w:t xml:space="preserve">14,988</w:t>
      </w:r>
      <w:r>
        <w:t xml:space="preserve"> </w:t>
      </w:r>
      <w:r>
        <w:t xml:space="preserve">-71</w:t>
      </w:r>
      <w:r>
        <w:t xml:space="preserve"> </w:t>
      </w:r>
      <w:r>
        <w:t xml:space="preserve">-1.1</w:t>
      </w:r>
      <w:r>
        <w:t xml:space="preserve"> </w:t>
      </w:r>
      <w:r>
        <w:t xml:space="preserve">-36</w:t>
      </w:r>
      <w:r>
        <w:t xml:space="preserve"> </w:t>
      </w:r>
      <w:r>
        <w:t xml:space="preserve">-0.5</w:t>
      </w:r>
      <w:r>
        <w:t xml:space="preserve"> </w:t>
      </w:r>
      <w:r>
        <w:t xml:space="preserve">Renewal 2nd period</w:t>
      </w:r>
      <w:r>
        <w:t xml:space="preserve"> </w:t>
      </w:r>
      <w:r>
        <w:t xml:space="preserve">7,689</w:t>
      </w:r>
      <w:r>
        <w:t xml:space="preserve"> </w:t>
      </w:r>
      <w:r>
        <w:t xml:space="preserve">72</w:t>
      </w:r>
      <w:r>
        <w:t xml:space="preserve"> </w:t>
      </w:r>
      <w:r>
        <w:t xml:space="preserve">0.6</w:t>
      </w:r>
      <w:r>
        <w:t xml:space="preserve"> </w:t>
      </w:r>
      <w:r>
        <w:t xml:space="preserve">144</w:t>
      </w:r>
      <w:r>
        <w:t xml:space="preserve"> </w:t>
      </w:r>
      <w:r>
        <w:t xml:space="preserve">1.1</w:t>
      </w:r>
      <w:r>
        <w:t xml:space="preserve"> </w:t>
      </w:r>
      <w:r>
        <w:t xml:space="preserve">Renewal 3rd period</w:t>
      </w:r>
      <w:r>
        <w:t xml:space="preserve"> </w:t>
      </w:r>
      <w:r>
        <w:t xml:space="preserve">3,289</w:t>
      </w:r>
      <w:r>
        <w:t xml:space="preserve"> </w:t>
      </w:r>
      <w:r>
        <w:t xml:space="preserve">468</w:t>
      </w:r>
      <w:r>
        <w:t xml:space="preserve"> </w:t>
      </w:r>
      <w:r>
        <w:t xml:space="preserve">1.5</w:t>
      </w:r>
      <w:r>
        <w:t xml:space="preserve"> </w:t>
      </w:r>
      <w:r>
        <w:t xml:space="preserve">612</w:t>
      </w:r>
      <w:r>
        <w:t xml:space="preserve"> </w:t>
      </w:r>
      <w:r>
        <w:t xml:space="preserve">2.0</w:t>
      </w:r>
      <w:r>
        <w:t xml:space="preserve"> </w:t>
      </w:r>
      <w:r>
        <w:t xml:space="preserve">Renewal 4th period*</w:t>
      </w:r>
      <w:r>
        <w:t xml:space="preserve"> </w:t>
      </w:r>
      <w:r>
        <w:t xml:space="preserve">1,708</w:t>
      </w:r>
      <w:r>
        <w:t xml:space="preserve"> </w:t>
      </w:r>
      <w:r>
        <w:t xml:space="preserve">1,374</w:t>
      </w:r>
      <w:r>
        <w:t xml:space="preserve"> </w:t>
      </w:r>
      <w:r>
        <w:t xml:space="preserve">2.3</w:t>
      </w:r>
      <w:r>
        <w:t xml:space="preserve"> </w:t>
      </w:r>
      <w:r>
        <w:t xml:space="preserve">1,663</w:t>
      </w:r>
      <w:r>
        <w:t xml:space="preserve"> </w:t>
      </w:r>
      <w:r>
        <w:t xml:space="preserve">2.8</w:t>
      </w:r>
      <w:r>
        <w:t xml:space="preserve"> </w:t>
      </w:r>
      <w:r>
        <w:t xml:space="preserve">Total</w:t>
      </w:r>
      <w:r>
        <w:t xml:space="preserve"> </w:t>
      </w:r>
      <w:r>
        <w:t xml:space="preserve">63,371</w:t>
      </w:r>
      <w:r>
        <w:t xml:space="preserve"> </w:t>
      </w:r>
      <w:r>
        <w:t xml:space="preserve">-27</w:t>
      </w:r>
      <w:r>
        <w:t xml:space="preserve"> </w:t>
      </w:r>
      <w:r>
        <w:t xml:space="preserve">-1.7</w:t>
      </w:r>
      <w:r>
        <w:t xml:space="preserve"> </w:t>
      </w:r>
      <w:r>
        <w:t xml:space="preserve">-29</w:t>
      </w:r>
      <w:r>
        <w:t xml:space="preserve"> </w:t>
      </w:r>
      <w:r>
        <w:t xml:space="preserve">-1.8</w:t>
      </w:r>
      <w:r>
        <w:t xml:space="preserve"> </w:t>
      </w:r>
      <w:r>
        <w:t xml:space="preserve">Total less 4th renewal</w:t>
      </w:r>
      <w:r>
        <w:t xml:space="preserve"> </w:t>
      </w:r>
      <w:r>
        <w:t xml:space="preserve">61,663</w:t>
      </w:r>
      <w:r>
        <w:t xml:space="preserve"> </w:t>
      </w:r>
      <w:r>
        <w:t xml:space="preserve">-66</w:t>
      </w:r>
      <w:r>
        <w:t xml:space="preserve"> </w:t>
      </w:r>
      <w:r>
        <w:t xml:space="preserve">-4.1</w:t>
      </w:r>
      <w:r>
        <w:t xml:space="preserve"> </w:t>
      </w:r>
      <w:r>
        <w:t xml:space="preserve">-75</w:t>
      </w:r>
      <w:r>
        <w:t xml:space="preserve"> </w:t>
      </w:r>
      <w:r>
        <w:t xml:space="preserve">-4.6</w:t>
      </w:r>
    </w:p>
    <w:p>
      <w:pPr>
        <w:pStyle w:val="BodyText"/>
      </w:pPr>
      <w:r>
        <w:t xml:space="preserve">Application by companies (legal persons)</w:t>
      </w:r>
    </w:p>
    <w:p>
      <w:pPr>
        <w:pStyle w:val="BodyText"/>
      </w:pPr>
      <w:r>
        <w:t xml:space="preserve">Option 3.1</w:t>
      </w:r>
      <w:r>
        <w:t xml:space="preserve"> </w:t>
      </w:r>
      <w:r>
        <w:t xml:space="preserve">Option 3.2</w:t>
      </w:r>
    </w:p>
    <w:p>
      <w:pPr>
        <w:pStyle w:val="BodyText"/>
      </w:pPr>
      <w:r>
        <w:t xml:space="preserve">No of</w:t>
      </w:r>
      <w:r>
        <w:t xml:space="preserve"> </w:t>
      </w:r>
      <w:r>
        <w:t xml:space="preserve">applications</w:t>
      </w:r>
      <w:r>
        <w:t xml:space="preserve"> </w:t>
      </w:r>
      <w:r>
        <w:t xml:space="preserve">Saving per</w:t>
      </w:r>
      <w:r>
        <w:t xml:space="preserve"> </w:t>
      </w:r>
      <w:r>
        <w:t xml:space="preserve">application</w:t>
      </w:r>
      <w:r>
        <w:t xml:space="preserve"> </w:t>
      </w:r>
      <w:r>
        <w:t xml:space="preserve">(EUR)</w:t>
      </w:r>
      <w:r>
        <w:t xml:space="preserve"> </w:t>
      </w:r>
      <w:r>
        <w:t xml:space="preserve">Total saving</w:t>
      </w:r>
      <w:r>
        <w:t xml:space="preserve"> </w:t>
      </w:r>
      <w:r>
        <w:t xml:space="preserve">(EUR million)</w:t>
      </w:r>
      <w:r>
        <w:t xml:space="preserve"> </w:t>
      </w:r>
      <w:r>
        <w:t xml:space="preserve">Saving per</w:t>
      </w:r>
      <w:r>
        <w:t xml:space="preserve"> </w:t>
      </w:r>
      <w:r>
        <w:t xml:space="preserve">application</w:t>
      </w:r>
      <w:r>
        <w:t xml:space="preserve"> </w:t>
      </w:r>
      <w:r>
        <w:t xml:space="preserve">(EUR)</w:t>
      </w:r>
      <w:r>
        <w:t xml:space="preserve"> </w:t>
      </w:r>
      <w:r>
        <w:t xml:space="preserve">Total saving</w:t>
      </w:r>
      <w:r>
        <w:t xml:space="preserve"> </w:t>
      </w:r>
      <w:r>
        <w:t xml:space="preserve">(EUR million)</w:t>
      </w:r>
      <w:r>
        <w:t xml:space="preserve"> </w:t>
      </w:r>
      <w:r>
        <w:t xml:space="preserve">Application</w:t>
      </w:r>
      <w:r>
        <w:t xml:space="preserve"> </w:t>
      </w:r>
      <w:r>
        <w:t xml:space="preserve">28,777</w:t>
      </w:r>
      <w:r>
        <w:t xml:space="preserve"> </w:t>
      </w:r>
      <w:r>
        <w:t xml:space="preserve">-144</w:t>
      </w:r>
      <w:r>
        <w:t xml:space="preserve"> </w:t>
      </w:r>
      <w:r>
        <w:t xml:space="preserve">-4.2</w:t>
      </w:r>
      <w:r>
        <w:t xml:space="preserve"> </w:t>
      </w:r>
      <w:r>
        <w:t xml:space="preserve">-144</w:t>
      </w:r>
      <w:r>
        <w:t xml:space="preserve"> </w:t>
      </w:r>
      <w:r>
        <w:t xml:space="preserve">-6.1</w:t>
      </w:r>
      <w:r>
        <w:t xml:space="preserve"> </w:t>
      </w:r>
      <w:r>
        <w:t xml:space="preserve">Renewal 1st period</w:t>
      </w:r>
      <w:r>
        <w:t xml:space="preserve"> </w:t>
      </w:r>
      <w:r>
        <w:t xml:space="preserve">13,753</w:t>
      </w:r>
      <w:r>
        <w:t xml:space="preserve"> </w:t>
      </w:r>
      <w:r>
        <w:t xml:space="preserve">-74</w:t>
      </w:r>
      <w:r>
        <w:t xml:space="preserve"> </w:t>
      </w:r>
      <w:r>
        <w:t xml:space="preserve">-1.0</w:t>
      </w:r>
      <w:r>
        <w:t xml:space="preserve"> </w:t>
      </w:r>
      <w:r>
        <w:t xml:space="preserve">-74</w:t>
      </w:r>
      <w:r>
        <w:t xml:space="preserve"> </w:t>
      </w:r>
      <w:r>
        <w:t xml:space="preserve">-0.5</w:t>
      </w:r>
      <w:r>
        <w:t xml:space="preserve"> </w:t>
      </w:r>
      <w:r>
        <w:t xml:space="preserve">Renewal 2nd period</w:t>
      </w:r>
      <w:r>
        <w:t xml:space="preserve"> </w:t>
      </w:r>
      <w:r>
        <w:t xml:space="preserve">7,220</w:t>
      </w:r>
      <w:r>
        <w:t xml:space="preserve"> </w:t>
      </w:r>
      <w:r>
        <w:t xml:space="preserve">74</w:t>
      </w:r>
      <w:r>
        <w:t xml:space="preserve"> </w:t>
      </w:r>
      <w:r>
        <w:t xml:space="preserve">0.5</w:t>
      </w:r>
      <w:r>
        <w:t xml:space="preserve"> </w:t>
      </w:r>
      <w:r>
        <w:t xml:space="preserve">74</w:t>
      </w:r>
      <w:r>
        <w:t xml:space="preserve"> </w:t>
      </w:r>
      <w:r>
        <w:t xml:space="preserve">1.1</w:t>
      </w:r>
      <w:r>
        <w:t xml:space="preserve"> </w:t>
      </w:r>
      <w:r>
        <w:t xml:space="preserve">Renewal 3rd period</w:t>
      </w:r>
      <w:r>
        <w:t xml:space="preserve"> </w:t>
      </w:r>
      <w:r>
        <w:t xml:space="preserve">3,094</w:t>
      </w:r>
      <w:r>
        <w:t xml:space="preserve"> </w:t>
      </w:r>
      <w:r>
        <w:t xml:space="preserve">478</w:t>
      </w:r>
      <w:r>
        <w:t xml:space="preserve"> </w:t>
      </w:r>
      <w:r>
        <w:t xml:space="preserve">1.5</w:t>
      </w:r>
      <w:r>
        <w:t xml:space="preserve"> </w:t>
      </w:r>
      <w:r>
        <w:t xml:space="preserve">478</w:t>
      </w:r>
      <w:r>
        <w:t xml:space="preserve"> </w:t>
      </w:r>
      <w:r>
        <w:t xml:space="preserve">1.9</w:t>
      </w:r>
      <w:r>
        <w:t xml:space="preserve"> </w:t>
      </w:r>
      <w:r>
        <w:t xml:space="preserve">Renewal 4th period</w:t>
      </w:r>
      <w:r>
        <w:t xml:space="preserve"> </w:t>
      </w:r>
      <w:r>
        <w:t xml:space="preserve">1,627</w:t>
      </w:r>
      <w:r>
        <w:t xml:space="preserve"> </w:t>
      </w:r>
      <w:r>
        <w:t xml:space="preserve">1,398</w:t>
      </w:r>
      <w:r>
        <w:t xml:space="preserve"> </w:t>
      </w:r>
      <w:r>
        <w:t xml:space="preserve">2.3</w:t>
      </w:r>
      <w:r>
        <w:t xml:space="preserve"> </w:t>
      </w:r>
      <w:r>
        <w:t xml:space="preserve">1,398</w:t>
      </w:r>
      <w:r>
        <w:t xml:space="preserve"> </w:t>
      </w:r>
      <w:r>
        <w:t xml:space="preserve">2.8</w:t>
      </w:r>
      <w:r>
        <w:t xml:space="preserve"> </w:t>
      </w:r>
      <w:r>
        <w:t xml:space="preserve">Total</w:t>
      </w:r>
      <w:r>
        <w:t xml:space="preserve"> </w:t>
      </w:r>
      <w:r>
        <w:t xml:space="preserve">54,471</w:t>
      </w:r>
      <w:r>
        <w:t xml:space="preserve"> </w:t>
      </w:r>
      <w:r>
        <w:t xml:space="preserve">-16</w:t>
      </w:r>
      <w:r>
        <w:t xml:space="preserve"> </w:t>
      </w:r>
      <w:r>
        <w:t xml:space="preserve">-0.9</w:t>
      </w:r>
      <w:r>
        <w:t xml:space="preserve"> </w:t>
      </w:r>
      <w:r>
        <w:t xml:space="preserve">-16</w:t>
      </w:r>
      <w:r>
        <w:t xml:space="preserve"> </w:t>
      </w:r>
      <w:r>
        <w:t xml:space="preserve">-0.8</w:t>
      </w:r>
      <w:r>
        <w:t xml:space="preserve"> </w:t>
      </w:r>
      <w:r>
        <w:t xml:space="preserve">Total less 4th renewal</w:t>
      </w:r>
      <w:r>
        <w:t xml:space="preserve"> </w:t>
      </w:r>
      <w:r>
        <w:t xml:space="preserve">52,844</w:t>
      </w:r>
      <w:r>
        <w:t xml:space="preserve"> </w:t>
      </w:r>
      <w:r>
        <w:t xml:space="preserve">-60</w:t>
      </w:r>
      <w:r>
        <w:t xml:space="preserve"> </w:t>
      </w:r>
      <w:r>
        <w:t xml:space="preserve">-3.2</w:t>
      </w:r>
      <w:r>
        <w:t xml:space="preserve"> </w:t>
      </w:r>
      <w:r>
        <w:t xml:space="preserve">-60</w:t>
      </w:r>
      <w:r>
        <w:t xml:space="preserve"> </w:t>
      </w:r>
      <w:r>
        <w:t xml:space="preserve">-3.6</w:t>
      </w:r>
    </w:p>
    <w:p>
      <w:pPr>
        <w:pStyle w:val="BodyText"/>
      </w:pPr>
      <w:r>
        <w:t xml:space="preserve">Application by persons (natural persons, including firms not incorporated)</w:t>
      </w:r>
    </w:p>
    <w:p>
      <w:pPr>
        <w:pStyle w:val="BodyText"/>
      </w:pPr>
      <w:r>
        <w:t xml:space="preserve">Option 3.1</w:t>
      </w:r>
      <w:r>
        <w:t xml:space="preserve"> </w:t>
      </w:r>
      <w:r>
        <w:t xml:space="preserve">Option 3.2</w:t>
      </w:r>
    </w:p>
    <w:p>
      <w:pPr>
        <w:pStyle w:val="BodyText"/>
      </w:pPr>
      <w:r>
        <w:t xml:space="preserve">No of</w:t>
      </w:r>
      <w:r>
        <w:t xml:space="preserve"> </w:t>
      </w:r>
      <w:r>
        <w:t xml:space="preserve">applications</w:t>
      </w:r>
      <w:r>
        <w:t xml:space="preserve"> </w:t>
      </w:r>
      <w:r>
        <w:t xml:space="preserve">Saving per</w:t>
      </w:r>
      <w:r>
        <w:t xml:space="preserve"> </w:t>
      </w:r>
      <w:r>
        <w:t xml:space="preserve">application</w:t>
      </w:r>
      <w:r>
        <w:t xml:space="preserve"> </w:t>
      </w:r>
      <w:r>
        <w:t xml:space="preserve">(EUR)</w:t>
      </w:r>
      <w:r>
        <w:t xml:space="preserve"> </w:t>
      </w:r>
      <w:r>
        <w:t xml:space="preserve">Total saving</w:t>
      </w:r>
      <w:r>
        <w:t xml:space="preserve"> </w:t>
      </w:r>
      <w:r>
        <w:t xml:space="preserve">(EUR million)</w:t>
      </w:r>
      <w:r>
        <w:t xml:space="preserve"> </w:t>
      </w:r>
      <w:r>
        <w:t xml:space="preserve">Saving per</w:t>
      </w:r>
      <w:r>
        <w:t xml:space="preserve"> </w:t>
      </w:r>
      <w:r>
        <w:t xml:space="preserve">application</w:t>
      </w:r>
      <w:r>
        <w:t xml:space="preserve"> </w:t>
      </w:r>
      <w:r>
        <w:t xml:space="preserve">(EUR)</w:t>
      </w:r>
      <w:r>
        <w:t xml:space="preserve"> </w:t>
      </w:r>
      <w:r>
        <w:t xml:space="preserve">Total saving</w:t>
      </w:r>
      <w:r>
        <w:t xml:space="preserve"> </w:t>
      </w:r>
      <w:r>
        <w:t xml:space="preserve">(EUR million)</w:t>
      </w:r>
      <w:r>
        <w:t xml:space="preserve"> </w:t>
      </w:r>
      <w:r>
        <w:t xml:space="preserve">Application</w:t>
      </w:r>
      <w:r>
        <w:t xml:space="preserve"> </w:t>
      </w:r>
      <w:r>
        <w:t xml:space="preserve">6,921</w:t>
      </w:r>
      <w:r>
        <w:t xml:space="preserve"> </w:t>
      </w:r>
      <w:r>
        <w:t xml:space="preserve">-132</w:t>
      </w:r>
      <w:r>
        <w:t xml:space="preserve"> </w:t>
      </w:r>
      <w:r>
        <w:t xml:space="preserve">-0.9</w:t>
      </w:r>
      <w:r>
        <w:t xml:space="preserve"> </w:t>
      </w:r>
      <w:r>
        <w:t xml:space="preserve">-166</w:t>
      </w:r>
      <w:r>
        <w:t xml:space="preserve"> </w:t>
      </w:r>
      <w:r>
        <w:t xml:space="preserve">-1.1</w:t>
      </w:r>
      <w:r>
        <w:t xml:space="preserve"> </w:t>
      </w:r>
      <w:r>
        <w:t xml:space="preserve">Renewal 1st period</w:t>
      </w:r>
      <w:r>
        <w:t xml:space="preserve"> </w:t>
      </w:r>
      <w:r>
        <w:t xml:space="preserve">1,235</w:t>
      </w:r>
      <w:r>
        <w:t xml:space="preserve"> </w:t>
      </w:r>
      <w:r>
        <w:t xml:space="preserve">-47</w:t>
      </w:r>
      <w:r>
        <w:t xml:space="preserve"> </w:t>
      </w:r>
      <w:r>
        <w:t xml:space="preserve">-0.1</w:t>
      </w:r>
      <w:r>
        <w:t xml:space="preserve"> </w:t>
      </w:r>
      <w:r>
        <w:t xml:space="preserve">-23</w:t>
      </w:r>
      <w:r>
        <w:t xml:space="preserve"> </w:t>
      </w:r>
      <w:r>
        <w:t xml:space="preserve">0.0</w:t>
      </w:r>
      <w:r>
        <w:t xml:space="preserve"> </w:t>
      </w:r>
      <w:r>
        <w:t xml:space="preserve">Renewal 2nd period</w:t>
      </w:r>
      <w:r>
        <w:t xml:space="preserve"> </w:t>
      </w:r>
      <w:r>
        <w:t xml:space="preserve">468</w:t>
      </w:r>
      <w:r>
        <w:t xml:space="preserve"> </w:t>
      </w:r>
      <w:r>
        <w:t xml:space="preserve">47</w:t>
      </w:r>
      <w:r>
        <w:t xml:space="preserve"> </w:t>
      </w:r>
      <w:r>
        <w:t xml:space="preserve">0.02</w:t>
      </w:r>
      <w:r>
        <w:t xml:space="preserve"> </w:t>
      </w:r>
      <w:r>
        <w:t xml:space="preserve">94</w:t>
      </w:r>
      <w:r>
        <w:t xml:space="preserve"> </w:t>
      </w:r>
      <w:r>
        <w:t xml:space="preserve">0.04</w:t>
      </w:r>
      <w:r>
        <w:t xml:space="preserve"> </w:t>
      </w:r>
      <w:r>
        <w:t xml:space="preserve">Renewal 3rd period</w:t>
      </w:r>
      <w:r>
        <w:t xml:space="preserve"> </w:t>
      </w:r>
      <w:r>
        <w:t xml:space="preserve">195</w:t>
      </w:r>
      <w:r>
        <w:t xml:space="preserve"> </w:t>
      </w:r>
      <w:r>
        <w:t xml:space="preserve">305</w:t>
      </w:r>
      <w:r>
        <w:t xml:space="preserve"> </w:t>
      </w:r>
      <w:r>
        <w:t xml:space="preserve">0.1</w:t>
      </w:r>
      <w:r>
        <w:t xml:space="preserve"> </w:t>
      </w:r>
      <w:r>
        <w:t xml:space="preserve">399</w:t>
      </w:r>
      <w:r>
        <w:t xml:space="preserve"> </w:t>
      </w:r>
      <w:r>
        <w:t xml:space="preserve">0.1</w:t>
      </w:r>
      <w:r>
        <w:t xml:space="preserve"> </w:t>
      </w:r>
      <w:r>
        <w:t xml:space="preserve">Renewal 4th period</w:t>
      </w:r>
      <w:r>
        <w:t xml:space="preserve"> </w:t>
      </w:r>
      <w:r>
        <w:t xml:space="preserve">81</w:t>
      </w:r>
      <w:r>
        <w:t xml:space="preserve"> </w:t>
      </w:r>
      <w:r>
        <w:t xml:space="preserve">893</w:t>
      </w:r>
      <w:r>
        <w:t xml:space="preserve"> </w:t>
      </w:r>
      <w:r>
        <w:t xml:space="preserve">0.1</w:t>
      </w:r>
      <w:r>
        <w:t xml:space="preserve"> </w:t>
      </w:r>
      <w:r>
        <w:t xml:space="preserve">1,081</w:t>
      </w:r>
      <w:r>
        <w:t xml:space="preserve"> </w:t>
      </w:r>
      <w:r>
        <w:t xml:space="preserve">0.1</w:t>
      </w:r>
      <w:r>
        <w:t xml:space="preserve"> </w:t>
      </w:r>
      <w:r>
        <w:t xml:space="preserve">Total</w:t>
      </w:r>
      <w:r>
        <w:t xml:space="preserve"> </w:t>
      </w:r>
      <w:r>
        <w:t xml:space="preserve">8,900</w:t>
      </w:r>
      <w:r>
        <w:t xml:space="preserve"> </w:t>
      </w:r>
      <w:r>
        <w:t xml:space="preserve">-92</w:t>
      </w:r>
      <w:r>
        <w:t xml:space="preserve"> </w:t>
      </w:r>
      <w:r>
        <w:t xml:space="preserve">-0.8</w:t>
      </w:r>
      <w:r>
        <w:t xml:space="preserve"> </w:t>
      </w:r>
      <w:r>
        <w:t xml:space="preserve">-109</w:t>
      </w:r>
      <w:r>
        <w:t xml:space="preserve"> </w:t>
      </w:r>
      <w:r>
        <w:t xml:space="preserve">-1.0</w:t>
      </w:r>
      <w:r>
        <w:t xml:space="preserve"> </w:t>
      </w:r>
      <w:r>
        <w:t xml:space="preserve">Total less 4th renewal</w:t>
      </w:r>
      <w:r>
        <w:t xml:space="preserve"> </w:t>
      </w:r>
      <w:r>
        <w:t xml:space="preserve">8,819</w:t>
      </w:r>
      <w:r>
        <w:t xml:space="preserve"> </w:t>
      </w:r>
      <w:r>
        <w:t xml:space="preserve">-101</w:t>
      </w:r>
      <w:r>
        <w:t xml:space="preserve"> </w:t>
      </w:r>
      <w:r>
        <w:t xml:space="preserve">-0.9</w:t>
      </w:r>
      <w:r>
        <w:t xml:space="preserve"> </w:t>
      </w:r>
      <w:r>
        <w:t xml:space="preserve">-120</w:t>
      </w:r>
      <w:r>
        <w:t xml:space="preserve"> </w:t>
      </w:r>
      <w:r>
        <w:t xml:space="preserve">-1.1</w:t>
      </w:r>
      <w:r>
        <w:t xml:space="preserve"> </w:t>
      </w:r>
      <w:r>
        <w:t xml:space="preserve">Notes: * full assumption, there is no experience yet with 4th renewal. Weighted average present value of</w:t>
      </w:r>
      <w:r>
        <w:t xml:space="preserve"> </w:t>
      </w:r>
      <w:r>
        <w:t xml:space="preserve">total fees paid. Assumed distribution of designs in case of renewal to be the same as in case of first</w:t>
      </w:r>
      <w:r>
        <w:t xml:space="preserve"> </w:t>
      </w:r>
      <w:r>
        <w:t xml:space="preserve">application.</w:t>
      </w:r>
      <w:r>
        <w:t xml:space="preserve"> </w:t>
      </w:r>
      <w:r>
        <w:t xml:space="preserve">Source: Own calculations based on EUIPO data.</w:t>
      </w:r>
    </w:p>
    <w:p>
      <w:pPr>
        <w:pStyle w:val="BodyText"/>
      </w:pPr>
      <w:r>
        <w:t xml:space="preserve">9.5 Impacts of fee changes on number of designs applications</w:t>
      </w:r>
      <w:r>
        <w:t xml:space="preserve"> </w:t>
      </w:r>
      <w:r>
        <w:t xml:space="preserve">Based on experience with past trade mark fee decreases, the EUIPO concluded that there</w:t>
      </w:r>
      <w:r>
        <w:t xml:space="preserve"> </w:t>
      </w:r>
      <w:r>
        <w:t xml:space="preserve">should be no significant impact on the number of designs applications from RCD fee</w:t>
      </w:r>
      <w:r>
        <w:t xml:space="preserve"> </w:t>
      </w:r>
      <w:r>
        <w:t xml:space="preserve">decreases proposed by options 3.1 and 3.2. Consequently, for their budgetary planning as</w:t>
      </w:r>
      <w:r>
        <w:t xml:space="preserve"> </w:t>
      </w:r>
      <w:r>
        <w:t xml:space="preserve">explained in Annex 7 they estimated a historic growth rate for the number of designs187 at</w:t>
      </w:r>
      <w:r>
        <w:t xml:space="preserve"> </w:t>
      </w:r>
      <w:r>
        <w:t xml:space="preserve">3.1% for the years 2021 to 2025 (so covering two years of the potential new fee regime).</w:t>
      </w:r>
      <w:r>
        <w:t xml:space="preserve"> </w:t>
      </w:r>
      <w:r>
        <w:t xml:space="preserve">Looking at the relationship between the present value of fees and number of applications,</w:t>
      </w:r>
      <w:r>
        <w:t xml:space="preserve"> </w:t>
      </w:r>
      <w:r>
        <w:t xml:space="preserve">a strong negative correlation can be seen (which does not necessarily mean causality).</w:t>
      </w:r>
    </w:p>
    <w:p>
      <w:pPr>
        <w:pStyle w:val="BodyText"/>
      </w:pPr>
      <w:r>
        <w:t xml:space="preserve">187 Please note this is based on designs and not applications.</w:t>
      </w:r>
    </w:p>
    <w:p>
      <w:pPr>
        <w:pStyle w:val="BodyText"/>
      </w:pPr>
      <w:r>
        <w:t xml:space="preserve">101</w:t>
      </w:r>
    </w:p>
    <w:p>
      <w:pPr>
        <w:pStyle w:val="BodyText"/>
      </w:pPr>
      <w:r>
        <w:t xml:space="preserve">The chart below plots the present value of fees paid for an average application in the</w:t>
      </w:r>
      <w:r>
        <w:t xml:space="preserve"> </w:t>
      </w:r>
      <w:r>
        <w:t xml:space="preserve">given year and the number of applications in that year during the period 2008 and 2020.</w:t>
      </w:r>
      <w:r>
        <w:t xml:space="preserve"> </w:t>
      </w:r>
      <w:r>
        <w:t xml:space="preserve">Figure A.9.2. Relationship between the number of applications and the present value of fees for an average</w:t>
      </w:r>
      <w:r>
        <w:t xml:space="preserve"> </w:t>
      </w:r>
      <w:r>
        <w:t xml:space="preserve">application between 2008 and 2020.</w:t>
      </w:r>
    </w:p>
    <w:p>
      <w:pPr>
        <w:pStyle w:val="BodyText"/>
      </w:pPr>
      <w:r>
        <w:t xml:space="preserve">HICP – annual inflation data (average index and rate of change) [prc_hicp_aind] used as deflator</w:t>
      </w:r>
      <w:r>
        <w:t xml:space="preserve"> </w:t>
      </w:r>
      <w:r>
        <w:t xml:space="preserve">Source: Own assessment base on EUIPO data and Eurostat (for deflator)</w:t>
      </w:r>
      <w:r>
        <w:t xml:space="preserve"> </w:t>
      </w:r>
      <w:r>
        <w:t xml:space="preserve">This allows for computing a simplified prediction of the number of applications in the</w:t>
      </w:r>
      <w:r>
        <w:t xml:space="preserve"> </w:t>
      </w:r>
      <w:r>
        <w:t xml:space="preserve">near future following the fee change. If the above relationship would hold, it can be</w:t>
      </w:r>
      <w:r>
        <w:t xml:space="preserve"> </w:t>
      </w:r>
      <w:r>
        <w:t xml:space="preserve">expected that in 2030 Opt. 3.1 will result in around 15% more design applications than</w:t>
      </w:r>
      <w:r>
        <w:t xml:space="preserve"> </w:t>
      </w:r>
      <w:r>
        <w:t xml:space="preserve">under the current fee structure, and Opt. 3.2 in around 21% more applications. This could</w:t>
      </w:r>
      <w:r>
        <w:t xml:space="preserve"> </w:t>
      </w:r>
      <w:r>
        <w:t xml:space="preserve">translate into additional 2,300-2,500 design owners (Opt. 3.1) to 3,200 to 3,400 (Opt 3.2)</w:t>
      </w:r>
      <w:r>
        <w:t xml:space="preserve"> </w:t>
      </w:r>
      <w:r>
        <w:t xml:space="preserve">in 2030 (to proxy the number of affected owners the average number of applications per</w:t>
      </w:r>
      <w:r>
        <w:t xml:space="preserve"> </w:t>
      </w:r>
      <w:r>
        <w:t xml:space="preserve">owner is used).</w:t>
      </w:r>
      <w:r>
        <w:t xml:space="preserve"> </w:t>
      </w:r>
      <w:r>
        <w:t xml:space="preserve">Robustness and limitations of these calculations:</w:t>
      </w:r>
      <w:r>
        <w:t xml:space="preserve"> </w:t>
      </w:r>
      <w:r>
        <w:t xml:space="preserve">This is a very simplified prediction based on a low number of available observations.</w:t>
      </w:r>
      <w:r>
        <w:t xml:space="preserve"> </w:t>
      </w:r>
      <w:r>
        <w:t xml:space="preserve">Therefore, the results should be treated with caution.</w:t>
      </w:r>
      <w:r>
        <w:t xml:space="preserve"> </w:t>
      </w:r>
      <w:r>
        <w:t xml:space="preserve">We have additionally checked the relationship between the number of RCD applications</w:t>
      </w:r>
      <w:r>
        <w:t xml:space="preserve"> </w:t>
      </w:r>
      <w:r>
        <w:t xml:space="preserve">and a) real GDP, and b) real GDP and present value of fees. In case a) coefficient of</w:t>
      </w:r>
      <w:r>
        <w:t xml:space="preserve"> </w:t>
      </w:r>
      <w:r>
        <w:t xml:space="preserve">determination was equal only to R2=58%, while in case b) it was R2=95%, so still lower</w:t>
      </w:r>
      <w:r>
        <w:t xml:space="preserve"> </w:t>
      </w:r>
      <w:r>
        <w:t xml:space="preserve">than in case the PV of fees is used as the sole explanatory variable. Logarithmic</w:t>
      </w:r>
      <w:r>
        <w:t xml:space="preserve"> </w:t>
      </w:r>
      <w:r>
        <w:t xml:space="preserve">equations have been also tried which also resulted in lower R2. Thus, it was decided to</w:t>
      </w:r>
      <w:r>
        <w:t xml:space="preserve"> </w:t>
      </w:r>
      <w:r>
        <w:t xml:space="preserve">use only the PV of fees as an explanatory variable.</w:t>
      </w:r>
      <w:r>
        <w:t xml:space="preserve"> </w:t>
      </w:r>
      <w:r>
        <w:t xml:space="preserve">It is entirely possible that the growth in design applications is determined by other factors</w:t>
      </w:r>
      <w:r>
        <w:t xml:space="preserve"> </w:t>
      </w:r>
      <w:r>
        <w:t xml:space="preserve">which change in the same way as inflation. E.g. real productivity growth of firms</w:t>
      </w:r>
      <w:r>
        <w:t xml:space="preserve"> </w:t>
      </w:r>
      <w:r>
        <w:t xml:space="preserve">applying for design protection. If this is the case, the lowering of fees is unlikely to affect</w:t>
      </w:r>
      <w:r>
        <w:t xml:space="preserve"> </w:t>
      </w:r>
      <w:r>
        <w:t xml:space="preserve">R² = 0.9598</w:t>
      </w:r>
      <w:r>
        <w:t xml:space="preserve"> </w:t>
      </w:r>
      <w:r>
        <w:t xml:space="preserve">10,000</w:t>
      </w:r>
      <w:r>
        <w:t xml:space="preserve"> </w:t>
      </w:r>
      <w:r>
        <w:t xml:space="preserve">15,000</w:t>
      </w:r>
      <w:r>
        <w:t xml:space="preserve"> </w:t>
      </w:r>
      <w:r>
        <w:t xml:space="preserve">20,000</w:t>
      </w:r>
      <w:r>
        <w:t xml:space="preserve"> </w:t>
      </w:r>
      <w:r>
        <w:t xml:space="preserve">25,000</w:t>
      </w:r>
      <w:r>
        <w:t xml:space="preserve"> </w:t>
      </w:r>
      <w:r>
        <w:t xml:space="preserve">30,000</w:t>
      </w:r>
      <w:r>
        <w:t xml:space="preserve"> </w:t>
      </w:r>
      <w:r>
        <w:t xml:space="preserve">35,000</w:t>
      </w:r>
      <w:r>
        <w:t xml:space="preserve"> </w:t>
      </w:r>
      <w:r>
        <w:t xml:space="preserve">500.0</w:t>
      </w:r>
      <w:r>
        <w:t xml:space="preserve"> </w:t>
      </w:r>
      <w:r>
        <w:t xml:space="preserve">550.0</w:t>
      </w:r>
      <w:r>
        <w:t xml:space="preserve"> </w:t>
      </w:r>
      <w:r>
        <w:t xml:space="preserve">600.0</w:t>
      </w:r>
      <w:r>
        <w:t xml:space="preserve"> </w:t>
      </w:r>
      <w:r>
        <w:t xml:space="preserve">650.0</w:t>
      </w:r>
      <w:r>
        <w:t xml:space="preserve"> </w:t>
      </w:r>
      <w:r>
        <w:t xml:space="preserve">700.0</w:t>
      </w:r>
      <w:r>
        <w:t xml:space="preserve"> </w:t>
      </w:r>
      <w:r>
        <w:t xml:space="preserve">750.0</w:t>
      </w:r>
      <w:r>
        <w:t xml:space="preserve"> </w:t>
      </w:r>
      <w:r>
        <w:t xml:space="preserve">RCD applications</w:t>
      </w:r>
      <w:r>
        <w:t xml:space="preserve"> </w:t>
      </w:r>
      <w:r>
        <w:t xml:space="preserve">PV of fee of an average application</w:t>
      </w:r>
    </w:p>
    <w:p>
      <w:pPr>
        <w:pStyle w:val="BodyText"/>
      </w:pPr>
      <w:r>
        <w:t xml:space="preserve">102</w:t>
      </w:r>
    </w:p>
    <w:p>
      <w:pPr>
        <w:pStyle w:val="BodyText"/>
      </w:pPr>
      <w:r>
        <w:t xml:space="preserve">firms overall productivity, and consequently will not significantly change the demand for</w:t>
      </w:r>
      <w:r>
        <w:t xml:space="preserve"> </w:t>
      </w:r>
      <w:r>
        <w:t xml:space="preserve">design protection. Nevertheless, due to lack of data describing applicant firms it has to be</w:t>
      </w:r>
      <w:r>
        <w:t xml:space="preserve"> </w:t>
      </w:r>
      <w:r>
        <w:t xml:space="preserve">relied on the PV of fees as the best proxy explanatory variable.</w:t>
      </w:r>
      <w:r>
        <w:t xml:space="preserve"> </w:t>
      </w:r>
      <w:r>
        <w:t xml:space="preserve">9.6 Impact of elimination of transfer fee</w:t>
      </w:r>
      <w:r>
        <w:t xml:space="preserve"> </w:t>
      </w:r>
      <w:r>
        <w:t xml:space="preserve">The elimination of the transfer fee should produce savings of around EUR 200 per each</w:t>
      </w:r>
      <w:r>
        <w:t xml:space="preserve"> </w:t>
      </w:r>
      <w:r>
        <w:t xml:space="preserve">transferred design. It is expected to affect in 2024 around 3,000 designs (around 3% of all</w:t>
      </w:r>
      <w:r>
        <w:t xml:space="preserve"> </w:t>
      </w:r>
      <w:r>
        <w:t xml:space="preserve">designs filed annually). This translates to around 375 owners affected in 2024 (to proxy</w:t>
      </w:r>
      <w:r>
        <w:t xml:space="preserve"> </w:t>
      </w:r>
      <w:r>
        <w:t xml:space="preserve">the number of affected owners we use the average number of designs per owner).</w:t>
      </w:r>
      <w:r>
        <w:t xml:space="preserve"> </w:t>
      </w:r>
      <w:r>
        <w:t xml:space="preserve">9.7 Impact of limiting multiple submissions to 50 designs per application</w:t>
      </w:r>
      <w:r>
        <w:t xml:space="preserve"> </w:t>
      </w:r>
      <w:r>
        <w:t xml:space="preserve">The current RCD system allows for an unlimited number of designs to be combined in a</w:t>
      </w:r>
      <w:r>
        <w:t xml:space="preserve"> </w:t>
      </w:r>
      <w:r>
        <w:t xml:space="preserve">single multiple application. Based on 2019-2020 data, 0.46% of applications had 51 or</w:t>
      </w:r>
      <w:r>
        <w:t xml:space="preserve"> </w:t>
      </w:r>
      <w:r>
        <w:t xml:space="preserve">more designs. A cap of 50 designs per application is proposed to limit potential abuses of</w:t>
      </w:r>
      <w:r>
        <w:t xml:space="preserve"> </w:t>
      </w:r>
      <w:r>
        <w:t xml:space="preserve">bundling designs in absence of the transfer fee. The cap for those applicants would</w:t>
      </w:r>
      <w:r>
        <w:t xml:space="preserve"> </w:t>
      </w:r>
      <w:r>
        <w:t xml:space="preserve">constitute an increase in cost, as instead of one application they would have to submit on</w:t>
      </w:r>
      <w:r>
        <w:t xml:space="preserve"> </w:t>
      </w:r>
      <w:r>
        <w:t xml:space="preserve">average almost two. Thus, the number of applications in the last 50 bracket in the above</w:t>
      </w:r>
      <w:r>
        <w:t xml:space="preserve"> </w:t>
      </w:r>
      <w:r>
        <w:t xml:space="preserve">tables/calculations was increased by 0.45% for all applications, by 0.53% for companies</w:t>
      </w:r>
      <w:r>
        <w:t xml:space="preserve"> </w:t>
      </w:r>
      <w:r>
        <w:t xml:space="preserve">and 0.16% for individuals.</w:t>
      </w:r>
      <w:r>
        <w:t xml:space="preserve"> </w:t>
      </w:r>
      <w:r>
        <w:t xml:space="preserve">Taking the 2024 application projections, the increase of fees due to the cap would affect</w:t>
      </w:r>
      <w:r>
        <w:t xml:space="preserve"> </w:t>
      </w:r>
      <w:r>
        <w:t xml:space="preserve">around 173 applications who would need to spend additional EUR 1,000 on average. The</w:t>
      </w:r>
      <w:r>
        <w:t xml:space="preserve"> </w:t>
      </w:r>
      <w:r>
        <w:t xml:space="preserve">total additional burden of those applicants would increase by around EUR 180,500; for</w:t>
      </w:r>
      <w:r>
        <w:t xml:space="preserve"> </w:t>
      </w:r>
      <w:r>
        <w:t xml:space="preserve">companies by EUR 167,000 and for individuals by around EUR 13,500.</w:t>
      </w:r>
      <w:r>
        <w:t xml:space="preserve"> </w:t>
      </w:r>
      <w:r>
        <w:t xml:space="preserve">Table A.9.11. Cost increase due to 50 cap in 2024</w:t>
      </w:r>
    </w:p>
    <w:p>
      <w:pPr>
        <w:pStyle w:val="BodyText"/>
      </w:pPr>
      <w:r>
        <w:t xml:space="preserve">No of applications in 50+</w:t>
      </w:r>
      <w:r>
        <w:t xml:space="preserve"> </w:t>
      </w:r>
      <w:r>
        <w:t xml:space="preserve">bracket</w:t>
      </w:r>
      <w:r>
        <w:t xml:space="preserve"> </w:t>
      </w:r>
      <w:r>
        <w:t xml:space="preserve">Additional cost per</w:t>
      </w:r>
      <w:r>
        <w:t xml:space="preserve"> </w:t>
      </w:r>
      <w:r>
        <w:t xml:space="preserve">application</w:t>
      </w:r>
      <w:r>
        <w:t xml:space="preserve"> </w:t>
      </w:r>
      <w:r>
        <w:t xml:space="preserve">Total cost increase</w:t>
      </w:r>
      <w:r>
        <w:t xml:space="preserve"> </w:t>
      </w:r>
      <w:r>
        <w:t xml:space="preserve">All</w:t>
      </w:r>
      <w:r>
        <w:br/>
      </w:r>
      <w:r>
        <w:t xml:space="preserve">173</w:t>
      </w:r>
      <w:r>
        <w:t xml:space="preserve"> </w:t>
      </w:r>
      <w:r>
        <w:t xml:space="preserve">1,043</w:t>
      </w:r>
      <w:r>
        <w:t xml:space="preserve"> </w:t>
      </w:r>
      <w:r>
        <w:t xml:space="preserve">180,438</w:t>
      </w:r>
      <w:r>
        <w:t xml:space="preserve"> </w:t>
      </w:r>
      <w:r>
        <w:t xml:space="preserve">companies</w:t>
      </w:r>
      <w:r>
        <w:t xml:space="preserve"> </w:t>
      </w:r>
      <w:r>
        <w:t xml:space="preserve">160</w:t>
      </w:r>
      <w:r>
        <w:t xml:space="preserve"> </w:t>
      </w:r>
      <w:r>
        <w:t xml:space="preserve">1,044</w:t>
      </w:r>
      <w:r>
        <w:t xml:space="preserve"> </w:t>
      </w:r>
      <w:r>
        <w:t xml:space="preserve">166,971</w:t>
      </w:r>
      <w:r>
        <w:t xml:space="preserve"> </w:t>
      </w:r>
      <w:r>
        <w:t xml:space="preserve">natural persons</w:t>
      </w:r>
      <w:r>
        <w:t xml:space="preserve"> </w:t>
      </w:r>
      <w:r>
        <w:t xml:space="preserve">13</w:t>
      </w:r>
      <w:r>
        <w:t xml:space="preserve"> </w:t>
      </w:r>
      <w:r>
        <w:t xml:space="preserve">1,022</w:t>
      </w:r>
      <w:r>
        <w:t xml:space="preserve"> </w:t>
      </w:r>
      <w:r>
        <w:t xml:space="preserve">13,467</w:t>
      </w:r>
      <w:r>
        <w:t xml:space="preserve"> </w:t>
      </w:r>
      <w:r>
        <w:t xml:space="preserve">Source: Own assessment</w:t>
      </w:r>
    </w:p>
    <w:p>
      <w:pPr>
        <w:pStyle w:val="BodyText"/>
      </w:pPr>
      <w:r>
        <w:t xml:space="preserve">9.8 Comparison to national registration fees</w:t>
      </w:r>
      <w:r>
        <w:t xml:space="preserve"> </w:t>
      </w:r>
      <w:r>
        <w:t xml:space="preserve">The new few structure will affect the attractiveness of national protection in several</w:t>
      </w:r>
      <w:r>
        <w:t xml:space="preserve"> </w:t>
      </w:r>
      <w:r>
        <w:t xml:space="preserve">Member States as an alternative to EUIPO EU-wide protection.</w:t>
      </w:r>
      <w:r>
        <w:t xml:space="preserve"> </w:t>
      </w:r>
      <w:r>
        <w:t xml:space="preserve">Detailed national fees are presented in Annex 8, below just an extract concerning basic</w:t>
      </w:r>
      <w:r>
        <w:t xml:space="preserve"> </w:t>
      </w:r>
      <w:r>
        <w:t xml:space="preserve">paper and electronic fees and fees for multiple applications.</w:t>
      </w:r>
      <w:r>
        <w:t xml:space="preserve"> </w:t>
      </w:r>
      <w:r>
        <w:t xml:space="preserve">Table A.9.12. National IP offices fees for the basic protection (EUR)</w:t>
      </w:r>
      <w:r>
        <w:t xml:space="preserve"> </w:t>
      </w:r>
      <w:r>
        <w:t xml:space="preserve">Office</w:t>
      </w:r>
      <w:r>
        <w:t xml:space="preserve"> </w:t>
      </w:r>
      <w:r>
        <w:t xml:space="preserve">Paper - fee</w:t>
      </w:r>
      <w:r>
        <w:t xml:space="preserve"> </w:t>
      </w:r>
      <w:r>
        <w:t xml:space="preserve">Electronic fee</w:t>
      </w:r>
      <w:r>
        <w:t xml:space="preserve"> </w:t>
      </w:r>
      <w:r>
        <w:t xml:space="preserve">Electronic 2-10</w:t>
      </w:r>
      <w:r>
        <w:t xml:space="preserve"> </w:t>
      </w:r>
      <w:r>
        <w:t xml:space="preserve">design</w:t>
      </w:r>
      <w:r>
        <w:t xml:space="preserve"> </w:t>
      </w:r>
      <w:r>
        <w:t xml:space="preserve">AT</w:t>
      </w:r>
      <w:r>
        <w:t xml:space="preserve"> </w:t>
      </w:r>
      <w:r>
        <w:t xml:space="preserve">102.50</w:t>
      </w:r>
      <w:r>
        <w:t xml:space="preserve"> </w:t>
      </w:r>
      <w:r>
        <w:t xml:space="preserve">97.50</w:t>
      </w:r>
      <w:r>
        <w:t xml:space="preserve"> </w:t>
      </w:r>
      <w:r>
        <w:t xml:space="preserve">20.00</w:t>
      </w:r>
      <w:r>
        <w:t xml:space="preserve"> </w:t>
      </w:r>
      <w:r>
        <w:t xml:space="preserve">BG</w:t>
      </w:r>
      <w:r>
        <w:t xml:space="preserve"> </w:t>
      </w:r>
      <w:r>
        <w:t xml:space="preserve">170.00</w:t>
      </w:r>
      <w:r>
        <w:t xml:space="preserve"> </w:t>
      </w:r>
      <w:r>
        <w:t xml:space="preserve">170.00</w:t>
      </w:r>
      <w:r>
        <w:t xml:space="preserve"> </w:t>
      </w:r>
      <w:r>
        <w:t xml:space="preserve">17.50</w:t>
      </w:r>
      <w:r>
        <w:t xml:space="preserve"> </w:t>
      </w:r>
      <w:r>
        <w:t xml:space="preserve">BLX</w:t>
      </w:r>
      <w:r>
        <w:t xml:space="preserve"> </w:t>
      </w:r>
      <w:r>
        <w:t xml:space="preserve">220.00</w:t>
      </w:r>
      <w:r>
        <w:t xml:space="preserve"> </w:t>
      </w:r>
      <w:r>
        <w:t xml:space="preserve">192.00</w:t>
      </w:r>
      <w:r>
        <w:t xml:space="preserve"> </w:t>
      </w:r>
      <w:r>
        <w:t xml:space="preserve">75.00</w:t>
      </w:r>
      <w:r>
        <w:t xml:space="preserve"> </w:t>
      </w:r>
      <w:r>
        <w:t xml:space="preserve">CY</w:t>
      </w:r>
      <w:r>
        <w:t xml:space="preserve"> </w:t>
      </w:r>
      <w:r>
        <w:t xml:space="preserve">205.03</w:t>
      </w:r>
      <w:r>
        <w:t xml:space="preserve"> </w:t>
      </w:r>
      <w:r>
        <w:t xml:space="preserve">205.03</w:t>
      </w:r>
      <w:r>
        <w:t xml:space="preserve"> </w:t>
      </w:r>
      <w:r>
        <w:t xml:space="preserve">0.00</w:t>
      </w:r>
    </w:p>
    <w:p>
      <w:pPr>
        <w:pStyle w:val="BodyText"/>
      </w:pPr>
      <w:r>
        <w:t xml:space="preserve">103</w:t>
      </w:r>
    </w:p>
    <w:p>
      <w:pPr>
        <w:pStyle w:val="BodyText"/>
      </w:pPr>
      <w:r>
        <w:t xml:space="preserve">Office</w:t>
      </w:r>
      <w:r>
        <w:t xml:space="preserve"> </w:t>
      </w:r>
      <w:r>
        <w:t xml:space="preserve">Paper - fee</w:t>
      </w:r>
      <w:r>
        <w:t xml:space="preserve"> </w:t>
      </w:r>
      <w:r>
        <w:t xml:space="preserve">Electronic fee</w:t>
      </w:r>
      <w:r>
        <w:t xml:space="preserve"> </w:t>
      </w:r>
      <w:r>
        <w:t xml:space="preserve">Electronic 2-10</w:t>
      </w:r>
      <w:r>
        <w:t xml:space="preserve"> </w:t>
      </w:r>
      <w:r>
        <w:t xml:space="preserve">design</w:t>
      </w:r>
      <w:r>
        <w:t xml:space="preserve"> </w:t>
      </w:r>
      <w:r>
        <w:t xml:space="preserve">CZ</w:t>
      </w:r>
      <w:r>
        <w:t xml:space="preserve"> </w:t>
      </w:r>
      <w:r>
        <w:t xml:space="preserve">39.19</w:t>
      </w:r>
      <w:r>
        <w:t xml:space="preserve"> </w:t>
      </w:r>
      <w:r>
        <w:t xml:space="preserve">39.19</w:t>
      </w:r>
      <w:r>
        <w:t xml:space="preserve"> </w:t>
      </w:r>
      <w:r>
        <w:t xml:space="preserve">23.51</w:t>
      </w:r>
      <w:r>
        <w:t xml:space="preserve"> </w:t>
      </w:r>
      <w:r>
        <w:t xml:space="preserve">DE</w:t>
      </w:r>
      <w:r>
        <w:t xml:space="preserve"> </w:t>
      </w:r>
      <w:r>
        <w:t xml:space="preserve">70.00</w:t>
      </w:r>
      <w:r>
        <w:t xml:space="preserve"> </w:t>
      </w:r>
      <w:r>
        <w:t xml:space="preserve">60.00</w:t>
      </w:r>
      <w:r>
        <w:t xml:space="preserve"> </w:t>
      </w:r>
      <w:r>
        <w:t xml:space="preserve">60.00</w:t>
      </w:r>
      <w:r>
        <w:t xml:space="preserve"> </w:t>
      </w:r>
      <w:r>
        <w:t xml:space="preserve">DK</w:t>
      </w:r>
      <w:r>
        <w:t xml:space="preserve"> </w:t>
      </w:r>
      <w:r>
        <w:t xml:space="preserve">161.14</w:t>
      </w:r>
      <w:r>
        <w:t xml:space="preserve"> </w:t>
      </w:r>
      <w:r>
        <w:t xml:space="preserve">161.14</w:t>
      </w:r>
      <w:r>
        <w:t xml:space="preserve"> </w:t>
      </w:r>
      <w:r>
        <w:t xml:space="preserve">94.00</w:t>
      </w:r>
      <w:r>
        <w:t xml:space="preserve"> </w:t>
      </w:r>
      <w:r>
        <w:t xml:space="preserve">EE</w:t>
      </w:r>
      <w:r>
        <w:t xml:space="preserve"> </w:t>
      </w:r>
      <w:r>
        <w:t xml:space="preserve">105.00</w:t>
      </w:r>
      <w:r>
        <w:t xml:space="preserve"> </w:t>
      </w:r>
      <w:r>
        <w:t xml:space="preserve">105.00</w:t>
      </w:r>
      <w:r>
        <w:t xml:space="preserve"> </w:t>
      </w:r>
      <w:r>
        <w:t xml:space="preserve">0.00</w:t>
      </w:r>
      <w:r>
        <w:t xml:space="preserve"> </w:t>
      </w:r>
      <w:r>
        <w:t xml:space="preserve">ES</w:t>
      </w:r>
      <w:r>
        <w:t xml:space="preserve"> </w:t>
      </w:r>
      <w:r>
        <w:t xml:space="preserve">84.18</w:t>
      </w:r>
      <w:r>
        <w:t xml:space="preserve"> </w:t>
      </w:r>
      <w:r>
        <w:t xml:space="preserve">72.71</w:t>
      </w:r>
      <w:r>
        <w:t xml:space="preserve"> </w:t>
      </w:r>
      <w:r>
        <w:t xml:space="preserve">72.71</w:t>
      </w:r>
      <w:r>
        <w:t xml:space="preserve"> </w:t>
      </w:r>
      <w:r>
        <w:t xml:space="preserve">FI</w:t>
      </w:r>
      <w:r>
        <w:t xml:space="preserve"> </w:t>
      </w:r>
      <w:r>
        <w:t xml:space="preserve">300.00</w:t>
      </w:r>
      <w:r>
        <w:t xml:space="preserve"> </w:t>
      </w:r>
      <w:r>
        <w:t xml:space="preserve">250.00</w:t>
      </w:r>
      <w:r>
        <w:t xml:space="preserve"> </w:t>
      </w:r>
      <w:r>
        <w:t xml:space="preserve">130.00</w:t>
      </w:r>
      <w:r>
        <w:t xml:space="preserve"> </w:t>
      </w:r>
      <w:r>
        <w:t xml:space="preserve">FR</w:t>
      </w:r>
      <w:r>
        <w:t xml:space="preserve"> </w:t>
      </w:r>
      <w:r>
        <w:t xml:space="preserve">86.00</w:t>
      </w:r>
      <w:r>
        <w:t xml:space="preserve"> </w:t>
      </w:r>
      <w:r>
        <w:t xml:space="preserve">86.00</w:t>
      </w:r>
      <w:r>
        <w:t xml:space="preserve"> </w:t>
      </w:r>
      <w:r>
        <w:t xml:space="preserve">86.00</w:t>
      </w:r>
      <w:r>
        <w:t xml:space="preserve"> </w:t>
      </w:r>
      <w:r>
        <w:t xml:space="preserve">GR</w:t>
      </w:r>
      <w:r>
        <w:t xml:space="preserve"> </w:t>
      </w:r>
      <w:r>
        <w:t xml:space="preserve">130.00</w:t>
      </w:r>
      <w:r>
        <w:t xml:space="preserve"> </w:t>
      </w:r>
      <w:r>
        <w:t xml:space="preserve">130.00</w:t>
      </w:r>
      <w:r>
        <w:t xml:space="preserve"> </w:t>
      </w:r>
      <w:r>
        <w:t xml:space="preserve">10.00</w:t>
      </w:r>
      <w:r>
        <w:t xml:space="preserve"> </w:t>
      </w:r>
      <w:r>
        <w:t xml:space="preserve">HR</w:t>
      </w:r>
      <w:r>
        <w:t xml:space="preserve"> </w:t>
      </w:r>
      <w:r>
        <w:t xml:space="preserve">85.91</w:t>
      </w:r>
      <w:r>
        <w:t xml:space="preserve"> </w:t>
      </w:r>
      <w:r>
        <w:t xml:space="preserve">68.72</w:t>
      </w:r>
      <w:r>
        <w:t xml:space="preserve"> </w:t>
      </w:r>
      <w:r>
        <w:t xml:space="preserve">35.80</w:t>
      </w:r>
      <w:r>
        <w:t xml:space="preserve"> </w:t>
      </w:r>
      <w:r>
        <w:t xml:space="preserve">HU</w:t>
      </w:r>
      <w:r>
        <w:t xml:space="preserve"> </w:t>
      </w:r>
      <w:r>
        <w:t xml:space="preserve">89.84</w:t>
      </w:r>
      <w:r>
        <w:t xml:space="preserve"> </w:t>
      </w:r>
      <w:r>
        <w:t xml:space="preserve">89.84</w:t>
      </w:r>
      <w:r>
        <w:t xml:space="preserve"> </w:t>
      </w:r>
      <w:r>
        <w:t xml:space="preserve">17.97</w:t>
      </w:r>
      <w:r>
        <w:t xml:space="preserve"> </w:t>
      </w:r>
      <w:r>
        <w:t xml:space="preserve">IE</w:t>
      </w:r>
      <w:r>
        <w:t xml:space="preserve"> </w:t>
      </w:r>
      <w:r>
        <w:t xml:space="preserve">70.00</w:t>
      </w:r>
      <w:r>
        <w:t xml:space="preserve"> </w:t>
      </w:r>
      <w:r>
        <w:t xml:space="preserve">70.00</w:t>
      </w:r>
      <w:r>
        <w:t xml:space="preserve"> </w:t>
      </w:r>
      <w:r>
        <w:t xml:space="preserve">25.00</w:t>
      </w:r>
      <w:r>
        <w:t xml:space="preserve"> </w:t>
      </w:r>
      <w:r>
        <w:t xml:space="preserve">IT</w:t>
      </w:r>
      <w:r>
        <w:t xml:space="preserve"> </w:t>
      </w:r>
      <w:r>
        <w:t xml:space="preserve">100.00</w:t>
      </w:r>
      <w:r>
        <w:t xml:space="preserve"> </w:t>
      </w:r>
      <w:r>
        <w:t xml:space="preserve">50.00</w:t>
      </w:r>
      <w:r>
        <w:t xml:space="preserve"> </w:t>
      </w:r>
      <w:r>
        <w:t xml:space="preserve">100.00</w:t>
      </w:r>
      <w:r>
        <w:t xml:space="preserve"> </w:t>
      </w:r>
      <w:r>
        <w:t xml:space="preserve">LT</w:t>
      </w:r>
      <w:r>
        <w:t xml:space="preserve"> </w:t>
      </w:r>
      <w:r>
        <w:t xml:space="preserve">138.00</w:t>
      </w:r>
      <w:r>
        <w:t xml:space="preserve"> </w:t>
      </w:r>
      <w:r>
        <w:t xml:space="preserve">138.00</w:t>
      </w:r>
      <w:r>
        <w:t xml:space="preserve"> </w:t>
      </w:r>
      <w:r>
        <w:t xml:space="preserve">26.00</w:t>
      </w:r>
      <w:r>
        <w:t xml:space="preserve"> </w:t>
      </w:r>
      <w:r>
        <w:t xml:space="preserve">LV</w:t>
      </w:r>
      <w:r>
        <w:t xml:space="preserve"> </w:t>
      </w:r>
      <w:r>
        <w:t xml:space="preserve">105.00</w:t>
      </w:r>
      <w:r>
        <w:t xml:space="preserve"> </w:t>
      </w:r>
      <w:r>
        <w:t xml:space="preserve">94.50</w:t>
      </w:r>
      <w:r>
        <w:t xml:space="preserve"> </w:t>
      </w:r>
      <w:r>
        <w:t xml:space="preserve">27.00</w:t>
      </w:r>
      <w:r>
        <w:t xml:space="preserve"> </w:t>
      </w:r>
      <w:r>
        <w:t xml:space="preserve">MT</w:t>
      </w:r>
      <w:r>
        <w:t xml:space="preserve"> </w:t>
      </w:r>
      <w:r>
        <w:t xml:space="preserve">46.59</w:t>
      </w:r>
      <w:r>
        <w:t xml:space="preserve"> </w:t>
      </w:r>
      <w:r>
        <w:t xml:space="preserve">46.59</w:t>
      </w:r>
      <w:r>
        <w:t xml:space="preserve"> </w:t>
      </w:r>
      <w:r>
        <w:t xml:space="preserve">46.59</w:t>
      </w:r>
      <w:r>
        <w:t xml:space="preserve"> </w:t>
      </w:r>
      <w:r>
        <w:t xml:space="preserve">PL</w:t>
      </w:r>
      <w:r>
        <w:t xml:space="preserve"> </w:t>
      </w:r>
      <w:r>
        <w:t xml:space="preserve">138.63</w:t>
      </w:r>
      <w:r>
        <w:t xml:space="preserve"> </w:t>
      </w:r>
      <w:r>
        <w:t xml:space="preserve">138.63</w:t>
      </w:r>
      <w:r>
        <w:t xml:space="preserve"> </w:t>
      </w:r>
      <w:r>
        <w:t xml:space="preserve">138.63</w:t>
      </w:r>
      <w:r>
        <w:t xml:space="preserve"> </w:t>
      </w:r>
      <w:r>
        <w:t xml:space="preserve">PT</w:t>
      </w:r>
      <w:r>
        <w:t xml:space="preserve"> </w:t>
      </w:r>
      <w:r>
        <w:t xml:space="preserve">215.24</w:t>
      </w:r>
      <w:r>
        <w:t xml:space="preserve"> </w:t>
      </w:r>
      <w:r>
        <w:t xml:space="preserve">107.62</w:t>
      </w:r>
      <w:r>
        <w:t xml:space="preserve"> </w:t>
      </w:r>
      <w:r>
        <w:t xml:space="preserve">10.77</w:t>
      </w:r>
      <w:r>
        <w:t xml:space="preserve"> </w:t>
      </w:r>
      <w:r>
        <w:t xml:space="preserve">RO</w:t>
      </w:r>
      <w:r>
        <w:t xml:space="preserve"> </w:t>
      </w:r>
      <w:r>
        <w:t xml:space="preserve">180.00</w:t>
      </w:r>
      <w:r>
        <w:t xml:space="preserve"> </w:t>
      </w:r>
      <w:r>
        <w:t xml:space="preserve">180.00</w:t>
      </w:r>
      <w:r>
        <w:t xml:space="preserve"> </w:t>
      </w:r>
      <w:r>
        <w:t xml:space="preserve">10.00</w:t>
      </w:r>
      <w:r>
        <w:t xml:space="preserve"> </w:t>
      </w:r>
      <w:r>
        <w:t xml:space="preserve">SE</w:t>
      </w:r>
      <w:r>
        <w:t xml:space="preserve"> </w:t>
      </w:r>
      <w:r>
        <w:t xml:space="preserve">244.40</w:t>
      </w:r>
      <w:r>
        <w:t xml:space="preserve"> </w:t>
      </w:r>
      <w:r>
        <w:t xml:space="preserve">196.05</w:t>
      </w:r>
      <w:r>
        <w:t xml:space="preserve"> </w:t>
      </w:r>
      <w:r>
        <w:t xml:space="preserve">136.87</w:t>
      </w:r>
      <w:r>
        <w:t xml:space="preserve"> </w:t>
      </w:r>
      <w:r>
        <w:t xml:space="preserve">SI</w:t>
      </w:r>
      <w:r>
        <w:t xml:space="preserve"> </w:t>
      </w:r>
      <w:r>
        <w:t xml:space="preserve">80.00</w:t>
      </w:r>
      <w:r>
        <w:t xml:space="preserve"> </w:t>
      </w:r>
      <w:r>
        <w:t xml:space="preserve">80.00</w:t>
      </w:r>
      <w:r>
        <w:t xml:space="preserve"> </w:t>
      </w:r>
      <w:r>
        <w:t xml:space="preserve">65.00</w:t>
      </w:r>
      <w:r>
        <w:t xml:space="preserve"> </w:t>
      </w:r>
      <w:r>
        <w:t xml:space="preserve">SK</w:t>
      </w:r>
      <w:r>
        <w:t xml:space="preserve"> </w:t>
      </w:r>
      <w:r>
        <w:t xml:space="preserve">40.00</w:t>
      </w:r>
      <w:r>
        <w:t xml:space="preserve"> </w:t>
      </w:r>
      <w:r>
        <w:t xml:space="preserve">40.00</w:t>
      </w:r>
      <w:r>
        <w:t xml:space="preserve"> </w:t>
      </w:r>
      <w:r>
        <w:t xml:space="preserve">20.00</w:t>
      </w:r>
      <w:r>
        <w:t xml:space="preserve"> </w:t>
      </w:r>
      <w:r>
        <w:t xml:space="preserve">Source: EUIPO data</w:t>
      </w:r>
      <w:r>
        <w:t xml:space="preserve"> </w:t>
      </w:r>
      <w:r>
        <w:t xml:space="preserve">In all cases the electronic fee is cheaper, thus it is used for further calculations. In all</w:t>
      </w:r>
      <w:r>
        <w:t xml:space="preserve"> </w:t>
      </w:r>
      <w:r>
        <w:t xml:space="preserve">cases the EUIPO current fee and proposed new fee is more expensive than any individual</w:t>
      </w:r>
      <w:r>
        <w:t xml:space="preserve"> </w:t>
      </w:r>
      <w:r>
        <w:t xml:space="preserve">Member State fee (except for FI paper fee).</w:t>
      </w:r>
      <w:r>
        <w:t xml:space="preserve"> </w:t>
      </w:r>
      <w:r>
        <w:t xml:space="preserve">Under the current system of basic fee of EUR 350, it was more cost efficient to choose</w:t>
      </w:r>
      <w:r>
        <w:t xml:space="preserve"> </w:t>
      </w:r>
      <w:r>
        <w:t xml:space="preserve">national protection when one sought it in on average 4 (ranging from 3 to 5) other EU</w:t>
      </w:r>
      <w:r>
        <w:t xml:space="preserve"> </w:t>
      </w:r>
      <w:r>
        <w:t xml:space="preserve">Member States. Under the proposed basic fee of EUR 250 national protection would be</w:t>
      </w:r>
      <w:r>
        <w:t xml:space="preserve"> </w:t>
      </w:r>
      <w:r>
        <w:t xml:space="preserve">most efficient when protecting in 2.9 Member States (ranging from 1.5 to 3.6) on</w:t>
      </w:r>
      <w:r>
        <w:t xml:space="preserve"> </w:t>
      </w:r>
      <w:r>
        <w:t xml:space="preserve">average.</w:t>
      </w:r>
      <w:r>
        <w:br/>
      </w:r>
      <w:r>
        <w:t xml:space="preserve">It is assumed that in particular smaller businesses would seek design protection solely in</w:t>
      </w:r>
      <w:r>
        <w:t xml:space="preserve"> </w:t>
      </w:r>
      <w:r>
        <w:t xml:space="preserve">the neighbouring countries. In such case, under the current fee structure, it is cheaper to</w:t>
      </w:r>
      <w:r>
        <w:t xml:space="preserve"> </w:t>
      </w:r>
      <w:r>
        <w:t xml:space="preserve">seek basic protection of a single design at the EUIPO in case of 16 Member States. Under</w:t>
      </w:r>
      <w:r>
        <w:t xml:space="preserve"> </w:t>
      </w:r>
      <w:r>
        <w:t xml:space="preserve">the new fee structure, it will be cheaper in case of 23 Member States (preference will</w:t>
      </w:r>
      <w:r>
        <w:t xml:space="preserve"> </w:t>
      </w:r>
      <w:r>
        <w:t xml:space="preserve">change in case of BE-NL-LU, CY, ES, IT, LV). Taking into account that in 2020 the</w:t>
      </w:r>
      <w:r>
        <w:t xml:space="preserve"> </w:t>
      </w:r>
      <w:r>
        <w:t xml:space="preserve">average number of designs per application was 3.3, and that several Member States offer</w:t>
      </w:r>
      <w:r>
        <w:t xml:space="preserve"> </w:t>
      </w:r>
      <w:r>
        <w:t xml:space="preserve">discounts for multiple filings, the EUIPO option is preferred to multiple national</w:t>
      </w:r>
      <w:r>
        <w:t xml:space="preserve"> </w:t>
      </w:r>
      <w:r>
        <w:t xml:space="preserve">protections in 19 Member States currently, in 23 Member States under Opt. 3.1</w:t>
      </w:r>
      <w:r>
        <w:t xml:space="preserve"> </w:t>
      </w:r>
      <w:r>
        <w:t xml:space="preserve">(preference will change for BG, ES, LV, RO) and in 25 Member States under Opt. 3.2.</w:t>
      </w:r>
      <w:r>
        <w:t xml:space="preserve"> </w:t>
      </w:r>
      <w:r>
        <w:t xml:space="preserve">(+HR) (see table below).</w:t>
      </w:r>
      <w:r>
        <w:br/>
      </w:r>
      <w:r>
        <w:t xml:space="preserve">Table A.9.13. Cost of design protection (electronic filing) just in neighbouring countries (EUR)</w:t>
      </w:r>
      <w:r>
        <w:t xml:space="preserve"> </w:t>
      </w:r>
      <w:r>
        <w:t xml:space="preserve">MS</w:t>
      </w:r>
      <w:r>
        <w:t xml:space="preserve"> </w:t>
      </w:r>
      <w:r>
        <w:t xml:space="preserve">Neighbours</w:t>
      </w:r>
      <w:r>
        <w:t xml:space="preserve"> </w:t>
      </w:r>
      <w:r>
        <w:t xml:space="preserve">Cost of 1</w:t>
      </w:r>
      <w:r>
        <w:t xml:space="preserve"> </w:t>
      </w:r>
      <w:r>
        <w:t xml:space="preserve">design</w:t>
      </w:r>
      <w:r>
        <w:t xml:space="preserve"> </w:t>
      </w:r>
      <w:r>
        <w:t xml:space="preserve">protection</w:t>
      </w:r>
      <w:r>
        <w:t xml:space="preserve"> </w:t>
      </w:r>
      <w:r>
        <w:t xml:space="preserve">(EUR)</w:t>
      </w:r>
      <w:r>
        <w:t xml:space="preserve"> </w:t>
      </w:r>
      <w:r>
        <w:t xml:space="preserve">RCD fee more</w:t>
      </w:r>
      <w:r>
        <w:t xml:space="preserve"> </w:t>
      </w:r>
      <w:r>
        <w:t xml:space="preserve">attractive for 1</w:t>
      </w:r>
      <w:r>
        <w:t xml:space="preserve"> </w:t>
      </w:r>
      <w:r>
        <w:t xml:space="preserve">design</w:t>
      </w:r>
      <w:r>
        <w:t xml:space="preserve"> </w:t>
      </w:r>
      <w:r>
        <w:t xml:space="preserve">Cost of</w:t>
      </w:r>
      <w:r>
        <w:t xml:space="preserve"> </w:t>
      </w:r>
      <w:r>
        <w:t xml:space="preserve">3.3</w:t>
      </w:r>
      <w:r>
        <w:t xml:space="preserve"> </w:t>
      </w:r>
      <w:r>
        <w:t xml:space="preserve">designs</w:t>
      </w:r>
      <w:r>
        <w:t xml:space="preserve"> </w:t>
      </w:r>
      <w:r>
        <w:t xml:space="preserve">(EUR)</w:t>
      </w:r>
      <w:r>
        <w:t xml:space="preserve"> </w:t>
      </w:r>
      <w:r>
        <w:t xml:space="preserve">RCD fee more attractive for</w:t>
      </w:r>
      <w:r>
        <w:t xml:space="preserve"> </w:t>
      </w:r>
      <w:r>
        <w:t xml:space="preserve">application with</w:t>
      </w:r>
      <w:r>
        <w:br/>
      </w:r>
      <w:r>
        <w:t xml:space="preserve">3.3 designs</w:t>
      </w:r>
      <w:r>
        <w:t xml:space="preserve"> </w:t>
      </w:r>
      <w:r>
        <w:t xml:space="preserve">Current</w:t>
      </w:r>
      <w:r>
        <w:t xml:space="preserve"> </w:t>
      </w:r>
      <w:r>
        <w:t xml:space="preserve">€350</w:t>
      </w:r>
      <w:r>
        <w:t xml:space="preserve"> </w:t>
      </w:r>
      <w:r>
        <w:t xml:space="preserve">Opt.</w:t>
      </w:r>
      <w:r>
        <w:t xml:space="preserve"> </w:t>
      </w:r>
      <w:r>
        <w:t xml:space="preserve">3.1 and</w:t>
      </w:r>
      <w:r>
        <w:t xml:space="preserve"> </w:t>
      </w:r>
      <w:r>
        <w:t xml:space="preserve">3.2</w:t>
      </w:r>
      <w:r>
        <w:t xml:space="preserve"> </w:t>
      </w:r>
      <w:r>
        <w:t xml:space="preserve">€250</w:t>
      </w:r>
      <w:r>
        <w:t xml:space="preserve"> </w:t>
      </w:r>
      <w:r>
        <w:t xml:space="preserve">Current</w:t>
      </w:r>
      <w:r>
        <w:t xml:space="preserve"> </w:t>
      </w:r>
      <w:r>
        <w:t xml:space="preserve">€752.5</w:t>
      </w:r>
      <w:r>
        <w:t xml:space="preserve"> </w:t>
      </w:r>
      <w:r>
        <w:t xml:space="preserve">Opt. 3.1</w:t>
      </w:r>
      <w:r>
        <w:t xml:space="preserve"> </w:t>
      </w:r>
      <w:r>
        <w:t xml:space="preserve">€537.5</w:t>
      </w:r>
      <w:r>
        <w:t xml:space="preserve"> </w:t>
      </w:r>
      <w:r>
        <w:t xml:space="preserve">Opt. 3.2</w:t>
      </w:r>
      <w:r>
        <w:t xml:space="preserve"> </w:t>
      </w:r>
      <w:r>
        <w:t xml:space="preserve">€480</w:t>
      </w:r>
    </w:p>
    <w:p>
      <w:pPr>
        <w:pStyle w:val="BodyText"/>
      </w:pPr>
      <w:r>
        <w:t xml:space="preserve">104</w:t>
      </w:r>
    </w:p>
    <w:p>
      <w:pPr>
        <w:pStyle w:val="BodyText"/>
      </w:pPr>
      <w:r>
        <w:t xml:space="preserve">MS</w:t>
      </w:r>
      <w:r>
        <w:t xml:space="preserve"> </w:t>
      </w:r>
      <w:r>
        <w:t xml:space="preserve">Neighbours</w:t>
      </w:r>
      <w:r>
        <w:t xml:space="preserve"> </w:t>
      </w:r>
      <w:r>
        <w:t xml:space="preserve">Cost of 1</w:t>
      </w:r>
      <w:r>
        <w:t xml:space="preserve"> </w:t>
      </w:r>
      <w:r>
        <w:t xml:space="preserve">design</w:t>
      </w:r>
      <w:r>
        <w:t xml:space="preserve"> </w:t>
      </w:r>
      <w:r>
        <w:t xml:space="preserve">protection</w:t>
      </w:r>
      <w:r>
        <w:t xml:space="preserve"> </w:t>
      </w:r>
      <w:r>
        <w:t xml:space="preserve">(EUR)</w:t>
      </w:r>
      <w:r>
        <w:t xml:space="preserve"> </w:t>
      </w:r>
      <w:r>
        <w:t xml:space="preserve">RCD fee more</w:t>
      </w:r>
      <w:r>
        <w:t xml:space="preserve"> </w:t>
      </w:r>
      <w:r>
        <w:t xml:space="preserve">attractive for 1</w:t>
      </w:r>
      <w:r>
        <w:t xml:space="preserve"> </w:t>
      </w:r>
      <w:r>
        <w:t xml:space="preserve">design</w:t>
      </w:r>
      <w:r>
        <w:t xml:space="preserve"> </w:t>
      </w:r>
      <w:r>
        <w:t xml:space="preserve">Cost of</w:t>
      </w:r>
      <w:r>
        <w:t xml:space="preserve"> </w:t>
      </w:r>
      <w:r>
        <w:t xml:space="preserve">3.3</w:t>
      </w:r>
      <w:r>
        <w:t xml:space="preserve"> </w:t>
      </w:r>
      <w:r>
        <w:t xml:space="preserve">designs</w:t>
      </w:r>
      <w:r>
        <w:t xml:space="preserve"> </w:t>
      </w:r>
      <w:r>
        <w:t xml:space="preserve">(EUR)</w:t>
      </w:r>
      <w:r>
        <w:t xml:space="preserve"> </w:t>
      </w:r>
      <w:r>
        <w:t xml:space="preserve">RCD fee more attractive for</w:t>
      </w:r>
      <w:r>
        <w:t xml:space="preserve"> </w:t>
      </w:r>
      <w:r>
        <w:t xml:space="preserve">application with</w:t>
      </w:r>
      <w:r>
        <w:br/>
      </w:r>
      <w:r>
        <w:t xml:space="preserve">3.3 designs</w:t>
      </w:r>
      <w:r>
        <w:t xml:space="preserve"> </w:t>
      </w:r>
      <w:r>
        <w:t xml:space="preserve">Current</w:t>
      </w:r>
      <w:r>
        <w:t xml:space="preserve"> </w:t>
      </w:r>
      <w:r>
        <w:t xml:space="preserve">€350</w:t>
      </w:r>
      <w:r>
        <w:t xml:space="preserve"> </w:t>
      </w:r>
      <w:r>
        <w:t xml:space="preserve">Opt.</w:t>
      </w:r>
      <w:r>
        <w:t xml:space="preserve"> </w:t>
      </w:r>
      <w:r>
        <w:t xml:space="preserve">3.1 and</w:t>
      </w:r>
      <w:r>
        <w:t xml:space="preserve"> </w:t>
      </w:r>
      <w:r>
        <w:t xml:space="preserve">3.2</w:t>
      </w:r>
      <w:r>
        <w:t xml:space="preserve"> </w:t>
      </w:r>
      <w:r>
        <w:t xml:space="preserve">€250</w:t>
      </w:r>
      <w:r>
        <w:t xml:space="preserve"> </w:t>
      </w:r>
      <w:r>
        <w:t xml:space="preserve">Current</w:t>
      </w:r>
      <w:r>
        <w:t xml:space="preserve"> </w:t>
      </w:r>
      <w:r>
        <w:t xml:space="preserve">€752.5</w:t>
      </w:r>
      <w:r>
        <w:t xml:space="preserve"> </w:t>
      </w:r>
      <w:r>
        <w:t xml:space="preserve">Opt. 3.1</w:t>
      </w:r>
      <w:r>
        <w:t xml:space="preserve"> </w:t>
      </w:r>
      <w:r>
        <w:t xml:space="preserve">€537.5</w:t>
      </w:r>
      <w:r>
        <w:t xml:space="preserve"> </w:t>
      </w:r>
      <w:r>
        <w:t xml:space="preserve">Opt. 3.2</w:t>
      </w:r>
      <w:r>
        <w:t xml:space="preserve"> </w:t>
      </w:r>
      <w:r>
        <w:t xml:space="preserve">€480</w:t>
      </w:r>
      <w:r>
        <w:t xml:space="preserve"> </w:t>
      </w:r>
      <w:r>
        <w:t xml:space="preserve">AT</w:t>
      </w:r>
      <w:r>
        <w:t xml:space="preserve"> </w:t>
      </w:r>
      <w:r>
        <w:t xml:space="preserve">DE CZ SK HU SI IT</w:t>
      </w:r>
      <w:r>
        <w:t xml:space="preserve"> </w:t>
      </w:r>
      <w:r>
        <w:t xml:space="preserve">456.53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1187.93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BG</w:t>
      </w:r>
      <w:r>
        <w:t xml:space="preserve"> </w:t>
      </w:r>
      <w:r>
        <w:t xml:space="preserve">RO GR</w:t>
      </w:r>
      <w:r>
        <w:t xml:space="preserve"> </w:t>
      </w:r>
      <w:r>
        <w:t xml:space="preserve">480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566.25</w:t>
      </w:r>
      <w:r>
        <w:t xml:space="preserve"> </w:t>
      </w:r>
      <w:r>
        <w:t xml:space="preserve">no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BE-NL-</w:t>
      </w:r>
      <w:r>
        <w:t xml:space="preserve"> </w:t>
      </w:r>
      <w:r>
        <w:t xml:space="preserve">LU</w:t>
      </w:r>
      <w:r>
        <w:t xml:space="preserve"> </w:t>
      </w:r>
      <w:r>
        <w:t xml:space="preserve">DE FR</w:t>
      </w:r>
    </w:p>
    <w:p>
      <w:pPr>
        <w:pStyle w:val="BodyText"/>
      </w:pPr>
      <w:r>
        <w:t xml:space="preserve">338</w:t>
      </w:r>
      <w:r>
        <w:t xml:space="preserve"> </w:t>
      </w:r>
      <w:r>
        <w:t xml:space="preserve">no</w:t>
      </w:r>
      <w:r>
        <w:t xml:space="preserve"> </w:t>
      </w:r>
      <w:r>
        <w:t xml:space="preserve">yes*</w:t>
      </w:r>
      <w:r>
        <w:t xml:space="preserve"> </w:t>
      </w:r>
      <w:r>
        <w:t xml:space="preserve">846.30</w:t>
      </w:r>
      <w:r>
        <w:t xml:space="preserve"> </w:t>
      </w:r>
      <w:r>
        <w:t xml:space="preserve">yes*</w:t>
      </w:r>
      <w:r>
        <w:t xml:space="preserve"> </w:t>
      </w:r>
      <w:r>
        <w:t xml:space="preserve">yes*</w:t>
      </w:r>
      <w:r>
        <w:t xml:space="preserve"> </w:t>
      </w:r>
      <w:r>
        <w:t xml:space="preserve">yes*</w:t>
      </w:r>
      <w:r>
        <w:t xml:space="preserve"> </w:t>
      </w:r>
      <w:r>
        <w:t xml:space="preserve">CY</w:t>
      </w:r>
      <w:r>
        <w:t xml:space="preserve"> </w:t>
      </w:r>
      <w:r>
        <w:t xml:space="preserve">GR</w:t>
      </w:r>
      <w:r>
        <w:t xml:space="preserve"> </w:t>
      </w:r>
      <w:r>
        <w:t xml:space="preserve">335.03</w:t>
      </w:r>
      <w:r>
        <w:t xml:space="preserve"> </w:t>
      </w:r>
      <w:r>
        <w:t xml:space="preserve">no</w:t>
      </w:r>
      <w:r>
        <w:t xml:space="preserve"> </w:t>
      </w:r>
      <w:r>
        <w:t xml:space="preserve">yes</w:t>
      </w:r>
      <w:r>
        <w:t xml:space="preserve"> </w:t>
      </w:r>
      <w:r>
        <w:t xml:space="preserve">829.60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CZ</w:t>
      </w:r>
      <w:r>
        <w:t xml:space="preserve"> </w:t>
      </w:r>
      <w:r>
        <w:t xml:space="preserve">SK PL DE AT</w:t>
      </w:r>
      <w:r>
        <w:t xml:space="preserve"> </w:t>
      </w:r>
      <w:r>
        <w:t xml:space="preserve">375.32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1004.74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DE</w:t>
      </w:r>
      <w:r>
        <w:t xml:space="preserve"> </w:t>
      </w:r>
      <w:r>
        <w:t xml:space="preserve">AT BLX FR DK PL CZ</w:t>
      </w:r>
      <w:r>
        <w:t xml:space="preserve"> </w:t>
      </w:r>
      <w:r>
        <w:t xml:space="preserve">774.46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1944.38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DK</w:t>
      </w:r>
      <w:r>
        <w:t xml:space="preserve"> </w:t>
      </w:r>
      <w:r>
        <w:t xml:space="preserve">SE DE</w:t>
      </w:r>
      <w:r>
        <w:t xml:space="preserve"> </w:t>
      </w:r>
      <w:r>
        <w:t xml:space="preserve">417.19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1086.19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EE</w:t>
      </w:r>
      <w:r>
        <w:t xml:space="preserve"> </w:t>
      </w:r>
      <w:r>
        <w:t xml:space="preserve">FI</w:t>
      </w:r>
      <w:r>
        <w:t xml:space="preserve"> </w:t>
      </w:r>
      <w:r>
        <w:t xml:space="preserve">LV</w:t>
      </w:r>
      <w:r>
        <w:t xml:space="preserve"> </w:t>
      </w:r>
      <w:r>
        <w:t xml:space="preserve">449.5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1052.10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ES</w:t>
      </w:r>
      <w:r>
        <w:t xml:space="preserve"> </w:t>
      </w:r>
      <w:r>
        <w:t xml:space="preserve">PT</w:t>
      </w:r>
      <w:r>
        <w:t xml:space="preserve"> </w:t>
      </w:r>
      <w:r>
        <w:t xml:space="preserve">FR</w:t>
      </w:r>
      <w:r>
        <w:t xml:space="preserve"> </w:t>
      </w:r>
      <w:r>
        <w:t xml:space="preserve">266.33</w:t>
      </w:r>
      <w:r>
        <w:t xml:space="preserve"> </w:t>
      </w:r>
      <w:r>
        <w:t xml:space="preserve">no</w:t>
      </w:r>
      <w:r>
        <w:t xml:space="preserve"> </w:t>
      </w:r>
      <w:r>
        <w:t xml:space="preserve">yes</w:t>
      </w:r>
      <w:r>
        <w:t xml:space="preserve"> </w:t>
      </w:r>
      <w:r>
        <w:t xml:space="preserve">656.13</w:t>
      </w:r>
      <w:r>
        <w:t xml:space="preserve"> </w:t>
      </w:r>
      <w:r>
        <w:t xml:space="preserve">no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FI</w:t>
      </w:r>
      <w:r>
        <w:t xml:space="preserve"> </w:t>
      </w:r>
      <w:r>
        <w:t xml:space="preserve">SE</w:t>
      </w:r>
      <w:r>
        <w:t xml:space="preserve"> </w:t>
      </w:r>
      <w:r>
        <w:t xml:space="preserve">EE</w:t>
      </w:r>
      <w:r>
        <w:t xml:space="preserve"> </w:t>
      </w:r>
      <w:r>
        <w:t xml:space="preserve">551.05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1406.35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FR</w:t>
      </w:r>
      <w:r>
        <w:t xml:space="preserve"> </w:t>
      </w:r>
      <w:r>
        <w:t xml:space="preserve">DE ES BL</w:t>
      </w:r>
      <w:r>
        <w:t xml:space="preserve"> </w:t>
      </w:r>
      <w:r>
        <w:t xml:space="preserve">X</w:t>
      </w:r>
      <w:r>
        <w:t xml:space="preserve"> </w:t>
      </w:r>
      <w:r>
        <w:t xml:space="preserve">IT</w:t>
      </w:r>
    </w:p>
    <w:p>
      <w:pPr>
        <w:pStyle w:val="BodyText"/>
      </w:pPr>
      <w:r>
        <w:t xml:space="preserve">460.71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1366.24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EL</w:t>
      </w:r>
      <w:r>
        <w:t xml:space="preserve"> </w:t>
      </w:r>
      <w:r>
        <w:t xml:space="preserve">CY BG</w:t>
      </w:r>
      <w:r>
        <w:t xml:space="preserve"> </w:t>
      </w:r>
      <w:r>
        <w:t xml:space="preserve">505.03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1039.85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HR</w:t>
      </w:r>
      <w:r>
        <w:t xml:space="preserve"> </w:t>
      </w:r>
      <w:r>
        <w:t xml:space="preserve">SI</w:t>
      </w:r>
      <w:r>
        <w:t xml:space="preserve"> </w:t>
      </w:r>
      <w:r>
        <w:t xml:space="preserve">HU</w:t>
      </w:r>
      <w:r>
        <w:t xml:space="preserve"> </w:t>
      </w:r>
      <w:r>
        <w:t xml:space="preserve">238.56</w:t>
      </w:r>
      <w:r>
        <w:t xml:space="preserve"> </w:t>
      </w:r>
      <w:r>
        <w:t xml:space="preserve">no</w:t>
      </w:r>
      <w:r>
        <w:t xml:space="preserve"> </w:t>
      </w:r>
      <w:r>
        <w:t xml:space="preserve">no</w:t>
      </w:r>
      <w:r>
        <w:t xml:space="preserve"> </w:t>
      </w:r>
      <w:r>
        <w:t xml:space="preserve">511.73</w:t>
      </w:r>
      <w:r>
        <w:t xml:space="preserve"> </w:t>
      </w:r>
      <w:r>
        <w:t xml:space="preserve">no</w:t>
      </w:r>
      <w:r>
        <w:t xml:space="preserve"> </w:t>
      </w:r>
      <w:r>
        <w:t xml:space="preserve">no</w:t>
      </w:r>
      <w:r>
        <w:t xml:space="preserve"> </w:t>
      </w:r>
      <w:r>
        <w:t xml:space="preserve">yes</w:t>
      </w:r>
      <w:r>
        <w:t xml:space="preserve"> </w:t>
      </w:r>
      <w:r>
        <w:t xml:space="preserve">HU</w:t>
      </w:r>
      <w:r>
        <w:t xml:space="preserve"> </w:t>
      </w:r>
      <w:r>
        <w:t xml:space="preserve">AT SK RO HR SI</w:t>
      </w:r>
      <w:r>
        <w:t xml:space="preserve"> </w:t>
      </w:r>
      <w:r>
        <w:t xml:space="preserve">556.06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970.73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IE</w:t>
      </w:r>
      <w:r>
        <w:t xml:space="preserve"> </w:t>
      </w:r>
      <w:r>
        <w:t xml:space="preserve">FR</w:t>
      </w:r>
      <w:r>
        <w:t xml:space="preserve"> </w:t>
      </w:r>
      <w:r>
        <w:t xml:space="preserve">156</w:t>
      </w:r>
      <w:r>
        <w:t xml:space="preserve"> </w:t>
      </w:r>
      <w:r>
        <w:t xml:space="preserve">no</w:t>
      </w:r>
      <w:r>
        <w:t xml:space="preserve"> </w:t>
      </w:r>
      <w:r>
        <w:t xml:space="preserve">no</w:t>
      </w:r>
      <w:r>
        <w:t xml:space="preserve"> </w:t>
      </w:r>
      <w:r>
        <w:t xml:space="preserve">411.30</w:t>
      </w:r>
      <w:r>
        <w:t xml:space="preserve"> </w:t>
      </w:r>
      <w:r>
        <w:t xml:space="preserve">no</w:t>
      </w:r>
      <w:r>
        <w:t xml:space="preserve"> </w:t>
      </w:r>
      <w:r>
        <w:t xml:space="preserve">no</w:t>
      </w:r>
      <w:r>
        <w:t xml:space="preserve"> </w:t>
      </w:r>
      <w:r>
        <w:t xml:space="preserve">no</w:t>
      </w:r>
      <w:r>
        <w:t xml:space="preserve"> </w:t>
      </w:r>
      <w:r>
        <w:t xml:space="preserve">IT</w:t>
      </w:r>
      <w:r>
        <w:t xml:space="preserve"> </w:t>
      </w:r>
      <w:r>
        <w:t xml:space="preserve">FR AT SI</w:t>
      </w:r>
      <w:r>
        <w:t xml:space="preserve"> </w:t>
      </w:r>
      <w:r>
        <w:t xml:space="preserve">313.5</w:t>
      </w:r>
      <w:r>
        <w:t xml:space="preserve"> </w:t>
      </w:r>
      <w:r>
        <w:t xml:space="preserve">no</w:t>
      </w:r>
      <w:r>
        <w:t xml:space="preserve"> </w:t>
      </w:r>
      <w:r>
        <w:t xml:space="preserve">yes</w:t>
      </w:r>
      <w:r>
        <w:t xml:space="preserve"> </w:t>
      </w:r>
      <w:r>
        <w:t xml:space="preserve">963.30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LT</w:t>
      </w:r>
      <w:r>
        <w:t xml:space="preserve"> </w:t>
      </w:r>
      <w:r>
        <w:t xml:space="preserve">LV PL</w:t>
      </w:r>
      <w:r>
        <w:t xml:space="preserve"> </w:t>
      </w:r>
      <w:r>
        <w:t xml:space="preserve">371.13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811.88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LV</w:t>
      </w:r>
      <w:r>
        <w:t xml:space="preserve"> </w:t>
      </w:r>
      <w:r>
        <w:t xml:space="preserve">LT EE</w:t>
      </w:r>
      <w:r>
        <w:t xml:space="preserve"> </w:t>
      </w:r>
      <w:r>
        <w:t xml:space="preserve">337.5</w:t>
      </w:r>
      <w:r>
        <w:t xml:space="preserve"> </w:t>
      </w:r>
      <w:r>
        <w:t xml:space="preserve">no</w:t>
      </w:r>
      <w:r>
        <w:t xml:space="preserve"> </w:t>
      </w:r>
      <w:r>
        <w:t xml:space="preserve">yes</w:t>
      </w:r>
      <w:r>
        <w:t xml:space="preserve"> </w:t>
      </w:r>
      <w:r>
        <w:t xml:space="preserve">700.90</w:t>
      </w:r>
      <w:r>
        <w:t xml:space="preserve"> </w:t>
      </w:r>
      <w:r>
        <w:t xml:space="preserve">no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MT</w:t>
      </w:r>
      <w:r>
        <w:t xml:space="preserve"> </w:t>
      </w:r>
      <w:r>
        <w:t xml:space="preserve">IT</w:t>
      </w:r>
      <w:r>
        <w:t xml:space="preserve"> </w:t>
      </w:r>
      <w:r>
        <w:t xml:space="preserve">96.59</w:t>
      </w:r>
      <w:r>
        <w:t xml:space="preserve"> </w:t>
      </w:r>
      <w:r>
        <w:t xml:space="preserve">no</w:t>
      </w:r>
      <w:r>
        <w:t xml:space="preserve"> </w:t>
      </w:r>
      <w:r>
        <w:t xml:space="preserve">no</w:t>
      </w:r>
      <w:r>
        <w:t xml:space="preserve"> </w:t>
      </w:r>
      <w:r>
        <w:t xml:space="preserve">433.75</w:t>
      </w:r>
      <w:r>
        <w:t xml:space="preserve"> </w:t>
      </w:r>
      <w:r>
        <w:t xml:space="preserve">no</w:t>
      </w:r>
      <w:r>
        <w:t xml:space="preserve"> </w:t>
      </w:r>
      <w:r>
        <w:t xml:space="preserve">no</w:t>
      </w:r>
      <w:r>
        <w:t xml:space="preserve"> </w:t>
      </w:r>
      <w:r>
        <w:t xml:space="preserve">no</w:t>
      </w:r>
      <w:r>
        <w:t xml:space="preserve"> </w:t>
      </w:r>
      <w:r>
        <w:t xml:space="preserve">PL</w:t>
      </w:r>
      <w:r>
        <w:t xml:space="preserve"> </w:t>
      </w:r>
      <w:r>
        <w:t xml:space="preserve">CZ SK LT DE</w:t>
      </w:r>
      <w:r>
        <w:t xml:space="preserve"> </w:t>
      </w:r>
      <w:r>
        <w:t xml:space="preserve">415.82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1032.54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PT</w:t>
      </w:r>
      <w:r>
        <w:t xml:space="preserve"> </w:t>
      </w:r>
      <w:r>
        <w:t xml:space="preserve">ES</w:t>
      </w:r>
      <w:r>
        <w:t xml:space="preserve"> </w:t>
      </w:r>
      <w:r>
        <w:t xml:space="preserve">180.33</w:t>
      </w:r>
      <w:r>
        <w:t xml:space="preserve"> </w:t>
      </w:r>
      <w:r>
        <w:t xml:space="preserve">no</w:t>
      </w:r>
      <w:r>
        <w:t xml:space="preserve"> </w:t>
      </w:r>
      <w:r>
        <w:t xml:space="preserve">no</w:t>
      </w:r>
      <w:r>
        <w:t xml:space="preserve"> </w:t>
      </w:r>
      <w:r>
        <w:t xml:space="preserve">372.33</w:t>
      </w:r>
      <w:r>
        <w:t xml:space="preserve"> </w:t>
      </w:r>
      <w:r>
        <w:t xml:space="preserve">no</w:t>
      </w:r>
      <w:r>
        <w:t xml:space="preserve"> </w:t>
      </w:r>
      <w:r>
        <w:t xml:space="preserve">no</w:t>
      </w:r>
      <w:r>
        <w:t xml:space="preserve"> </w:t>
      </w:r>
      <w:r>
        <w:t xml:space="preserve">no</w:t>
      </w:r>
      <w:r>
        <w:t xml:space="preserve"> </w:t>
      </w:r>
      <w:r>
        <w:t xml:space="preserve">RO</w:t>
      </w:r>
      <w:r>
        <w:t xml:space="preserve"> </w:t>
      </w:r>
      <w:r>
        <w:t xml:space="preserve">HU BG</w:t>
      </w:r>
      <w:r>
        <w:t xml:space="preserve"> </w:t>
      </w:r>
      <w:r>
        <w:t xml:space="preserve">439.84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544.42</w:t>
      </w:r>
      <w:r>
        <w:t xml:space="preserve"> </w:t>
      </w:r>
      <w:r>
        <w:t xml:space="preserve">no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SE</w:t>
      </w:r>
      <w:r>
        <w:t xml:space="preserve"> </w:t>
      </w:r>
      <w:r>
        <w:t xml:space="preserve">DK</w:t>
      </w:r>
      <w:r>
        <w:t xml:space="preserve"> </w:t>
      </w:r>
      <w:r>
        <w:t xml:space="preserve">FI</w:t>
      </w:r>
      <w:r>
        <w:t xml:space="preserve"> </w:t>
      </w:r>
      <w:r>
        <w:t xml:space="preserve">607.19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1437.19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SI</w:t>
      </w:r>
      <w:r>
        <w:t xml:space="preserve"> </w:t>
      </w:r>
      <w:r>
        <w:t xml:space="preserve">HR</w:t>
      </w:r>
      <w:r>
        <w:t xml:space="preserve"> </w:t>
      </w:r>
      <w:r>
        <w:t xml:space="preserve">IT AT HU</w:t>
      </w:r>
      <w:r>
        <w:t xml:space="preserve"> </w:t>
      </w:r>
      <w:r>
        <w:t xml:space="preserve">386.06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961.73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SK</w:t>
      </w:r>
      <w:r>
        <w:t xml:space="preserve"> </w:t>
      </w:r>
      <w:r>
        <w:t xml:space="preserve">CZ PL AT HU</w:t>
      </w:r>
      <w:r>
        <w:t xml:space="preserve"> </w:t>
      </w:r>
      <w:r>
        <w:t xml:space="preserve">405.16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937.91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Number of instances when RCD fee more attractive</w:t>
      </w:r>
      <w:r>
        <w:t xml:space="preserve"> </w:t>
      </w:r>
      <w:r>
        <w:t xml:space="preserve">16</w:t>
      </w:r>
      <w:r>
        <w:t xml:space="preserve"> </w:t>
      </w:r>
      <w:r>
        <w:t xml:space="preserve">23</w:t>
      </w:r>
    </w:p>
    <w:p>
      <w:pPr>
        <w:pStyle w:val="BodyText"/>
      </w:pPr>
      <w:r>
        <w:t xml:space="preserve">19</w:t>
      </w:r>
      <w:r>
        <w:t xml:space="preserve"> </w:t>
      </w:r>
      <w:r>
        <w:t xml:space="preserve">23</w:t>
      </w:r>
      <w:r>
        <w:t xml:space="preserve"> </w:t>
      </w:r>
      <w:r>
        <w:t xml:space="preserve">25</w:t>
      </w:r>
      <w:r>
        <w:t xml:space="preserve"> </w:t>
      </w:r>
      <w:r>
        <w:t xml:space="preserve">* Be-NL-LX (BLX) counted as three.</w:t>
      </w:r>
      <w:r>
        <w:t xml:space="preserve"> </w:t>
      </w:r>
      <w:r>
        <w:t xml:space="preserve">Source: Own analysis based on EUIPO data</w:t>
      </w:r>
      <w:r>
        <w:t xml:space="preserve"> </w:t>
      </w:r>
      <w:r>
        <w:t xml:space="preserve">It is important to note that in certain situations it may be easier to protect designs in</w:t>
      </w:r>
      <w:r>
        <w:t xml:space="preserve"> </w:t>
      </w:r>
      <w:r>
        <w:t xml:space="preserve">several countries through the Hague system (WIPO) which allows securing protection in</w:t>
      </w:r>
      <w:r>
        <w:t xml:space="preserve"> </w:t>
      </w:r>
      <w:r>
        <w:t xml:space="preserve">several countries with a single application188.</w:t>
      </w:r>
    </w:p>
    <w:p>
      <w:pPr>
        <w:pStyle w:val="BodyText"/>
      </w:pPr>
      <w:r>
        <w:t xml:space="preserve">188 International design applications are subject to the payment of three types of fees, all payable in Swiss</w:t>
      </w:r>
      <w:r>
        <w:t xml:space="preserve"> </w:t>
      </w:r>
      <w:r>
        <w:t xml:space="preserve">francs: a) a basic fee (397 Swiss francs for one design; 19 Swiss francs for each additional design included</w:t>
      </w:r>
      <w:r>
        <w:t xml:space="preserve"> </w:t>
      </w:r>
      <w:r>
        <w:t xml:space="preserve">in the same application); b) a publication fee (17 Swiss francs for each reproduction; 150 Swiss francs for</w:t>
      </w:r>
      <w:r>
        <w:t xml:space="preserve"> </w:t>
      </w:r>
      <w:r>
        <w:t xml:space="preserve">each page on which one or more reproductions are shown); and c) a standard designation fee or an</w:t>
      </w:r>
      <w:r>
        <w:t xml:space="preserve"> </w:t>
      </w:r>
      <w:r>
        <w:t xml:space="preserve">individual designation fee for each contracting party where protection is sought. Note: For standard</w:t>
      </w:r>
      <w:r>
        <w:t xml:space="preserve"> </w:t>
      </w:r>
      <w:r>
        <w:t xml:space="preserve">designation fees, a three-level structure applies, reflecting the level of examination carried out by the</w:t>
      </w:r>
      <w:r>
        <w:t xml:space="preserve"> </w:t>
      </w:r>
      <w:r>
        <w:t xml:space="preserve">contracting party. See WIPO fees here: https://www.wipo.int/hague/en/.</w:t>
      </w:r>
    </w:p>
    <w:p>
      <w:pPr>
        <w:pStyle w:val="BodyText"/>
      </w:pPr>
      <w:r>
        <w:t xml:space="preserve">105</w:t>
      </w:r>
    </w:p>
    <w:p>
      <w:pPr>
        <w:pStyle w:val="BodyText"/>
      </w:pPr>
      <w:r>
        <w:t xml:space="preserve">9.9 Impact of abolition of unity of class requirement (Option 2)</w:t>
      </w:r>
      <w:r>
        <w:t xml:space="preserve"> </w:t>
      </w:r>
      <w:r>
        <w:t xml:space="preserve">The current RCD system allows for multiple applications only when designs belong to</w:t>
      </w:r>
      <w:r>
        <w:t xml:space="preserve"> </w:t>
      </w:r>
      <w:r>
        <w:t xml:space="preserve">the same Locarno class. As explained in the problem definition section, this leads to</w:t>
      </w:r>
      <w:r>
        <w:t xml:space="preserve"> </w:t>
      </w:r>
      <w:r>
        <w:t xml:space="preserve">splitting applications that would otherwise go together.</w:t>
      </w:r>
      <w:r>
        <w:t xml:space="preserve"> </w:t>
      </w:r>
      <w:r>
        <w:t xml:space="preserve">As requested by the Commission, the EUIPO analysed 2020 applications. The</w:t>
      </w:r>
      <w:r>
        <w:t xml:space="preserve"> </w:t>
      </w:r>
      <w:r>
        <w:t xml:space="preserve">assumption was that all applications filed within a two-month window of each other by</w:t>
      </w:r>
      <w:r>
        <w:t xml:space="preserve"> </w:t>
      </w:r>
      <w:r>
        <w:t xml:space="preserve">the same owner could be grouped as one application. The length of the window selected</w:t>
      </w:r>
      <w:r>
        <w:t xml:space="preserve"> </w:t>
      </w:r>
      <w:r>
        <w:t xml:space="preserve">was based on the analysis of filings in different classes by the same filers.</w:t>
      </w:r>
      <w:r>
        <w:br/>
      </w:r>
      <w:r>
        <w:t xml:space="preserve">The finding was that in 2020 around 2400 owners filed on average three applications</w:t>
      </w:r>
      <w:r>
        <w:t xml:space="preserve"> </w:t>
      </w:r>
      <w:r>
        <w:t xml:space="preserve">instead of just one. Their filings were responsible for 22% of all applications in 2020.</w:t>
      </w:r>
      <w:r>
        <w:t xml:space="preserve"> </w:t>
      </w:r>
      <w:r>
        <w:t xml:space="preserve">If the unity of class requirement is lifted, the number of applications is expected to drop</w:t>
      </w:r>
      <w:r>
        <w:t xml:space="preserve"> </w:t>
      </w:r>
      <w:r>
        <w:t xml:space="preserve">by 14% as owners would be able to apply only once, while the number of designs</w:t>
      </w:r>
      <w:r>
        <w:t xml:space="preserve"> </w:t>
      </w:r>
      <w:r>
        <w:t xml:space="preserve">protected is not affected. The savings per owner/application are as follows:</w:t>
      </w:r>
      <w:r>
        <w:t xml:space="preserve"> </w:t>
      </w:r>
      <w:r>
        <w:t xml:space="preserve">Table A.9.14. Savings from abolition of unity of class requirement</w:t>
      </w:r>
    </w:p>
    <w:p>
      <w:pPr>
        <w:pStyle w:val="BodyText"/>
      </w:pPr>
      <w:r>
        <w:t xml:space="preserve">Current</w:t>
      </w:r>
      <w:r>
        <w:br/>
      </w:r>
      <w:r>
        <w:t xml:space="preserve">Opt. 3.1</w:t>
      </w:r>
      <w:r>
        <w:t xml:space="preserve"> </w:t>
      </w:r>
      <w:r>
        <w:t xml:space="preserve">Opt. 3.2</w:t>
      </w:r>
      <w:r>
        <w:t xml:space="preserve"> </w:t>
      </w:r>
      <w:r>
        <w:t xml:space="preserve">Saving per owner (application) (EUR)</w:t>
      </w:r>
      <w:r>
        <w:t xml:space="preserve"> </w:t>
      </w:r>
      <w:r>
        <w:t xml:space="preserve">492</w:t>
      </w:r>
      <w:r>
        <w:t xml:space="preserve"> </w:t>
      </w:r>
      <w:r>
        <w:t xml:space="preserve">234</w:t>
      </w:r>
      <w:r>
        <w:t xml:space="preserve"> </w:t>
      </w:r>
      <w:r>
        <w:t xml:space="preserve">281</w:t>
      </w:r>
    </w:p>
    <w:p>
      <w:pPr>
        <w:pStyle w:val="BodyText"/>
      </w:pPr>
      <w:r>
        <w:t xml:space="preserve">Year 2024 impact</w:t>
      </w:r>
      <w:r>
        <w:t xml:space="preserve"> </w:t>
      </w:r>
      <w:r>
        <w:t xml:space="preserve">Applications affected</w:t>
      </w:r>
      <w:r>
        <w:br/>
      </w:r>
      <w:r>
        <w:t xml:space="preserve">2746 (7.7% of all applications)</w:t>
      </w:r>
      <w:r>
        <w:t xml:space="preserve"> </w:t>
      </w:r>
      <w:r>
        <w:t xml:space="preserve">Total savings (EUR million)</w:t>
      </w:r>
      <w:r>
        <w:t xml:space="preserve"> </w:t>
      </w:r>
      <w:r>
        <w:t xml:space="preserve">1.35</w:t>
      </w:r>
      <w:r>
        <w:t xml:space="preserve"> </w:t>
      </w:r>
      <w:r>
        <w:t xml:space="preserve">0.64</w:t>
      </w:r>
      <w:r>
        <w:t xml:space="preserve"> </w:t>
      </w:r>
      <w:r>
        <w:t xml:space="preserve">0.77</w:t>
      </w:r>
      <w:r>
        <w:t xml:space="preserve"> </w:t>
      </w:r>
      <w:r>
        <w:t xml:space="preserve">* Estimation</w:t>
      </w:r>
      <w:r>
        <w:t xml:space="preserve"> </w:t>
      </w:r>
      <w:r>
        <w:t xml:space="preserve">Source: Own calculations based on EUIPO data</w:t>
      </w:r>
      <w:r>
        <w:t xml:space="preserve"> </w:t>
      </w:r>
      <w:r>
        <w:t xml:space="preserve">The abolition applied to the current fee system would bring benefits of around EUR 492</w:t>
      </w:r>
      <w:r>
        <w:t xml:space="preserve"> </w:t>
      </w:r>
      <w:r>
        <w:t xml:space="preserve">to the affected owners. These savings would reach almost EUR 234 in case the Opt. 3.1</w:t>
      </w:r>
      <w:r>
        <w:t xml:space="preserve"> </w:t>
      </w:r>
      <w:r>
        <w:t xml:space="preserve">fee system is introduced and EUR 281 in case Opt. 3.2 fees apply.189</w:t>
      </w:r>
      <w:r>
        <w:t xml:space="preserve"> </w:t>
      </w:r>
      <w:r>
        <w:t xml:space="preserve">The impact in 2024 – the first year when changes are expected to occur - ranges from</w:t>
      </w:r>
      <w:r>
        <w:t xml:space="preserve"> </w:t>
      </w:r>
      <w:r>
        <w:t xml:space="preserve">EUR 1.35m in case the current system remains, to EUR 0.64m in case Opt. 3.1 is chosen</w:t>
      </w:r>
      <w:r>
        <w:t xml:space="preserve"> </w:t>
      </w:r>
      <w:r>
        <w:t xml:space="preserve">and EUR 0.77 in case of Opt. 3.2.</w:t>
      </w:r>
      <w:r>
        <w:t xml:space="preserve"> </w:t>
      </w:r>
      <w:r>
        <w:t xml:space="preserve">9.10 Impact of simplification in requirements for the representation of designs</w:t>
      </w:r>
      <w:r>
        <w:t xml:space="preserve"> </w:t>
      </w:r>
      <w:r>
        <w:t xml:space="preserve">(Option 2)</w:t>
      </w:r>
      <w:r>
        <w:t xml:space="preserve"> </w:t>
      </w:r>
      <w:r>
        <w:t xml:space="preserve">An EUIPO analysis based on 2019 applications found that 26% of applications had some</w:t>
      </w:r>
      <w:r>
        <w:t xml:space="preserve"> </w:t>
      </w:r>
      <w:r>
        <w:t xml:space="preserve">deficiencies (e.g. being incomplete, not properly signed, not paid in full). Around half of</w:t>
      </w:r>
      <w:r>
        <w:t xml:space="preserve"> </w:t>
      </w:r>
      <w:r>
        <w:t xml:space="preserve">those deficiencies (and 14% of all applications) related to issues connected with the</w:t>
      </w:r>
      <w:r>
        <w:t xml:space="preserve"> </w:t>
      </w:r>
      <w:r>
        <w:t xml:space="preserve">representation of designs that Option 2 is intended to fix. These issues were:</w:t>
      </w:r>
    </w:p>
    <w:p>
      <w:pPr>
        <w:pStyle w:val="BodyText"/>
      </w:pPr>
      <w:r>
        <w:t xml:space="preserve">189 Savings were calculated by comparing the fees paid under the current, Opt 3.1 and 3.2 fee regimes for</w:t>
      </w:r>
      <w:r>
        <w:t xml:space="preserve"> </w:t>
      </w:r>
      <w:r>
        <w:t xml:space="preserve">multiple applications with the unity of class requirement with the fees that would have been paid under the</w:t>
      </w:r>
      <w:r>
        <w:t xml:space="preserve"> </w:t>
      </w:r>
      <w:r>
        <w:t xml:space="preserve">respective fee regimes for one application only in case the unity of class requirement is abolished. The</w:t>
      </w:r>
      <w:r>
        <w:t xml:space="preserve"> </w:t>
      </w:r>
      <w:r>
        <w:t xml:space="preserve">savings were calculated for each of around 2400 owners and the average is presented.</w:t>
      </w:r>
      <w:r>
        <w:br/>
      </w:r>
      <w:r>
        <w:t xml:space="preserve">Due to data structure (information on the number of designs and the number of applications per owner), to</w:t>
      </w:r>
      <w:r>
        <w:t xml:space="preserve"> </w:t>
      </w:r>
      <w:r>
        <w:t xml:space="preserve">calculate fees paid under Opt. 3.1 and 3.2 with the unity of class requirement the average number of</w:t>
      </w:r>
      <w:r>
        <w:t xml:space="preserve"> </w:t>
      </w:r>
      <w:r>
        <w:t xml:space="preserve">designs per application for each owner was used.</w:t>
      </w:r>
    </w:p>
    <w:p>
      <w:pPr>
        <w:pStyle w:val="BodyText"/>
      </w:pPr>
      <w:r>
        <w:t xml:space="preserve">106</w:t>
      </w:r>
    </w:p>
    <w:p>
      <w:pPr>
        <w:pStyle w:val="BodyText"/>
      </w:pPr>
      <w:r>
        <w:t xml:space="preserve">Table A.9.15. Deficiencies in applications for RCD</w:t>
      </w:r>
      <w:r>
        <w:t xml:space="preserve"> </w:t>
      </w:r>
      <w:r>
        <w:t xml:space="preserve">Deficiency</w:t>
      </w:r>
      <w:r>
        <w:t xml:space="preserve"> </w:t>
      </w:r>
      <w:r>
        <w:t xml:space="preserve">% of applications 2019</w:t>
      </w:r>
      <w:r>
        <w:t xml:space="preserve"> </w:t>
      </w:r>
      <w:r>
        <w:t xml:space="preserve">The views do not relate to the same design</w:t>
      </w:r>
      <w:r>
        <w:t xml:space="preserve"> </w:t>
      </w:r>
      <w:r>
        <w:t xml:space="preserve">4.9%</w:t>
      </w:r>
      <w:r>
        <w:t xml:space="preserve"> </w:t>
      </w:r>
      <w:r>
        <w:t xml:space="preserve">Contains graphical elements which are not part of the design</w:t>
      </w:r>
      <w:r>
        <w:t xml:space="preserve"> </w:t>
      </w:r>
      <w:r>
        <w:t xml:space="preserve">4.7%</w:t>
      </w:r>
      <w:r>
        <w:t xml:space="preserve"> </w:t>
      </w:r>
      <w:r>
        <w:t xml:space="preserve">Neutral background</w:t>
      </w:r>
      <w:r>
        <w:t xml:space="preserve"> </w:t>
      </w:r>
      <w:r>
        <w:t xml:space="preserve">2.2%</w:t>
      </w:r>
      <w:r>
        <w:t xml:space="preserve"> </w:t>
      </w:r>
      <w:r>
        <w:t xml:space="preserve">Mixture of views in colour and B/W</w:t>
      </w:r>
      <w:r>
        <w:t xml:space="preserve"> </w:t>
      </w:r>
      <w:r>
        <w:t xml:space="preserve">0.9%</w:t>
      </w:r>
      <w:r>
        <w:t xml:space="preserve"> </w:t>
      </w:r>
      <w:r>
        <w:t xml:space="preserve">Graphic reproduction may contain only one view</w:t>
      </w:r>
      <w:r>
        <w:t xml:space="preserve"> </w:t>
      </w:r>
      <w:r>
        <w:t xml:space="preserve">0.7%</w:t>
      </w:r>
      <w:r>
        <w:t xml:space="preserve"> </w:t>
      </w:r>
      <w:r>
        <w:t xml:space="preserve">Bad representation quality</w:t>
      </w:r>
      <w:r>
        <w:t xml:space="preserve"> </w:t>
      </w:r>
      <w:r>
        <w:t xml:space="preserve">0.5%</w:t>
      </w:r>
      <w:r>
        <w:t xml:space="preserve"> </w:t>
      </w:r>
      <w:r>
        <w:t xml:space="preserve">Deficient representation of the design</w:t>
      </w:r>
      <w:r>
        <w:t xml:space="preserve"> </w:t>
      </w:r>
      <w:r>
        <w:t xml:space="preserve">0.3%</w:t>
      </w:r>
      <w:r>
        <w:t xml:space="preserve"> </w:t>
      </w:r>
      <w:r>
        <w:t xml:space="preserve">Views change the representation of design</w:t>
      </w:r>
      <w:r>
        <w:t xml:space="preserve"> </w:t>
      </w:r>
      <w:r>
        <w:t xml:space="preserve">0.03%</w:t>
      </w:r>
      <w:r>
        <w:t xml:space="preserve"> </w:t>
      </w:r>
      <w:r>
        <w:t xml:space="preserve">Total</w:t>
      </w:r>
      <w:r>
        <w:t xml:space="preserve"> </w:t>
      </w:r>
      <w:r>
        <w:t xml:space="preserve">14.3%</w:t>
      </w:r>
      <w:r>
        <w:t xml:space="preserve"> </w:t>
      </w:r>
      <w:r>
        <w:t xml:space="preserve">Source: EUIPO</w:t>
      </w:r>
      <w:r>
        <w:br/>
      </w:r>
      <w:r>
        <w:t xml:space="preserve">EUIPO experts judged that fixing the above deficiencies requires around two hours of</w:t>
      </w:r>
      <w:r>
        <w:t xml:space="preserve"> </w:t>
      </w:r>
      <w:r>
        <w:t xml:space="preserve">work of a lawyer. Moreover, after analysing the Commission proposal they concluded</w:t>
      </w:r>
      <w:r>
        <w:t xml:space="preserve"> </w:t>
      </w:r>
      <w:r>
        <w:t xml:space="preserve">that the presented options could reduce deficiencies by about half. Further assumption is</w:t>
      </w:r>
      <w:r>
        <w:t xml:space="preserve"> </w:t>
      </w:r>
      <w:r>
        <w:t xml:space="preserve">that 80% of the applicants use legal help and hourly cost of a lawyer is around EUR 200</w:t>
      </w:r>
      <w:r>
        <w:t xml:space="preserve"> </w:t>
      </w:r>
      <w:r>
        <w:t xml:space="preserve">to 250190.</w:t>
      </w:r>
      <w:r>
        <w:t xml:space="preserve"> </w:t>
      </w:r>
      <w:r>
        <w:t xml:space="preserve">Based on the above average cost of correcting the deficiency affected by the Commission</w:t>
      </w:r>
      <w:r>
        <w:t xml:space="preserve"> </w:t>
      </w:r>
      <w:r>
        <w:t xml:space="preserve">proposal is estimated at EUR160-200 per application concerned.</w:t>
      </w:r>
      <w:r>
        <w:t xml:space="preserve"> </w:t>
      </w:r>
      <w:r>
        <w:t xml:space="preserve">Table A.9.16 Savings from simplification in requirements for the representation of designs</w:t>
      </w:r>
      <w:r>
        <w:t xml:space="preserve"> </w:t>
      </w:r>
      <w:r>
        <w:t xml:space="preserve">Saving per owner (application) (EUR)</w:t>
      </w:r>
      <w:r>
        <w:t xml:space="preserve"> </w:t>
      </w:r>
      <w:r>
        <w:t xml:space="preserve">160 to 200</w:t>
      </w:r>
      <w:r>
        <w:t xml:space="preserve"> </w:t>
      </w:r>
      <w:r>
        <w:t xml:space="preserve">Applications affected</w:t>
      </w:r>
      <w:r>
        <w:t xml:space="preserve"> </w:t>
      </w:r>
      <w:r>
        <w:t xml:space="preserve">14.3%</w:t>
      </w:r>
      <w:r>
        <w:t xml:space="preserve"> </w:t>
      </w:r>
      <w:r>
        <w:t xml:space="preserve">Year 2024 impact</w:t>
      </w:r>
      <w:r>
        <w:t xml:space="preserve"> </w:t>
      </w:r>
      <w:r>
        <w:t xml:space="preserve">Applications affected</w:t>
      </w:r>
      <w:r>
        <w:br/>
      </w:r>
      <w:r>
        <w:t xml:space="preserve">5,112</w:t>
      </w:r>
      <w:r>
        <w:t xml:space="preserve"> </w:t>
      </w:r>
      <w:r>
        <w:t xml:space="preserve">Total savings (EUR million)</w:t>
      </w:r>
      <w:r>
        <w:t xml:space="preserve"> </w:t>
      </w:r>
      <w:r>
        <w:t xml:space="preserve">0.82 to 1.02</w:t>
      </w:r>
      <w:r>
        <w:t xml:space="preserve"> </w:t>
      </w:r>
      <w:r>
        <w:t xml:space="preserve">* Estimation</w:t>
      </w:r>
      <w:r>
        <w:t xml:space="preserve"> </w:t>
      </w:r>
      <w:r>
        <w:t xml:space="preserve">Source: Own calculations based on EUIPO data</w:t>
      </w:r>
      <w:r>
        <w:t xml:space="preserve"> </w:t>
      </w:r>
      <w:r>
        <w:t xml:space="preserve">The simplification is expected to affect 14.3% of applications, so around 5000 in 2024.</w:t>
      </w:r>
      <w:r>
        <w:t xml:space="preserve"> </w:t>
      </w:r>
      <w:r>
        <w:t xml:space="preserve">The total expected savings in that year amount to between EUR0.82 and EUR1.02</w:t>
      </w:r>
      <w:r>
        <w:t xml:space="preserve"> </w:t>
      </w:r>
      <w:r>
        <w:t xml:space="preserve">million.</w:t>
      </w:r>
      <w:r>
        <w:t xml:space="preserve"> </w:t>
      </w:r>
      <w:r>
        <w:t xml:space="preserve">9.11 Summary of impacts of Options 2 and 3</w:t>
      </w:r>
      <w:r>
        <w:t xml:space="preserve"> </w:t>
      </w:r>
      <w:r>
        <w:t xml:space="preserve">The table below summarizes total and per application impacts of simplification measures</w:t>
      </w:r>
      <w:r>
        <w:t xml:space="preserve"> </w:t>
      </w:r>
      <w:r>
        <w:t xml:space="preserve">brought by policy options 2 and 3 in 2024 - the first year of the new fee structure. In</w:t>
      </w:r>
      <w:r>
        <w:t xml:space="preserve"> </w:t>
      </w:r>
      <w:r>
        <w:t xml:space="preserve">subsequent years the impacts will depend on the number of applications and renewals.</w:t>
      </w:r>
      <w:r>
        <w:t xml:space="preserve"> </w:t>
      </w:r>
      <w:r>
        <w:t xml:space="preserve">Table A.9.17. Overview of maximum expected impact of options 2 and 3 in year 2024* per application</w:t>
      </w:r>
      <w:r>
        <w:t xml:space="preserve"> </w:t>
      </w:r>
      <w:r>
        <w:t xml:space="preserve">Fee structure:</w:t>
      </w:r>
      <w:r>
        <w:t xml:space="preserve"> </w:t>
      </w:r>
      <w:r>
        <w:t xml:space="preserve">Current</w:t>
      </w:r>
      <w:r>
        <w:t xml:space="preserve"> </w:t>
      </w:r>
      <w:r>
        <w:t xml:space="preserve">Option 3.1</w:t>
      </w:r>
      <w:r>
        <w:t xml:space="preserve"> </w:t>
      </w:r>
      <w:r>
        <w:t xml:space="preserve">Option 3.2</w:t>
      </w:r>
    </w:p>
    <w:p>
      <w:pPr>
        <w:pStyle w:val="BodyText"/>
      </w:pPr>
      <w:r>
        <w:t xml:space="preserve">No of</w:t>
      </w:r>
      <w:r>
        <w:t xml:space="preserve"> </w:t>
      </w:r>
      <w:r>
        <w:t xml:space="preserve">applications</w:t>
      </w:r>
      <w:r>
        <w:t xml:space="preserve"> </w:t>
      </w:r>
      <w:r>
        <w:t xml:space="preserve">per</w:t>
      </w:r>
      <w:r>
        <w:t xml:space="preserve"> </w:t>
      </w:r>
      <w:r>
        <w:t xml:space="preserve">application</w:t>
      </w:r>
      <w:r>
        <w:t xml:space="preserve"> </w:t>
      </w:r>
      <w:r>
        <w:t xml:space="preserve">(EUR)</w:t>
      </w:r>
      <w:r>
        <w:t xml:space="preserve"> </w:t>
      </w:r>
      <w:r>
        <w:t xml:space="preserve">Total</w:t>
      </w:r>
      <w:r>
        <w:br/>
      </w:r>
      <w:r>
        <w:t xml:space="preserve">(EUR</w:t>
      </w:r>
      <w:r>
        <w:t xml:space="preserve"> </w:t>
      </w:r>
      <w:r>
        <w:t xml:space="preserve">million)</w:t>
      </w:r>
      <w:r>
        <w:t xml:space="preserve"> </w:t>
      </w:r>
      <w:r>
        <w:t xml:space="preserve">per</w:t>
      </w:r>
      <w:r>
        <w:t xml:space="preserve"> </w:t>
      </w:r>
      <w:r>
        <w:t xml:space="preserve">application</w:t>
      </w:r>
      <w:r>
        <w:t xml:space="preserve"> </w:t>
      </w:r>
      <w:r>
        <w:t xml:space="preserve">(EUR)</w:t>
      </w:r>
      <w:r>
        <w:t xml:space="preserve"> </w:t>
      </w:r>
      <w:r>
        <w:t xml:space="preserve">Total</w:t>
      </w:r>
      <w:r>
        <w:br/>
      </w:r>
      <w:r>
        <w:t xml:space="preserve">(EUR</w:t>
      </w:r>
      <w:r>
        <w:t xml:space="preserve"> </w:t>
      </w:r>
      <w:r>
        <w:t xml:space="preserve">million)</w:t>
      </w:r>
      <w:r>
        <w:t xml:space="preserve"> </w:t>
      </w:r>
      <w:r>
        <w:t xml:space="preserve">per</w:t>
      </w:r>
      <w:r>
        <w:t xml:space="preserve"> </w:t>
      </w:r>
      <w:r>
        <w:t xml:space="preserve">application</w:t>
      </w:r>
      <w:r>
        <w:t xml:space="preserve"> </w:t>
      </w:r>
      <w:r>
        <w:t xml:space="preserve">(EUR)</w:t>
      </w:r>
      <w:r>
        <w:t xml:space="preserve"> </w:t>
      </w:r>
      <w:r>
        <w:t xml:space="preserve">Total</w:t>
      </w:r>
      <w:r>
        <w:br/>
      </w:r>
      <w:r>
        <w:t xml:space="preserve">(EUR</w:t>
      </w:r>
      <w:r>
        <w:t xml:space="preserve"> </w:t>
      </w:r>
      <w:r>
        <w:t xml:space="preserve">million)</w:t>
      </w:r>
    </w:p>
    <w:p>
      <w:pPr>
        <w:pStyle w:val="BodyText"/>
      </w:pPr>
      <w:r>
        <w:t xml:space="preserve">190 This is a quite conservative assumption. Already in studies from 2005 and 2009 an hourly fee of patent</w:t>
      </w:r>
      <w:r>
        <w:t xml:space="preserve"> </w:t>
      </w:r>
      <w:r>
        <w:t xml:space="preserve">attorney was estimated at EUR 250 (e.g. Bruno van Pottelsberghe de la Potterie, Malwina Mejer (2009).</w:t>
      </w:r>
      <w:r>
        <w:t xml:space="preserve"> </w:t>
      </w:r>
      <w:r>
        <w:t xml:space="preserve">The London Agreement and the cost of patenting in Europe, page 235; or Roland Berger. (2005). The cost</w:t>
      </w:r>
      <w:r>
        <w:t xml:space="preserve"> </w:t>
      </w:r>
      <w:r>
        <w:t xml:space="preserve">of the sample European patent – new estimates.).</w:t>
      </w:r>
    </w:p>
    <w:p>
      <w:pPr>
        <w:pStyle w:val="BodyText"/>
      </w:pPr>
      <w:r>
        <w:t xml:space="preserve">107</w:t>
      </w:r>
    </w:p>
    <w:p>
      <w:pPr>
        <w:pStyle w:val="BodyText"/>
      </w:pPr>
      <w:r>
        <w:t xml:space="preserve">Application fee reduction</w:t>
      </w:r>
      <w:r>
        <w:t xml:space="preserve"> </w:t>
      </w:r>
      <w:r>
        <w:t xml:space="preserve">35,698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-142</w:t>
      </w:r>
      <w:r>
        <w:t xml:space="preserve"> </w:t>
      </w:r>
      <w:r>
        <w:t xml:space="preserve">-5.1</w:t>
      </w:r>
      <w:r>
        <w:t xml:space="preserve"> </w:t>
      </w:r>
      <w:r>
        <w:t xml:space="preserve">-203</w:t>
      </w:r>
      <w:r>
        <w:t xml:space="preserve"> </w:t>
      </w:r>
      <w:r>
        <w:t xml:space="preserve">-7.2</w:t>
      </w:r>
      <w:r>
        <w:t xml:space="preserve"> </w:t>
      </w:r>
      <w:r>
        <w:t xml:space="preserve">1st Renewal fee reduction</w:t>
      </w:r>
      <w:r>
        <w:t xml:space="preserve"> </w:t>
      </w:r>
      <w:r>
        <w:t xml:space="preserve">14,988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-71</w:t>
      </w:r>
      <w:r>
        <w:t xml:space="preserve"> </w:t>
      </w:r>
      <w:r>
        <w:t xml:space="preserve">-1.1</w:t>
      </w:r>
      <w:r>
        <w:t xml:space="preserve"> </w:t>
      </w:r>
      <w:r>
        <w:t xml:space="preserve">-36</w:t>
      </w:r>
      <w:r>
        <w:t xml:space="preserve"> </w:t>
      </w:r>
      <w:r>
        <w:t xml:space="preserve">-0.5</w:t>
      </w:r>
      <w:r>
        <w:t xml:space="preserve"> </w:t>
      </w:r>
      <w:r>
        <w:t xml:space="preserve">2nd Renewal fee increase</w:t>
      </w:r>
      <w:r>
        <w:t xml:space="preserve"> </w:t>
      </w:r>
      <w:r>
        <w:t xml:space="preserve">7,689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72</w:t>
      </w:r>
      <w:r>
        <w:t xml:space="preserve"> </w:t>
      </w:r>
      <w:r>
        <w:t xml:space="preserve">0.6</w:t>
      </w:r>
      <w:r>
        <w:t xml:space="preserve"> </w:t>
      </w:r>
      <w:r>
        <w:t xml:space="preserve">144</w:t>
      </w:r>
      <w:r>
        <w:t xml:space="preserve"> </w:t>
      </w:r>
      <w:r>
        <w:t xml:space="preserve">1.1</w:t>
      </w:r>
      <w:r>
        <w:t xml:space="preserve"> </w:t>
      </w:r>
      <w:r>
        <w:t xml:space="preserve">3rd renewal fee increase</w:t>
      </w:r>
      <w:r>
        <w:t xml:space="preserve"> </w:t>
      </w:r>
      <w:r>
        <w:t xml:space="preserve">3,289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468</w:t>
      </w:r>
      <w:r>
        <w:t xml:space="preserve"> </w:t>
      </w:r>
      <w:r>
        <w:t xml:space="preserve">1.5</w:t>
      </w:r>
      <w:r>
        <w:t xml:space="preserve"> </w:t>
      </w:r>
      <w:r>
        <w:t xml:space="preserve">612</w:t>
      </w:r>
      <w:r>
        <w:t xml:space="preserve"> </w:t>
      </w:r>
      <w:r>
        <w:t xml:space="preserve">2</w:t>
      </w:r>
      <w:r>
        <w:t xml:space="preserve"> </w:t>
      </w:r>
      <w:r>
        <w:t xml:space="preserve">4th renewal fee increase**</w:t>
      </w:r>
      <w:r>
        <w:t xml:space="preserve"> </w:t>
      </w:r>
      <w:r>
        <w:t xml:space="preserve">1,708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1,374</w:t>
      </w:r>
      <w:r>
        <w:t xml:space="preserve"> </w:t>
      </w:r>
      <w:r>
        <w:t xml:space="preserve">2.3</w:t>
      </w:r>
      <w:r>
        <w:t xml:space="preserve"> </w:t>
      </w:r>
      <w:r>
        <w:t xml:space="preserve">1,663</w:t>
      </w:r>
      <w:r>
        <w:t xml:space="preserve"> </w:t>
      </w:r>
      <w:r>
        <w:t xml:space="preserve">2.8</w:t>
      </w:r>
      <w:r>
        <w:t xml:space="preserve"> </w:t>
      </w:r>
      <w:r>
        <w:t xml:space="preserve">Cap at 50</w:t>
      </w:r>
      <w:r>
        <w:t xml:space="preserve"> </w:t>
      </w:r>
      <w:r>
        <w:t xml:space="preserve">173</w:t>
      </w:r>
      <w:r>
        <w:t xml:space="preserve"> </w:t>
      </w:r>
      <w:r>
        <w:t xml:space="preserve">1,043</w:t>
      </w:r>
      <w:r>
        <w:t xml:space="preserve"> </w:t>
      </w:r>
      <w:r>
        <w:t xml:space="preserve">0.18</w:t>
      </w:r>
      <w:r>
        <w:t xml:space="preserve"> </w:t>
      </w:r>
      <w:r>
        <w:t xml:space="preserve">1,043</w:t>
      </w:r>
      <w:r>
        <w:t xml:space="preserve"> </w:t>
      </w:r>
      <w:r>
        <w:t xml:space="preserve">0.18</w:t>
      </w:r>
      <w:r>
        <w:t xml:space="preserve"> </w:t>
      </w:r>
      <w:r>
        <w:t xml:space="preserve">1,043</w:t>
      </w:r>
      <w:r>
        <w:t xml:space="preserve"> </w:t>
      </w:r>
      <w:r>
        <w:t xml:space="preserve">0.18</w:t>
      </w:r>
      <w:r>
        <w:t xml:space="preserve"> </w:t>
      </w:r>
      <w:r>
        <w:t xml:space="preserve">No transfer fee</w:t>
      </w:r>
      <w:r>
        <w:t xml:space="preserve"> </w:t>
      </w:r>
      <w:r>
        <w:t xml:space="preserve">914</w:t>
      </w:r>
      <w:r>
        <w:t xml:space="preserve"> </w:t>
      </w:r>
      <w:r>
        <w:t xml:space="preserve">-684</w:t>
      </w:r>
      <w:r>
        <w:t xml:space="preserve"> </w:t>
      </w:r>
      <w:r>
        <w:t xml:space="preserve">-0.6252</w:t>
      </w:r>
      <w:r>
        <w:t xml:space="preserve"> </w:t>
      </w:r>
      <w:r>
        <w:t xml:space="preserve">-684</w:t>
      </w:r>
      <w:r>
        <w:t xml:space="preserve"> </w:t>
      </w:r>
      <w:r>
        <w:t xml:space="preserve">-0.6252</w:t>
      </w:r>
      <w:r>
        <w:t xml:space="preserve"> </w:t>
      </w:r>
      <w:r>
        <w:t xml:space="preserve">-684</w:t>
      </w:r>
      <w:r>
        <w:t xml:space="preserve"> </w:t>
      </w:r>
      <w:r>
        <w:t xml:space="preserve">-0.6252</w:t>
      </w:r>
      <w:r>
        <w:t xml:space="preserve"> </w:t>
      </w:r>
      <w:r>
        <w:t xml:space="preserve">abolition of unity of class</w:t>
      </w:r>
      <w:r>
        <w:t xml:space="preserve"> </w:t>
      </w:r>
      <w:r>
        <w:t xml:space="preserve">requirement</w:t>
      </w:r>
      <w:r>
        <w:t xml:space="preserve"> </w:t>
      </w:r>
      <w:r>
        <w:t xml:space="preserve">2,746</w:t>
      </w:r>
      <w:r>
        <w:t xml:space="preserve"> </w:t>
      </w:r>
      <w:r>
        <w:t xml:space="preserve">-492</w:t>
      </w:r>
      <w:r>
        <w:t xml:space="preserve"> </w:t>
      </w:r>
      <w:r>
        <w:t xml:space="preserve">-1.35</w:t>
      </w:r>
      <w:r>
        <w:t xml:space="preserve"> </w:t>
      </w:r>
      <w:r>
        <w:t xml:space="preserve">-234</w:t>
      </w:r>
      <w:r>
        <w:t xml:space="preserve"> </w:t>
      </w:r>
      <w:r>
        <w:t xml:space="preserve">-0.64</w:t>
      </w:r>
      <w:r>
        <w:t xml:space="preserve"> </w:t>
      </w:r>
      <w:r>
        <w:t xml:space="preserve">-281</w:t>
      </w:r>
      <w:r>
        <w:t xml:space="preserve"> </w:t>
      </w:r>
      <w:r>
        <w:t xml:space="preserve">-0.77</w:t>
      </w:r>
      <w:r>
        <w:t xml:space="preserve"> </w:t>
      </w:r>
      <w:r>
        <w:t xml:space="preserve">simplification in</w:t>
      </w:r>
      <w:r>
        <w:t xml:space="preserve"> </w:t>
      </w:r>
      <w:r>
        <w:t xml:space="preserve">requirements for the</w:t>
      </w:r>
      <w:r>
        <w:t xml:space="preserve"> </w:t>
      </w:r>
      <w:r>
        <w:t xml:space="preserve">representation of designs</w:t>
      </w:r>
      <w:r>
        <w:t xml:space="preserve"> </w:t>
      </w:r>
      <w:r>
        <w:t xml:space="preserve">5,112</w:t>
      </w:r>
      <w:r>
        <w:t xml:space="preserve"> </w:t>
      </w:r>
      <w:r>
        <w:t xml:space="preserve">-200</w:t>
      </w:r>
      <w:r>
        <w:t xml:space="preserve"> </w:t>
      </w:r>
      <w:r>
        <w:t xml:space="preserve">-1.02</w:t>
      </w:r>
      <w:r>
        <w:t xml:space="preserve"> </w:t>
      </w:r>
      <w:r>
        <w:t xml:space="preserve">-200</w:t>
      </w:r>
      <w:r>
        <w:t xml:space="preserve"> </w:t>
      </w:r>
      <w:r>
        <w:t xml:space="preserve">-1.02</w:t>
      </w:r>
      <w:r>
        <w:t xml:space="preserve"> </w:t>
      </w:r>
      <w:r>
        <w:t xml:space="preserve">-200</w:t>
      </w:r>
      <w:r>
        <w:t xml:space="preserve"> </w:t>
      </w:r>
      <w:r>
        <w:t xml:space="preserve">-1.02</w:t>
      </w:r>
      <w:r>
        <w:t xml:space="preserve"> </w:t>
      </w:r>
      <w:r>
        <w:t xml:space="preserve">Total</w:t>
      </w:r>
    </w:p>
    <w:p>
      <w:pPr>
        <w:pStyle w:val="BodyText"/>
      </w:pPr>
      <w:r>
        <w:t xml:space="preserve">-2.82</w:t>
      </w:r>
    </w:p>
    <w:p>
      <w:pPr>
        <w:pStyle w:val="BodyText"/>
      </w:pPr>
      <w:r>
        <w:t xml:space="preserve">-3.91</w:t>
      </w:r>
    </w:p>
    <w:p>
      <w:pPr>
        <w:pStyle w:val="BodyText"/>
      </w:pPr>
      <w:r>
        <w:t xml:space="preserve">-4.04</w:t>
      </w:r>
      <w:r>
        <w:t xml:space="preserve"> </w:t>
      </w:r>
      <w:r>
        <w:t xml:space="preserve">Total without 4th renewal</w:t>
      </w:r>
    </w:p>
    <w:p>
      <w:pPr>
        <w:pStyle w:val="BodyText"/>
      </w:pPr>
      <w:r>
        <w:t xml:space="preserve">-2.82</w:t>
      </w:r>
    </w:p>
    <w:p>
      <w:pPr>
        <w:pStyle w:val="BodyText"/>
      </w:pPr>
      <w:r>
        <w:t xml:space="preserve">-6.21</w:t>
      </w:r>
    </w:p>
    <w:p>
      <w:pPr>
        <w:pStyle w:val="BodyText"/>
      </w:pPr>
      <w:r>
        <w:t xml:space="preserve">-6.84</w:t>
      </w:r>
      <w:r>
        <w:t xml:space="preserve"> </w:t>
      </w:r>
      <w:r>
        <w:t xml:space="preserve">* The first full year of functioning of the reform, impact in following years depends on the number of</w:t>
      </w:r>
      <w:r>
        <w:t xml:space="preserve"> </w:t>
      </w:r>
      <w:r>
        <w:t xml:space="preserve">applications and renewals;</w:t>
      </w:r>
      <w:r>
        <w:t xml:space="preserve"> </w:t>
      </w:r>
      <w:r>
        <w:t xml:space="preserve">** Based on assumption only, there is no experience yet with 4th renewal</w:t>
      </w:r>
      <w:r>
        <w:t xml:space="preserve"> </w:t>
      </w:r>
      <w:r>
        <w:t xml:space="preserve">Source: Own assessment</w:t>
      </w:r>
    </w:p>
    <w:p>
      <w:pPr>
        <w:pStyle w:val="BodyText"/>
      </w:pPr>
      <w:r>
        <w:t xml:space="preserve">As one owner can make several applications, the below table shows an approximation of</w:t>
      </w:r>
      <w:r>
        <w:t xml:space="preserve"> </w:t>
      </w:r>
      <w:r>
        <w:t xml:space="preserve">the number of owners affected. It is based on the average number of applications per</w:t>
      </w:r>
      <w:r>
        <w:t xml:space="preserve"> </w:t>
      </w:r>
      <w:r>
        <w:t xml:space="preserve">owner which amounted to 2.44 in 2019-2020.</w:t>
      </w:r>
      <w:r>
        <w:t xml:space="preserve"> </w:t>
      </w:r>
      <w:r>
        <w:t xml:space="preserve">Table A.9.18. Overview of maximum expected impact of options 2 and 3 in year 2024* per owner</w:t>
      </w:r>
      <w:r>
        <w:t xml:space="preserve"> </w:t>
      </w:r>
      <w:r>
        <w:t xml:space="preserve">Fee structure:</w:t>
      </w:r>
      <w:r>
        <w:t xml:space="preserve"> </w:t>
      </w:r>
      <w:r>
        <w:t xml:space="preserve">Current</w:t>
      </w:r>
      <w:r>
        <w:t xml:space="preserve"> </w:t>
      </w:r>
      <w:r>
        <w:t xml:space="preserve">Option 3.1</w:t>
      </w:r>
      <w:r>
        <w:t xml:space="preserve"> </w:t>
      </w:r>
      <w:r>
        <w:t xml:space="preserve">Option 3.2</w:t>
      </w:r>
    </w:p>
    <w:p>
      <w:pPr>
        <w:pStyle w:val="BodyText"/>
      </w:pPr>
      <w:r>
        <w:t xml:space="preserve">No of</w:t>
      </w:r>
      <w:r>
        <w:t xml:space="preserve"> </w:t>
      </w:r>
      <w:r>
        <w:t xml:space="preserve">owners</w:t>
      </w:r>
      <w:r>
        <w:t xml:space="preserve"> </w:t>
      </w:r>
      <w:r>
        <w:t xml:space="preserve">per</w:t>
      </w:r>
      <w:r>
        <w:t xml:space="preserve"> </w:t>
      </w:r>
      <w:r>
        <w:t xml:space="preserve">application</w:t>
      </w:r>
      <w:r>
        <w:t xml:space="preserve"> </w:t>
      </w:r>
      <w:r>
        <w:t xml:space="preserve">(EUR)</w:t>
      </w:r>
      <w:r>
        <w:t xml:space="preserve"> </w:t>
      </w:r>
      <w:r>
        <w:t xml:space="preserve">Total</w:t>
      </w:r>
      <w:r>
        <w:br/>
      </w:r>
      <w:r>
        <w:t xml:space="preserve">(EUR</w:t>
      </w:r>
      <w:r>
        <w:t xml:space="preserve"> </w:t>
      </w:r>
      <w:r>
        <w:t xml:space="preserve">million)</w:t>
      </w:r>
      <w:r>
        <w:t xml:space="preserve"> </w:t>
      </w:r>
      <w:r>
        <w:t xml:space="preserve">per</w:t>
      </w:r>
      <w:r>
        <w:t xml:space="preserve"> </w:t>
      </w:r>
      <w:r>
        <w:t xml:space="preserve">application</w:t>
      </w:r>
      <w:r>
        <w:t xml:space="preserve"> </w:t>
      </w:r>
      <w:r>
        <w:t xml:space="preserve">(EUR)</w:t>
      </w:r>
      <w:r>
        <w:t xml:space="preserve"> </w:t>
      </w:r>
      <w:r>
        <w:t xml:space="preserve">Total</w:t>
      </w:r>
      <w:r>
        <w:br/>
      </w:r>
      <w:r>
        <w:t xml:space="preserve">(EUR</w:t>
      </w:r>
      <w:r>
        <w:t xml:space="preserve"> </w:t>
      </w:r>
      <w:r>
        <w:t xml:space="preserve">million)</w:t>
      </w:r>
      <w:r>
        <w:t xml:space="preserve"> </w:t>
      </w:r>
      <w:r>
        <w:t xml:space="preserve">per</w:t>
      </w:r>
      <w:r>
        <w:t xml:space="preserve"> </w:t>
      </w:r>
      <w:r>
        <w:t xml:space="preserve">application</w:t>
      </w:r>
      <w:r>
        <w:t xml:space="preserve"> </w:t>
      </w:r>
      <w:r>
        <w:t xml:space="preserve">(EUR)</w:t>
      </w:r>
      <w:r>
        <w:t xml:space="preserve"> </w:t>
      </w:r>
      <w:r>
        <w:t xml:space="preserve">Total</w:t>
      </w:r>
      <w:r>
        <w:br/>
      </w:r>
      <w:r>
        <w:t xml:space="preserve">(EUR</w:t>
      </w:r>
      <w:r>
        <w:t xml:space="preserve"> </w:t>
      </w:r>
      <w:r>
        <w:t xml:space="preserve">million)</w:t>
      </w:r>
      <w:r>
        <w:t xml:space="preserve"> </w:t>
      </w:r>
      <w:r>
        <w:t xml:space="preserve">Application fee reduction</w:t>
      </w:r>
      <w:r>
        <w:t xml:space="preserve"> </w:t>
      </w:r>
      <w:r>
        <w:t xml:space="preserve">14,659</w:t>
      </w:r>
      <w:r>
        <w:t xml:space="preserve"> </w:t>
      </w:r>
      <w:r>
        <w:t xml:space="preserve">0</w:t>
      </w:r>
      <w:r>
        <w:t xml:space="preserve"> </w:t>
      </w:r>
      <w:r>
        <w:t xml:space="preserve">0.00</w:t>
      </w:r>
      <w:r>
        <w:t xml:space="preserve"> </w:t>
      </w:r>
      <w:r>
        <w:t xml:space="preserve">-345.79</w:t>
      </w:r>
      <w:r>
        <w:t xml:space="preserve"> </w:t>
      </w:r>
      <w:r>
        <w:t xml:space="preserve">-5.10</w:t>
      </w:r>
      <w:r>
        <w:t xml:space="preserve"> </w:t>
      </w:r>
      <w:r>
        <w:t xml:space="preserve">-494.34</w:t>
      </w:r>
      <w:r>
        <w:t xml:space="preserve"> </w:t>
      </w:r>
      <w:r>
        <w:t xml:space="preserve">-7.20</w:t>
      </w:r>
      <w:r>
        <w:t xml:space="preserve"> </w:t>
      </w:r>
      <w:r>
        <w:t xml:space="preserve">1st Renewal fee reduction</w:t>
      </w:r>
      <w:r>
        <w:t xml:space="preserve"> </w:t>
      </w:r>
      <w:r>
        <w:t xml:space="preserve">6,155</w:t>
      </w:r>
      <w:r>
        <w:t xml:space="preserve"> </w:t>
      </w:r>
      <w:r>
        <w:t xml:space="preserve">0</w:t>
      </w:r>
      <w:r>
        <w:t xml:space="preserve"> </w:t>
      </w:r>
      <w:r>
        <w:t xml:space="preserve">0.00</w:t>
      </w:r>
      <w:r>
        <w:t xml:space="preserve"> </w:t>
      </w:r>
      <w:r>
        <w:t xml:space="preserve">-172.90</w:t>
      </w:r>
      <w:r>
        <w:t xml:space="preserve"> </w:t>
      </w:r>
      <w:r>
        <w:t xml:space="preserve">-1.10</w:t>
      </w:r>
      <w:r>
        <w:t xml:space="preserve"> </w:t>
      </w:r>
      <w:r>
        <w:t xml:space="preserve">-87.67</w:t>
      </w:r>
      <w:r>
        <w:t xml:space="preserve"> </w:t>
      </w:r>
      <w:r>
        <w:t xml:space="preserve">-0.50</w:t>
      </w:r>
      <w:r>
        <w:t xml:space="preserve"> </w:t>
      </w:r>
      <w:r>
        <w:t xml:space="preserve">2nd Renewal fee increase</w:t>
      </w:r>
      <w:r>
        <w:t xml:space="preserve"> </w:t>
      </w:r>
      <w:r>
        <w:t xml:space="preserve">3,157</w:t>
      </w:r>
      <w:r>
        <w:t xml:space="preserve"> </w:t>
      </w:r>
      <w:r>
        <w:t xml:space="preserve">0</w:t>
      </w:r>
      <w:r>
        <w:t xml:space="preserve"> </w:t>
      </w:r>
      <w:r>
        <w:t xml:space="preserve">0.00</w:t>
      </w:r>
      <w:r>
        <w:t xml:space="preserve"> </w:t>
      </w:r>
      <w:r>
        <w:t xml:space="preserve">175.33</w:t>
      </w:r>
      <w:r>
        <w:t xml:space="preserve"> </w:t>
      </w:r>
      <w:r>
        <w:t xml:space="preserve">0.60</w:t>
      </w:r>
      <w:r>
        <w:t xml:space="preserve"> </w:t>
      </w:r>
      <w:r>
        <w:t xml:space="preserve">350.66</w:t>
      </w:r>
      <w:r>
        <w:t xml:space="preserve"> </w:t>
      </w:r>
      <w:r>
        <w:t xml:space="preserve">1.10</w:t>
      </w:r>
      <w:r>
        <w:t xml:space="preserve"> </w:t>
      </w:r>
      <w:r>
        <w:t xml:space="preserve">3rd renewal fee increase</w:t>
      </w:r>
      <w:r>
        <w:t xml:space="preserve"> </w:t>
      </w:r>
      <w:r>
        <w:t xml:space="preserve">1,351</w:t>
      </w:r>
      <w:r>
        <w:t xml:space="preserve"> </w:t>
      </w:r>
      <w:r>
        <w:t xml:space="preserve">0</w:t>
      </w:r>
      <w:r>
        <w:t xml:space="preserve"> </w:t>
      </w:r>
      <w:r>
        <w:t xml:space="preserve">0.00</w:t>
      </w:r>
      <w:r>
        <w:t xml:space="preserve"> </w:t>
      </w:r>
      <w:r>
        <w:t xml:space="preserve">1,139.66</w:t>
      </w:r>
      <w:r>
        <w:t xml:space="preserve"> </w:t>
      </w:r>
      <w:r>
        <w:t xml:space="preserve">1.50</w:t>
      </w:r>
      <w:r>
        <w:t xml:space="preserve"> </w:t>
      </w:r>
      <w:r>
        <w:t xml:space="preserve">1,490.33</w:t>
      </w:r>
      <w:r>
        <w:t xml:space="preserve"> </w:t>
      </w:r>
      <w:r>
        <w:t xml:space="preserve">2.00</w:t>
      </w:r>
      <w:r>
        <w:t xml:space="preserve"> </w:t>
      </w:r>
      <w:r>
        <w:t xml:space="preserve">4th renewal fee increase**</w:t>
      </w:r>
      <w:r>
        <w:t xml:space="preserve"> </w:t>
      </w:r>
      <w:r>
        <w:t xml:space="preserve">701</w:t>
      </w:r>
      <w:r>
        <w:t xml:space="preserve"> </w:t>
      </w:r>
      <w:r>
        <w:t xml:space="preserve">0</w:t>
      </w:r>
      <w:r>
        <w:t xml:space="preserve"> </w:t>
      </w:r>
      <w:r>
        <w:t xml:space="preserve">0.00</w:t>
      </w:r>
      <w:r>
        <w:t xml:space="preserve"> </w:t>
      </w:r>
      <w:r>
        <w:t xml:space="preserve">3,345.93</w:t>
      </w:r>
      <w:r>
        <w:t xml:space="preserve"> </w:t>
      </w:r>
      <w:r>
        <w:t xml:space="preserve">2.30</w:t>
      </w:r>
      <w:r>
        <w:t xml:space="preserve"> </w:t>
      </w:r>
      <w:r>
        <w:t xml:space="preserve">4,049.69</w:t>
      </w:r>
      <w:r>
        <w:t xml:space="preserve"> </w:t>
      </w:r>
      <w:r>
        <w:t xml:space="preserve">2.80</w:t>
      </w:r>
      <w:r>
        <w:t xml:space="preserve"> </w:t>
      </w:r>
      <w:r>
        <w:t xml:space="preserve">Cap at 50</w:t>
      </w:r>
      <w:r>
        <w:t xml:space="preserve"> </w:t>
      </w:r>
      <w:r>
        <w:t xml:space="preserve">71</w:t>
      </w:r>
      <w:r>
        <w:t xml:space="preserve"> </w:t>
      </w:r>
      <w:r>
        <w:t xml:space="preserve">2,540</w:t>
      </w:r>
      <w:r>
        <w:t xml:space="preserve"> </w:t>
      </w:r>
      <w:r>
        <w:t xml:space="preserve">0.18</w:t>
      </w:r>
      <w:r>
        <w:t xml:space="preserve"> </w:t>
      </w:r>
      <w:r>
        <w:t xml:space="preserve">2,539.88</w:t>
      </w:r>
      <w:r>
        <w:t xml:space="preserve"> </w:t>
      </w:r>
      <w:r>
        <w:t xml:space="preserve">0.18</w:t>
      </w:r>
      <w:r>
        <w:t xml:space="preserve"> </w:t>
      </w:r>
      <w:r>
        <w:t xml:space="preserve">2,539.88</w:t>
      </w:r>
      <w:r>
        <w:t xml:space="preserve"> </w:t>
      </w:r>
      <w:r>
        <w:t xml:space="preserve">0.18</w:t>
      </w:r>
      <w:r>
        <w:t xml:space="preserve"> </w:t>
      </w:r>
      <w:r>
        <w:t xml:space="preserve">No transfer fee</w:t>
      </w:r>
      <w:r>
        <w:t xml:space="preserve"> </w:t>
      </w:r>
      <w:r>
        <w:t xml:space="preserve">375</w:t>
      </w:r>
      <w:r>
        <w:t xml:space="preserve"> </w:t>
      </w:r>
      <w:r>
        <w:t xml:space="preserve">-1,665</w:t>
      </w:r>
      <w:r>
        <w:t xml:space="preserve"> </w:t>
      </w:r>
      <w:r>
        <w:t xml:space="preserve">-0.63</w:t>
      </w:r>
      <w:r>
        <w:t xml:space="preserve"> </w:t>
      </w:r>
      <w:r>
        <w:t xml:space="preserve">-1,665.18</w:t>
      </w:r>
      <w:r>
        <w:t xml:space="preserve"> </w:t>
      </w:r>
      <w:r>
        <w:t xml:space="preserve">-0.63</w:t>
      </w:r>
      <w:r>
        <w:t xml:space="preserve"> </w:t>
      </w:r>
      <w:r>
        <w:t xml:space="preserve">-1,665.18</w:t>
      </w:r>
      <w:r>
        <w:t xml:space="preserve"> </w:t>
      </w:r>
      <w:r>
        <w:t xml:space="preserve">-0.63</w:t>
      </w:r>
      <w:r>
        <w:t xml:space="preserve"> </w:t>
      </w:r>
      <w:r>
        <w:t xml:space="preserve">abolition of unity of class</w:t>
      </w:r>
      <w:r>
        <w:t xml:space="preserve"> </w:t>
      </w:r>
      <w:r>
        <w:t xml:space="preserve">requirement</w:t>
      </w:r>
      <w:r>
        <w:t xml:space="preserve"> </w:t>
      </w:r>
      <w:r>
        <w:t xml:space="preserve">2,746</w:t>
      </w:r>
      <w:r>
        <w:t xml:space="preserve"> </w:t>
      </w:r>
      <w:r>
        <w:t xml:space="preserve">-492</w:t>
      </w:r>
      <w:r>
        <w:t xml:space="preserve"> </w:t>
      </w:r>
      <w:r>
        <w:t xml:space="preserve">-1.35</w:t>
      </w:r>
      <w:r>
        <w:t xml:space="preserve"> </w:t>
      </w:r>
      <w:r>
        <w:t xml:space="preserve">-234.00</w:t>
      </w:r>
      <w:r>
        <w:t xml:space="preserve"> </w:t>
      </w:r>
      <w:r>
        <w:t xml:space="preserve">-0.64</w:t>
      </w:r>
      <w:r>
        <w:t xml:space="preserve"> </w:t>
      </w:r>
      <w:r>
        <w:t xml:space="preserve">-281.00</w:t>
      </w:r>
      <w:r>
        <w:t xml:space="preserve"> </w:t>
      </w:r>
      <w:r>
        <w:t xml:space="preserve">-0.77</w:t>
      </w:r>
      <w:r>
        <w:t xml:space="preserve"> </w:t>
      </w:r>
      <w:r>
        <w:t xml:space="preserve">simplification in</w:t>
      </w:r>
      <w:r>
        <w:t xml:space="preserve"> </w:t>
      </w:r>
      <w:r>
        <w:t xml:space="preserve">requirements for the</w:t>
      </w:r>
      <w:r>
        <w:t xml:space="preserve"> </w:t>
      </w:r>
      <w:r>
        <w:t xml:space="preserve">representation of designs</w:t>
      </w:r>
      <w:r>
        <w:t xml:space="preserve"> </w:t>
      </w:r>
      <w:r>
        <w:t xml:space="preserve">2,099</w:t>
      </w:r>
      <w:r>
        <w:t xml:space="preserve"> </w:t>
      </w:r>
      <w:r>
        <w:t xml:space="preserve">-487</w:t>
      </w:r>
      <w:r>
        <w:t xml:space="preserve"> </w:t>
      </w:r>
      <w:r>
        <w:t xml:space="preserve">-1.02</w:t>
      </w:r>
      <w:r>
        <w:t xml:space="preserve"> </w:t>
      </w:r>
      <w:r>
        <w:t xml:space="preserve">-487.03</w:t>
      </w:r>
      <w:r>
        <w:t xml:space="preserve"> </w:t>
      </w:r>
      <w:r>
        <w:t xml:space="preserve">-1.02</w:t>
      </w:r>
      <w:r>
        <w:t xml:space="preserve"> </w:t>
      </w:r>
      <w:r>
        <w:t xml:space="preserve">-487.03</w:t>
      </w:r>
      <w:r>
        <w:t xml:space="preserve"> </w:t>
      </w:r>
      <w:r>
        <w:t xml:space="preserve">-1.02</w:t>
      </w:r>
      <w:r>
        <w:t xml:space="preserve"> </w:t>
      </w:r>
      <w:r>
        <w:t xml:space="preserve">Total</w:t>
      </w:r>
    </w:p>
    <w:p>
      <w:pPr>
        <w:pStyle w:val="BodyText"/>
      </w:pPr>
      <w:r>
        <w:t xml:space="preserve">-2.82</w:t>
      </w:r>
    </w:p>
    <w:p>
      <w:pPr>
        <w:pStyle w:val="BodyText"/>
      </w:pPr>
      <w:r>
        <w:t xml:space="preserve">-3.91</w:t>
      </w:r>
    </w:p>
    <w:p>
      <w:pPr>
        <w:pStyle w:val="BodyText"/>
      </w:pPr>
      <w:r>
        <w:t xml:space="preserve">-4.04</w:t>
      </w:r>
      <w:r>
        <w:t xml:space="preserve"> </w:t>
      </w:r>
      <w:r>
        <w:t xml:space="preserve">Total without 4th renewal</w:t>
      </w:r>
    </w:p>
    <w:p>
      <w:pPr>
        <w:pStyle w:val="BodyText"/>
      </w:pPr>
      <w:r>
        <w:t xml:space="preserve">-2.82</w:t>
      </w:r>
    </w:p>
    <w:p>
      <w:pPr>
        <w:pStyle w:val="BodyText"/>
      </w:pPr>
      <w:r>
        <w:t xml:space="preserve">-6.21</w:t>
      </w:r>
    </w:p>
    <w:p>
      <w:pPr>
        <w:pStyle w:val="BodyText"/>
      </w:pPr>
      <w:r>
        <w:t xml:space="preserve">-6.84</w:t>
      </w:r>
      <w:r>
        <w:t xml:space="preserve"> </w:t>
      </w:r>
      <w:r>
        <w:t xml:space="preserve">* The first full year of functioning of the reform, impact in following years depends on the number of</w:t>
      </w:r>
      <w:r>
        <w:t xml:space="preserve"> </w:t>
      </w:r>
      <w:r>
        <w:t xml:space="preserve">applications and renewals;</w:t>
      </w:r>
      <w:r>
        <w:br/>
      </w:r>
      <w:r>
        <w:t xml:space="preserve">** Based on assumption only, there is no experience yet with 4th renewal</w:t>
      </w:r>
      <w:r>
        <w:t xml:space="preserve"> </w:t>
      </w:r>
      <w:r>
        <w:t xml:space="preserve">Source: Own assessment</w:t>
      </w:r>
    </w:p>
    <w:p>
      <w:pPr>
        <w:pStyle w:val="BodyText"/>
      </w:pPr>
      <w:r>
        <w:t xml:space="preserve">108</w:t>
      </w:r>
    </w:p>
    <w:p>
      <w:pPr>
        <w:pStyle w:val="BodyText"/>
      </w:pPr>
      <w:r>
        <w:t xml:space="preserve">ANNEX 10: DEFINITION OF SUBJECT MATTER OF PROTECTION</w:t>
      </w:r>
      <w:r>
        <w:br/>
      </w:r>
      <w:r>
        <w:t xml:space="preserve">According to the definitions provided in Article 3 CDR and Article 1 DDir, a design</w:t>
      </w:r>
      <w:r>
        <w:t xml:space="preserve"> </w:t>
      </w:r>
      <w:r>
        <w:t xml:space="preserve">refers to the appearance of a product resulting from certain features. A product is to be</w:t>
      </w:r>
      <w:r>
        <w:t xml:space="preserve"> </w:t>
      </w:r>
      <w:r>
        <w:t xml:space="preserve">understood as any industrial or handicraft item. The Legal Study pointed to certain</w:t>
      </w:r>
      <w:r>
        <w:t xml:space="preserve"> </w:t>
      </w:r>
      <w:r>
        <w:t xml:space="preserve">confusion in relation to the definition of the subject matter of protection, involving the</w:t>
      </w:r>
      <w:r>
        <w:t xml:space="preserve"> </w:t>
      </w:r>
      <w:r>
        <w:t xml:space="preserve">potential of negatively influencing the accessibility of the design protection systems191.</w:t>
      </w:r>
      <w:r>
        <w:t xml:space="preserve"> </w:t>
      </w:r>
      <w:r>
        <w:t xml:space="preserve">In view of the growing role of digital designs, several respondents to the First Public</w:t>
      </w:r>
      <w:r>
        <w:t xml:space="preserve"> </w:t>
      </w:r>
      <w:r>
        <w:t xml:space="preserve">Consultation for the evaluation saw need for making the definitions future-proof by</w:t>
      </w:r>
      <w:r>
        <w:t xml:space="preserve"> </w:t>
      </w:r>
      <w:r>
        <w:t xml:space="preserve">clarifying that virtual designs, animated designs, icons and graphical user interfaces are</w:t>
      </w:r>
      <w:r>
        <w:t xml:space="preserve"> </w:t>
      </w:r>
      <w:r>
        <w:t xml:space="preserve">covered by those definitions. The issue of digital designs raises the question whether they</w:t>
      </w:r>
      <w:r>
        <w:t xml:space="preserve"> </w:t>
      </w:r>
      <w:r>
        <w:t xml:space="preserve">can be understood as products and also whether their elements are covered by the design</w:t>
      </w:r>
      <w:r>
        <w:t xml:space="preserve"> </w:t>
      </w:r>
      <w:r>
        <w:t xml:space="preserve">notion (e.g. is animation a feature?).</w:t>
      </w:r>
    </w:p>
    <w:p>
      <w:pPr>
        <w:pStyle w:val="BodyText"/>
      </w:pPr>
      <w:r>
        <w:t xml:space="preserve">Also collaboration of the EUIPO and national IP offices showed that, for various types of</w:t>
      </w:r>
      <w:r>
        <w:t xml:space="preserve"> </w:t>
      </w:r>
      <w:r>
        <w:t xml:space="preserve">designs, the subject matter of protection is either not clear or interpreted differently in</w:t>
      </w:r>
      <w:r>
        <w:t xml:space="preserve"> </w:t>
      </w:r>
      <w:r>
        <w:t xml:space="preserve">different Member States. Divergent practices were noted for designs consisting of more</w:t>
      </w:r>
      <w:r>
        <w:t xml:space="preserve"> </w:t>
      </w:r>
      <w:r>
        <w:t xml:space="preserve">than one item (a set of articles) and designs relating to ‘get up’ within the notion of</w:t>
      </w:r>
      <w:r>
        <w:t xml:space="preserve"> </w:t>
      </w:r>
      <w:r>
        <w:t xml:space="preserve">product. According to the Locarno Classification (Class 32-00), the latter term “get up” is</w:t>
      </w:r>
      <w:r>
        <w:t xml:space="preserve"> </w:t>
      </w:r>
      <w:r>
        <w:t xml:space="preserve">defined as referring to, amongst others, the “arrangement of shop interiors”,</w:t>
      </w:r>
      <w:r>
        <w:t xml:space="preserve"> </w:t>
      </w:r>
      <w:r>
        <w:t xml:space="preserve">“arrangement of window displays” or “arrangement of restaurant interiors”. However, in</w:t>
      </w:r>
      <w:r>
        <w:t xml:space="preserve"> </w:t>
      </w:r>
      <w:r>
        <w:t xml:space="preserve">common parlance the term “get-up” is also used to denote the form in which a brand</w:t>
      </w:r>
      <w:r>
        <w:t xml:space="preserve"> </w:t>
      </w:r>
      <w:r>
        <w:t xml:space="preserve">owner presents its product overall, in particular the entire product packaging appearance.</w:t>
      </w:r>
      <w:r>
        <w:t xml:space="preserve"> </w:t>
      </w:r>
      <w:r>
        <w:t xml:space="preserve">This double meaning is the reason for diverging practices. Different approaches at</w:t>
      </w:r>
      <w:r>
        <w:t xml:space="preserve"> </w:t>
      </w:r>
      <w:r>
        <w:t xml:space="preserve">national level were also observed as regards the availability of design protection for</w:t>
      </w:r>
      <w:r>
        <w:t xml:space="preserve"> </w:t>
      </w:r>
      <w:r>
        <w:t xml:space="preserve">interior design (e.g. can the interior of a shop be protected as a design?). Discussions held</w:t>
      </w:r>
      <w:r>
        <w:t xml:space="preserve"> </w:t>
      </w:r>
      <w:r>
        <w:t xml:space="preserve">in liaison meetings in 2008, 2009 and 2010 showed that some Member States consider</w:t>
      </w:r>
      <w:r>
        <w:t xml:space="preserve"> </w:t>
      </w:r>
      <w:r>
        <w:t xml:space="preserve">interior design as a kind of get up.</w:t>
      </w:r>
    </w:p>
    <w:p>
      <w:pPr>
        <w:pStyle w:val="BodyText"/>
      </w:pPr>
      <w:r>
        <w:t xml:space="preserve">Proposed solution: Update and clarification of the current design and product notions to</w:t>
      </w:r>
      <w:r>
        <w:t xml:space="preserve"> </w:t>
      </w:r>
      <w:r>
        <w:t xml:space="preserve">make eligibility of protection for the various design types more explicit and transparent.</w:t>
      </w:r>
    </w:p>
    <w:p>
      <w:pPr>
        <w:pStyle w:val="BodyText"/>
      </w:pPr>
      <w:r>
        <w:t xml:space="preserve">191 Legal Rview, p. 12 and pp. 57-60.</w:t>
      </w:r>
    </w:p>
    <w:p>
      <w:pPr>
        <w:pStyle w:val="BodyText"/>
      </w:pPr>
      <w:r>
        <w:t xml:space="preserve">109</w:t>
      </w:r>
    </w:p>
    <w:p>
      <w:pPr>
        <w:pStyle w:val="BodyText"/>
      </w:pPr>
      <w:r>
        <w:t xml:space="preserve">ANNEX 11: RELATIONSHIP TO COPYRIGHT PROTECTION</w:t>
      </w:r>
      <w:r>
        <w:t xml:space="preserve"> </w:t>
      </w:r>
      <w:r>
        <w:t xml:space="preserve">Legal context</w:t>
      </w:r>
      <w:r>
        <w:t xml:space="preserve"> </w:t>
      </w:r>
      <w:r>
        <w:t xml:space="preserve">Both the DDir and the CDR address the issue of the relationship between copyright and</w:t>
      </w:r>
      <w:r>
        <w:t xml:space="preserve"> </w:t>
      </w:r>
      <w:r>
        <w:t xml:space="preserve">design protection.</w:t>
      </w:r>
      <w:r>
        <w:br/>
      </w:r>
      <w:r>
        <w:t xml:space="preserve">Shortcoming</w:t>
      </w:r>
      <w:r>
        <w:t xml:space="preserve"> </w:t>
      </w:r>
      <w:r>
        <w:t xml:space="preserve">Both the DDir and the CDR address the issue of the relationship between copyright and</w:t>
      </w:r>
      <w:r>
        <w:t xml:space="preserve"> </w:t>
      </w:r>
      <w:r>
        <w:t xml:space="preserve">design protection.192 The current regime leaves a margin of manoeuvre to Member</w:t>
      </w:r>
      <w:r>
        <w:t xml:space="preserve"> </w:t>
      </w:r>
      <w:r>
        <w:t xml:space="preserve">States193 concerning the relationship between designs and copyright. Each Member State</w:t>
      </w:r>
      <w:r>
        <w:t xml:space="preserve"> </w:t>
      </w:r>
      <w:r>
        <w:t xml:space="preserve">can determine the extent of copyright protection, and the conditions under which such</w:t>
      </w:r>
      <w:r>
        <w:t xml:space="preserve"> </w:t>
      </w:r>
      <w:r>
        <w:t xml:space="preserve">protection can be conferred. As a result, whether a protected design can receive copyright</w:t>
      </w:r>
      <w:r>
        <w:t xml:space="preserve"> </w:t>
      </w:r>
      <w:r>
        <w:t xml:space="preserve">protection may vary over time and from one Member State to another. This has led to</w:t>
      </w:r>
      <w:r>
        <w:t xml:space="preserve"> </w:t>
      </w:r>
      <w:r>
        <w:t xml:space="preserve">divergent legal practices in the Member States. Some Member States allow the</w:t>
      </w:r>
      <w:r>
        <w:t xml:space="preserve"> </w:t>
      </w:r>
      <w:r>
        <w:t xml:space="preserve">cumulation of design and copyright protection, whereas others do not allow full</w:t>
      </w:r>
      <w:r>
        <w:t xml:space="preserve"> </w:t>
      </w:r>
      <w:r>
        <w:t xml:space="preserve">cumulation or have a willingness to demarcate copyright and design protection by using</w:t>
      </w:r>
      <w:r>
        <w:t xml:space="preserve"> </w:t>
      </w:r>
      <w:r>
        <w:t xml:space="preserve">various legal tools and to lift competition barriers through preventing that copyright</w:t>
      </w:r>
      <w:r>
        <w:t xml:space="preserve"> </w:t>
      </w:r>
      <w:r>
        <w:t xml:space="preserve">encroaches on applied arts, especially as regards the functional aspects of an object.</w:t>
      </w:r>
    </w:p>
    <w:p>
      <w:pPr>
        <w:pStyle w:val="BodyText"/>
      </w:pPr>
      <w:r>
        <w:t xml:space="preserve">The divergent legal practices (e.g. principle of separability, theory of tiers, unity of art,</w:t>
      </w:r>
      <w:r>
        <w:t xml:space="preserve"> </w:t>
      </w:r>
      <w:r>
        <w:t xml:space="preserve">different interpretation of the criteria of originality) cause legal uncertainty and are a</w:t>
      </w:r>
      <w:r>
        <w:t xml:space="preserve"> </w:t>
      </w:r>
      <w:r>
        <w:t xml:space="preserve">source of confusion for the users. The legal uncertainty concerns the term of protection194</w:t>
      </w:r>
      <w:r>
        <w:t xml:space="preserve"> </w:t>
      </w:r>
      <w:r>
        <w:t xml:space="preserve">and the scope of protection195, including the geographical scope of protection. As a</w:t>
      </w:r>
      <w:r>
        <w:t xml:space="preserve"> </w:t>
      </w:r>
      <w:r>
        <w:t xml:space="preserve">result, it may happen under the current law that a product can no longer be protected</w:t>
      </w:r>
      <w:r>
        <w:t xml:space="preserve"> </w:t>
      </w:r>
      <w:r>
        <w:t xml:space="preserve">under design law in a Member State but still receive copyright protection in another</w:t>
      </w:r>
      <w:r>
        <w:t xml:space="preserve"> </w:t>
      </w:r>
      <w:r>
        <w:t xml:space="preserve">Member States. This can affect the free circulation of products in the single market: for</w:t>
      </w:r>
    </w:p>
    <w:p>
      <w:pPr>
        <w:pStyle w:val="BodyText"/>
      </w:pPr>
      <w:r>
        <w:t xml:space="preserve">192 Article 17 of the DDir: “A design protected by a design right registered in or in respect of a Member</w:t>
      </w:r>
      <w:r>
        <w:t xml:space="preserve"> </w:t>
      </w:r>
      <w:r>
        <w:t xml:space="preserve">State in accordance with this Directive shall also be eligible for protection under the law of copyright of</w:t>
      </w:r>
      <w:r>
        <w:t xml:space="preserve"> </w:t>
      </w:r>
      <w:r>
        <w:t xml:space="preserve">that State as from the date on which the design was created or fixed in any form. The extent to which, and</w:t>
      </w:r>
      <w:r>
        <w:t xml:space="preserve"> </w:t>
      </w:r>
      <w:r>
        <w:t xml:space="preserve">the conditions under which, such a protection is conferred, including the level of originality required, shall</w:t>
      </w:r>
      <w:r>
        <w:t xml:space="preserve"> </w:t>
      </w:r>
      <w:r>
        <w:t xml:space="preserve">be determined by each Member State”.</w:t>
      </w:r>
      <w:r>
        <w:t xml:space="preserve"> </w:t>
      </w:r>
      <w:r>
        <w:t xml:space="preserve">Recital 8 of the DDir: “Whereas, in the absence of harmonisation of copyright law, it is important to</w:t>
      </w:r>
      <w:r>
        <w:t xml:space="preserve"> </w:t>
      </w:r>
      <w:r>
        <w:t xml:space="preserve">establish the principle of cumulation of protection under specific registered design protection law and</w:t>
      </w:r>
      <w:r>
        <w:t xml:space="preserve"> </w:t>
      </w:r>
      <w:r>
        <w:t xml:space="preserve">under copyright law, whilst leaving Member States free to establish the extent of copyright protection and</w:t>
      </w:r>
      <w:r>
        <w:t xml:space="preserve"> </w:t>
      </w:r>
      <w:r>
        <w:t xml:space="preserve">the conditions under which such protection is conferred”.</w:t>
      </w:r>
      <w:r>
        <w:t xml:space="preserve"> </w:t>
      </w:r>
      <w:r>
        <w:t xml:space="preserve">Article 96(2) of the CDR: “A design protected by a Community design shall also be eligible for protection</w:t>
      </w:r>
      <w:r>
        <w:t xml:space="preserve"> </w:t>
      </w:r>
      <w:r>
        <w:t xml:space="preserve">under the law of copyright of Member States as from the date on which the design was created or fixed in</w:t>
      </w:r>
      <w:r>
        <w:t xml:space="preserve"> </w:t>
      </w:r>
      <w:r>
        <w:t xml:space="preserve">any form. The extent to which, and the conditions under which, such a protection is conferred, including</w:t>
      </w:r>
      <w:r>
        <w:t xml:space="preserve"> </w:t>
      </w:r>
      <w:r>
        <w:t xml:space="preserve">the level of originality required, shall be determined by each Member State”.</w:t>
      </w:r>
      <w:r>
        <w:t xml:space="preserve"> </w:t>
      </w:r>
      <w:r>
        <w:t xml:space="preserve">Recital 32 of the CDR: “In the absence of the complete harmonisation of copyright law, it is important to</w:t>
      </w:r>
      <w:r>
        <w:t xml:space="preserve"> </w:t>
      </w:r>
      <w:r>
        <w:t xml:space="preserve">establish the principle of cumulation of protection under the Community design and under copyright law,</w:t>
      </w:r>
      <w:r>
        <w:t xml:space="preserve"> </w:t>
      </w:r>
      <w:r>
        <w:t xml:space="preserve">whilst leaving Member States free to establish the extent of copyright protection and the conditions under</w:t>
      </w:r>
      <w:r>
        <w:t xml:space="preserve"> </w:t>
      </w:r>
      <w:r>
        <w:t xml:space="preserve">which such protection is conferred.”</w:t>
      </w:r>
      <w:r>
        <w:t xml:space="preserve"> </w:t>
      </w:r>
      <w:r>
        <w:t xml:space="preserve">193 As stated above, each Member State can determine the extent of copyright protection, and the</w:t>
      </w:r>
      <w:r>
        <w:t xml:space="preserve"> </w:t>
      </w:r>
      <w:r>
        <w:t xml:space="preserve">conditions under which such protection can be conferred.</w:t>
      </w:r>
      <w:r>
        <w:t xml:space="preserve"> </w:t>
      </w:r>
      <w:r>
        <w:t xml:space="preserve">194 More than 70 years for copyright-protected products against up to 25 years for design-protected</w:t>
      </w:r>
      <w:r>
        <w:t xml:space="preserve"> </w:t>
      </w:r>
      <w:r>
        <w:t xml:space="preserve">products. The term of copyright protection is 70 years after the death of the author. (Directive 2006/116 on</w:t>
      </w:r>
      <w:r>
        <w:t xml:space="preserve"> </w:t>
      </w:r>
      <w:r>
        <w:t xml:space="preserve">on the term of protection of copyright and certain related rights) https://eur-lex.europa.eu/legal-</w:t>
      </w:r>
      <w:r>
        <w:t xml:space="preserve"> </w:t>
      </w:r>
      <w:r>
        <w:t xml:space="preserve">content/EN/TXT/PDF/?uri=CELEX:32006L0116&amp;from=EN.</w:t>
      </w:r>
      <w:r>
        <w:br/>
      </w:r>
      <w:r>
        <w:t xml:space="preserve">195 The scope of the rights are not the same in copyright and in design law.</w:t>
      </w:r>
    </w:p>
    <w:p>
      <w:pPr>
        <w:pStyle w:val="BodyText"/>
      </w:pPr>
      <w:r>
        <w:t xml:space="preserve">110</w:t>
      </w:r>
    </w:p>
    <w:p>
      <w:pPr>
        <w:pStyle w:val="BodyText"/>
      </w:pPr>
      <w:r>
        <w:t xml:space="preserve">instance, a bike could be freely copied and distributed in Belgium, but would still be</w:t>
      </w:r>
      <w:r>
        <w:t xml:space="preserve"> </w:t>
      </w:r>
      <w:r>
        <w:t xml:space="preserve">protected in France due to the different legal practices.</w:t>
      </w:r>
    </w:p>
    <w:p>
      <w:pPr>
        <w:pStyle w:val="BodyText"/>
      </w:pPr>
      <w:r>
        <w:t xml:space="preserve">The results of the public consultation held between 29 April and 22 July 2021 confirm</w:t>
      </w:r>
      <w:r>
        <w:t xml:space="preserve"> </w:t>
      </w:r>
      <w:r>
        <w:t xml:space="preserve">that stakeholders believe that the most relevant problem to solve is the divergence in</w:t>
      </w:r>
      <w:r>
        <w:t xml:space="preserve"> </w:t>
      </w:r>
      <w:r>
        <w:t xml:space="preserve">Member States’ legal practices. As regards the question whether or not there is an</w:t>
      </w:r>
      <w:r>
        <w:t xml:space="preserve"> </w:t>
      </w:r>
      <w:r>
        <w:t xml:space="preserve">overlap between copyright and design protection, which make the choice difficult,</w:t>
      </w:r>
      <w:r>
        <w:t xml:space="preserve"> </w:t>
      </w:r>
      <w:r>
        <w:t xml:space="preserve">stakeholders’ views were diverging, but more stakeholders considers that the overlap</w:t>
      </w:r>
      <w:r>
        <w:t xml:space="preserve"> </w:t>
      </w:r>
      <w:r>
        <w:t xml:space="preserve">does not make the choice difficult.</w:t>
      </w:r>
    </w:p>
    <w:p>
      <w:pPr>
        <w:pStyle w:val="BodyText"/>
      </w:pPr>
      <w:r>
        <w:t xml:space="preserve">Almost 2/3 of the stakeholders do not consider the concern serious that potential right</w:t>
      </w:r>
      <w:r>
        <w:t xml:space="preserve"> </w:t>
      </w:r>
      <w:r>
        <w:t xml:space="preserve">holders opt for copyright protection instead of design protection, to such a degree that the</w:t>
      </w:r>
      <w:r>
        <w:t xml:space="preserve"> </w:t>
      </w:r>
      <w:r>
        <w:t xml:space="preserve">design regime runs void. They do not consider the concern serious either that the</w:t>
      </w:r>
      <w:r>
        <w:t xml:space="preserve"> </w:t>
      </w:r>
      <w:r>
        <w:t xml:space="preserve">conditions for granting copyright protection in addition to design protection leads to</w:t>
      </w:r>
      <w:r>
        <w:t xml:space="preserve"> </w:t>
      </w:r>
      <w:r>
        <w:t xml:space="preserve">overreach of protection and distortion of competition.</w:t>
      </w:r>
    </w:p>
    <w:p>
      <w:pPr>
        <w:pStyle w:val="BodyText"/>
      </w:pPr>
      <w:r>
        <w:t xml:space="preserve">However, almost 2/3 of the stakeholders consider that there should be changes to the</w:t>
      </w:r>
      <w:r>
        <w:t xml:space="preserve"> </w:t>
      </w:r>
      <w:r>
        <w:t xml:space="preserve">current rules in the EU on the relationship between design and copyright protection in</w:t>
      </w:r>
      <w:r>
        <w:t xml:space="preserve"> </w:t>
      </w:r>
      <w:r>
        <w:t xml:space="preserve">order to remove the margin of discretion for Member States to determine conditions for</w:t>
      </w:r>
      <w:r>
        <w:t xml:space="preserve"> </w:t>
      </w:r>
      <w:r>
        <w:t xml:space="preserve">copyright protection. Stakeholders consider that the removal of the margin of discretion</w:t>
      </w:r>
      <w:r>
        <w:t xml:space="preserve"> </w:t>
      </w:r>
      <w:r>
        <w:t xml:space="preserve">for Member States is necessary due to the recent CJEU case law, which clarified some</w:t>
      </w:r>
      <w:r>
        <w:t xml:space="preserve"> </w:t>
      </w:r>
      <w:r>
        <w:t xml:space="preserve">key aspects of the copyright and design interface, creating sufficient clarity for Member</w:t>
      </w:r>
      <w:r>
        <w:t xml:space="preserve"> </w:t>
      </w:r>
      <w:r>
        <w:t xml:space="preserve">States to harmonise their legal practices.</w:t>
      </w:r>
    </w:p>
    <w:p>
      <w:pPr>
        <w:pStyle w:val="BodyText"/>
      </w:pPr>
      <w:r>
        <w:t xml:space="preserve">Although this margin of manoeuvre for Member States appeared justified at the time of</w:t>
      </w:r>
      <w:r>
        <w:t xml:space="preserve"> </w:t>
      </w:r>
      <w:r>
        <w:t xml:space="preserve">the adoption of the Directive and the Regulation in the 1990s, this does not seem to be</w:t>
      </w:r>
      <w:r>
        <w:br/>
      </w:r>
      <w:r>
        <w:t xml:space="preserve">longer the case. EU copyright law, including the notions of work and originality, has</w:t>
      </w:r>
      <w:r>
        <w:t xml:space="preserve"> </w:t>
      </w:r>
      <w:r>
        <w:t xml:space="preserve">been extensively harmonised. The harmonisation started with the enactment of the</w:t>
      </w:r>
      <w:r>
        <w:t xml:space="preserve"> </w:t>
      </w:r>
      <w:r>
        <w:t xml:space="preserve">Infosoc Directive (2001/29/EC) and the prohibition therein of reproduction of the works</w:t>
      </w:r>
      <w:r>
        <w:t xml:space="preserve"> </w:t>
      </w:r>
      <w:r>
        <w:t xml:space="preserve">of authors, and continued through the evolution of the CJEU case law196. The CJEU</w:t>
      </w:r>
      <w:r>
        <w:t xml:space="preserve"> </w:t>
      </w:r>
      <w:r>
        <w:t xml:space="preserve">found that the ‘notion of work’ is an autonomous concept of EU law that needs to be</w:t>
      </w:r>
      <w:r>
        <w:t xml:space="preserve"> </w:t>
      </w:r>
      <w:r>
        <w:t xml:space="preserve">interpreted and applied uniformly and this puts into question indeed whether the margin</w:t>
      </w:r>
      <w:r>
        <w:t xml:space="preserve"> </w:t>
      </w:r>
      <w:r>
        <w:t xml:space="preserve">of manoeuvre currently left to the Member States remains justified.</w:t>
      </w:r>
    </w:p>
    <w:p>
      <w:pPr>
        <w:pStyle w:val="BodyText"/>
      </w:pPr>
      <w:r>
        <w:t xml:space="preserve">The judgements in the cases Flos197, Cofemel198, and Brompton199 also helped clarify the</w:t>
      </w:r>
      <w:r>
        <w:t xml:space="preserve"> </w:t>
      </w:r>
      <w:r>
        <w:t xml:space="preserve">relationship between copyright and design law through further clarifying the notion of</w:t>
      </w:r>
      <w:r>
        <w:t xml:space="preserve"> </w:t>
      </w:r>
      <w:r>
        <w:t xml:space="preserve">work.</w:t>
      </w:r>
    </w:p>
    <w:p>
      <w:pPr>
        <w:pStyle w:val="BodyText"/>
      </w:pPr>
      <w:r>
        <w:t xml:space="preserve">196 The case law (starting with CJEU Case C-302/10 Infopaq) found that a work eligible for copyright</w:t>
      </w:r>
      <w:r>
        <w:t xml:space="preserve"> </w:t>
      </w:r>
      <w:r>
        <w:t xml:space="preserve">protection has to be an author’s individual creation, resulting from free creative choices and reflecting the</w:t>
      </w:r>
      <w:r>
        <w:t xml:space="preserve"> </w:t>
      </w:r>
      <w:r>
        <w:t xml:space="preserve">personality of the author. Furthermore, the case law also established that no protection applies when the</w:t>
      </w:r>
      <w:r>
        <w:t xml:space="preserve"> </w:t>
      </w:r>
      <w:r>
        <w:t xml:space="preserve">object is dictated solely by technical considerations, rules or constraints, which leave no room for creative</w:t>
      </w:r>
      <w:r>
        <w:t xml:space="preserve"> </w:t>
      </w:r>
      <w:r>
        <w:t xml:space="preserve">freedom and the subject matter is to be expressed in a manner, which makes it identifiable with sufficient</w:t>
      </w:r>
      <w:r>
        <w:t xml:space="preserve"> </w:t>
      </w:r>
      <w:r>
        <w:t xml:space="preserve">precision and objectivity. It was unclear for some time whether those criteria also determine protection to</w:t>
      </w:r>
      <w:r>
        <w:t xml:space="preserve"> </w:t>
      </w:r>
      <w:r>
        <w:t xml:space="preserve">be granted to works of applied art.</w:t>
      </w:r>
      <w:r>
        <w:br/>
      </w:r>
      <w:r>
        <w:t xml:space="preserve">197 Judgment of the Court, 27.1.2011, Flos, C-168/09, ECLI:EU:C:2011:29.</w:t>
      </w:r>
      <w:r>
        <w:br/>
      </w:r>
      <w:r>
        <w:t xml:space="preserve">198 Judgment of the Court, 12.9.2019, Cofemel, C-683/17, ECLI:EU:C:2019:721.</w:t>
      </w:r>
      <w:r>
        <w:t xml:space="preserve"> </w:t>
      </w:r>
      <w:r>
        <w:t xml:space="preserve">199 Judgment of the Court, 11.6.2020, Brompton Bicycle, C-833/18, ECLI:EU:C:2020:461.</w:t>
      </w:r>
    </w:p>
    <w:p>
      <w:pPr>
        <w:pStyle w:val="BodyText"/>
      </w:pPr>
      <w:r>
        <w:t xml:space="preserve">111</w:t>
      </w:r>
    </w:p>
    <w:p>
      <w:pPr>
        <w:pStyle w:val="BodyText"/>
      </w:pPr>
      <w:r>
        <w:t xml:space="preserve">In its Flos decision, the CJEU clarified that Member States cannot exclude, not even for a</w:t>
      </w:r>
      <w:r>
        <w:t xml:space="preserve"> </w:t>
      </w:r>
      <w:r>
        <w:t xml:space="preserve">certain period, copyright protection for designs. This decision has triggered changes in</w:t>
      </w:r>
      <w:r>
        <w:t xml:space="preserve"> </w:t>
      </w:r>
      <w:r>
        <w:t xml:space="preserve">some national law or case law, widening the copyright protection for works of applied art</w:t>
      </w:r>
      <w:r>
        <w:t xml:space="preserve"> </w:t>
      </w:r>
      <w:r>
        <w:t xml:space="preserve">and the possible overlap with design law.</w:t>
      </w:r>
      <w:r>
        <w:br/>
      </w:r>
      <w:r>
        <w:t xml:space="preserve">In its recent Cofemel decision, the CJEU decided that cumulative application of copyright</w:t>
      </w:r>
      <w:r>
        <w:t xml:space="preserve"> </w:t>
      </w:r>
      <w:r>
        <w:t xml:space="preserve">and design protection can be envisaged only in certain situations (i.e. no total cumulation</w:t>
      </w:r>
      <w:r>
        <w:t xml:space="preserve"> </w:t>
      </w:r>
      <w:r>
        <w:t xml:space="preserve">is possible), with this limiting the possible overlap. The CJEU highlighted the differences</w:t>
      </w:r>
      <w:r>
        <w:t xml:space="preserve"> </w:t>
      </w:r>
      <w:r>
        <w:t xml:space="preserve">between copyright and design law, emphasising that design law aims at protecting</w:t>
      </w:r>
      <w:r>
        <w:t xml:space="preserve"> </w:t>
      </w:r>
      <w:r>
        <w:t xml:space="preserve">“subject matter which, while being new and distinctive, is functional and liable to be</w:t>
      </w:r>
      <w:r>
        <w:t xml:space="preserve"> </w:t>
      </w:r>
      <w:r>
        <w:t xml:space="preserve">mass-produced”. The term of protection is therefore limited, but sufficient period to</w:t>
      </w:r>
      <w:r>
        <w:t xml:space="preserve"> </w:t>
      </w:r>
      <w:r>
        <w:t xml:space="preserve">ensure a return on the investment in creating designs without excessively restricting</w:t>
      </w:r>
      <w:r>
        <w:t xml:space="preserve"> </w:t>
      </w:r>
      <w:r>
        <w:t xml:space="preserve">competition. While copyright protection is reserved to subject matters that merit being</w:t>
      </w:r>
      <w:r>
        <w:t xml:space="preserve"> </w:t>
      </w:r>
      <w:r>
        <w:t xml:space="preserve">classified as works and the duration of works is significantly longer. In contrast, the</w:t>
      </w:r>
      <w:r>
        <w:t xml:space="preserve"> </w:t>
      </w:r>
      <w:r>
        <w:t xml:space="preserve">purpose of copyright law, from an economic perspective, is not to prevent restriction of</w:t>
      </w:r>
      <w:r>
        <w:t xml:space="preserve"> </w:t>
      </w:r>
      <w:r>
        <w:t xml:space="preserve">competition but rather to facilitate the economic exploitation of the work, which justifies</w:t>
      </w:r>
      <w:r>
        <w:t xml:space="preserve"> </w:t>
      </w:r>
      <w:r>
        <w:t xml:space="preserve">its longer term of protection. The CJEU stressed that copyright protection on a design</w:t>
      </w:r>
      <w:r>
        <w:t xml:space="preserve"> </w:t>
      </w:r>
      <w:r>
        <w:t xml:space="preserve">cannot lead to that the respective objective or effectiveness of the two regimes are</w:t>
      </w:r>
      <w:r>
        <w:t xml:space="preserve"> </w:t>
      </w:r>
      <w:r>
        <w:t xml:space="preserve">undermined. Building on the respective objective and rules of design and copyright law,</w:t>
      </w:r>
      <w:r>
        <w:t xml:space="preserve"> </w:t>
      </w:r>
      <w:r>
        <w:t xml:space="preserve">the CJEU concluded that cumulative protection may only “be envisaged in certain</w:t>
      </w:r>
      <w:r>
        <w:t xml:space="preserve"> </w:t>
      </w:r>
      <w:r>
        <w:t xml:space="preserve">situations” (Point 52) and the decision identified certain situations in which the</w:t>
      </w:r>
      <w:r>
        <w:t xml:space="preserve"> </w:t>
      </w:r>
      <w:r>
        <w:t xml:space="preserve">cumulative protection may not apply. The CJEU precludes national legislation from</w:t>
      </w:r>
      <w:r>
        <w:t xml:space="preserve"> </w:t>
      </w:r>
      <w:r>
        <w:t xml:space="preserve">conferring copyright protection to designs purely on the ground that, “over and above</w:t>
      </w:r>
      <w:r>
        <w:t xml:space="preserve"> </w:t>
      </w:r>
      <w:r>
        <w:t xml:space="preserve">their practical purpose, they generate a specific, aesthetically significant visual effect”.</w:t>
      </w:r>
      <w:r>
        <w:t xml:space="preserve"> </w:t>
      </w:r>
      <w:r>
        <w:t xml:space="preserve">This follows from the reasoning that the aesthetic effect is the result of an “intrinsically</w:t>
      </w:r>
      <w:r>
        <w:t xml:space="preserve"> </w:t>
      </w:r>
      <w:r>
        <w:t xml:space="preserve">subjective sensation of beauty experienced by each individual” and thus it does not equal</w:t>
      </w:r>
      <w:r>
        <w:t xml:space="preserve"> </w:t>
      </w:r>
      <w:r>
        <w:t xml:space="preserve">to originality, which is one of the two preconditions to qualify for copyright protection.</w:t>
      </w:r>
      <w:r>
        <w:t xml:space="preserve"> </w:t>
      </w:r>
      <w:r>
        <w:t xml:space="preserve">In the end, the criterion of the author’s “own intellectual creation reflecting its freedom</w:t>
      </w:r>
      <w:r>
        <w:t xml:space="preserve"> </w:t>
      </w:r>
      <w:r>
        <w:t xml:space="preserve">of choice and personality” remains the criterion for originality to be taken into account.</w:t>
      </w:r>
      <w:r>
        <w:br/>
      </w:r>
      <w:r>
        <w:t xml:space="preserve">In its recent Brompton decision, the CJEU concluded that the shape of a product which is</w:t>
      </w:r>
      <w:r>
        <w:t xml:space="preserve"> </w:t>
      </w:r>
      <w:r>
        <w:t xml:space="preserve">is solely dictated by its technical function cannot be covered by copyright protection and</w:t>
      </w:r>
      <w:r>
        <w:t xml:space="preserve"> </w:t>
      </w:r>
      <w:r>
        <w:t xml:space="preserve">it is for the courts to decide whether the author, through choice of the shape has</w:t>
      </w:r>
      <w:r>
        <w:t xml:space="preserve"> </w:t>
      </w:r>
      <w:r>
        <w:t xml:space="preserve">expressed his creative ability in an original manner by making free and creative choices</w:t>
      </w:r>
      <w:r>
        <w:t xml:space="preserve"> </w:t>
      </w:r>
      <w:r>
        <w:t xml:space="preserve">and has designed the product in such a way that it reflects his personality200.</w:t>
      </w:r>
    </w:p>
    <w:p>
      <w:pPr>
        <w:pStyle w:val="BodyText"/>
      </w:pPr>
      <w:r>
        <w:t xml:space="preserve">Proposed solution</w:t>
      </w:r>
    </w:p>
    <w:p>
      <w:pPr>
        <w:pStyle w:val="BodyText"/>
      </w:pPr>
      <w:r>
        <w:t xml:space="preserve">Due to the above recent developments in the CJEU case law, the current provisions are</w:t>
      </w:r>
      <w:r>
        <w:t xml:space="preserve"> </w:t>
      </w:r>
      <w:r>
        <w:t xml:space="preserve">proposed to be maintained except for the margin of manoeuvre left to Member States as</w:t>
      </w:r>
      <w:r>
        <w:t xml:space="preserve"> </w:t>
      </w:r>
      <w:r>
        <w:t xml:space="preserve">regards the conditions under which copyright protection can be conferred. This would</w:t>
      </w:r>
    </w:p>
    <w:p>
      <w:pPr>
        <w:pStyle w:val="BodyText"/>
      </w:pPr>
      <w:r>
        <w:t xml:space="preserve">200 “copyright protection applies to a product whose shape is, at least in part, necessary to obtain a</w:t>
      </w:r>
      <w:r>
        <w:t xml:space="preserve"> </w:t>
      </w:r>
      <w:r>
        <w:t xml:space="preserve">technical result, where that product is an original work resulting from intellectual creation, in that,</w:t>
      </w:r>
      <w:r>
        <w:t xml:space="preserve"> </w:t>
      </w:r>
      <w:r>
        <w:t xml:space="preserve">through that shape, its author expresses his creative ability in an original manner by making free and</w:t>
      </w:r>
      <w:r>
        <w:t xml:space="preserve"> </w:t>
      </w:r>
      <w:r>
        <w:t xml:space="preserve">creative choices in such a way that that shape reflects his personality, which it is for the national court to</w:t>
      </w:r>
      <w:r>
        <w:t xml:space="preserve"> </w:t>
      </w:r>
      <w:r>
        <w:t xml:space="preserve">verify, bearing in mind all the relevant aspects of the dispute in the main proceedings”.</w:t>
      </w:r>
    </w:p>
    <w:p>
      <w:pPr>
        <w:pStyle w:val="BodyText"/>
      </w:pPr>
      <w:r>
        <w:t xml:space="preserve">112</w:t>
      </w:r>
    </w:p>
    <w:p>
      <w:pPr>
        <w:pStyle w:val="BodyText"/>
      </w:pPr>
      <w:r>
        <w:t xml:space="preserve">maintain the possibility to protect a design under both design law and copyright law.</w:t>
      </w:r>
      <w:r>
        <w:t xml:space="preserve"> </w:t>
      </w:r>
      <w:r>
        <w:t xml:space="preserve">However, the margin of discretion left to Member States would be removed. The extent</w:t>
      </w:r>
      <w:r>
        <w:t xml:space="preserve"> </w:t>
      </w:r>
      <w:r>
        <w:t xml:space="preserve">to which, and the conditions under which, copyright protection can be conferred,</w:t>
      </w:r>
      <w:r>
        <w:t xml:space="preserve"> </w:t>
      </w:r>
      <w:r>
        <w:t xml:space="preserve">including the level of originality, should have to comply with Directive 2001/29/EC as</w:t>
      </w:r>
      <w:r>
        <w:t xml:space="preserve"> </w:t>
      </w:r>
      <w:r>
        <w:t xml:space="preserve">interpreted by the CJEU. This would mean in practice that Member States will not be</w:t>
      </w:r>
      <w:r>
        <w:t xml:space="preserve"> </w:t>
      </w:r>
      <w:r>
        <w:t xml:space="preserve">able to include in their national law specific conditions (as for instance a higher level of</w:t>
      </w:r>
      <w:r>
        <w:t xml:space="preserve"> </w:t>
      </w:r>
      <w:r>
        <w:t xml:space="preserve">originality) to allow copyright protection for design.</w:t>
      </w:r>
    </w:p>
    <w:p>
      <w:pPr>
        <w:pStyle w:val="BodyText"/>
      </w:pPr>
      <w:r>
        <w:t xml:space="preserve">113</w:t>
      </w:r>
    </w:p>
    <w:p>
      <w:pPr>
        <w:pStyle w:val="BodyText"/>
      </w:pPr>
      <w:r>
        <w:t xml:space="preserve">ANNEX 12: AWARENESS RAISING ACTIVITIES</w:t>
      </w:r>
      <w:r>
        <w:t xml:space="preserve"> </w:t>
      </w:r>
      <w:r>
        <w:t xml:space="preserve">This annex presents the rationale for not including the lack of awareness as a problem</w:t>
      </w:r>
      <w:r>
        <w:t xml:space="preserve"> </w:t>
      </w:r>
      <w:r>
        <w:t xml:space="preserve">driver in this impact assessment report.</w:t>
      </w:r>
      <w:r>
        <w:br/>
      </w:r>
      <w:r>
        <w:t xml:space="preserve">Awareness of intellectual property (IP) rights is not an issue particular to designs, but</w:t>
      </w:r>
      <w:r>
        <w:t xml:space="preserve"> </w:t>
      </w:r>
      <w:r>
        <w:t xml:space="preserve">rather one cutting across the entire portfolio of IP rights. The Commission started to act</w:t>
      </w:r>
      <w:r>
        <w:t xml:space="preserve"> </w:t>
      </w:r>
      <w:r>
        <w:t xml:space="preserve">on designs awareness already during the stage of evaluation of the DDir and CDR,</w:t>
      </w:r>
      <w:r>
        <w:t xml:space="preserve"> </w:t>
      </w:r>
      <w:r>
        <w:t xml:space="preserve">instantly after the problem had been identified.</w:t>
      </w:r>
      <w:r>
        <w:t xml:space="preserve"> </w:t>
      </w:r>
      <w:r>
        <w:t xml:space="preserve">In line with proportionality, it was concluded that significant awareness building actions</w:t>
      </w:r>
      <w:r>
        <w:t xml:space="preserve"> </w:t>
      </w:r>
      <w:r>
        <w:t xml:space="preserve">could be conducted within the current legal/institutional framework – notably through the</w:t>
      </w:r>
      <w:r>
        <w:t xml:space="preserve"> </w:t>
      </w:r>
      <w:r>
        <w:t xml:space="preserve">EUIPO which has it as part of the mandate as well as sufficient resources and, last but</w:t>
      </w:r>
      <w:r>
        <w:t xml:space="preserve"> </w:t>
      </w:r>
      <w:r>
        <w:t xml:space="preserve">not least, the relevant experience.</w:t>
      </w:r>
      <w:r>
        <w:t xml:space="preserve"> </w:t>
      </w:r>
      <w:r>
        <w:t xml:space="preserve">EUIPO actions include promotion of both trade marks and designs. They include among</w:t>
      </w:r>
      <w:r>
        <w:t xml:space="preserve"> </w:t>
      </w:r>
      <w:r>
        <w:t xml:space="preserve">others:</w:t>
      </w:r>
      <w:r>
        <w:br/>
      </w:r>
      <w:r>
        <w:t xml:space="preserve"> User friendly websites; trainings on IP tools; trainings for IP advisors;</w:t>
      </w:r>
      <w:r>
        <w:t xml:space="preserve"> </w:t>
      </w:r>
      <w:r>
        <w:t xml:space="preserve">empowering SMEs across and beyond the EU to protect and enforce their</w:t>
      </w:r>
      <w:r>
        <w:t xml:space="preserve"> </w:t>
      </w:r>
      <w:r>
        <w:t xml:space="preserve">competitive advantage through IP rights (budget of almost EUR 50m in the</w:t>
      </w:r>
      <w:r>
        <w:t xml:space="preserve"> </w:t>
      </w:r>
      <w:r>
        <w:t xml:space="preserve">coming three years);</w:t>
      </w:r>
      <w:r>
        <w:t xml:space="preserve"> </w:t>
      </w:r>
      <w:r>
        <w:t xml:space="preserve"> Grants for awareness raising (EUR 0.4m in 2021); Pan European Awareness</w:t>
      </w:r>
      <w:r>
        <w:t xml:space="preserve"> </w:t>
      </w:r>
      <w:r>
        <w:t xml:space="preserve">Campaign,</w:t>
      </w:r>
      <w:r>
        <w:t xml:space="preserve"> </w:t>
      </w:r>
      <w:r>
        <w:t xml:space="preserve">World</w:t>
      </w:r>
      <w:r>
        <w:t xml:space="preserve"> </w:t>
      </w:r>
      <w:r>
        <w:t xml:space="preserve">Anti-Counterfeiting</w:t>
      </w:r>
      <w:r>
        <w:t xml:space="preserve"> </w:t>
      </w:r>
      <w:r>
        <w:t xml:space="preserve">Day</w:t>
      </w:r>
      <w:r>
        <w:t xml:space="preserve"> </w:t>
      </w:r>
      <w:r>
        <w:t xml:space="preserve">2021</w:t>
      </w:r>
      <w:r>
        <w:t xml:space="preserve"> </w:t>
      </w:r>
      <w:r>
        <w:t xml:space="preserve">(EUR</w:t>
      </w:r>
      <w:r>
        <w:t xml:space="preserve"> </w:t>
      </w:r>
      <w:r>
        <w:t xml:space="preserve">0.25m),</w:t>
      </w:r>
      <w:r>
        <w:t xml:space="preserve"> </w:t>
      </w:r>
      <w:r>
        <w:t xml:space="preserve">DesignEurope awards 2021 (EUR 0.49m);</w:t>
      </w:r>
      <w:r>
        <w:t xml:space="preserve"> </w:t>
      </w:r>
      <w:r>
        <w:t xml:space="preserve"> In addition, as announced in the EU IP Action plan, the Commission and the</w:t>
      </w:r>
      <w:r>
        <w:t xml:space="preserve"> </w:t>
      </w:r>
      <w:r>
        <w:t xml:space="preserve">EUIPO will set up a platform accompanied with a coordination and capacity-</w:t>
      </w:r>
      <w:r>
        <w:t xml:space="preserve"> </w:t>
      </w:r>
      <w:r>
        <w:t xml:space="preserve">building mechanism, which will be linked to the Your Europe Portal. It will</w:t>
      </w:r>
      <w:r>
        <w:t xml:space="preserve"> </w:t>
      </w:r>
      <w:r>
        <w:t xml:space="preserve">be a one-stop-shop access to all relevant information and advice on existing</w:t>
      </w:r>
      <w:r>
        <w:t xml:space="preserve"> </w:t>
      </w:r>
      <w:r>
        <w:t xml:space="preserve">intellectual property protection and enforcement services for EU SMEs (e.g. </w:t>
      </w:r>
      <w:r>
        <w:t xml:space="preserve"> </w:t>
      </w:r>
      <w:r>
        <w:t xml:space="preserve">formalities, easy-to-use filing systems), including also information on</w:t>
      </w:r>
      <w:r>
        <w:t xml:space="preserve"> </w:t>
      </w:r>
      <w:r>
        <w:t xml:space="preserve">industrial designs. The platform will mainstream the work of national IP</w:t>
      </w:r>
      <w:r>
        <w:t xml:space="preserve"> </w:t>
      </w:r>
      <w:r>
        <w:t xml:space="preserve">offices on IP promotion and awareness activities as well as on the provision</w:t>
      </w:r>
      <w:r>
        <w:t xml:space="preserve"> </w:t>
      </w:r>
      <w:r>
        <w:t xml:space="preserve">of IP-related services. It will also direct SMEs to the programmes existing at</w:t>
      </w:r>
      <w:r>
        <w:t xml:space="preserve"> </w:t>
      </w:r>
      <w:r>
        <w:t xml:space="preserve">EU level. The tentative launch date is 2022.</w:t>
      </w:r>
      <w:r>
        <w:t xml:space="preserve"> </w:t>
      </w:r>
      <w:r>
        <w:t xml:space="preserve">These are relatively new developments and awareness building is a long process and it</w:t>
      </w:r>
      <w:r>
        <w:t xml:space="preserve"> </w:t>
      </w:r>
      <w:r>
        <w:t xml:space="preserve">will take some time before results are seen. The proposed legal reform (including among</w:t>
      </w:r>
      <w:r>
        <w:t xml:space="preserve"> </w:t>
      </w:r>
      <w:r>
        <w:t xml:space="preserve">others the renaming to “EU design” and introduction of a registration symbol201), and</w:t>
      </w:r>
      <w:r>
        <w:t xml:space="preserve"> </w:t>
      </w:r>
      <w:r>
        <w:t xml:space="preserve">related media communication, would put designs more in the spotlight and assist in</w:t>
      </w:r>
      <w:r>
        <w:t xml:space="preserve"> </w:t>
      </w:r>
      <w:r>
        <w:t xml:space="preserve">raising awareness further. The Commission should monitor the impact of all these new</w:t>
      </w:r>
      <w:r>
        <w:t xml:space="preserve"> </w:t>
      </w:r>
      <w:r>
        <w:t xml:space="preserve">actions.</w:t>
      </w:r>
    </w:p>
    <w:p>
      <w:pPr>
        <w:pStyle w:val="BodyText"/>
      </w:pPr>
      <w:r>
        <w:t xml:space="preserve">201 There is currently no commonly accepted symbol, such as the copyright notice © to indicate the fact</w:t>
      </w:r>
      <w:r>
        <w:t xml:space="preserve"> </w:t>
      </w:r>
      <w:r>
        <w:t xml:space="preserve">that a product incorporates a RCD or a registered national design. For marketing purposes, it could prove</w:t>
      </w:r>
      <w:r>
        <w:t xml:space="preserve"> </w:t>
      </w:r>
      <w:r>
        <w:t xml:space="preserve">valuable in particular for SMEs and individual designers to have a commonly accepted notice available. In</w:t>
      </w:r>
      <w:r>
        <w:t xml:space="preserve"> </w:t>
      </w:r>
      <w:r>
        <w:t xml:space="preserve">response to the Second Public Consultation, 72% of the stakeholders considered the introduction of a</w:t>
      </w:r>
      <w:r>
        <w:t xml:space="preserve"> </w:t>
      </w:r>
      <w:r>
        <w:t xml:space="preserve">commonly recognized registration symbol a suitable means to raise awareness about the EU design system.</w:t>
      </w:r>
    </w:p>
    <w:p>
      <w:pPr>
        <w:pStyle w:val="BodyText"/>
      </w:pPr>
      <w:r>
        <w:t xml:space="preserve">114</w:t>
      </w:r>
    </w:p>
    <w:p>
      <w:pPr>
        <w:pStyle w:val="BodyText"/>
      </w:pPr>
      <w:r>
        <w:t xml:space="preserve">ANNEX 13: COEXISTENCE OF NATIONAL AND EU DESIGN PROTECTION</w:t>
      </w:r>
      <w:r>
        <w:t xml:space="preserve"> </w:t>
      </w:r>
      <w:r>
        <w:t xml:space="preserve">SYSTEMS</w:t>
      </w:r>
      <w:r>
        <w:t xml:space="preserve"> </w:t>
      </w:r>
      <w:r>
        <w:t xml:space="preserve">Coexistence has always been the method to build a single market in Intellectual Property</w:t>
      </w:r>
      <w:r>
        <w:t xml:space="preserve"> </w:t>
      </w:r>
      <w:r>
        <w:t xml:space="preserve">(IP), and is in line with the principle of subsidiarity. It has also been politically the most</w:t>
      </w:r>
      <w:r>
        <w:t xml:space="preserve"> </w:t>
      </w:r>
      <w:r>
        <w:t xml:space="preserve">operational way forward when it comes to IPR legislation. This model also works well in</w:t>
      </w:r>
      <w:r>
        <w:t xml:space="preserve"> </w:t>
      </w:r>
      <w:r>
        <w:t xml:space="preserve">the area of trade marks.</w:t>
      </w:r>
      <w:r>
        <w:br/>
      </w:r>
      <w:r>
        <w:t xml:space="preserve">EU-wide protection did not aim at replacing national laws but to serve as an alternative</w:t>
      </w:r>
      <w:r>
        <w:t xml:space="preserve"> </w:t>
      </w:r>
      <w:r>
        <w:t xml:space="preserve">and complement in order for businesses in the EU to dispose of and freely choose</w:t>
      </w:r>
      <w:r>
        <w:t xml:space="preserve"> </w:t>
      </w:r>
      <w:r>
        <w:t xml:space="preserve">between or combine different, tailored tools to best (strategically) protect their IP</w:t>
      </w:r>
      <w:r>
        <w:t xml:space="preserve"> </w:t>
      </w:r>
      <w:r>
        <w:t xml:space="preserve">according to individual needs (incl. gradual shift from local to EU level).</w:t>
      </w:r>
      <w:r>
        <w:br/>
      </w:r>
      <w:r>
        <w:t xml:space="preserve">National designs provide a suitable geographical scope of protection when (local)</w:t>
      </w:r>
      <w:r>
        <w:t xml:space="preserve"> </w:t>
      </w:r>
      <w:r>
        <w:t xml:space="preserve">businesses focus on specific markets, in particular their own domestic markets.</w:t>
      </w:r>
      <w:r>
        <w:t xml:space="preserve"> </w:t>
      </w:r>
      <w:r>
        <w:t xml:space="preserve">Demand for such national designs remains significant and higher than the demand for</w:t>
      </w:r>
      <w:r>
        <w:t xml:space="preserve"> </w:t>
      </w:r>
      <w:r>
        <w:t xml:space="preserve">Community Design protection - around 120 000 filings for designs each year for the past</w:t>
      </w:r>
      <w:r>
        <w:t xml:space="preserve"> </w:t>
      </w:r>
      <w:r>
        <w:t xml:space="preserve">decade (see figure below).</w:t>
      </w:r>
    </w:p>
    <w:p>
      <w:pPr>
        <w:pStyle w:val="BodyText"/>
      </w:pPr>
      <w:r>
        <w:t xml:space="preserve">Fig. 1. Filing volumes of national design rights</w:t>
      </w:r>
      <w:r>
        <w:t xml:space="preserve"> </w:t>
      </w:r>
      <w:r>
        <w:t xml:space="preserve">Source: EUIPO based on data provided by the Member States for DesignView</w:t>
      </w:r>
      <w:r>
        <w:t xml:space="preserve"> </w:t>
      </w:r>
      <w:r>
        <w:t xml:space="preserve">Coexistence and fluid choice for businesses makes also microeconomic sense. Designs</w:t>
      </w:r>
      <w:r>
        <w:t xml:space="preserve"> </w:t>
      </w:r>
      <w:r>
        <w:t xml:space="preserve">are exclusive rights, whereby over-protection should be discouraged in the interest of</w:t>
      </w:r>
      <w:r>
        <w:t xml:space="preserve"> </w:t>
      </w:r>
      <w:r>
        <w:t xml:space="preserve">both competitors and consumers. Accordingly, letting the RCD system ‘compete’ head-</w:t>
      </w:r>
      <w:r>
        <w:t xml:space="preserve"> </w:t>
      </w:r>
      <w:r>
        <w:t xml:space="preserve">on with the national systems would not be appropriate. The economic value of an</w:t>
      </w:r>
      <w:r>
        <w:t xml:space="preserve"> </w:t>
      </w:r>
      <w:r>
        <w:t xml:space="preserve">exclusive right covering the whole EU is greater than that of a right covering only the</w:t>
      </w:r>
      <w:r>
        <w:t xml:space="preserve"> </w:t>
      </w:r>
      <w:r>
        <w:t xml:space="preserve">territory of a MS. This needs to be reflected in higher fees for the RCD and national fees</w:t>
      </w:r>
      <w:r>
        <w:t xml:space="preserve"> </w:t>
      </w:r>
      <w:r>
        <w:t xml:space="preserve">should be lower.</w:t>
      </w:r>
      <w:r>
        <w:br/>
      </w:r>
      <w:r>
        <w:t xml:space="preserve">The evaluation confirmed high support by stakeholders for maintaining coexistence in</w:t>
      </w:r>
      <w:r>
        <w:t xml:space="preserve"> </w:t>
      </w:r>
      <w:r>
        <w:t xml:space="preserve">the designs area in line with the dual trade mark system. Particularly SMEs choose such</w:t>
      </w:r>
      <w:r>
        <w:t xml:space="preserve"> </w:t>
      </w:r>
      <w:r>
        <w:t xml:space="preserve">protection as best suited to their needs, with adequate territorial coverage (see table</w:t>
      </w:r>
      <w:r>
        <w:t xml:space="preserve"> </w:t>
      </w:r>
      <w:r>
        <w:t xml:space="preserve">below).</w:t>
      </w:r>
    </w:p>
    <w:p>
      <w:pPr>
        <w:pStyle w:val="Compact"/>
        <w:numPr>
          <w:ilvl w:val="0"/>
          <w:numId w:val="1053"/>
        </w:numPr>
      </w:pPr>
      <w:r>
        <w:t xml:space="preserve">20,000</w:t>
      </w:r>
      <w:r>
        <w:t xml:space="preserve"> </w:t>
      </w:r>
      <w:r>
        <w:t xml:space="preserve">40,000</w:t>
      </w:r>
      <w:r>
        <w:t xml:space="preserve"> </w:t>
      </w:r>
      <w:r>
        <w:t xml:space="preserve">60,000</w:t>
      </w:r>
      <w:r>
        <w:t xml:space="preserve"> </w:t>
      </w:r>
      <w:r>
        <w:t xml:space="preserve">80,000</w:t>
      </w:r>
      <w:r>
        <w:t xml:space="preserve"> </w:t>
      </w:r>
      <w:r>
        <w:t xml:space="preserve">100,000</w:t>
      </w:r>
      <w:r>
        <w:t xml:space="preserve"> </w:t>
      </w:r>
      <w:r>
        <w:t xml:space="preserve">120,000</w:t>
      </w:r>
      <w:r>
        <w:t xml:space="preserve"> </w:t>
      </w:r>
      <w:r>
        <w:t xml:space="preserve">140,000</w:t>
      </w:r>
      <w:r>
        <w:t xml:space="preserve"> </w:t>
      </w:r>
      <w:r>
        <w:t xml:space="preserve">160,000</w:t>
      </w:r>
      <w:r>
        <w:t xml:space="preserve"> </w:t>
      </w:r>
      <w:r>
        <w:t xml:space="preserve">1999 2000 2001 2002 2003 2004 2005 2006 2007 2008 2009 2010 2011 2012 2013 2014 2015 2016 2017 2018 2019</w:t>
      </w:r>
      <w:r>
        <w:t xml:space="preserve"> </w:t>
      </w:r>
      <w:r>
        <w:t xml:space="preserve">No. of designs appliaed for</w:t>
      </w:r>
      <w:r>
        <w:t xml:space="preserve"> </w:t>
      </w:r>
      <w:r>
        <w:t xml:space="preserve">National (EU)</w:t>
      </w:r>
      <w:r>
        <w:t xml:space="preserve"> </w:t>
      </w:r>
      <w:r>
        <w:t xml:space="preserve">Community Design</w:t>
      </w:r>
    </w:p>
    <w:p>
      <w:pPr>
        <w:pStyle w:val="FirstParagraph"/>
      </w:pPr>
      <w:r>
        <w:t xml:space="preserve">115</w:t>
      </w:r>
    </w:p>
    <w:p>
      <w:pPr>
        <w:pStyle w:val="BodyText"/>
      </w:pPr>
      <w:r>
        <w:t xml:space="preserve">Table 13.1. Evaluation OPC - Q20. What are the reasons for registering your designs as national</w:t>
      </w:r>
      <w:r>
        <w:t xml:space="preserve"> </w:t>
      </w:r>
      <w:r>
        <w:t xml:space="preserve">designs? (multiple choice; % of answers selected*)</w:t>
      </w:r>
    </w:p>
    <w:p>
      <w:pPr>
        <w:pStyle w:val="BodyText"/>
      </w:pPr>
      <w:r>
        <w:t xml:space="preserve">SME</w:t>
      </w:r>
      <w:r>
        <w:t xml:space="preserve"> </w:t>
      </w:r>
      <w:r>
        <w:t xml:space="preserve">All respondents</w:t>
      </w:r>
      <w:r>
        <w:t xml:space="preserve"> </w:t>
      </w:r>
      <w:r>
        <w:t xml:space="preserve">It is best suited to my needs</w:t>
      </w:r>
      <w:r>
        <w:t xml:space="preserve"> </w:t>
      </w:r>
      <w:r>
        <w:t xml:space="preserve">57%</w:t>
      </w:r>
      <w:r>
        <w:t xml:space="preserve"> </w:t>
      </w:r>
      <w:r>
        <w:t xml:space="preserve">36%</w:t>
      </w:r>
      <w:r>
        <w:t xml:space="preserve"> </w:t>
      </w:r>
      <w:r>
        <w:t xml:space="preserve">Adequate territorial coverage</w:t>
      </w:r>
      <w:r>
        <w:t xml:space="preserve"> </w:t>
      </w:r>
      <w:r>
        <w:t xml:space="preserve">43%</w:t>
      </w:r>
      <w:r>
        <w:t xml:space="preserve"> </w:t>
      </w:r>
      <w:r>
        <w:t xml:space="preserve">44%</w:t>
      </w:r>
      <w:r>
        <w:t xml:space="preserve"> </w:t>
      </w:r>
      <w:r>
        <w:t xml:space="preserve">Easy procedures</w:t>
      </w:r>
      <w:r>
        <w:t xml:space="preserve"> </w:t>
      </w:r>
      <w:r>
        <w:t xml:space="preserve">43%</w:t>
      </w:r>
      <w:r>
        <w:t xml:space="preserve"> </w:t>
      </w:r>
      <w:r>
        <w:t xml:space="preserve">22%</w:t>
      </w:r>
      <w:r>
        <w:t xml:space="preserve"> </w:t>
      </w:r>
      <w:r>
        <w:t xml:space="preserve">Lower fees</w:t>
      </w:r>
      <w:r>
        <w:t xml:space="preserve"> </w:t>
      </w:r>
      <w:r>
        <w:t xml:space="preserve">29%</w:t>
      </w:r>
      <w:r>
        <w:t xml:space="preserve"> </w:t>
      </w:r>
      <w:r>
        <w:t xml:space="preserve">27%</w:t>
      </w:r>
      <w:r>
        <w:t xml:space="preserve"> </w:t>
      </w:r>
      <w:r>
        <w:t xml:space="preserve">Other**</w:t>
      </w:r>
      <w:r>
        <w:t xml:space="preserve"> </w:t>
      </w:r>
      <w:r>
        <w:t xml:space="preserve">29%</w:t>
      </w:r>
      <w:r>
        <w:t xml:space="preserve"> </w:t>
      </w:r>
      <w:r>
        <w:t xml:space="preserve">47%</w:t>
      </w:r>
      <w:r>
        <w:t xml:space="preserve"> </w:t>
      </w:r>
      <w:r>
        <w:t xml:space="preserve">Better service quality</w:t>
      </w:r>
      <w:r>
        <w:t xml:space="preserve"> </w:t>
      </w:r>
      <w:r>
        <w:t xml:space="preserve">14%</w:t>
      </w:r>
      <w:r>
        <w:t xml:space="preserve"> </w:t>
      </w:r>
      <w:r>
        <w:t xml:space="preserve">2%</w:t>
      </w:r>
      <w:r>
        <w:t xml:space="preserve"> </w:t>
      </w:r>
      <w:r>
        <w:t xml:space="preserve">Speed in processing my application</w:t>
      </w:r>
      <w:r>
        <w:t xml:space="preserve"> </w:t>
      </w:r>
      <w:r>
        <w:t xml:space="preserve">0%</w:t>
      </w:r>
      <w:r>
        <w:t xml:space="preserve"> </w:t>
      </w:r>
      <w:r>
        <w:t xml:space="preserve">11%</w:t>
      </w:r>
      <w:r>
        <w:t xml:space="preserve"> </w:t>
      </w:r>
      <w:r>
        <w:t xml:space="preserve">no. of answers</w:t>
      </w:r>
      <w:r>
        <w:t xml:space="preserve"> </w:t>
      </w:r>
      <w:r>
        <w:t xml:space="preserve">7</w:t>
      </w:r>
      <w:r>
        <w:t xml:space="preserve"> </w:t>
      </w:r>
      <w:r>
        <w:t xml:space="preserve">45</w:t>
      </w:r>
      <w:r>
        <w:t xml:space="preserve"> </w:t>
      </w:r>
      <w:r>
        <w:t xml:space="preserve">*no opinion answers not included</w:t>
      </w:r>
      <w:r>
        <w:t xml:space="preserve"> </w:t>
      </w:r>
      <w:r>
        <w:t xml:space="preserve">** possibility to obtain priority documents from national offices, the possibility to combine designs not covering the</w:t>
      </w:r>
      <w:r>
        <w:t xml:space="preserve"> </w:t>
      </w:r>
      <w:r>
        <w:t xml:space="preserve">same classes into one application, strategic reasons (e.g. declaration of invalidity is more difficult to obtain at</w:t>
      </w:r>
      <w:r>
        <w:t xml:space="preserve"> </w:t>
      </w:r>
      <w:r>
        <w:t xml:space="preserve">national level) and enforcement reasons (Article 82(5) CDR being open to interpretations). Finally, some features of</w:t>
      </w:r>
      <w:r>
        <w:t xml:space="preserve"> </w:t>
      </w:r>
      <w:r>
        <w:t xml:space="preserve">the national protection (e.g. possibility to defer publication, presumption of ownership and validity) were also</w:t>
      </w:r>
      <w:r>
        <w:t xml:space="preserve"> </w:t>
      </w:r>
      <w:r>
        <w:t xml:space="preserve">mentioned as a reason for opting for national registered designs.</w:t>
      </w:r>
      <w:r>
        <w:t xml:space="preserve"> </w:t>
      </w:r>
      <w:r>
        <w:t xml:space="preserve">Source: responses to open public consultations on designs</w:t>
      </w:r>
      <w:r>
        <w:t xml:space="preserve"> </w:t>
      </w:r>
      <w:r>
        <w:t xml:space="preserve">Identified inefficiencies of national systems will be remedied by the proposed</w:t>
      </w:r>
      <w:r>
        <w:t xml:space="preserve"> </w:t>
      </w:r>
      <w:r>
        <w:t xml:space="preserve">amendments to the DDir, harmonising in particular procedural rules.</w:t>
      </w:r>
    </w:p>
    <w:p>
      <w:pPr>
        <w:pStyle w:val="BodyText"/>
      </w:pPr>
      <w:r>
        <w:t xml:space="preserve">116</w:t>
      </w:r>
    </w:p>
    <w:p>
      <w:pPr>
        <w:pStyle w:val="BodyText"/>
      </w:pPr>
      <w:r>
        <w:t xml:space="preserve">ANNEX 14: DICTIONARY</w:t>
      </w:r>
      <w:r>
        <w:br/>
      </w:r>
      <w:r>
        <w:t xml:space="preserve">Applicant: The person or company who applies for a design registration, i.e. files an</w:t>
      </w:r>
      <w:r>
        <w:t xml:space="preserve"> </w:t>
      </w:r>
      <w:r>
        <w:t xml:space="preserve">application, or the person or company on behalf of whom the application for registration</w:t>
      </w:r>
      <w:r>
        <w:t xml:space="preserve"> </w:t>
      </w:r>
      <w:r>
        <w:t xml:space="preserve">is made.</w:t>
      </w:r>
      <w:r>
        <w:t xml:space="preserve"> </w:t>
      </w:r>
      <w:r>
        <w:t xml:space="preserve">Authorised spare parts distributor: A distributor of spare parts for motor vehicles</w:t>
      </w:r>
      <w:r>
        <w:t xml:space="preserve"> </w:t>
      </w:r>
      <w:r>
        <w:t xml:space="preserve">operating within the distribution system set up by a supplier of motor vehicles. The</w:t>
      </w:r>
      <w:r>
        <w:t xml:space="preserve"> </w:t>
      </w:r>
      <w:r>
        <w:t xml:space="preserve">concept of authorised distributor includes dealers and/or repairers that are authorised to</w:t>
      </w:r>
      <w:r>
        <w:t xml:space="preserve"> </w:t>
      </w:r>
      <w:r>
        <w:t xml:space="preserve">distribute spare parts.</w:t>
      </w:r>
      <w:r>
        <w:br/>
      </w:r>
      <w:r>
        <w:t xml:space="preserve">Automotive aftermarket: This is the auto industry’s after-sale market. It includes,</w:t>
      </w:r>
      <w:r>
        <w:t xml:space="preserve"> </w:t>
      </w:r>
      <w:r>
        <w:t xml:space="preserve">among others, parts and accessories used in the repair, maintenance or enhancement of a</w:t>
      </w:r>
      <w:r>
        <w:t xml:space="preserve"> </w:t>
      </w:r>
      <w:r>
        <w:t xml:space="preserve">product.</w:t>
      </w:r>
      <w:r>
        <w:br/>
      </w:r>
      <w:r>
        <w:t xml:space="preserve">Cancellation of a trade mark: Trade mark rights can be revoked (Article 51</w:t>
      </w:r>
      <w:r>
        <w:t xml:space="preserve"> </w:t>
      </w:r>
      <w:r>
        <w:t xml:space="preserve">CTMR/Article 12 TMD) or be declared invalid (Articles 52, 53 CTMR/Articles 3, 4</w:t>
      </w:r>
      <w:r>
        <w:t xml:space="preserve"> </w:t>
      </w:r>
      <w:r>
        <w:t xml:space="preserve">TMD). ‘Cancellation’ refers to both types of proceedings. A registered trade mark can</w:t>
      </w:r>
      <w:r>
        <w:t xml:space="preserve"> </w:t>
      </w:r>
      <w:r>
        <w:t xml:space="preserve">inter alia be revoked in the absence of genuine use. Furthermore, it may be declared</w:t>
      </w:r>
      <w:r>
        <w:t xml:space="preserve"> </w:t>
      </w:r>
      <w:r>
        <w:t xml:space="preserve">invalid on application to the Office where it has been registered contrary to absolute</w:t>
      </w:r>
      <w:r>
        <w:t xml:space="preserve"> </w:t>
      </w:r>
      <w:r>
        <w:t xml:space="preserve">(including acting in bad faith when filing the application) or relative grounds for refusal.</w:t>
      </w:r>
      <w:r>
        <w:t xml:space="preserve"> </w:t>
      </w:r>
      <w:r>
        <w:t xml:space="preserve">OHIM has exclusive jurisdiction with regard to direct revocation or invalidity</w:t>
      </w:r>
      <w:r>
        <w:t xml:space="preserve"> </w:t>
      </w:r>
      <w:r>
        <w:t xml:space="preserve">applications. Courts in Member States of the European Union, however, may revoke or</w:t>
      </w:r>
      <w:r>
        <w:t xml:space="preserve"> </w:t>
      </w:r>
      <w:r>
        <w:t xml:space="preserve">declare a CTM invalid when the issue is put to them as a counterclaim in an infringement</w:t>
      </w:r>
      <w:r>
        <w:t xml:space="preserve"> </w:t>
      </w:r>
      <w:r>
        <w:t xml:space="preserve">action based on the CTM.</w:t>
      </w:r>
      <w:r>
        <w:t xml:space="preserve"> </w:t>
      </w:r>
      <w:r>
        <w:t xml:space="preserve">Complex product: Pursuant to Article 3 of the CDR and Article 1 of the DDir, a</w:t>
      </w:r>
      <w:r>
        <w:t xml:space="preserve"> </w:t>
      </w:r>
      <w:r>
        <w:t xml:space="preserve">complex product means a product which is composed of multiple components which can</w:t>
      </w:r>
      <w:r>
        <w:t xml:space="preserve"> </w:t>
      </w:r>
      <w:r>
        <w:t xml:space="preserve">be replaced permitting disassembly and re-assembly of the product.</w:t>
      </w:r>
      <w:r>
        <w:t xml:space="preserve"> </w:t>
      </w:r>
      <w:r>
        <w:t xml:space="preserve">Date of priority for designs: The right of priority was introduced by Article 3 of the</w:t>
      </w:r>
      <w:r>
        <w:t xml:space="preserve"> </w:t>
      </w:r>
      <w:r>
        <w:t xml:space="preserve">Paris Convention for the Protection of Industrial Property, pursuant to which any person</w:t>
      </w:r>
      <w:r>
        <w:t xml:space="preserve"> </w:t>
      </w:r>
      <w:r>
        <w:t xml:space="preserve">who has duly filed an application for an industrial design in one of the countries of the</w:t>
      </w:r>
      <w:r>
        <w:t xml:space="preserve"> </w:t>
      </w:r>
      <w:r>
        <w:t xml:space="preserve">Paris Union enjoys for the purpose of filing in the other countries, a right of priority for a</w:t>
      </w:r>
      <w:r>
        <w:t xml:space="preserve"> </w:t>
      </w:r>
      <w:r>
        <w:t xml:space="preserve">certain period defined in the Convention. Pursuant to Article 43 of the CDR, the effect of</w:t>
      </w:r>
      <w:r>
        <w:t xml:space="preserve"> </w:t>
      </w:r>
      <w:r>
        <w:t xml:space="preserve">the priority right is that the date of priority counts as the date of the filing of the</w:t>
      </w:r>
      <w:r>
        <w:t xml:space="preserve"> </w:t>
      </w:r>
      <w:r>
        <w:t xml:space="preserve">application for a registered Community design. If the design holder has applied for</w:t>
      </w:r>
      <w:r>
        <w:t xml:space="preserve"> </w:t>
      </w:r>
      <w:r>
        <w:t xml:space="preserve">registration of the design in another country within the previous six months, he is granted</w:t>
      </w:r>
      <w:r>
        <w:t xml:space="preserve"> </w:t>
      </w:r>
      <w:r>
        <w:t xml:space="preserve">a right of priority when applying for a new registration. That means that the date of the</w:t>
      </w:r>
      <w:r>
        <w:t xml:space="preserve"> </w:t>
      </w:r>
      <w:r>
        <w:t xml:space="preserve">first application also applies to the new one. The concept of the priority right and priority</w:t>
      </w:r>
      <w:r>
        <w:t xml:space="preserve"> </w:t>
      </w:r>
      <w:r>
        <w:t xml:space="preserve">date is also used by the EU Member States.</w:t>
      </w:r>
      <w:r>
        <w:br/>
      </w:r>
      <w:r>
        <w:t xml:space="preserve">Deferment of publication: Pursuant to Article 50(1) of the CDR, the applicant for a</w:t>
      </w:r>
      <w:r>
        <w:t xml:space="preserve"> </w:t>
      </w:r>
      <w:r>
        <w:t xml:space="preserve">registered Community design may request, when filing the application, that the</w:t>
      </w:r>
      <w:r>
        <w:t xml:space="preserve"> </w:t>
      </w:r>
      <w:r>
        <w:t xml:space="preserve">publication of the registered Community design be deferred for a period of 30 months</w:t>
      </w:r>
      <w:r>
        <w:t xml:space="preserve"> </w:t>
      </w:r>
      <w:r>
        <w:t xml:space="preserve">from the date of filing the application or, if a priority is claimed, from the date of priority.</w:t>
      </w:r>
      <w:r>
        <w:t xml:space="preserve"> </w:t>
      </w:r>
      <w:r>
        <w:t xml:space="preserve">Pursuant to Article 50(2), the registered Community design is registered, but neither the</w:t>
      </w:r>
      <w:r>
        <w:t xml:space="preserve"> </w:t>
      </w:r>
      <w:r>
        <w:t xml:space="preserve">representation of the design nor any file relating to the application is open to public</w:t>
      </w:r>
      <w:r>
        <w:t xml:space="preserve"> </w:t>
      </w:r>
      <w:r>
        <w:t xml:space="preserve">inspection. Pursuant to Recital 26 CDR, the option of deferring the publication serves</w:t>
      </w:r>
    </w:p>
    <w:p>
      <w:pPr>
        <w:pStyle w:val="BodyText"/>
      </w:pPr>
      <w:r>
        <w:t xml:space="preserve">117</w:t>
      </w:r>
    </w:p>
    <w:p>
      <w:pPr>
        <w:pStyle w:val="BodyText"/>
      </w:pPr>
      <w:r>
        <w:t xml:space="preserve">avoiding that the normal publication following registration of a design could in some</w:t>
      </w:r>
      <w:r>
        <w:t xml:space="preserve"> </w:t>
      </w:r>
      <w:r>
        <w:t xml:space="preserve">cases destroy or jeopardise the success of a commercial operation involving a design.</w:t>
      </w:r>
      <w:r>
        <w:t xml:space="preserve"> </w:t>
      </w:r>
      <w:r>
        <w:t xml:space="preserve">Design: Pursuant to Article 3 of the CDR and Article 1 of the DDir, a design means the</w:t>
      </w:r>
      <w:r>
        <w:t xml:space="preserve"> </w:t>
      </w:r>
      <w:r>
        <w:t xml:space="preserve">appearance of the whole or a part of a product resulting from the features of, in</w:t>
      </w:r>
      <w:r>
        <w:t xml:space="preserve"> </w:t>
      </w:r>
      <w:r>
        <w:t xml:space="preserve">particular, the lines, contours, colours, shape, texture and/or materials of the product</w:t>
      </w:r>
      <w:r>
        <w:t xml:space="preserve"> </w:t>
      </w:r>
      <w:r>
        <w:t xml:space="preserve">itself and/or its ornamentation.</w:t>
      </w:r>
      <w:r>
        <w:t xml:space="preserve"> </w:t>
      </w:r>
      <w:r>
        <w:t xml:space="preserve">Design application: Entrepreneurs can file an application for design registration at the</w:t>
      </w:r>
      <w:r>
        <w:t xml:space="preserve"> </w:t>
      </w:r>
      <w:r>
        <w:t xml:space="preserve">European Union Intellectual Property Office or before the national intellectual property</w:t>
      </w:r>
      <w:r>
        <w:t xml:space="preserve"> </w:t>
      </w:r>
      <w:r>
        <w:t xml:space="preserve">offices. There are two ways of applying for registration of a Community design, that is,</w:t>
      </w:r>
      <w:r>
        <w:t xml:space="preserve"> </w:t>
      </w:r>
      <w:r>
        <w:t xml:space="preserve">(i) either via a direct filing, with the EUIPO or with the central industrial property office</w:t>
      </w:r>
      <w:r>
        <w:t xml:space="preserve"> </w:t>
      </w:r>
      <w:r>
        <w:t xml:space="preserve">of a Member State or, in Benelux countries, with the Benelux Office for Intellectual</w:t>
      </w:r>
      <w:r>
        <w:t xml:space="preserve"> </w:t>
      </w:r>
      <w:r>
        <w:t xml:space="preserve">Property (Article 35 et seq. CDR) or (ii) via an international registration filed with the</w:t>
      </w:r>
      <w:r>
        <w:t xml:space="preserve"> </w:t>
      </w:r>
      <w:r>
        <w:t xml:space="preserve">International Bureau of the World Intellectual Property Organization and designating the</w:t>
      </w:r>
      <w:r>
        <w:t xml:space="preserve"> </w:t>
      </w:r>
      <w:r>
        <w:t xml:space="preserve">European Union (Article 106a et seq. CDR).</w:t>
      </w:r>
      <w:r>
        <w:br/>
      </w:r>
      <w:r>
        <w:t xml:space="preserve">Design holder: The owner of a registered or unregistered design. This is the person or</w:t>
      </w:r>
      <w:r>
        <w:t xml:space="preserve"> </w:t>
      </w:r>
      <w:r>
        <w:t xml:space="preserve">company in whose name the registration is listed in the Designs Register. A registration</w:t>
      </w:r>
      <w:r>
        <w:t xml:space="preserve"> </w:t>
      </w:r>
      <w:r>
        <w:t xml:space="preserve">may have several owners.</w:t>
      </w:r>
      <w:r>
        <w:t xml:space="preserve"> </w:t>
      </w:r>
      <w:r>
        <w:t xml:space="preserve">Design registration: European Union Intellectual Property Office registers a design in</w:t>
      </w:r>
      <w:r>
        <w:t xml:space="preserve"> </w:t>
      </w:r>
      <w:r>
        <w:t xml:space="preserve">the EU’s Designs Register if the application meets the formal requirements. National</w:t>
      </w:r>
      <w:r>
        <w:t xml:space="preserve"> </w:t>
      </w:r>
      <w:r>
        <w:t xml:space="preserve">intellectual property offices can also register a design in their national design register.</w:t>
      </w:r>
      <w:r>
        <w:t xml:space="preserve"> </w:t>
      </w:r>
      <w:r>
        <w:t xml:space="preserve">Design registration is the formal procedure through which a new design is entered in the</w:t>
      </w:r>
      <w:r>
        <w:t xml:space="preserve"> </w:t>
      </w:r>
      <w:r>
        <w:t xml:space="preserve">EU’s Design Register or the national design register. The registration of a design has the</w:t>
      </w:r>
      <w:r>
        <w:t xml:space="preserve"> </w:t>
      </w:r>
      <w:r>
        <w:t xml:space="preserve">effect of securing its proprietor the exclusive right in the EU or in the respective Member</w:t>
      </w:r>
      <w:r>
        <w:t xml:space="preserve"> </w:t>
      </w:r>
      <w:r>
        <w:t xml:space="preserve">States to use it for the goods and/or services that it covers and to prevent third parties to</w:t>
      </w:r>
      <w:r>
        <w:t xml:space="preserve"> </w:t>
      </w:r>
      <w:r>
        <w:t xml:space="preserve">use, without consent, the same or a similar design for identical or similar goods and/or</w:t>
      </w:r>
      <w:r>
        <w:t xml:space="preserve"> </w:t>
      </w:r>
      <w:r>
        <w:t xml:space="preserve">services as those protected by his design.</w:t>
      </w:r>
      <w:r>
        <w:br/>
      </w:r>
      <w:r>
        <w:t xml:space="preserve">Design renewal: Pursuant to Article 10 of the DDir and Article 12-13 of the CDR, a</w:t>
      </w:r>
      <w:r>
        <w:t xml:space="preserve"> </w:t>
      </w:r>
      <w:r>
        <w:t xml:space="preserve">design registration is valid for five years and it can be extended by five-year periods, up</w:t>
      </w:r>
      <w:r>
        <w:t xml:space="preserve"> </w:t>
      </w:r>
      <w:r>
        <w:t xml:space="preserve">to a maximum of 25 years at the request of the design holder or of any person expressly</w:t>
      </w:r>
      <w:r>
        <w:t xml:space="preserve"> </w:t>
      </w:r>
      <w:r>
        <w:t xml:space="preserve">authorised by him, provided that the renewal fee has been paid.</w:t>
      </w:r>
      <w:r>
        <w:br/>
      </w:r>
      <w:r>
        <w:t xml:space="preserve">Earlier design: A design which was entitled to exclusive rights based on a Community</w:t>
      </w:r>
      <w:r>
        <w:t xml:space="preserve"> </w:t>
      </w:r>
      <w:r>
        <w:t xml:space="preserve">design, a national design or an international design prior to the filing date or the date of</w:t>
      </w:r>
      <w:r>
        <w:t xml:space="preserve"> </w:t>
      </w:r>
      <w:r>
        <w:t xml:space="preserve">priority of the design application.</w:t>
      </w:r>
      <w:r>
        <w:t xml:space="preserve"> </w:t>
      </w:r>
      <w:r>
        <w:t xml:space="preserve">European Union Intellectual Property Network: it is network that brings together the</w:t>
      </w:r>
      <w:r>
        <w:t xml:space="preserve"> </w:t>
      </w:r>
      <w:r>
        <w:t xml:space="preserve">national and regional IP offices of the EU, the EUIPO, international partners, and</w:t>
      </w:r>
      <w:r>
        <w:t xml:space="preserve"> </w:t>
      </w:r>
      <w:r>
        <w:t xml:space="preserve">customers of the EUIPO to build a stronger IP network in the EU.</w:t>
      </w:r>
      <w:r>
        <w:t xml:space="preserve"> </w:t>
      </w:r>
      <w:r>
        <w:t xml:space="preserve">Fee: Legal term for a fee charged by the EUIPO with respect to an application to register</w:t>
      </w:r>
      <w:r>
        <w:t xml:space="preserve"> </w:t>
      </w:r>
      <w:r>
        <w:t xml:space="preserve">a design, the renewal or modification of a registration. The amount of the fee is legally</w:t>
      </w:r>
      <w:r>
        <w:t xml:space="preserve"> </w:t>
      </w:r>
      <w:r>
        <w:t xml:space="preserve">provided for in the Fee Regulation (EC) No 2246/2002. National intellectual property</w:t>
      </w:r>
      <w:r>
        <w:t xml:space="preserve"> </w:t>
      </w:r>
      <w:r>
        <w:t xml:space="preserve">offices have their own fee regime for the registration, renewal or modification of a</w:t>
      </w:r>
      <w:r>
        <w:t xml:space="preserve"> </w:t>
      </w:r>
      <w:r>
        <w:t xml:space="preserve">registration.</w:t>
      </w:r>
    </w:p>
    <w:p>
      <w:pPr>
        <w:pStyle w:val="BodyText"/>
      </w:pPr>
      <w:r>
        <w:t xml:space="preserve">118</w:t>
      </w:r>
    </w:p>
    <w:p>
      <w:pPr>
        <w:pStyle w:val="BodyText"/>
      </w:pPr>
      <w:r>
        <w:t xml:space="preserve">Filing date: The date of filing of an application for a registered Community design is the</w:t>
      </w:r>
      <w:r>
        <w:t xml:space="preserve"> </w:t>
      </w:r>
      <w:r>
        <w:t xml:space="preserve">date on which documents containing the information specified in Article 36(1) of CDR</w:t>
      </w:r>
      <w:r>
        <w:t xml:space="preserve"> </w:t>
      </w:r>
      <w:r>
        <w:t xml:space="preserve">are filed with the EUIPO by the applicant, or, if the application has been filed with the</w:t>
      </w:r>
      <w:r>
        <w:t xml:space="preserve"> </w:t>
      </w:r>
      <w:r>
        <w:t xml:space="preserve">central industrial property office of a Member State or with the Benelux Design Office,</w:t>
      </w:r>
      <w:r>
        <w:t xml:space="preserve"> </w:t>
      </w:r>
      <w:r>
        <w:t xml:space="preserve">with that office. The filing date for a national design is the date on which a design right is</w:t>
      </w:r>
      <w:r>
        <w:t xml:space="preserve"> </w:t>
      </w:r>
      <w:r>
        <w:t xml:space="preserve">applied for and on which the application meets the statutory application requirements.</w:t>
      </w:r>
      <w:r>
        <w:br/>
      </w:r>
      <w:r>
        <w:t xml:space="preserve">Genuine use requirement: Pursuant to Article 18 of the EUTMR, and Article 16 of the</w:t>
      </w:r>
      <w:r>
        <w:t xml:space="preserve"> </w:t>
      </w:r>
      <w:r>
        <w:t xml:space="preserve">TMD, within a period of five years following registration, the proprietor of a trade mark</w:t>
      </w:r>
      <w:r>
        <w:t xml:space="preserve"> </w:t>
      </w:r>
      <w:r>
        <w:t xml:space="preserve">has not put the trade mark to genuine use in the EU (if EU trade mark) or in the Member</w:t>
      </w:r>
      <w:r>
        <w:t xml:space="preserve"> </w:t>
      </w:r>
      <w:r>
        <w:t xml:space="preserve">State (national trade mark) in connection with the goods or services in respect of which it</w:t>
      </w:r>
      <w:r>
        <w:t xml:space="preserve"> </w:t>
      </w:r>
      <w:r>
        <w:t xml:space="preserve">is registered. Otherwise the trade mark proprietor may not invoke his rights against third</w:t>
      </w:r>
      <w:r>
        <w:t xml:space="preserve"> </w:t>
      </w:r>
      <w:r>
        <w:t xml:space="preserve">parties and third parties may initiate the revocation of the trade mark.</w:t>
      </w:r>
      <w:r>
        <w:t xml:space="preserve"> </w:t>
      </w:r>
      <w:r>
        <w:t xml:space="preserve">Graphical user interfaces: A graphical user interface is a way to communicate</w:t>
      </w:r>
      <w:r>
        <w:t xml:space="preserve"> </w:t>
      </w:r>
      <w:r>
        <w:t xml:space="preserve">instructions to a computer application or operating system without typing the instructions</w:t>
      </w:r>
      <w:r>
        <w:t xml:space="preserve"> </w:t>
      </w:r>
      <w:r>
        <w:t xml:space="preserve">in. It consists of picture-like items (icons and arrows for example).</w:t>
      </w:r>
      <w:r>
        <w:t xml:space="preserve"> </w:t>
      </w:r>
      <w:r>
        <w:t xml:space="preserve">Icon design: In computing, an icon is a pictogram or ideogram displayed on a computer</w:t>
      </w:r>
      <w:r>
        <w:t xml:space="preserve"> </w:t>
      </w:r>
      <w:r>
        <w:t xml:space="preserve">screen in order to help the user navigate a computer system.</w:t>
      </w:r>
      <w:r>
        <w:br/>
      </w:r>
      <w:r>
        <w:t xml:space="preserve">Independent aftermarket (IAM) spare parts distributor: A distributor of spare parts</w:t>
      </w:r>
      <w:r>
        <w:t xml:space="preserve"> </w:t>
      </w:r>
      <w:r>
        <w:t xml:space="preserve">for motor vehicles who has no affiliation with the motor vehicle manufacturer (VM),</w:t>
      </w:r>
      <w:r>
        <w:t xml:space="preserve"> </w:t>
      </w:r>
      <w:r>
        <w:t xml:space="preserve">regardless of any affiliation with spare parts manufacturers.</w:t>
      </w:r>
      <w:r>
        <w:br/>
      </w:r>
      <w:r>
        <w:t xml:space="preserve">Independent aftermarket (IAM) repairers: Independent repairers that operate as self-</w:t>
      </w:r>
      <w:r>
        <w:t xml:space="preserve"> </w:t>
      </w:r>
      <w:r>
        <w:t xml:space="preserve">standing businesses.</w:t>
      </w:r>
      <w:r>
        <w:br/>
      </w:r>
      <w:r>
        <w:t xml:space="preserve">Independent suppliers (non-OES): Manufacturers that do not have any business</w:t>
      </w:r>
      <w:r>
        <w:t xml:space="preserve"> </w:t>
      </w:r>
      <w:r>
        <w:t xml:space="preserve">connection with original equipment manufacturers (OEMs). They produce spare parts</w:t>
      </w:r>
      <w:r>
        <w:t xml:space="preserve"> </w:t>
      </w:r>
      <w:r>
        <w:t xml:space="preserve">based on reverse engineering only for the aftermarket. They sell their products under</w:t>
      </w:r>
      <w:r>
        <w:t xml:space="preserve"> </w:t>
      </w:r>
      <w:r>
        <w:t xml:space="preserve">their own brand.</w:t>
      </w:r>
      <w:r>
        <w:br/>
      </w:r>
      <w:r>
        <w:t xml:space="preserve">Invalidation of the design: A design is removed from the register either due to the</w:t>
      </w:r>
      <w:r>
        <w:t xml:space="preserve"> </w:t>
      </w:r>
      <w:r>
        <w:t xml:space="preserve">voluntary withdrawal by the owner or due to a court order or an administrative decision</w:t>
      </w:r>
      <w:r>
        <w:t xml:space="preserve"> </w:t>
      </w:r>
      <w:r>
        <w:t xml:space="preserve">taken by the intellectual property office. The grounds under which a Community design</w:t>
      </w:r>
      <w:r>
        <w:t xml:space="preserve"> </w:t>
      </w:r>
      <w:r>
        <w:t xml:space="preserve">can be declared invalid are laid down in Article 25 of the CDR and the grounds under</w:t>
      </w:r>
      <w:r>
        <w:t xml:space="preserve"> </w:t>
      </w:r>
      <w:r>
        <w:t xml:space="preserve">which a national design can be declared invalid is laid down in Article 11 of DDir.</w:t>
      </w:r>
      <w:r>
        <w:br/>
      </w:r>
      <w:r>
        <w:t xml:space="preserve">Locarno Classification: The Locarno Classification, established by the Locarno</w:t>
      </w:r>
      <w:r>
        <w:t xml:space="preserve"> </w:t>
      </w:r>
      <w:r>
        <w:t xml:space="preserve">Agreement in 1968, is an international classification used for the purposes of the</w:t>
      </w:r>
      <w:r>
        <w:t xml:space="preserve"> </w:t>
      </w:r>
      <w:r>
        <w:t xml:space="preserve">registration of industrial designs. It includes a list of classes and subclasses, an</w:t>
      </w:r>
      <w:r>
        <w:t xml:space="preserve"> </w:t>
      </w:r>
      <w:r>
        <w:t xml:space="preserve">alphabetical list of goods which constitute an industrial design, with an indication of the</w:t>
      </w:r>
      <w:r>
        <w:t xml:space="preserve"> </w:t>
      </w:r>
      <w:r>
        <w:t xml:space="preserve">classes and subclasses into which they fall and explanatory notes.</w:t>
      </w:r>
      <w:r>
        <w:br/>
      </w:r>
      <w:r>
        <w:t xml:space="preserve">Must-match spare part: The appearance of such parts is dependent on the appearance of</w:t>
      </w:r>
      <w:r>
        <w:t xml:space="preserve"> </w:t>
      </w:r>
      <w:r>
        <w:t xml:space="preserve">the complex product to be repaired so that the exact reproduction is necessary for</w:t>
      </w:r>
      <w:r>
        <w:t xml:space="preserve"> </w:t>
      </w:r>
      <w:r>
        <w:t xml:space="preserve">restoring the complex product’s original appearance. Such parts must exactly match the</w:t>
      </w:r>
      <w:r>
        <w:t xml:space="preserve"> </w:t>
      </w:r>
      <w:r>
        <w:t xml:space="preserve">specifications of the original part to be able to replace it in the context of repair.</w:t>
      </w:r>
    </w:p>
    <w:p>
      <w:pPr>
        <w:pStyle w:val="BodyText"/>
      </w:pPr>
      <w:r>
        <w:t xml:space="preserve">119</w:t>
      </w:r>
    </w:p>
    <w:p>
      <w:pPr>
        <w:pStyle w:val="BodyText"/>
      </w:pPr>
      <w:r>
        <w:t xml:space="preserve">Multiple application: A multiple application is a request for the registration of more</w:t>
      </w:r>
      <w:r>
        <w:t xml:space="preserve"> </w:t>
      </w:r>
      <w:r>
        <w:t xml:space="preserve">than one design within the same application. Each of the designs contained in a multiple</w:t>
      </w:r>
      <w:r>
        <w:t xml:space="preserve"> </w:t>
      </w:r>
      <w:r>
        <w:t xml:space="preserve">application or registration is examined and dealt with separately. In particular, each</w:t>
      </w:r>
      <w:r>
        <w:t xml:space="preserve"> </w:t>
      </w:r>
      <w:r>
        <w:t xml:space="preserve">design may, separately, be enforced, be licensed, be the subject of a right in rem, a levy</w:t>
      </w:r>
      <w:r>
        <w:t xml:space="preserve"> </w:t>
      </w:r>
      <w:r>
        <w:t xml:space="preserve">of execution or insolvency proceedings, be surrendered, renewed or assigned, be the</w:t>
      </w:r>
      <w:r>
        <w:t xml:space="preserve"> </w:t>
      </w:r>
      <w:r>
        <w:t xml:space="preserve">subject of deferred publication or be declared invalid (Article 37(4) CDR).</w:t>
      </w:r>
      <w:r>
        <w:t xml:space="preserve"> </w:t>
      </w:r>
      <w:r>
        <w:t xml:space="preserve">OEM authorised repairers: Repairers that are owned by the car manufacturers or that</w:t>
      </w:r>
      <w:r>
        <w:t xml:space="preserve"> </w:t>
      </w:r>
      <w:r>
        <w:t xml:space="preserve">belong to the contractual service partners of car manufacturers.</w:t>
      </w:r>
      <w:r>
        <w:br/>
      </w:r>
      <w:r>
        <w:t xml:space="preserve">Original equipment manufacturer (OEM): A manufacturer of motor vehicles. Original</w:t>
      </w:r>
      <w:r>
        <w:t xml:space="preserve"> </w:t>
      </w:r>
      <w:r>
        <w:t xml:space="preserve">equipment supplier (OES) A part(s) manufacturer that produces parts or equipment</w:t>
      </w:r>
      <w:r>
        <w:t xml:space="preserve"> </w:t>
      </w:r>
      <w:r>
        <w:t xml:space="preserve">according to the specifications and production standards provided by the motor vehicle</w:t>
      </w:r>
      <w:r>
        <w:t xml:space="preserve"> </w:t>
      </w:r>
      <w:r>
        <w:t xml:space="preserve">manufacturer (VM) for the production of components or equipment for the assembly of</w:t>
      </w:r>
      <w:r>
        <w:t xml:space="preserve"> </w:t>
      </w:r>
      <w:r>
        <w:t xml:space="preserve">the motor vehicle in question. OEMs use these parts for vehicle assembly and for</w:t>
      </w:r>
      <w:r>
        <w:t xml:space="preserve"> </w:t>
      </w:r>
      <w:r>
        <w:t xml:space="preserve">redistribution as spare parts in the aftermarket.</w:t>
      </w:r>
      <w:r>
        <w:br/>
      </w:r>
      <w:r>
        <w:t xml:space="preserve">Prior use: Pursuant to Article 22 of the CDR, a right of prior use exists for any third</w:t>
      </w:r>
      <w:r>
        <w:t xml:space="preserve"> </w:t>
      </w:r>
      <w:r>
        <w:t xml:space="preserve">person who can establish that before the date of filing of the application, or, if a priority</w:t>
      </w:r>
      <w:r>
        <w:t xml:space="preserve"> </w:t>
      </w:r>
      <w:r>
        <w:t xml:space="preserve">is claimed, before the date of priority, he has in good faith started using within the EU, or</w:t>
      </w:r>
      <w:r>
        <w:t xml:space="preserve"> </w:t>
      </w:r>
      <w:r>
        <w:t xml:space="preserve">has made serious and effective preparations to that end, of a design included within the</w:t>
      </w:r>
      <w:r>
        <w:t xml:space="preserve"> </w:t>
      </w:r>
      <w:r>
        <w:t xml:space="preserve">scope of protection of a registered Community design, which has not been copied from</w:t>
      </w:r>
      <w:r>
        <w:t xml:space="preserve"> </w:t>
      </w:r>
      <w:r>
        <w:t xml:space="preserve">the latter. The right of prior use entitles the third person to exploit the design for the</w:t>
      </w:r>
      <w:r>
        <w:t xml:space="preserve"> </w:t>
      </w:r>
      <w:r>
        <w:t xml:space="preserve">purposes for which its use had been effected, or for which serious and effective</w:t>
      </w:r>
      <w:r>
        <w:t xml:space="preserve"> </w:t>
      </w:r>
      <w:r>
        <w:t xml:space="preserve">preparations had been made, before the filing or priority date of the registered</w:t>
      </w:r>
      <w:r>
        <w:t xml:space="preserve"> </w:t>
      </w:r>
      <w:r>
        <w:t xml:space="preserve">Community design.</w:t>
      </w:r>
      <w:r>
        <w:t xml:space="preserve"> </w:t>
      </w:r>
      <w:r>
        <w:t xml:space="preserve">Product: Pursuant to Article 3 of the CDR and Article 1 of the DDir, a product means</w:t>
      </w:r>
      <w:r>
        <w:t xml:space="preserve"> </w:t>
      </w:r>
      <w:r>
        <w:t xml:space="preserve">any industrial or handicraft item, including inter alia parts intended to be assembled into</w:t>
      </w:r>
      <w:r>
        <w:t xml:space="preserve"> </w:t>
      </w:r>
      <w:r>
        <w:t xml:space="preserve">a complex product, packaging, get-up, graphic symbols and typographic typefaces, but</w:t>
      </w:r>
      <w:r>
        <w:t xml:space="preserve"> </w:t>
      </w:r>
      <w:r>
        <w:t xml:space="preserve">excluding computer programs.</w:t>
      </w:r>
      <w:r>
        <w:t xml:space="preserve"> </w:t>
      </w:r>
      <w:r>
        <w:t xml:space="preserve">Publication of a design: If a design meets the formal requirements, the EUIPO or a</w:t>
      </w:r>
      <w:r>
        <w:t xml:space="preserve"> </w:t>
      </w:r>
      <w:r>
        <w:t xml:space="preserve">national intellectual property office publishes the design registration in the EU’s Designs</w:t>
      </w:r>
      <w:r>
        <w:t xml:space="preserve"> </w:t>
      </w:r>
      <w:r>
        <w:t xml:space="preserve">Register or in the case of national design, in the national design register. The publication</w:t>
      </w:r>
      <w:r>
        <w:t xml:space="preserve"> </w:t>
      </w:r>
      <w:r>
        <w:t xml:space="preserve">date of a design is important because this is the date from which the design can be</w:t>
      </w:r>
      <w:r>
        <w:t xml:space="preserve"> </w:t>
      </w:r>
      <w:r>
        <w:t xml:space="preserve">viewed by all in the public register. Pursuant to Article 49 of the CDR, the EUIPO has to</w:t>
      </w:r>
      <w:r>
        <w:t xml:space="preserve"> </w:t>
      </w:r>
      <w:r>
        <w:t xml:space="preserve">publish the registered Community design in the Community Designs Bulletin. The</w:t>
      </w:r>
      <w:r>
        <w:t xml:space="preserve"> </w:t>
      </w:r>
      <w:r>
        <w:t xml:space="preserve">contents of the publication shall be set out in the implementing regulation.</w:t>
      </w:r>
      <w:r>
        <w:t xml:space="preserve"> </w:t>
      </w:r>
      <w:r>
        <w:t xml:space="preserve">Representation of a design: Pursuant to Article 4 of the Community Design</w:t>
      </w:r>
      <w:r>
        <w:t xml:space="preserve"> </w:t>
      </w:r>
      <w:r>
        <w:t xml:space="preserve">Implementing Regulation, the representation of the design consists in a graphic or</w:t>
      </w:r>
      <w:r>
        <w:t xml:space="preserve"> </w:t>
      </w:r>
      <w:r>
        <w:t xml:space="preserve">photographic reproduction of the design, either in black and white or in colour.</w:t>
      </w:r>
      <w:r>
        <w:br/>
      </w:r>
      <w:r>
        <w:t xml:space="preserve">The Hague Agreement: An international agreement, which provides for the</w:t>
      </w:r>
      <w:r>
        <w:t xml:space="preserve"> </w:t>
      </w:r>
      <w:r>
        <w:t xml:space="preserve">international registration of designs. An applicant can obtain design protection in various</w:t>
      </w:r>
      <w:r>
        <w:t xml:space="preserve"> </w:t>
      </w:r>
      <w:r>
        <w:t xml:space="preserve">countries that are parties to the Hague Agreement under a single application.</w:t>
      </w:r>
      <w:r>
        <w:t xml:space="preserve"> </w:t>
      </w:r>
      <w:r>
        <w:t xml:space="preserve">International design registrations are administered by the World Intellectual Property</w:t>
      </w:r>
      <w:r>
        <w:t xml:space="preserve"> </w:t>
      </w:r>
      <w:r>
        <w:t xml:space="preserve">Organisation.</w:t>
      </w:r>
    </w:p>
    <w:p>
      <w:pPr>
        <w:pStyle w:val="BodyText"/>
      </w:pPr>
      <w:r>
        <w:t xml:space="preserve">120</w:t>
      </w:r>
    </w:p>
    <w:p>
      <w:pPr>
        <w:pStyle w:val="BodyText"/>
      </w:pPr>
      <w:r>
        <w:t xml:space="preserve">Unitary protection: Pursuant to Article 3(1) of the CDR, a community design has to</w:t>
      </w:r>
      <w:r>
        <w:t xml:space="preserve"> </w:t>
      </w:r>
      <w:r>
        <w:t xml:space="preserve">have a unitary character. The essence of a Community Design is that it is a uniform</w:t>
      </w:r>
      <w:r>
        <w:t xml:space="preserve"> </w:t>
      </w:r>
      <w:r>
        <w:t xml:space="preserve">protection and that it has effect throughout the entire territory of the EU. A Community</w:t>
      </w:r>
      <w:r>
        <w:t xml:space="preserve"> </w:t>
      </w:r>
      <w:r>
        <w:t xml:space="preserve">Design can only be registered, surrendered, transferred, revoked, or invalidated for the</w:t>
      </w:r>
      <w:r>
        <w:t xml:space="preserve"> </w:t>
      </w:r>
      <w:r>
        <w:t xml:space="preserve">entire territory of the EU.</w:t>
      </w:r>
      <w:r>
        <w:br/>
      </w:r>
      <w:r>
        <w:t xml:space="preserve">Unregistered Community Design: A Community design that is not registered. An</w:t>
      </w:r>
      <w:r>
        <w:t xml:space="preserve"> </w:t>
      </w:r>
      <w:r>
        <w:t xml:space="preserve">Unregistered Community Design is protected for a period of three years as from the date</w:t>
      </w:r>
      <w:r>
        <w:t xml:space="preserve"> </w:t>
      </w:r>
      <w:r>
        <w:t xml:space="preserve">on which the design was first made available to the public within the EU. Compared to</w:t>
      </w:r>
      <w:r>
        <w:t xml:space="preserve"> </w:t>
      </w:r>
      <w:r>
        <w:t xml:space="preserve">the registered design right it confers less right on its holder, it constitutes a right only to</w:t>
      </w:r>
      <w:r>
        <w:t xml:space="preserve"> </w:t>
      </w:r>
      <w:r>
        <w:t xml:space="preserve">prevent copying.</w:t>
      </w:r>
      <w:r>
        <w:br/>
      </w:r>
      <w:r>
        <w:t xml:space="preserve">Visible spare parts: These are parts of a motor vehicle that are used for the purpose of</w:t>
      </w:r>
      <w:r>
        <w:t xml:space="preserve"> </w:t>
      </w:r>
      <w:r>
        <w:t xml:space="preserve">repair so as to restore its original appearance. Within the automotive aftermarket, the</w:t>
      </w:r>
      <w:r>
        <w:t xml:space="preserve"> </w:t>
      </w:r>
      <w:r>
        <w:t xml:space="preserve">following three spare parts segments are concerned: body parts, lighting and auto glass.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612">
    <w:nsid w:val="00A99612"/>
    <w:multiLevelType w:val="multilevel"/>
    <w:lvl w:ilvl="0">
      <w:start w:val="2"/>
      <w:numFmt w:val="upperRoman"/>
      <w:lvlText w:val="%1."/>
      <w:lvlJc w:val="left"/>
      <w:pPr>
        <w:ind w:left="720" w:hanging="360"/>
      </w:pPr>
    </w:lvl>
    <w:lvl w:ilvl="1">
      <w:start w:val="2"/>
      <w:numFmt w:val="upperRoman"/>
      <w:lvlText w:val="%2."/>
      <w:lvlJc w:val="left"/>
      <w:pPr>
        <w:ind w:left="1440" w:hanging="360"/>
      </w:pPr>
    </w:lvl>
    <w:lvl w:ilvl="2">
      <w:start w:val="2"/>
      <w:numFmt w:val="upperRoman"/>
      <w:lvlText w:val="%3."/>
      <w:lvlJc w:val="left"/>
      <w:pPr>
        <w:ind w:left="2160" w:hanging="360"/>
      </w:pPr>
    </w:lvl>
    <w:lvl w:ilvl="3">
      <w:start w:val="2"/>
      <w:numFmt w:val="upperRoman"/>
      <w:lvlText w:val="%4."/>
      <w:lvlJc w:val="left"/>
      <w:pPr>
        <w:ind w:left="2880" w:hanging="360"/>
      </w:pPr>
    </w:lvl>
    <w:lvl w:ilvl="4">
      <w:start w:val="2"/>
      <w:numFmt w:val="upperRoman"/>
      <w:lvlText w:val="%5."/>
      <w:lvlJc w:val="left"/>
      <w:pPr>
        <w:ind w:left="3600" w:hanging="360"/>
      </w:pPr>
    </w:lvl>
    <w:lvl w:ilvl="5">
      <w:start w:val="2"/>
      <w:numFmt w:val="upperRoman"/>
      <w:lvlText w:val="%6."/>
      <w:lvlJc w:val="left"/>
      <w:pPr>
        <w:ind w:left="4320" w:hanging="360"/>
      </w:pPr>
    </w:lvl>
    <w:lvl w:ilvl="6">
      <w:start w:val="2"/>
      <w:numFmt w:val="upperRoman"/>
      <w:lvlText w:val="%7."/>
      <w:lvlJc w:val="left"/>
      <w:pPr>
        <w:ind w:left="5040" w:hanging="360"/>
      </w:pPr>
    </w:lvl>
    <w:lvl w:ilvl="7">
      <w:start w:val="2"/>
      <w:numFmt w:val="upperRoman"/>
      <w:lvlText w:val="%8."/>
      <w:lvlJc w:val="left"/>
      <w:pPr>
        <w:ind w:left="5760" w:hanging="360"/>
      </w:pPr>
    </w:lvl>
    <w:lvl w:ilvl="8">
      <w:start w:val="2"/>
      <w:numFmt w:val="upperRoman"/>
      <w:lvlText w:val="%9.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3175">
    <w:nsid w:val="A9943175"/>
    <w:multiLevelType w:val="multilevel"/>
    <w:lvl w:ilvl="0">
      <w:start w:val="175"/>
      <w:numFmt w:val="decimal"/>
      <w:lvlText w:val="(%1)"/>
      <w:lvlJc w:val="left"/>
      <w:pPr>
        <w:ind w:left="720" w:hanging="360"/>
      </w:pPr>
    </w:lvl>
    <w:lvl w:ilvl="1">
      <w:start w:val="175"/>
      <w:numFmt w:val="decimal"/>
      <w:lvlText w:val="(%2)"/>
      <w:lvlJc w:val="left"/>
      <w:pPr>
        <w:ind w:left="1440" w:hanging="360"/>
      </w:pPr>
    </w:lvl>
    <w:lvl w:ilvl="2">
      <w:start w:val="175"/>
      <w:numFmt w:val="decimal"/>
      <w:lvlText w:val="(%3)"/>
      <w:lvlJc w:val="left"/>
      <w:pPr>
        <w:ind w:left="2160" w:hanging="360"/>
      </w:pPr>
    </w:lvl>
    <w:lvl w:ilvl="3">
      <w:start w:val="175"/>
      <w:numFmt w:val="decimal"/>
      <w:lvlText w:val="(%4)"/>
      <w:lvlJc w:val="left"/>
      <w:pPr>
        <w:ind w:left="2880" w:hanging="360"/>
      </w:pPr>
    </w:lvl>
    <w:lvl w:ilvl="4">
      <w:start w:val="175"/>
      <w:numFmt w:val="decimal"/>
      <w:lvlText w:val="(%5)"/>
      <w:lvlJc w:val="left"/>
      <w:pPr>
        <w:ind w:left="3600" w:hanging="360"/>
      </w:pPr>
    </w:lvl>
    <w:lvl w:ilvl="5">
      <w:start w:val="175"/>
      <w:numFmt w:val="decimal"/>
      <w:lvlText w:val="(%6)"/>
      <w:lvlJc w:val="left"/>
      <w:pPr>
        <w:ind w:left="4320" w:hanging="360"/>
      </w:pPr>
    </w:lvl>
    <w:lvl w:ilvl="6">
      <w:start w:val="175"/>
      <w:numFmt w:val="decimal"/>
      <w:lvlText w:val="(%7)"/>
      <w:lvlJc w:val="left"/>
      <w:pPr>
        <w:ind w:left="5040" w:hanging="360"/>
      </w:pPr>
    </w:lvl>
    <w:lvl w:ilvl="7">
      <w:start w:val="175"/>
      <w:numFmt w:val="decimal"/>
      <w:lvlText w:val="(%8)"/>
      <w:lvlJc w:val="left"/>
      <w:pPr>
        <w:ind w:left="5760" w:hanging="360"/>
      </w:pPr>
    </w:lvl>
    <w:lvl w:ilvl="8">
      <w:start w:val="175"/>
      <w:numFmt w:val="decimal"/>
      <w:lvlText w:val="(%9)"/>
      <w:lvlJc w:val="left"/>
      <w:pPr>
        <w:ind w:left="6480" w:hanging="360"/>
      </w:pPr>
    </w:lvl>
  </w:abstractNum>
  <w:abstractNum w:abstractNumId="9943182">
    <w:nsid w:val="A9943182"/>
    <w:multiLevelType w:val="multilevel"/>
    <w:lvl w:ilvl="0">
      <w:start w:val="182"/>
      <w:numFmt w:val="decimal"/>
      <w:lvlText w:val="(%1)"/>
      <w:lvlJc w:val="left"/>
      <w:pPr>
        <w:ind w:left="720" w:hanging="360"/>
      </w:pPr>
    </w:lvl>
    <w:lvl w:ilvl="1">
      <w:start w:val="182"/>
      <w:numFmt w:val="decimal"/>
      <w:lvlText w:val="(%2)"/>
      <w:lvlJc w:val="left"/>
      <w:pPr>
        <w:ind w:left="1440" w:hanging="360"/>
      </w:pPr>
    </w:lvl>
    <w:lvl w:ilvl="2">
      <w:start w:val="182"/>
      <w:numFmt w:val="decimal"/>
      <w:lvlText w:val="(%3)"/>
      <w:lvlJc w:val="left"/>
      <w:pPr>
        <w:ind w:left="2160" w:hanging="360"/>
      </w:pPr>
    </w:lvl>
    <w:lvl w:ilvl="3">
      <w:start w:val="182"/>
      <w:numFmt w:val="decimal"/>
      <w:lvlText w:val="(%4)"/>
      <w:lvlJc w:val="left"/>
      <w:pPr>
        <w:ind w:left="2880" w:hanging="360"/>
      </w:pPr>
    </w:lvl>
    <w:lvl w:ilvl="4">
      <w:start w:val="182"/>
      <w:numFmt w:val="decimal"/>
      <w:lvlText w:val="(%5)"/>
      <w:lvlJc w:val="left"/>
      <w:pPr>
        <w:ind w:left="3600" w:hanging="360"/>
      </w:pPr>
    </w:lvl>
    <w:lvl w:ilvl="5">
      <w:start w:val="182"/>
      <w:numFmt w:val="decimal"/>
      <w:lvlText w:val="(%6)"/>
      <w:lvlJc w:val="left"/>
      <w:pPr>
        <w:ind w:left="4320" w:hanging="360"/>
      </w:pPr>
    </w:lvl>
    <w:lvl w:ilvl="6">
      <w:start w:val="182"/>
      <w:numFmt w:val="decimal"/>
      <w:lvlText w:val="(%7)"/>
      <w:lvlJc w:val="left"/>
      <w:pPr>
        <w:ind w:left="5040" w:hanging="360"/>
      </w:pPr>
    </w:lvl>
    <w:lvl w:ilvl="7">
      <w:start w:val="182"/>
      <w:numFmt w:val="decimal"/>
      <w:lvlText w:val="(%8)"/>
      <w:lvlJc w:val="left"/>
      <w:pPr>
        <w:ind w:left="5760" w:hanging="360"/>
      </w:pPr>
    </w:lvl>
    <w:lvl w:ilvl="8">
      <w:start w:val="182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2">
    <w:abstractNumId w:val="996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6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0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3175"/>
    <w:lvlOverride w:ilvl="0">
      <w:startOverride w:val="175"/>
    </w:lvlOverride>
    <w:lvlOverride w:ilvl="1">
      <w:startOverride w:val="175"/>
    </w:lvlOverride>
    <w:lvlOverride w:ilvl="2">
      <w:startOverride w:val="175"/>
    </w:lvlOverride>
    <w:lvlOverride w:ilvl="3">
      <w:startOverride w:val="175"/>
    </w:lvlOverride>
    <w:lvlOverride w:ilvl="4">
      <w:startOverride w:val="175"/>
    </w:lvlOverride>
    <w:lvlOverride w:ilvl="5">
      <w:startOverride w:val="175"/>
    </w:lvlOverride>
    <w:lvlOverride w:ilvl="6">
      <w:startOverride w:val="175"/>
    </w:lvlOverride>
    <w:lvlOverride w:ilvl="7">
      <w:startOverride w:val="175"/>
    </w:lvlOverride>
    <w:lvlOverride w:ilvl="8">
      <w:startOverride w:val="175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3182"/>
    <w:lvlOverride w:ilvl="0">
      <w:startOverride w:val="182"/>
    </w:lvlOverride>
    <w:lvlOverride w:ilvl="1">
      <w:startOverride w:val="182"/>
    </w:lvlOverride>
    <w:lvlOverride w:ilvl="2">
      <w:startOverride w:val="182"/>
    </w:lvlOverride>
    <w:lvlOverride w:ilvl="3">
      <w:startOverride w:val="182"/>
    </w:lvlOverride>
    <w:lvlOverride w:ilvl="4">
      <w:startOverride w:val="182"/>
    </w:lvlOverride>
    <w:lvlOverride w:ilvl="5">
      <w:startOverride w:val="182"/>
    </w:lvlOverride>
    <w:lvlOverride w:ilvl="6">
      <w:startOverride w:val="182"/>
    </w:lvlOverride>
    <w:lvlOverride w:ilvl="7">
      <w:startOverride w:val="182"/>
    </w:lvlOverride>
    <w:lvlOverride w:ilvl="8">
      <w:startOverride w:val="182"/>
    </w:lvlOverride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2026-07-31T16:47:27Z</dcterms:created>
  <dcterms:modified xsi:type="dcterms:W3CDTF">2026-07-31T16:47:27Z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