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8.12.2022</w:t>
      </w:r>
      <w:r>
        <w:br/>
      </w:r>
      <w:r>
        <w:t xml:space="preserve">SWD(2022) 401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Initiative to strengthen existing rules and expand the exchange of information</w:t>
      </w:r>
      <w:r>
        <w:t xml:space="preserve"> </w:t>
      </w:r>
      <w:r>
        <w:t xml:space="preserve">framework in the field of taxation so as to include crypto-assets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Council Directive</w:t>
      </w:r>
      <w:r>
        <w:t xml:space="preserve"> </w:t>
      </w:r>
      <w:r>
        <w:t xml:space="preserve">amending Directive 2011/16/EU on administrative cooperation in the field of taxation</w:t>
      </w:r>
      <w:r>
        <w:t xml:space="preserve"> </w:t>
      </w:r>
      <w:r>
        <w:t xml:space="preserve">{COM(2022) 707 final} - {SEC(2022) 438 final} - {SWD(2022) 400 final} -</w:t>
      </w:r>
      <w:r>
        <w:t xml:space="preserve"> </w:t>
      </w:r>
      <w:r>
        <w:t xml:space="preserve">{SWD(2022) 402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 INTRODUCTION: POLITICAL AND LEGAL CONTEXT ………………………………………………………… 7</w:t>
      </w:r>
      <w:r>
        <w:t xml:space="preserve"> </w:t>
      </w:r>
      <w:r>
        <w:t xml:space="preserve">2. PROBLEM DEFINITION ……………………………………………………………………………………………………… 10</w:t>
      </w:r>
      <w:r>
        <w:t xml:space="preserve"> </w:t>
      </w:r>
      <w:r>
        <w:t xml:space="preserve">2.1 What are the problems? …………………………………………………………………………………………………….. 11</w:t>
      </w:r>
      <w:r>
        <w:t xml:space="preserve"> </w:t>
      </w:r>
      <w:r>
        <w:t xml:space="preserve">2.2 What are the problem drivers? ……………………………………………………………………………………………. 14</w:t>
      </w:r>
      <w:r>
        <w:t xml:space="preserve"> </w:t>
      </w:r>
      <w:r>
        <w:t xml:space="preserve">2.3 How will the problem evolve in the absence of an EU policy initiative? ………………………………….. 16</w:t>
      </w:r>
      <w:r>
        <w:t xml:space="preserve"> </w:t>
      </w:r>
      <w:r>
        <w:t xml:space="preserve">3. WHY SHOULD THE EU ACT? ……………………………………………………………………………………………… 17</w:t>
      </w:r>
      <w:r>
        <w:t xml:space="preserve"> </w:t>
      </w:r>
      <w:r>
        <w:t xml:space="preserve">3.1 Legal basis ………………………………………………………………………………………………………………………. 17</w:t>
      </w:r>
      <w:r>
        <w:t xml:space="preserve"> </w:t>
      </w:r>
      <w:r>
        <w:t xml:space="preserve">3.2 Subsidiarity: Necessity of EU action …………………………………………………………………………………… 17</w:t>
      </w:r>
      <w:r>
        <w:t xml:space="preserve"> </w:t>
      </w:r>
      <w:r>
        <w:t xml:space="preserve">3.3 Proportionality: The added value of EU action……………………………………………………………………… 17</w:t>
      </w:r>
      <w:r>
        <w:t xml:space="preserve"> </w:t>
      </w:r>
      <w:r>
        <w:t xml:space="preserve">4. OBJECTIVES: WHAT IS TO BE ACHIEVED? ……………………………………………………………………….. 19</w:t>
      </w:r>
      <w:r>
        <w:t xml:space="preserve"> </w:t>
      </w:r>
      <w:r>
        <w:t xml:space="preserve">4.1 General objectives …………………………………………………………………………………………………………….. 19</w:t>
      </w:r>
      <w:r>
        <w:t xml:space="preserve"> </w:t>
      </w:r>
      <w:r>
        <w:t xml:space="preserve">4.2 Specific objectives ……………………………………………………………………………………………………………. 19</w:t>
      </w:r>
      <w:r>
        <w:t xml:space="preserve"> </w:t>
      </w:r>
      <w:r>
        <w:t xml:space="preserve">5. WHAT ARE THE AVAILABLE POLICY OPTIONS? ……………………………………………………………… 21</w:t>
      </w:r>
      <w:r>
        <w:t xml:space="preserve"> </w:t>
      </w:r>
      <w:r>
        <w:t xml:space="preserve">5.1 Baseline scenario (Option 0) ………………………………………………………………………………………………. 26</w:t>
      </w:r>
      <w:r>
        <w:t xml:space="preserve"> </w:t>
      </w:r>
      <w:r>
        <w:t xml:space="preserve">5.2 Recommendation for the implementation of a global standard (Option 1) ………………………………… 27</w:t>
      </w:r>
      <w:r>
        <w:t xml:space="preserve"> </w:t>
      </w:r>
      <w:r>
        <w:t xml:space="preserve">5.3 EU legislative initiative – Six options regarding the type of reporting and the impact of having a</w:t>
      </w:r>
      <w:r>
        <w:t xml:space="preserve"> </w:t>
      </w:r>
      <w:r>
        <w:t xml:space="preserve">threshold for SME- (Options 2-7) …………………………………………………………………………………………….. 27</w:t>
      </w:r>
      <w:r>
        <w:t xml:space="preserve"> </w:t>
      </w:r>
      <w:r>
        <w:t xml:space="preserve">5.4 Options discarded at an early stage ……………………………………………………………………………………… 29</w:t>
      </w:r>
      <w:r>
        <w:t xml:space="preserve"> </w:t>
      </w:r>
      <w:r>
        <w:t xml:space="preserve">6. WHAT ARE THE IMPACTS OF THE POLICY OPTIONS? ……………………………………………………… 31</w:t>
      </w:r>
      <w:r>
        <w:t xml:space="preserve"> </w:t>
      </w:r>
      <w:r>
        <w:t xml:space="preserve">6.1 Overview of options ………………………………………………………………………………………………………….. 31</w:t>
      </w:r>
      <w:r>
        <w:t xml:space="preserve"> </w:t>
      </w:r>
      <w:r>
        <w:t xml:space="preserve">6.2. Economic impacts ……………………………………………………………………………………………………………. 31</w:t>
      </w:r>
      <w:r>
        <w:t xml:space="preserve"> </w:t>
      </w:r>
      <w:r>
        <w:t xml:space="preserve">6.2.1. Benefits …………………………………………………………………………………………………………………………… 31</w:t>
      </w:r>
      <w:r>
        <w:t xml:space="preserve"> </w:t>
      </w:r>
      <w:r>
        <w:t xml:space="preserve">6.2.2.</w:t>
      </w:r>
      <w:r>
        <w:t xml:space="preserve"> </w:t>
      </w:r>
      <w:r>
        <w:t xml:space="preserve">Costs ………………………………………………………………………………………………………………………….. 34</w:t>
      </w:r>
      <w:r>
        <w:t xml:space="preserve"> </w:t>
      </w:r>
      <w:r>
        <w:t xml:space="preserve">6.2.2.1 Impact on CASPs …………………………………………………………………………………………………. 36</w:t>
      </w:r>
      <w:r>
        <w:t xml:space="preserve"> </w:t>
      </w:r>
      <w:r>
        <w:t xml:space="preserve">6.2.2.2 Impact on tax administrations and Commission ……………………………………………………….. 37</w:t>
      </w:r>
      <w:r>
        <w:t xml:space="preserve"> </w:t>
      </w:r>
      <w:r>
        <w:t xml:space="preserve">6.2.3.</w:t>
      </w:r>
      <w:r>
        <w:t xml:space="preserve"> </w:t>
      </w:r>
      <w:r>
        <w:t xml:space="preserve">Impact on sector’s competitiveness and SMEs ………………………………………………………………… 38</w:t>
      </w:r>
      <w:r>
        <w:t xml:space="preserve"> </w:t>
      </w:r>
      <w:r>
        <w:t xml:space="preserve">6.2.4.</w:t>
      </w:r>
      <w:r>
        <w:t xml:space="preserve"> </w:t>
      </w:r>
      <w:r>
        <w:t xml:space="preserve">Social and environmental impacts …………………………………………………………………………………. 39</w:t>
      </w:r>
      <w:r>
        <w:t xml:space="preserve"> </w:t>
      </w:r>
      <w:r>
        <w:t xml:space="preserve">7. HOW DO THE OPTIONS COMPARE? …………………………………………………………………………………… 42</w:t>
      </w:r>
      <w:r>
        <w:t xml:space="preserve"> </w:t>
      </w:r>
      <w:r>
        <w:t xml:space="preserve">8. PREFERRED OPTION ………………………………………………………………………………………………………….. 44</w:t>
      </w:r>
      <w:r>
        <w:t xml:space="preserve"> </w:t>
      </w:r>
      <w:r>
        <w:t xml:space="preserve">9. HOW WILL ACTUAL IMPACTS BE MONITORED AND EVALUATED? ………………………………. 46</w:t>
      </w:r>
      <w:r>
        <w:t xml:space="preserve"> </w:t>
      </w:r>
      <w:r>
        <w:t xml:space="preserve">9.1 Indicators for monitoring and evaluation ……………………………………………………………………………… 46</w:t>
      </w:r>
      <w:r>
        <w:t xml:space="preserve"> </w:t>
      </w:r>
      <w:r>
        <w:t xml:space="preserve">9.2. Monitoring and reporting ………………………………………………………………………………………………….. 46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ANNEX 1:</w:t>
      </w:r>
      <w:r>
        <w:t xml:space="preserve"> </w:t>
      </w:r>
      <w:r>
        <w:t xml:space="preserve">PROCEDURAL INFORMATION …………………………………………………………………………. 48</w:t>
      </w:r>
      <w:r>
        <w:t xml:space="preserve"> </w:t>
      </w:r>
      <w:r>
        <w:t xml:space="preserve">ANNEX 2:</w:t>
      </w:r>
      <w:r>
        <w:t xml:space="preserve"> </w:t>
      </w:r>
      <w:r>
        <w:t xml:space="preserve">STAKEHOLDER CONSULTATION …………………………………………………………………….. 51</w:t>
      </w:r>
      <w:r>
        <w:t xml:space="preserve"> </w:t>
      </w:r>
      <w:r>
        <w:t xml:space="preserve">ANNEX 3:</w:t>
      </w:r>
      <w:r>
        <w:t xml:space="preserve"> </w:t>
      </w:r>
      <w:r>
        <w:t xml:space="preserve">WHO IS AFFECTED AND HOW? ……………………………………………………………………….. 60</w:t>
      </w:r>
      <w:r>
        <w:t xml:space="preserve"> </w:t>
      </w:r>
      <w:r>
        <w:t xml:space="preserve">ANNEX 4:</w:t>
      </w:r>
      <w:r>
        <w:t xml:space="preserve"> </w:t>
      </w:r>
      <w:r>
        <w:t xml:space="preserve">ANALYTICAL METHODS ………………………………………………………………………………….. 65</w:t>
      </w:r>
      <w:r>
        <w:t xml:space="preserve"> </w:t>
      </w:r>
      <w:r>
        <w:t xml:space="preserve">ANNEX 5:</w:t>
      </w:r>
      <w:r>
        <w:t xml:space="preserve"> </w:t>
      </w:r>
      <w:r>
        <w:t xml:space="preserve">IT SOLUTION …………………………………………………………………………………………………….. 71</w:t>
      </w:r>
      <w:r>
        <w:t xml:space="preserve"> </w:t>
      </w:r>
      <w:r>
        <w:t xml:space="preserve">ANNEX 6: STRENGTHENING OF ADMINISTRATIVE COOPERATION BETWEEN TAX</w:t>
      </w:r>
      <w:r>
        <w:t xml:space="preserve"> </w:t>
      </w:r>
      <w:r>
        <w:t xml:space="preserve">AUTHORITIES ………………………………………………………………………………………………………………………… 76</w:t>
      </w:r>
      <w:r>
        <w:t xml:space="preserve"> </w:t>
      </w:r>
      <w:r>
        <w:t xml:space="preserve">ANNEX 7:</w:t>
      </w:r>
      <w:r>
        <w:br/>
      </w:r>
      <w:r>
        <w:t xml:space="preserve">OVERVIEW OF DIFFERING PENALTIES APPLIED BY MEMBER STATES …………. 79</w:t>
      </w:r>
      <w:r>
        <w:t xml:space="preserve"> </w:t>
      </w:r>
      <w:r>
        <w:t xml:space="preserve">ANNEX 8:</w:t>
      </w:r>
      <w:r>
        <w:t xml:space="preserve"> </w:t>
      </w:r>
      <w:r>
        <w:t xml:space="preserve">BIBLIOGRAPHY ………………………………………………………………………………………………. 105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AML(D)</w:t>
      </w:r>
      <w:r>
        <w:t xml:space="preserve"> </w:t>
      </w:r>
      <w:r>
        <w:t xml:space="preserve">Anti-money laundering (Directive). The European</w:t>
      </w:r>
      <w:r>
        <w:t xml:space="preserve"> </w:t>
      </w:r>
      <w:r>
        <w:t xml:space="preserve">Commission has presented a package of legislative</w:t>
      </w:r>
      <w:r>
        <w:t xml:space="preserve"> </w:t>
      </w:r>
      <w:r>
        <w:t xml:space="preserve">proposals to strengthen these rules in July 2021.</w:t>
      </w:r>
      <w:r>
        <w:t xml:space="preserve"> </w:t>
      </w:r>
      <w:r>
        <w:t xml:space="preserve">Asset-referenced token</w:t>
      </w:r>
      <w:r>
        <w:t xml:space="preserve"> </w:t>
      </w:r>
      <w:r>
        <w:t xml:space="preserve">A type of crypto-asset that purports to maintain a stable</w:t>
      </w:r>
      <w:r>
        <w:t xml:space="preserve"> </w:t>
      </w:r>
      <w:r>
        <w:t xml:space="preserve">value by referring to the value of several fiat currencies</w:t>
      </w:r>
      <w:r>
        <w:t xml:space="preserve"> </w:t>
      </w:r>
      <w:r>
        <w:t xml:space="preserve">that are legal tender, one or several commodities or one</w:t>
      </w:r>
      <w:r>
        <w:t xml:space="preserve"> </w:t>
      </w:r>
      <w:r>
        <w:t xml:space="preserve">or several crypto-assets, or a combination of such assets.</w:t>
      </w:r>
      <w:r>
        <w:t xml:space="preserve"> </w:t>
      </w:r>
      <w:r>
        <w:t xml:space="preserve">Binance</w:t>
      </w:r>
      <w:r>
        <w:t xml:space="preserve"> </w:t>
      </w:r>
      <w:r>
        <w:t xml:space="preserve">Binance is a CASP founded in 2017 and registered in the</w:t>
      </w:r>
      <w:r>
        <w:t xml:space="preserve"> </w:t>
      </w:r>
      <w:r>
        <w:t xml:space="preserve">Cayman Islands. It is often considered as one of the</w:t>
      </w:r>
      <w:r>
        <w:t xml:space="preserve"> </w:t>
      </w:r>
      <w:r>
        <w:t xml:space="preserve">largest exchange in the world in terms of daily trading</w:t>
      </w:r>
      <w:r>
        <w:t xml:space="preserve"> </w:t>
      </w:r>
      <w:r>
        <w:t xml:space="preserve">volume of crypto-assets.</w:t>
      </w:r>
      <w:r>
        <w:t xml:space="preserve"> </w:t>
      </w:r>
      <w:r>
        <w:t xml:space="preserve">Bitcoin</w:t>
      </w:r>
      <w:r>
        <w:br/>
      </w:r>
      <w:r>
        <w:t xml:space="preserve">Bitcoin (₿) is a type of crypto-asset. It is a decentralized</w:t>
      </w:r>
      <w:r>
        <w:t xml:space="preserve"> </w:t>
      </w:r>
      <w:r>
        <w:t xml:space="preserve">virtual currency, without a central bank or single</w:t>
      </w:r>
      <w:r>
        <w:t xml:space="preserve"> </w:t>
      </w:r>
      <w:r>
        <w:t xml:space="preserve">administrator that can be sent from user to user on the</w:t>
      </w:r>
      <w:r>
        <w:t xml:space="preserve"> </w:t>
      </w:r>
      <w:r>
        <w:t xml:space="preserve">peer-to-peer bitcoin network without the need for</w:t>
      </w:r>
      <w:r>
        <w:t xml:space="preserve"> </w:t>
      </w:r>
      <w:r>
        <w:t xml:space="preserve">intermediaries. Transactions are verified by network</w:t>
      </w:r>
      <w:r>
        <w:t xml:space="preserve"> </w:t>
      </w:r>
      <w:r>
        <w:t xml:space="preserve">nodes through cryptography and recorded in a public</w:t>
      </w:r>
      <w:r>
        <w:t xml:space="preserve"> </w:t>
      </w:r>
      <w:r>
        <w:t xml:space="preserve">distributed ledger called a blockchain.</w:t>
      </w:r>
      <w:r>
        <w:t xml:space="preserve"> </w:t>
      </w:r>
      <w:r>
        <w:t xml:space="preserve">Blockchain</w:t>
      </w:r>
      <w:r>
        <w:t xml:space="preserve"> </w:t>
      </w:r>
      <w:r>
        <w:t xml:space="preserve">A form of distributed ledger in which details of</w:t>
      </w:r>
      <w:r>
        <w:t xml:space="preserve"> </w:t>
      </w:r>
      <w:r>
        <w:t xml:space="preserve">transactions are held in the ledger in the form of blocks of</w:t>
      </w:r>
      <w:r>
        <w:t xml:space="preserve"> </w:t>
      </w:r>
      <w:r>
        <w:t xml:space="preserve">information. A block of new information is attached into</w:t>
      </w:r>
      <w:r>
        <w:t xml:space="preserve"> </w:t>
      </w:r>
      <w:r>
        <w:t xml:space="preserve">the chain of pre-existing blocks via a computerised</w:t>
      </w:r>
      <w:r>
        <w:t xml:space="preserve"> </w:t>
      </w:r>
      <w:r>
        <w:t xml:space="preserve">process by which transactions are validated.</w:t>
      </w:r>
      <w:r>
        <w:br/>
      </w:r>
      <w:r>
        <w:t xml:space="preserve">CBDC</w:t>
      </w:r>
      <w:r>
        <w:t xml:space="preserve"> </w:t>
      </w:r>
      <w:r>
        <w:t xml:space="preserve">Central bank digital currency. A CBDC may be defined</w:t>
      </w:r>
      <w:r>
        <w:t xml:space="preserve"> </w:t>
      </w:r>
      <w:r>
        <w:t xml:space="preserve">as a digital asset that only the central bank may issue or</w:t>
      </w:r>
      <w:r>
        <w:t xml:space="preserve"> </w:t>
      </w:r>
      <w:r>
        <w:t xml:space="preserve">destroy, that is traded at par against banknotes and</w:t>
      </w:r>
      <w:r>
        <w:t xml:space="preserve"> </w:t>
      </w:r>
      <w:r>
        <w:t xml:space="preserve">reserves, that is available 24/7, that may be used in peer-</w:t>
      </w:r>
      <w:r>
        <w:t xml:space="preserve"> </w:t>
      </w:r>
      <w:r>
        <w:t xml:space="preserve">to-peer transactions and that circulates on digital media</w:t>
      </w:r>
      <w:r>
        <w:t xml:space="preserve"> </w:t>
      </w:r>
      <w:r>
        <w:t xml:space="preserve">that are at least partially different from existing media.</w:t>
      </w:r>
      <w:r>
        <w:t xml:space="preserve"> </w:t>
      </w:r>
      <w:r>
        <w:t xml:space="preserve">Cold wallet</w:t>
      </w:r>
      <w:r>
        <w:t xml:space="preserve"> </w:t>
      </w:r>
      <w:r>
        <w:t xml:space="preserve">A wallet that is not connected to the internet. Cold wallets</w:t>
      </w:r>
      <w:r>
        <w:t xml:space="preserve"> </w:t>
      </w:r>
      <w:r>
        <w:t xml:space="preserve">may include paper wallets (where the public and private</w:t>
      </w:r>
      <w:r>
        <w:t xml:space="preserve"> </w:t>
      </w:r>
      <w:r>
        <w:t xml:space="preserve">keys are recorded on a piece of paper) and hardware</w:t>
      </w:r>
      <w:r>
        <w:t xml:space="preserve"> </w:t>
      </w:r>
      <w:r>
        <w:t xml:space="preserve">wallets (where a USB stick or similar device is used as</w:t>
      </w:r>
      <w:r>
        <w:t xml:space="preserve"> </w:t>
      </w:r>
      <w:r>
        <w:t xml:space="preserve">the storage medium).</w:t>
      </w:r>
      <w:r>
        <w:t xml:space="preserve"> </w:t>
      </w:r>
      <w:r>
        <w:t xml:space="preserve">Crypto-asset</w:t>
      </w:r>
      <w:r>
        <w:t xml:space="preserve"> </w:t>
      </w:r>
      <w:r>
        <w:t xml:space="preserve">A digital representation of value or rights, which may be</w:t>
      </w:r>
      <w:r>
        <w:t xml:space="preserve"> </w:t>
      </w:r>
      <w:r>
        <w:t xml:space="preserve">transferred and stored electronically, using distributed</w:t>
      </w:r>
      <w:r>
        <w:t xml:space="preserve"> </w:t>
      </w:r>
      <w:r>
        <w:t xml:space="preserve">ledger technology or similar technology.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Crypto-asset service</w:t>
      </w:r>
      <w:r>
        <w:t xml:space="preserve"> </w:t>
      </w:r>
      <w:r>
        <w:t xml:space="preserve">Any of the services and activities relating to any crypto-</w:t>
      </w:r>
      <w:r>
        <w:t xml:space="preserve"> </w:t>
      </w:r>
      <w:r>
        <w:t xml:space="preserve">asset: the custody and administration of crypto-assets on</w:t>
      </w:r>
      <w:r>
        <w:t xml:space="preserve"> </w:t>
      </w:r>
      <w:r>
        <w:t xml:space="preserve">behalf of third parties; the operation of a trading platform</w:t>
      </w:r>
      <w:r>
        <w:t xml:space="preserve"> </w:t>
      </w:r>
      <w:r>
        <w:t xml:space="preserve">for crypto-assets; the exchange of crypto-assets for fiat</w:t>
      </w:r>
      <w:r>
        <w:t xml:space="preserve"> </w:t>
      </w:r>
      <w:r>
        <w:t xml:space="preserve">currency that is legal tender; the exchange of crypto-</w:t>
      </w:r>
      <w:r>
        <w:t xml:space="preserve"> </w:t>
      </w:r>
      <w:r>
        <w:t xml:space="preserve">assets for other crypto-assets; the execution of orders for</w:t>
      </w:r>
      <w:r>
        <w:t xml:space="preserve"> </w:t>
      </w:r>
      <w:r>
        <w:t xml:space="preserve">crypto-assets on behalf of third parties; placing of crypto-</w:t>
      </w:r>
      <w:r>
        <w:t xml:space="preserve"> </w:t>
      </w:r>
      <w:r>
        <w:t xml:space="preserve">assets; the reception and transmission of orders for</w:t>
      </w:r>
      <w:r>
        <w:t xml:space="preserve"> </w:t>
      </w:r>
      <w:r>
        <w:t xml:space="preserve">crypto-assets on behalf of third parties; providing advice</w:t>
      </w:r>
      <w:r>
        <w:t xml:space="preserve"> </w:t>
      </w:r>
      <w:r>
        <w:t xml:space="preserve">on crypto-assets.</w:t>
      </w:r>
      <w:r>
        <w:t xml:space="preserve"> </w:t>
      </w:r>
      <w:r>
        <w:t xml:space="preserve">Crypto-asset service provider</w:t>
      </w:r>
      <w:r>
        <w:t xml:space="preserve"> </w:t>
      </w:r>
      <w:r>
        <w:t xml:space="preserve">or CASP</w:t>
      </w:r>
      <w:r>
        <w:br/>
      </w:r>
      <w:r>
        <w:t xml:space="preserve">Any person whose occupation or business is the provision</w:t>
      </w:r>
      <w:r>
        <w:t xml:space="preserve"> </w:t>
      </w:r>
      <w:r>
        <w:t xml:space="preserve">of one or more crypto-asset services to third parties on a</w:t>
      </w:r>
      <w:r>
        <w:t xml:space="preserve"> </w:t>
      </w:r>
      <w:r>
        <w:t xml:space="preserve">professional basis.</w:t>
      </w:r>
      <w:r>
        <w:t xml:space="preserve"> </w:t>
      </w:r>
      <w:r>
        <w:t xml:space="preserve">Cryptocurrency</w:t>
      </w:r>
      <w:r>
        <w:t xml:space="preserve"> </w:t>
      </w:r>
      <w:r>
        <w:t xml:space="preserve">See</w:t>
      </w:r>
      <w:r>
        <w:t xml:space="preserve"> </w:t>
      </w:r>
      <w:r>
        <w:t xml:space="preserve">“Virtual currency”</w:t>
      </w:r>
      <w:r>
        <w:t xml:space="preserve"> </w:t>
      </w:r>
      <w:r>
        <w:t xml:space="preserve">Cryptography</w:t>
      </w:r>
      <w:r>
        <w:t xml:space="preserve"> </w:t>
      </w:r>
      <w:r>
        <w:t xml:space="preserve">The conversion of data into private code using encryption</w:t>
      </w:r>
      <w:r>
        <w:t xml:space="preserve"> </w:t>
      </w:r>
      <w:r>
        <w:t xml:space="preserve">algorithms, typically for transmission over a public</w:t>
      </w:r>
      <w:r>
        <w:t xml:space="preserve"> </w:t>
      </w:r>
      <w:r>
        <w:t xml:space="preserve">network.</w:t>
      </w:r>
      <w:r>
        <w:t xml:space="preserve"> </w:t>
      </w:r>
      <w:r>
        <w:t xml:space="preserve">Custodian wallet provider</w:t>
      </w:r>
      <w:r>
        <w:br/>
      </w:r>
      <w:r>
        <w:t xml:space="preserve">An entity that provides services to safeguard private</w:t>
      </w:r>
      <w:r>
        <w:t xml:space="preserve"> </w:t>
      </w:r>
      <w:r>
        <w:t xml:space="preserve">cryptographic keys on behalf of its customers, to hold,</w:t>
      </w:r>
      <w:r>
        <w:t xml:space="preserve"> </w:t>
      </w:r>
      <w:r>
        <w:t xml:space="preserve">store and transfer virtual assets.</w:t>
      </w:r>
      <w:r>
        <w:t xml:space="preserve"> </w:t>
      </w:r>
      <w:r>
        <w:t xml:space="preserve">Directive on administrative</w:t>
      </w:r>
      <w:r>
        <w:t xml:space="preserve"> </w:t>
      </w:r>
      <w:r>
        <w:t xml:space="preserve">cooperation or DAC</w:t>
      </w:r>
      <w:r>
        <w:t xml:space="preserve"> </w:t>
      </w:r>
      <w:r>
        <w:t xml:space="preserve">Directive on administrative cooperation in the field of</w:t>
      </w:r>
      <w:r>
        <w:t xml:space="preserve"> </w:t>
      </w:r>
      <w:r>
        <w:t xml:space="preserve">direct taxation. Rules and procedures under which the</w:t>
      </w:r>
      <w:r>
        <w:t xml:space="preserve"> </w:t>
      </w:r>
      <w:r>
        <w:t xml:space="preserve">Member States shall cooperate with each other with a</w:t>
      </w:r>
      <w:r>
        <w:t xml:space="preserve"> </w:t>
      </w:r>
      <w:r>
        <w:t xml:space="preserve">view to exchanging information that is foreseeably</w:t>
      </w:r>
      <w:r>
        <w:t xml:space="preserve"> </w:t>
      </w:r>
      <w:r>
        <w:t xml:space="preserve">relevant to the administration and enforcement of the</w:t>
      </w:r>
      <w:r>
        <w:t xml:space="preserve"> </w:t>
      </w:r>
      <w:r>
        <w:t xml:space="preserve">domestic laws of the Member States concerning taxes of</w:t>
      </w:r>
      <w:r>
        <w:t xml:space="preserve"> </w:t>
      </w:r>
      <w:r>
        <w:t xml:space="preserve">any kind except value added tax and customs duties, or</w:t>
      </w:r>
      <w:r>
        <w:t xml:space="preserve"> </w:t>
      </w:r>
      <w:r>
        <w:t xml:space="preserve">excise duties.</w:t>
      </w:r>
      <w:r>
        <w:br/>
      </w:r>
      <w:r>
        <w:t xml:space="preserve">Distributed ledger technology</w:t>
      </w:r>
      <w:r>
        <w:t xml:space="preserve"> </w:t>
      </w:r>
      <w:r>
        <w:t xml:space="preserve">or DLT</w:t>
      </w:r>
      <w:r>
        <w:t xml:space="preserve"> </w:t>
      </w:r>
      <w:r>
        <w:t xml:space="preserve">A type of technology that supports the distributed</w:t>
      </w:r>
      <w:r>
        <w:t xml:space="preserve"> </w:t>
      </w:r>
      <w:r>
        <w:t xml:space="preserve">recording of encrypted data.</w:t>
      </w:r>
      <w:r>
        <w:t xml:space="preserve"> </w:t>
      </w:r>
      <w:r>
        <w:t xml:space="preserve">EMA</w:t>
      </w:r>
      <w:r>
        <w:t xml:space="preserve"> </w:t>
      </w:r>
      <w:r>
        <w:t xml:space="preserve">Electronic Money Association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E-money</w:t>
      </w:r>
      <w:r>
        <w:t xml:space="preserve"> </w:t>
      </w:r>
      <w:r>
        <w:t xml:space="preserve">Electronically, including magnetically, stored monetary</w:t>
      </w:r>
      <w:r>
        <w:t xml:space="preserve"> </w:t>
      </w:r>
      <w:r>
        <w:t xml:space="preserve">value as represented by a claim on the issuer which is</w:t>
      </w:r>
      <w:r>
        <w:t xml:space="preserve"> </w:t>
      </w:r>
      <w:r>
        <w:t xml:space="preserve">issued on receipt of funds for the purpose of making</w:t>
      </w:r>
      <w:r>
        <w:t xml:space="preserve"> </w:t>
      </w:r>
      <w:r>
        <w:t xml:space="preserve">payment transaction, and which is accepted by a natural</w:t>
      </w:r>
      <w:r>
        <w:t xml:space="preserve"> </w:t>
      </w:r>
      <w:r>
        <w:t xml:space="preserve">or legal person other than the electronic money issuer.</w:t>
      </w:r>
      <w:r>
        <w:t xml:space="preserve"> </w:t>
      </w:r>
      <w:r>
        <w:t xml:space="preserve">E-money token</w:t>
      </w:r>
      <w:r>
        <w:t xml:space="preserve"> </w:t>
      </w:r>
      <w:r>
        <w:t xml:space="preserve">Stands for</w:t>
      </w:r>
      <w:r>
        <w:t xml:space="preserve"> </w:t>
      </w:r>
      <w:r>
        <w:t xml:space="preserve">“electronic money token”</w:t>
      </w:r>
      <w:r>
        <w:t xml:space="preserve">. Means a type of</w:t>
      </w:r>
      <w:r>
        <w:t xml:space="preserve"> </w:t>
      </w:r>
      <w:r>
        <w:t xml:space="preserve">crypto-asset mainly used as a means of exchange and that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purports to maintain a stable value by referring to the</w:t>
      </w:r>
      <w:r>
        <w:t xml:space="preserve"> </w:t>
      </w:r>
      <w:r>
        <w:t xml:space="preserve">value of a fiat currency that is legal tender.</w:t>
      </w:r>
      <w:r>
        <w:t xml:space="preserve"> </w:t>
      </w:r>
      <w:r>
        <w:t xml:space="preserve">Ethereum</w:t>
      </w:r>
      <w:r>
        <w:t xml:space="preserve"> </w:t>
      </w:r>
      <w:r>
        <w:t xml:space="preserve">Ethereum is an open source, public, blockchain-based</w:t>
      </w:r>
      <w:r>
        <w:t xml:space="preserve"> </w:t>
      </w:r>
      <w:r>
        <w:t xml:space="preserve">distributed computing platform and operating system</w:t>
      </w:r>
      <w:r>
        <w:t xml:space="preserve"> </w:t>
      </w:r>
      <w:r>
        <w:t xml:space="preserve">featuring smart contract functionality.</w:t>
      </w:r>
      <w:r>
        <w:t xml:space="preserve"> </w:t>
      </w:r>
      <w:r>
        <w:t xml:space="preserve">FATF</w:t>
      </w:r>
      <w:r>
        <w:t xml:space="preserve"> </w:t>
      </w:r>
      <w:r>
        <w:t xml:space="preserve">The Financial Action Task Force (FATF) is the global</w:t>
      </w:r>
      <w:r>
        <w:t xml:space="preserve"> </w:t>
      </w:r>
      <w:r>
        <w:t xml:space="preserve">money laundering and terrorist financing watchdog. The</w:t>
      </w:r>
      <w:r>
        <w:t xml:space="preserve"> </w:t>
      </w:r>
      <w:r>
        <w:t xml:space="preserve">inter-governmental body sets international standards that</w:t>
      </w:r>
      <w:r>
        <w:t xml:space="preserve"> </w:t>
      </w:r>
      <w:r>
        <w:t xml:space="preserve">aim to prevent these illegal activities and the harm they</w:t>
      </w:r>
      <w:r>
        <w:t xml:space="preserve"> </w:t>
      </w:r>
      <w:r>
        <w:t xml:space="preserve">cause to society. The FATF has developed the FATF</w:t>
      </w:r>
      <w:r>
        <w:t xml:space="preserve"> </w:t>
      </w:r>
      <w:r>
        <w:t xml:space="preserve">Recommendations, or FATF Standards, which ensure a</w:t>
      </w:r>
      <w:r>
        <w:t xml:space="preserve"> </w:t>
      </w:r>
      <w:r>
        <w:t xml:space="preserve">co-ordinated global response to prevent organised crime,</w:t>
      </w:r>
      <w:r>
        <w:t xml:space="preserve"> </w:t>
      </w:r>
      <w:r>
        <w:t xml:space="preserve">corruption and terrorism.</w:t>
      </w:r>
      <w:r>
        <w:t xml:space="preserve"> </w:t>
      </w:r>
      <w:r>
        <w:t xml:space="preserve">Fiat currency</w:t>
      </w:r>
      <w:r>
        <w:t xml:space="preserve"> </w:t>
      </w:r>
      <w:r>
        <w:t xml:space="preserve">Fiat currency is a type of currency that is declared legal</w:t>
      </w:r>
      <w:r>
        <w:t xml:space="preserve"> </w:t>
      </w:r>
      <w:r>
        <w:t xml:space="preserve">tender including money in circulation such as paper</w:t>
      </w:r>
      <w:r>
        <w:t xml:space="preserve"> </w:t>
      </w:r>
      <w:r>
        <w:t xml:space="preserve">money or coins.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KYC</w:t>
      </w:r>
      <w:r>
        <w:t xml:space="preserve"> </w:t>
      </w:r>
      <w:r>
        <w:t xml:space="preserve">For</w:t>
      </w:r>
      <w:r>
        <w:t xml:space="preserve"> </w:t>
      </w:r>
      <w:r>
        <w:t xml:space="preserve">“know your customer”</w:t>
      </w:r>
      <w:r>
        <w:t xml:space="preserve">. Customer due diligences</w:t>
      </w:r>
      <w:r>
        <w:t xml:space="preserve"> </w:t>
      </w:r>
      <w:r>
        <w:t xml:space="preserve">(CDD) required by Anti Money Laundering Directive</w:t>
      </w:r>
      <w:r>
        <w:t xml:space="preserve"> </w:t>
      </w:r>
      <w:r>
        <w:t xml:space="preserve">(AMLD) to identify and verify the identity of customers</w:t>
      </w:r>
      <w:r>
        <w:t xml:space="preserve"> </w:t>
      </w:r>
      <w:r>
        <w:t xml:space="preserve">and beneficial owners for financial institutions and certain</w:t>
      </w:r>
      <w:r>
        <w:t xml:space="preserve"> </w:t>
      </w:r>
      <w:r>
        <w:t xml:space="preserve">non-financial institutions and professionals.</w:t>
      </w:r>
      <w:r>
        <w:t xml:space="preserve"> </w:t>
      </w:r>
      <w:r>
        <w:t xml:space="preserve">Markets in Crypto-Assets or</w:t>
      </w:r>
      <w:r>
        <w:t xml:space="preserve"> </w:t>
      </w:r>
      <w:r>
        <w:t xml:space="preserve">MICA</w:t>
      </w:r>
      <w:r>
        <w:t xml:space="preserve"> </w:t>
      </w:r>
      <w:r>
        <w:t xml:space="preserve">Proposal for a Regulation of the European Parliament and</w:t>
      </w:r>
      <w:r>
        <w:t xml:space="preserve"> </w:t>
      </w:r>
      <w:r>
        <w:t xml:space="preserve">of the Council on Markets in Crypto-assets, and amending</w:t>
      </w:r>
      <w:r>
        <w:t xml:space="preserve"> </w:t>
      </w:r>
      <w:r>
        <w:t xml:space="preserve">Directive (EU) 2019/1937.</w:t>
      </w:r>
      <w:r>
        <w:t xml:space="preserve"> </w:t>
      </w:r>
      <w:r>
        <w:t xml:space="preserve">Non-marketable crypto-assets A crypto-asset that is not traded in a market or does not</w:t>
      </w:r>
      <w:r>
        <w:t xml:space="preserve"> </w:t>
      </w:r>
      <w:r>
        <w:t xml:space="preserve">require intervention by a professional CASP for carrying</w:t>
      </w:r>
      <w:r>
        <w:t xml:space="preserve"> </w:t>
      </w:r>
      <w:r>
        <w:t xml:space="preserve">out transactions. They are usually only transmitted</w:t>
      </w:r>
      <w:r>
        <w:t xml:space="preserve"> </w:t>
      </w:r>
      <w:r>
        <w:t xml:space="preserve">through peer-to-peer transactions.</w:t>
      </w:r>
      <w:r>
        <w:t xml:space="preserve"> </w:t>
      </w:r>
      <w:r>
        <w:t xml:space="preserve">OECD</w:t>
      </w:r>
      <w:r>
        <w:br/>
      </w:r>
      <w:r>
        <w:t xml:space="preserve">Organisation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Co-operation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br/>
      </w:r>
      <w:r>
        <w:t xml:space="preserve">Peer-to-peer transaction</w:t>
      </w:r>
      <w:r>
        <w:t xml:space="preserve"> </w:t>
      </w:r>
      <w:r>
        <w:t xml:space="preserve">Also known as</w:t>
      </w:r>
      <w:r>
        <w:t xml:space="preserve"> </w:t>
      </w:r>
      <w:r>
        <w:t xml:space="preserve">“P2P”</w:t>
      </w:r>
      <w:r>
        <w:t xml:space="preserve">. Individual user-to-individual user</w:t>
      </w:r>
      <w:r>
        <w:t xml:space="preserve"> </w:t>
      </w:r>
      <w:r>
        <w:t xml:space="preserve">of crypto-assets transaction.</w:t>
      </w:r>
      <w:r>
        <w:t xml:space="preserve"> </w:t>
      </w:r>
      <w:r>
        <w:t xml:space="preserve">Pseudo-anonymity</w:t>
      </w:r>
      <w:r>
        <w:t xml:space="preserve"> </w:t>
      </w:r>
      <w:r>
        <w:t xml:space="preserve">The result of the processing of personal data in such a</w:t>
      </w:r>
      <w:r>
        <w:t xml:space="preserve"> </w:t>
      </w:r>
      <w:r>
        <w:t xml:space="preserve">manner that the personal data can no longer be attributed</w:t>
      </w:r>
      <w:r>
        <w:t xml:space="preserve"> </w:t>
      </w:r>
      <w:r>
        <w:t xml:space="preserve">to a specific data subject without the use of additional</w:t>
      </w:r>
      <w:r>
        <w:t xml:space="preserve"> </w:t>
      </w:r>
      <w:r>
        <w:t xml:space="preserve">information, provided that such additional information is</w:t>
      </w:r>
      <w:r>
        <w:t xml:space="preserve"> </w:t>
      </w:r>
      <w:r>
        <w:t xml:space="preserve">kept separately and is subject to technical and</w:t>
      </w:r>
      <w:r>
        <w:t xml:space="preserve"> </w:t>
      </w:r>
      <w:r>
        <w:t xml:space="preserve">organisational measures to ensure that the personal data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are not attributed to an identified or identifiable natural</w:t>
      </w:r>
      <w:r>
        <w:t xml:space="preserve"> </w:t>
      </w:r>
      <w:r>
        <w:t xml:space="preserve">person.</w:t>
      </w:r>
      <w:r>
        <w:t xml:space="preserve"> </w:t>
      </w:r>
      <w:r>
        <w:t xml:space="preserve">SMEs</w:t>
      </w:r>
      <w:r>
        <w:br/>
      </w:r>
      <w:r>
        <w:t xml:space="preserve">Small and medium-sized enterprises</w:t>
      </w:r>
      <w:r>
        <w:t xml:space="preserve"> </w:t>
      </w:r>
      <w:r>
        <w:t xml:space="preserve">Transfer</w:t>
      </w:r>
      <w:r>
        <w:t xml:space="preserve"> </w:t>
      </w:r>
      <w:r>
        <w:t xml:space="preserve">A transfer is the movement of a crypto-asset to a</w:t>
      </w:r>
      <w:r>
        <w:t xml:space="preserve"> </w:t>
      </w:r>
      <w:r>
        <w:t xml:space="preserve">different wallet. Wallets can be the so-called cold wallets</w:t>
      </w:r>
      <w:r>
        <w:t xml:space="preserve"> </w:t>
      </w:r>
      <w:r>
        <w:t xml:space="preserve">which are not managed by CASPs but by the users itself,</w:t>
      </w:r>
      <w:r>
        <w:t xml:space="preserve"> </w:t>
      </w:r>
      <w:r>
        <w:t xml:space="preserve">or a wallet managed by a different CASPs. All transfers</w:t>
      </w:r>
      <w:r>
        <w:t xml:space="preserve"> </w:t>
      </w:r>
      <w:r>
        <w:t xml:space="preserve">and transactions are performed via blockchain.</w:t>
      </w:r>
      <w:r>
        <w:t xml:space="preserve"> </w:t>
      </w:r>
      <w:r>
        <w:t xml:space="preserve">User</w:t>
      </w:r>
      <w:r>
        <w:t xml:space="preserve"> </w:t>
      </w:r>
      <w:r>
        <w:t xml:space="preserve">Any individual or legal person who uses e-money or the</w:t>
      </w:r>
      <w:r>
        <w:t xml:space="preserve"> </w:t>
      </w:r>
      <w:r>
        <w:t xml:space="preserve">services of a CASP.</w:t>
      </w:r>
      <w:r>
        <w:t xml:space="preserve"> </w:t>
      </w:r>
      <w:r>
        <w:t xml:space="preserve">Utility token</w:t>
      </w:r>
      <w:r>
        <w:t xml:space="preserve"> </w:t>
      </w:r>
      <w:r>
        <w:t xml:space="preserve">A type of crypto-asset, which is intended to provide</w:t>
      </w:r>
      <w:r>
        <w:t xml:space="preserve"> </w:t>
      </w:r>
      <w:r>
        <w:t xml:space="preserve">digital access to a good or service, available on DLT, and</w:t>
      </w:r>
      <w:r>
        <w:t xml:space="preserve"> </w:t>
      </w:r>
      <w:r>
        <w:t xml:space="preserve">is only accepted by the issuer of that token.</w:t>
      </w:r>
      <w:r>
        <w:t xml:space="preserve"> </w:t>
      </w:r>
      <w:r>
        <w:t xml:space="preserve">Virtual currency</w:t>
      </w:r>
      <w:r>
        <w:t xml:space="preserve"> </w:t>
      </w:r>
      <w:r>
        <w:t xml:space="preserve">A digital representation of value that is not issued or</w:t>
      </w:r>
      <w:r>
        <w:t xml:space="preserve"> </w:t>
      </w:r>
      <w:r>
        <w:t xml:space="preserve">guaranteed by a central bank or a public authority, is not</w:t>
      </w:r>
      <w:r>
        <w:t xml:space="preserve"> </w:t>
      </w:r>
      <w:r>
        <w:t xml:space="preserve">necessarily attached to a legally established currency and</w:t>
      </w:r>
      <w:r>
        <w:t xml:space="preserve"> </w:t>
      </w:r>
      <w:r>
        <w:t xml:space="preserve">does not possess a legal status of currency or money, but</w:t>
      </w:r>
      <w:r>
        <w:t xml:space="preserve"> </w:t>
      </w:r>
      <w:r>
        <w:t xml:space="preserve">is accepted by natural or legal persons as a means of</w:t>
      </w:r>
      <w:r>
        <w:t xml:space="preserve"> </w:t>
      </w:r>
      <w:r>
        <w:t xml:space="preserve">exchange and which can be transferred, stored and traded</w:t>
      </w:r>
      <w:r>
        <w:t xml:space="preserve"> </w:t>
      </w:r>
      <w:r>
        <w:t xml:space="preserve">electronically.</w:t>
      </w:r>
      <w:r>
        <w:t xml:space="preserve"> </w:t>
      </w:r>
      <w:r>
        <w:t xml:space="preserve">Wallet</w:t>
      </w:r>
      <w:r>
        <w:t xml:space="preserve"> </w:t>
      </w:r>
      <w:r>
        <w:t xml:space="preserve">A device, physical medium or software, used to store</w:t>
      </w:r>
      <w:r>
        <w:t xml:space="preserve"> </w:t>
      </w:r>
      <w:r>
        <w:t xml:space="preserve">public and private keys and to interact with DLT to allow</w:t>
      </w:r>
      <w:r>
        <w:t xml:space="preserve"> </w:t>
      </w:r>
      <w:r>
        <w:t xml:space="preserve">users to send and receive crypto-assets and monitor their</w:t>
      </w:r>
      <w:r>
        <w:t xml:space="preserve"> </w:t>
      </w:r>
      <w:r>
        <w:t xml:space="preserve">balances. See also</w:t>
      </w:r>
      <w:r>
        <w:t xml:space="preserve"> </w:t>
      </w:r>
      <w:r>
        <w:t xml:space="preserve">“Cold wallet”</w:t>
      </w:r>
      <w:r>
        <w:t xml:space="preserve"> </w:t>
      </w:r>
      <w:r>
        <w:t xml:space="preserve">and “custodian wallet</w:t>
      </w:r>
      <w:r>
        <w:t xml:space="preserve"> </w:t>
      </w:r>
      <w:r>
        <w:t xml:space="preserve">provider”.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</w:p>
    <w:p>
      <w:pPr>
        <w:pStyle w:val="FirstParagraph"/>
      </w:pPr>
      <w:r>
        <w:t xml:space="preserve">In the political guidelines for the European Commission, President von der Leyen stressed the</w:t>
      </w:r>
      <w:r>
        <w:t xml:space="preserve"> </w:t>
      </w:r>
      <w:r>
        <w:t xml:space="preserve">Commission’s commitment to stepping up the fight against tax fraud, evasion and avoidance to</w:t>
      </w:r>
      <w:r>
        <w:t xml:space="preserve"> </w:t>
      </w:r>
      <w:r>
        <w:t xml:space="preserve">ensure an economy that works for people1 and where everybody pays their fair share. Fair and</w:t>
      </w:r>
      <w:r>
        <w:t xml:space="preserve"> </w:t>
      </w:r>
      <w:r>
        <w:t xml:space="preserve">efficient taxation not only promotes social justice for citizens and a level playing field for</w:t>
      </w:r>
      <w:r>
        <w:t xml:space="preserve"> </w:t>
      </w:r>
      <w:r>
        <w:t xml:space="preserve">businesses but also ensures that citizens and businesses can fully reap the benefits of the Internal</w:t>
      </w:r>
      <w:r>
        <w:t xml:space="preserve"> </w:t>
      </w:r>
      <w:r>
        <w:t xml:space="preserve">Market. The COVID-19 pandemic has added greater urgency to the need to protect public finances</w:t>
      </w:r>
      <w:r>
        <w:t xml:space="preserve"> </w:t>
      </w:r>
      <w:r>
        <w:t xml:space="preserve">and to ensure fair burden sharing.</w:t>
      </w:r>
      <w:r>
        <w:br/>
      </w:r>
      <w:r>
        <w:t xml:space="preserve">On 15 July 2020, the European Commission adopted an Action Plan for Fair and Simple Taxation</w:t>
      </w:r>
      <w:r>
        <w:t xml:space="preserve"> </w:t>
      </w:r>
      <w:r>
        <w:t xml:space="preserve">Supporting the Recovery Strategy2 (hereafter referred to as the “Tax Action Plan”). The Tax</w:t>
      </w:r>
      <w:r>
        <w:t xml:space="preserve"> </w:t>
      </w:r>
      <w:r>
        <w:t xml:space="preserve">Action Plan contains measures to reinforce the fight against tax abuse, to help tax administrations</w:t>
      </w:r>
      <w:r>
        <w:t xml:space="preserve"> </w:t>
      </w:r>
      <w:r>
        <w:t xml:space="preserve">to keep pace with a constantly evolving economy and to ease the administrative burden for citizens</w:t>
      </w:r>
      <w:r>
        <w:t xml:space="preserve"> </w:t>
      </w:r>
      <w:r>
        <w:t xml:space="preserve">and companies. Furthermore, the Tax Action Plan envisages improving administrative cooperation</w:t>
      </w:r>
      <w:r>
        <w:t xml:space="preserve"> </w:t>
      </w:r>
      <w:r>
        <w:t xml:space="preserve">between national tax authorities in existing as well as newly developing areas.</w:t>
      </w:r>
      <w:r>
        <w:br/>
      </w:r>
      <w:r>
        <w:t xml:space="preserve">The European Parliament has on several occasions stressed the political importance of fair taxation</w:t>
      </w:r>
      <w:r>
        <w:t xml:space="preserve"> </w:t>
      </w:r>
      <w:r>
        <w:t xml:space="preserve">and of fighting tax fraud, evasion and avoidance. For example, in a resolution3 from 2019, the</w:t>
      </w:r>
      <w:r>
        <w:t xml:space="preserve"> </w:t>
      </w:r>
      <w:r>
        <w:t xml:space="preserve">European Parliament called on the Commission to do more to fight tax fraud, evasion and</w:t>
      </w:r>
      <w:r>
        <w:t xml:space="preserve"> </w:t>
      </w:r>
      <w:r>
        <w:t xml:space="preserve">avoidance including through greater administrative cooperation and exchange of information</w:t>
      </w:r>
      <w:r>
        <w:t xml:space="preserve"> </w:t>
      </w:r>
      <w:r>
        <w:t xml:space="preserve">between Member States. More recently, the European Parliament published a resolution about</w:t>
      </w:r>
      <w:r>
        <w:t xml:space="preserve"> </w:t>
      </w:r>
      <w:r>
        <w:t xml:space="preserve">implementing the EU requirements for the exchange of tax information highlighting aspects to</w:t>
      </w:r>
      <w:r>
        <w:t xml:space="preserve"> </w:t>
      </w:r>
      <w:r>
        <w:t xml:space="preserve">improve administrative cooperation, some of which are addressed by this initiative.4</w:t>
      </w:r>
      <w:r>
        <w:t xml:space="preserve"> </w:t>
      </w:r>
      <w:r>
        <w:t xml:space="preserve">Fair taxation and the fight against tax fraud, evasion and avoidance are priorities shared by the</w:t>
      </w:r>
      <w:r>
        <w:t xml:space="preserve"> </w:t>
      </w:r>
      <w:r>
        <w:t xml:space="preserve">Council and the European Parliament. Better administrative cooperation and greater exchange of</w:t>
      </w:r>
      <w:r>
        <w:t xml:space="preserve"> </w:t>
      </w:r>
      <w:r>
        <w:t xml:space="preserve">information between tax administrations are essential in the fight against tax avoidance and</w:t>
      </w:r>
      <w:r>
        <w:t xml:space="preserve"> </w:t>
      </w:r>
      <w:r>
        <w:t xml:space="preserve">evasion. Major progress has been made over the past years in this respect.</w:t>
      </w:r>
      <w:r>
        <w:br/>
      </w:r>
      <w:r>
        <w:t xml:space="preserve">The mechanism for cooperation and exchange of information within the EU for the purpose of</w:t>
      </w:r>
      <w:r>
        <w:t xml:space="preserve"> </w:t>
      </w:r>
      <w:r>
        <w:t xml:space="preserve">direct taxation is framed by the Council Directive 2011/16/EU on administrative cooperation in</w:t>
      </w:r>
      <w:r>
        <w:t xml:space="preserve"> </w:t>
      </w:r>
      <w:r>
        <w:t xml:space="preserve">the field of direct taxation5 (hereafter referred to as “Directive 2011/16/EU” or “DAC”). Through</w:t>
      </w:r>
      <w:r>
        <w:t xml:space="preserve"> </w:t>
      </w:r>
      <w:r>
        <w:t xml:space="preserve">the provision of an efficient mechanism for administrative cooperation and exchange of</w:t>
      </w:r>
      <w:r>
        <w:t xml:space="preserve"> </w:t>
      </w:r>
      <w:r>
        <w:t xml:space="preserve">information between Member States, the DAC aims at protecting the financial interests of the</w:t>
      </w:r>
      <w:r>
        <w:t xml:space="preserve"> </w:t>
      </w:r>
      <w:r>
        <w:t xml:space="preserve">Member States and the EU while fighting against tax fraud, evasion and avoidance. To this effect,</w:t>
      </w:r>
      <w:r>
        <w:t xml:space="preserve"> </w:t>
      </w:r>
      <w:r>
        <w:t xml:space="preserve">it ensures a proper functioning of the Internal Market, greater transparency, as well as an overall</w:t>
      </w:r>
    </w:p>
    <w:p>
      <w:pPr>
        <w:pStyle w:val="BodyText"/>
      </w:pPr>
      <w:r>
        <w:t xml:space="preserve">1 Political guidelines for the next European Commission. (2019-2024). A union that strives for more – My agenda for Europa</w:t>
      </w:r>
      <w:r>
        <w:br/>
      </w:r>
      <w:r>
        <w:t xml:space="preserve">2 European Commission. (2020). Communication from the Commission to the European Parliament and the Council, An action plan for fair and</w:t>
      </w:r>
      <w:r>
        <w:t xml:space="preserve"> </w:t>
      </w:r>
      <w:r>
        <w:t xml:space="preserve">simple taxation supporting the recovery strategy, COM(2020) 312 final.</w:t>
      </w:r>
      <w:r>
        <w:br/>
      </w:r>
      <w:r>
        <w:t xml:space="preserve">3 European Parliament. (2019). European Parliament resolution of 26 March 2019 on financial crimes, tax evasion and tax avoidance</w:t>
      </w:r>
      <w:r>
        <w:t xml:space="preserve"> </w:t>
      </w:r>
      <w:r>
        <w:t xml:space="preserve">(2018/2121(INI)).</w:t>
      </w:r>
      <w:r>
        <w:t xml:space="preserve"> </w:t>
      </w:r>
      <w:r>
        <w:t xml:space="preserve">4 European Parliament. (2021). European Parliament resolution of 16 September 2021 on the implementation of the EU requirements for exchange</w:t>
      </w:r>
      <w:r>
        <w:t xml:space="preserve"> </w:t>
      </w:r>
      <w:r>
        <w:t xml:space="preserve">of tax information: progress, lessons learnt and obstacles to overcome</w:t>
      </w:r>
      <w:r>
        <w:br/>
      </w:r>
      <w:r>
        <w:t xml:space="preserve">5 Council Directive 2011/16/EU of 15 February 2011 on administrative cooperation in the field of taxation and repealing Directive 77/799/EEC,</w:t>
      </w:r>
      <w:r>
        <w:t xml:space="preserve"> </w:t>
      </w:r>
      <w:r>
        <w:t xml:space="preserve">OJ L 64/1.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fair taxation system. The scope of DAC has been extended six times over the last years in order to</w:t>
      </w:r>
      <w:r>
        <w:t xml:space="preserve"> </w:t>
      </w:r>
      <w:r>
        <w:t xml:space="preserve">meet new challenges and adjust to new economic realities.6</w:t>
      </w:r>
    </w:p>
    <w:p>
      <w:pPr>
        <w:pStyle w:val="BodyText"/>
      </w:pPr>
      <w:r>
        <w:t xml:space="preserve">Table 1 – DAC evolution</w:t>
      </w:r>
      <w:r>
        <w:t xml:space="preserve"> </w:t>
      </w:r>
      <w:r>
        <w:t xml:space="preserve">Directive on Administrative Cooperation – DAC</w:t>
      </w:r>
      <w:r>
        <w:t xml:space="preserve"> </w:t>
      </w:r>
      <w:r>
        <w:t xml:space="preserve">DAC1</w:t>
      </w:r>
      <w:r>
        <w:br/>
      </w:r>
      <w:r>
        <w:t xml:space="preserve">2011/16/EU</w:t>
      </w:r>
    </w:p>
    <w:p>
      <w:pPr>
        <w:pStyle w:val="BodyText"/>
      </w:pPr>
      <w:r>
        <w:t xml:space="preserve">Applies 1/2013</w:t>
      </w:r>
    </w:p>
    <w:p>
      <w:pPr>
        <w:pStyle w:val="BodyText"/>
      </w:pPr>
      <w:r>
        <w:t xml:space="preserve">-Exchange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on request</w:t>
      </w:r>
      <w:r>
        <w:br/>
      </w:r>
      <w:r>
        <w:t xml:space="preserve">-Spontaneous</w:t>
      </w:r>
      <w:r>
        <w:t xml:space="preserve"> </w:t>
      </w:r>
      <w:r>
        <w:t xml:space="preserve">exchange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-Presence</w:t>
      </w:r>
      <w:r>
        <w:t xml:space="preserve"> </w:t>
      </w:r>
      <w:r>
        <w:t xml:space="preserve">in adm. offices</w:t>
      </w:r>
    </w:p>
    <w:p>
      <w:pPr>
        <w:pStyle w:val="BodyText"/>
      </w:pPr>
      <w:r>
        <w:t xml:space="preserve">-Simultaneous</w:t>
      </w:r>
      <w:r>
        <w:t xml:space="preserve"> </w:t>
      </w:r>
      <w:r>
        <w:t xml:space="preserve">controls</w:t>
      </w:r>
      <w:r>
        <w:br/>
      </w:r>
      <w:r>
        <w:t xml:space="preserve">-Request for</w:t>
      </w:r>
      <w:r>
        <w:t xml:space="preserve"> </w:t>
      </w:r>
      <w:r>
        <w:t xml:space="preserve">notification</w:t>
      </w:r>
      <w:r>
        <w:br/>
      </w:r>
      <w:r>
        <w:t xml:space="preserve">-Sharing best</w:t>
      </w:r>
      <w:r>
        <w:t xml:space="preserve"> </w:t>
      </w:r>
      <w:r>
        <w:t xml:space="preserve">practices</w:t>
      </w:r>
      <w:r>
        <w:br/>
      </w:r>
      <w:r>
        <w:t xml:space="preserve">-Use of</w:t>
      </w:r>
      <w:r>
        <w:t xml:space="preserve"> </w:t>
      </w:r>
      <w:r>
        <w:t xml:space="preserve">standard</w:t>
      </w:r>
      <w:r>
        <w:t xml:space="preserve"> </w:t>
      </w:r>
      <w:r>
        <w:t xml:space="preserve">forms</w:t>
      </w:r>
      <w:r>
        <w:br/>
      </w:r>
      <w:r>
        <w:t xml:space="preserve">DAC1</w:t>
      </w:r>
      <w:r>
        <w:br/>
      </w:r>
      <w:r>
        <w:t xml:space="preserve">2011/16/EU</w:t>
      </w:r>
    </w:p>
    <w:p>
      <w:pPr>
        <w:pStyle w:val="BodyText"/>
      </w:pPr>
      <w:r>
        <w:t xml:space="preserve">Applies 1/2015</w:t>
      </w:r>
    </w:p>
    <w:p>
      <w:pPr>
        <w:pStyle w:val="BodyText"/>
      </w:pPr>
      <w:r>
        <w:t xml:space="preserve">1st exchanges</w:t>
      </w:r>
      <w:r>
        <w:t xml:space="preserve"> </w:t>
      </w:r>
      <w:r>
        <w:t xml:space="preserve">30.6.2015</w:t>
      </w:r>
    </w:p>
    <w:p>
      <w:pPr>
        <w:pStyle w:val="BodyText"/>
      </w:pPr>
      <w:r>
        <w:t xml:space="preserve">-Automatic</w:t>
      </w:r>
      <w:r>
        <w:t xml:space="preserve"> </w:t>
      </w:r>
      <w:r>
        <w:t xml:space="preserve">exchange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(AEOI) on 5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categories</w:t>
      </w:r>
      <w:r>
        <w:br/>
      </w:r>
      <w:r>
        <w:t xml:space="preserve">-Income from</w:t>
      </w:r>
      <w:r>
        <w:t xml:space="preserve"> </w:t>
      </w:r>
      <w:r>
        <w:t xml:space="preserve">employment</w:t>
      </w:r>
      <w:r>
        <w:br/>
      </w:r>
      <w:r>
        <w:t xml:space="preserve">-Directors fees</w:t>
      </w:r>
      <w:r>
        <w:br/>
      </w:r>
      <w:r>
        <w:t xml:space="preserve">-Pensions</w:t>
      </w:r>
      <w:r>
        <w:br/>
      </w:r>
      <w:r>
        <w:t xml:space="preserve">-Life insurance</w:t>
      </w:r>
      <w:r>
        <w:t xml:space="preserve"> </w:t>
      </w:r>
      <w:r>
        <w:t xml:space="preserve">products</w:t>
      </w:r>
      <w:r>
        <w:br/>
      </w:r>
      <w:r>
        <w:t xml:space="preserve">-Immovable</w:t>
      </w:r>
      <w:r>
        <w:t xml:space="preserve"> </w:t>
      </w:r>
      <w:r>
        <w:t xml:space="preserve">property</w:t>
      </w:r>
      <w:r>
        <w:t xml:space="preserve"> </w:t>
      </w:r>
      <w:r>
        <w:t xml:space="preserve">(income and</w:t>
      </w:r>
      <w:r>
        <w:t xml:space="preserve"> </w:t>
      </w:r>
      <w:r>
        <w:t xml:space="preserve">ownership)</w:t>
      </w:r>
    </w:p>
    <w:p>
      <w:pPr>
        <w:pStyle w:val="BodyText"/>
      </w:pPr>
      <w:r>
        <w:t xml:space="preserve">DAC2</w:t>
      </w:r>
      <w:r>
        <w:br/>
      </w:r>
      <w:r>
        <w:t xml:space="preserve">2014/107/EU</w:t>
      </w:r>
    </w:p>
    <w:p>
      <w:pPr>
        <w:pStyle w:val="BodyText"/>
      </w:pPr>
      <w:r>
        <w:t xml:space="preserve">Applies 1/2016</w:t>
      </w:r>
    </w:p>
    <w:p>
      <w:pPr>
        <w:pStyle w:val="BodyText"/>
      </w:pPr>
      <w:r>
        <w:t xml:space="preserve">1st exchanges</w:t>
      </w:r>
      <w:r>
        <w:t xml:space="preserve"> </w:t>
      </w:r>
      <w:r>
        <w:t xml:space="preserve">30.9.2017</w:t>
      </w:r>
    </w:p>
    <w:p>
      <w:pPr>
        <w:pStyle w:val="BodyText"/>
      </w:pPr>
      <w:r>
        <w:t xml:space="preserve">Automatic</w:t>
      </w:r>
      <w:r>
        <w:t xml:space="preserve"> </w:t>
      </w:r>
      <w:r>
        <w:t xml:space="preserve">exchange</w:t>
      </w:r>
      <w:r>
        <w:t xml:space="preserve"> </w:t>
      </w:r>
      <w:r>
        <w:t xml:space="preserve">of financial</w:t>
      </w:r>
      <w:r>
        <w:t xml:space="preserve"> </w:t>
      </w:r>
      <w:r>
        <w:t xml:space="preserve">account infor</w:t>
      </w:r>
      <w:r>
        <w:t xml:space="preserve"> </w:t>
      </w:r>
      <w:r>
        <w:t xml:space="preserve">mation :</w:t>
      </w:r>
      <w:r>
        <w:br/>
      </w:r>
      <w:r>
        <w:t xml:space="preserve">-Interests,</w:t>
      </w:r>
      <w:r>
        <w:t xml:space="preserve"> </w:t>
      </w:r>
      <w:r>
        <w:t xml:space="preserve">dividends and</w:t>
      </w:r>
      <w:r>
        <w:t xml:space="preserve"> </w:t>
      </w:r>
      <w:r>
        <w:t xml:space="preserve">other income</w:t>
      </w:r>
      <w:r>
        <w:t xml:space="preserve"> </w:t>
      </w:r>
      <w:r>
        <w:t xml:space="preserve">generated by</w:t>
      </w:r>
      <w:r>
        <w:t xml:space="preserve"> </w:t>
      </w:r>
      <w:r>
        <w:t xml:space="preserve">financial accou</w:t>
      </w:r>
      <w:r>
        <w:t xml:space="preserve"> </w:t>
      </w:r>
      <w:r>
        <w:t xml:space="preserve">nt;</w:t>
      </w:r>
      <w:r>
        <w:br/>
      </w:r>
      <w:r>
        <w:t xml:space="preserve">-Gross</w:t>
      </w:r>
      <w:r>
        <w:t xml:space="preserve"> </w:t>
      </w:r>
      <w:r>
        <w:t xml:space="preserve">proceeds from</w:t>
      </w:r>
      <w:r>
        <w:t xml:space="preserve"> </w:t>
      </w:r>
      <w:r>
        <w:t xml:space="preserve">sale</w:t>
      </w:r>
      <w:r>
        <w:t xml:space="preserve"> </w:t>
      </w:r>
      <w:r>
        <w:t xml:space="preserve">or redemption;</w:t>
      </w:r>
      <w:r>
        <w:br/>
      </w:r>
      <w:r>
        <w:t xml:space="preserve">-Account</w:t>
      </w:r>
      <w:r>
        <w:t xml:space="preserve"> </w:t>
      </w:r>
      <w:r>
        <w:t xml:space="preserve">balances.</w:t>
      </w:r>
      <w:r>
        <w:br/>
      </w:r>
      <w:r>
        <w:t xml:space="preserve">DAC3</w:t>
      </w:r>
      <w:r>
        <w:br/>
      </w:r>
      <w:r>
        <w:t xml:space="preserve">2015/2376/EU</w:t>
      </w:r>
    </w:p>
    <w:p>
      <w:pPr>
        <w:pStyle w:val="BodyText"/>
      </w:pPr>
      <w:r>
        <w:t xml:space="preserve">Applies 1/2017</w:t>
      </w:r>
    </w:p>
    <w:p>
      <w:pPr>
        <w:pStyle w:val="BodyText"/>
      </w:pPr>
      <w:r>
        <w:t xml:space="preserve">1st exchanges</w:t>
      </w:r>
      <w:r>
        <w:t xml:space="preserve"> </w:t>
      </w:r>
      <w:r>
        <w:t xml:space="preserve">30.9.2017</w:t>
      </w:r>
    </w:p>
    <w:p>
      <w:pPr>
        <w:pStyle w:val="BodyText"/>
      </w:pPr>
      <w:r>
        <w:t xml:space="preserve">Automatic</w:t>
      </w:r>
      <w:r>
        <w:t xml:space="preserve"> </w:t>
      </w:r>
      <w:r>
        <w:t xml:space="preserve">exchange of</w:t>
      </w:r>
      <w:r>
        <w:t xml:space="preserve"> </w:t>
      </w:r>
      <w:r>
        <w:t xml:space="preserve">information</w:t>
      </w:r>
      <w:r>
        <w:br/>
      </w:r>
      <w:r>
        <w:t xml:space="preserve">of:</w:t>
      </w:r>
      <w:r>
        <w:br/>
      </w:r>
      <w:r>
        <w:t xml:space="preserve">-Advance</w:t>
      </w:r>
      <w:r>
        <w:t xml:space="preserve"> </w:t>
      </w:r>
      <w:r>
        <w:t xml:space="preserve">cross-</w:t>
      </w:r>
      <w:r>
        <w:t xml:space="preserve"> </w:t>
      </w:r>
      <w:r>
        <w:t xml:space="preserve">border rulings</w:t>
      </w:r>
    </w:p>
    <w:p>
      <w:pPr>
        <w:pStyle w:val="BodyText"/>
      </w:pPr>
      <w:r>
        <w:t xml:space="preserve">-Advance</w:t>
      </w:r>
      <w:r>
        <w:t xml:space="preserve"> </w:t>
      </w:r>
      <w:r>
        <w:t xml:space="preserve">pricing</w:t>
      </w:r>
      <w:r>
        <w:t xml:space="preserve"> </w:t>
      </w:r>
      <w:r>
        <w:t xml:space="preserve">agreements.</w:t>
      </w:r>
      <w:r>
        <w:br/>
      </w:r>
      <w:r>
        <w:t xml:space="preserve">DAC4</w:t>
      </w:r>
      <w:r>
        <w:br/>
      </w:r>
      <w:r>
        <w:t xml:space="preserve">2016/881/EU</w:t>
      </w:r>
    </w:p>
    <w:p>
      <w:pPr>
        <w:pStyle w:val="BodyText"/>
      </w:pPr>
      <w:r>
        <w:t xml:space="preserve">Applies 6/2017</w:t>
      </w:r>
    </w:p>
    <w:p>
      <w:pPr>
        <w:pStyle w:val="BodyText"/>
      </w:pPr>
      <w:r>
        <w:t xml:space="preserve">1st exchanges</w:t>
      </w:r>
      <w:r>
        <w:t xml:space="preserve"> </w:t>
      </w:r>
      <w:r>
        <w:t xml:space="preserve">30.6.2018</w:t>
      </w:r>
    </w:p>
    <w:p>
      <w:pPr>
        <w:pStyle w:val="BodyText"/>
      </w:pPr>
      <w:r>
        <w:t xml:space="preserve">Automatic</w:t>
      </w:r>
      <w:r>
        <w:t xml:space="preserve"> </w:t>
      </w:r>
      <w:r>
        <w:t xml:space="preserve">exchange of</w:t>
      </w:r>
      <w:r>
        <w:t xml:space="preserve"> </w:t>
      </w:r>
      <w:r>
        <w:t xml:space="preserve">information</w:t>
      </w:r>
      <w:r>
        <w:br/>
      </w:r>
      <w:r>
        <w:t xml:space="preserve">on country-</w:t>
      </w:r>
      <w:r>
        <w:t xml:space="preserve"> </w:t>
      </w:r>
      <w:r>
        <w:t xml:space="preserve">by-country-</w:t>
      </w:r>
      <w:r>
        <w:t xml:space="preserve"> </w:t>
      </w:r>
      <w:r>
        <w:t xml:space="preserve">reports on</w:t>
      </w:r>
      <w:r>
        <w:t xml:space="preserve"> </w:t>
      </w:r>
      <w:r>
        <w:t xml:space="preserve">certain</w:t>
      </w:r>
      <w:r>
        <w:t xml:space="preserve"> </w:t>
      </w:r>
      <w:r>
        <w:t xml:space="preserve">financial</w:t>
      </w:r>
      <w:r>
        <w:t xml:space="preserve"> </w:t>
      </w:r>
      <w:r>
        <w:t xml:space="preserve">information:</w:t>
      </w:r>
      <w:r>
        <w:br/>
      </w:r>
      <w:r>
        <w:t xml:space="preserve">-Revenues;</w:t>
      </w:r>
      <w:r>
        <w:br/>
      </w:r>
      <w:r>
        <w:t xml:space="preserve">-Profits;</w:t>
      </w:r>
      <w:r>
        <w:br/>
      </w:r>
      <w:r>
        <w:t xml:space="preserve">-Taxes paid</w:t>
      </w:r>
      <w:r>
        <w:t xml:space="preserve"> </w:t>
      </w:r>
      <w:r>
        <w:t xml:space="preserve">and accrued;</w:t>
      </w:r>
      <w:r>
        <w:br/>
      </w:r>
      <w:r>
        <w:t xml:space="preserve">-Accumulated</w:t>
      </w:r>
      <w:r>
        <w:br/>
      </w:r>
      <w:r>
        <w:t xml:space="preserve">earnings;</w:t>
      </w:r>
      <w:r>
        <w:br/>
      </w:r>
      <w:r>
        <w:t xml:space="preserve">-Number</w:t>
      </w:r>
      <w:r>
        <w:t xml:space="preserve"> </w:t>
      </w:r>
      <w:r>
        <w:t xml:space="preserve">of employees;</w:t>
      </w:r>
      <w:r>
        <w:br/>
      </w:r>
      <w:r>
        <w:t xml:space="preserve">-Certain</w:t>
      </w:r>
      <w:r>
        <w:t xml:space="preserve"> </w:t>
      </w:r>
      <w:r>
        <w:t xml:space="preserve">assets.</w:t>
      </w:r>
      <w:r>
        <w:br/>
      </w:r>
      <w:r>
        <w:t xml:space="preserve">DAC5</w:t>
      </w:r>
      <w:r>
        <w:br/>
      </w:r>
      <w:r>
        <w:t xml:space="preserve">2016/2258/EU</w:t>
      </w:r>
    </w:p>
    <w:p>
      <w:pPr>
        <w:pStyle w:val="BodyText"/>
      </w:pPr>
      <w:r>
        <w:t xml:space="preserve">Applies 1/2018</w:t>
      </w:r>
    </w:p>
    <w:p>
      <w:pPr>
        <w:pStyle w:val="BodyText"/>
      </w:pPr>
      <w:r>
        <w:t xml:space="preserve">Access by tax</w:t>
      </w:r>
      <w:r>
        <w:t xml:space="preserve"> </w:t>
      </w:r>
      <w:r>
        <w:t xml:space="preserve">authorities to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ownership</w:t>
      </w:r>
      <w:r>
        <w:t xml:space="preserve"> </w:t>
      </w:r>
      <w:r>
        <w:t xml:space="preserve">information as</w:t>
      </w:r>
      <w:r>
        <w:t xml:space="preserve"> </w:t>
      </w:r>
      <w:r>
        <w:t xml:space="preserve">collected under</w:t>
      </w:r>
      <w:r>
        <w:t xml:space="preserve"> </w:t>
      </w:r>
      <w:r>
        <w:t xml:space="preserve">AML rules.</w:t>
      </w:r>
      <w:r>
        <w:br/>
      </w:r>
      <w:r>
        <w:t xml:space="preserve">DAC6</w:t>
      </w:r>
      <w:r>
        <w:br/>
      </w:r>
      <w:r>
        <w:t xml:space="preserve">2018/822/EU</w:t>
      </w:r>
    </w:p>
    <w:p>
      <w:pPr>
        <w:pStyle w:val="BodyText"/>
      </w:pPr>
      <w:r>
        <w:t xml:space="preserve">Applies 7/2020</w:t>
      </w:r>
    </w:p>
    <w:p>
      <w:pPr>
        <w:pStyle w:val="BodyText"/>
      </w:pPr>
      <w:r>
        <w:t xml:space="preserve">1st exchanges</w:t>
      </w:r>
      <w:r>
        <w:t xml:space="preserve"> </w:t>
      </w:r>
      <w:r>
        <w:t xml:space="preserve">31.8.2020</w:t>
      </w:r>
    </w:p>
    <w:p>
      <w:pPr>
        <w:pStyle w:val="BodyText"/>
      </w:pPr>
      <w:r>
        <w:t xml:space="preserve">-Mandatory</w:t>
      </w:r>
      <w:r>
        <w:t xml:space="preserve"> </w:t>
      </w:r>
      <w:r>
        <w:t xml:space="preserve">disclosure</w:t>
      </w:r>
      <w:r>
        <w:t xml:space="preserve"> </w:t>
      </w:r>
      <w:r>
        <w:t xml:space="preserve">rules for inter</w:t>
      </w:r>
      <w:r>
        <w:t xml:space="preserve"> </w:t>
      </w:r>
      <w:r>
        <w:t xml:space="preserve">mediaries;</w:t>
      </w:r>
      <w:r>
        <w:t xml:space="preserve"> </w:t>
      </w:r>
      <w:r>
        <w:t xml:space="preserve">and</w:t>
      </w:r>
      <w:r>
        <w:br/>
      </w:r>
      <w:r>
        <w:t xml:space="preserve">-Automatic</w:t>
      </w:r>
      <w:r>
        <w:t xml:space="preserve"> </w:t>
      </w:r>
      <w:r>
        <w:t xml:space="preserve">exchange of</w:t>
      </w:r>
      <w:r>
        <w:t xml:space="preserve"> </w:t>
      </w:r>
      <w:r>
        <w:t xml:space="preserve">information</w:t>
      </w:r>
      <w:r>
        <w:br/>
      </w:r>
      <w:r>
        <w:t xml:space="preserve">on tax</w:t>
      </w:r>
      <w:r>
        <w:t xml:space="preserve"> </w:t>
      </w:r>
      <w:r>
        <w:t xml:space="preserve">planning cross</w:t>
      </w:r>
      <w:r>
        <w:t xml:space="preserve"> </w:t>
      </w:r>
      <w:r>
        <w:t xml:space="preserve">-border</w:t>
      </w:r>
      <w:r>
        <w:t xml:space="preserve"> </w:t>
      </w:r>
      <w:r>
        <w:t xml:space="preserve">arrangements.</w:t>
      </w:r>
    </w:p>
    <w:p>
      <w:pPr>
        <w:pStyle w:val="BodyText"/>
      </w:pPr>
      <w:r>
        <w:t xml:space="preserve">DAC7</w:t>
      </w:r>
      <w:r>
        <w:br/>
      </w:r>
      <w:r>
        <w:t xml:space="preserve">2021/514/EU</w:t>
      </w:r>
    </w:p>
    <w:p>
      <w:pPr>
        <w:pStyle w:val="BodyText"/>
      </w:pPr>
      <w:r>
        <w:t xml:space="preserve">Applies 1/2023</w:t>
      </w:r>
    </w:p>
    <w:p>
      <w:pPr>
        <w:pStyle w:val="BodyText"/>
      </w:pPr>
      <w:r>
        <w:t xml:space="preserve">1st exchanges</w:t>
      </w:r>
      <w:r>
        <w:t xml:space="preserve"> </w:t>
      </w:r>
      <w:r>
        <w:t xml:space="preserve">2.2024</w:t>
      </w:r>
    </w:p>
    <w:p>
      <w:pPr>
        <w:pStyle w:val="BodyText"/>
      </w:pPr>
      <w:r>
        <w:t xml:space="preserve">Automatic</w:t>
      </w:r>
      <w:r>
        <w:t xml:space="preserve"> </w:t>
      </w:r>
      <w:r>
        <w:t xml:space="preserve">exchange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 reporting</w:t>
      </w:r>
      <w:r>
        <w:t xml:space="preserve"> </w:t>
      </w:r>
      <w:r>
        <w:t xml:space="preserve">rules for</w:t>
      </w:r>
      <w:r>
        <w:t xml:space="preserve"> </w:t>
      </w:r>
      <w:r>
        <w:t xml:space="preserve">digital</w:t>
      </w:r>
      <w:r>
        <w:t xml:space="preserve"> </w:t>
      </w:r>
      <w:r>
        <w:t xml:space="preserve">Platform</w:t>
      </w:r>
      <w:r>
        <w:t xml:space="preserve"> </w:t>
      </w:r>
      <w:r>
        <w:t xml:space="preserve">Operators wit</w:t>
      </w:r>
      <w:r>
        <w:t xml:space="preserve"> </w:t>
      </w:r>
      <w:r>
        <w:t xml:space="preserve">h respect to</w:t>
      </w:r>
      <w:r>
        <w:t xml:space="preserve"> </w:t>
      </w:r>
      <w:r>
        <w:t xml:space="preserve">income earned</w:t>
      </w:r>
      <w:r>
        <w:t xml:space="preserve"> </w:t>
      </w:r>
      <w:r>
        <w:t xml:space="preserve">by Sellers with</w:t>
      </w:r>
      <w:r>
        <w:t xml:space="preserve"> </w:t>
      </w:r>
      <w:r>
        <w:t xml:space="preserve">the use of their</w:t>
      </w:r>
      <w:r>
        <w:t xml:space="preserve"> </w:t>
      </w:r>
      <w:r>
        <w:t xml:space="preserve">platforms for</w:t>
      </w:r>
      <w:r>
        <w:t xml:space="preserve"> </w:t>
      </w:r>
      <w:r>
        <w:t xml:space="preserve">the sale of</w:t>
      </w:r>
      <w:r>
        <w:t xml:space="preserve"> </w:t>
      </w:r>
      <w:r>
        <w:t xml:space="preserve">services and</w:t>
      </w:r>
      <w:r>
        <w:t xml:space="preserve"> </w:t>
      </w:r>
      <w:r>
        <w:t xml:space="preserve">goods.</w:t>
      </w:r>
    </w:p>
    <w:p>
      <w:pPr>
        <w:pStyle w:val="BodyText"/>
      </w:pPr>
      <w:r>
        <w:t xml:space="preserve">The mechanism for the exchange of information under DAC is in most instances based on a two-</w:t>
      </w:r>
      <w:r>
        <w:t xml:space="preserve"> </w:t>
      </w:r>
      <w:r>
        <w:t xml:space="preserve">step approach: 1. reporting to the tax authorities by the taxpayer or a third party (e.g. financial</w:t>
      </w:r>
      <w:r>
        <w:t xml:space="preserve"> </w:t>
      </w:r>
      <w:r>
        <w:t xml:space="preserve">institution or service provider), and 2. exchange between the tax authorities concerned of the</w:t>
      </w:r>
      <w:r>
        <w:t xml:space="preserve"> </w:t>
      </w:r>
      <w:r>
        <w:t xml:space="preserve">information that has been reported.</w:t>
      </w:r>
      <w:r>
        <w:t xml:space="preserve"> </w:t>
      </w:r>
      <w:r>
        <w:t xml:space="preserve">New challenges are constantly arising and may not be covered by the existing scope of the DAC.</w:t>
      </w:r>
      <w:r>
        <w:t xml:space="preserve"> </w:t>
      </w:r>
      <w:r>
        <w:t xml:space="preserve">In particular, the emergence of alternative means of payment and investment, such as crypto-</w:t>
      </w:r>
      <w:r>
        <w:t xml:space="preserve"> </w:t>
      </w:r>
      <w:r>
        <w:t xml:space="preserve">assets, which may pose new risks of tax evasion, are not covered. Therefore, this impact</w:t>
      </w:r>
      <w:r>
        <w:t xml:space="preserve"> </w:t>
      </w:r>
      <w:r>
        <w:t xml:space="preserve">assessment presents policy actions to expand the exchange of information within the EU to cover</w:t>
      </w:r>
      <w:r>
        <w:t xml:space="preserve"> </w:t>
      </w:r>
      <w:r>
        <w:t xml:space="preserve">income or revenue generated by these new means of payment and investment.</w:t>
      </w:r>
      <w:r>
        <w:br/>
      </w:r>
      <w:r>
        <w:t xml:space="preserve">Crypto-assets are digital assets based on distributed ledger technology and cryptography. Crypto-</w:t>
      </w:r>
      <w:r>
        <w:t xml:space="preserve"> </w:t>
      </w:r>
      <w:r>
        <w:t xml:space="preserve">asset markets have been growing fast over the past years. In September 2020, the European</w:t>
      </w:r>
      <w:r>
        <w:t xml:space="preserve"> </w:t>
      </w:r>
      <w:r>
        <w:t xml:space="preserve">Commission adopted a proposal for a Regulation on Markets in Crypto-assets (hereafter referred</w:t>
      </w:r>
      <w:r>
        <w:t xml:space="preserve"> </w:t>
      </w:r>
      <w:r>
        <w:t xml:space="preserve">to as “MiCA”)7 , which will have, once agreed by the legislators, the effect of expanding the EU</w:t>
      </w:r>
    </w:p>
    <w:p>
      <w:pPr>
        <w:pStyle w:val="BodyText"/>
      </w:pPr>
      <w:r>
        <w:t xml:space="preserve">6 Directive 2014/107/EU (DAC2), Directive 2015/2376/EU (DAC3), Directive 2016/881/EU (DAC4), Directive 2016/2258/EU (DAC5), Directive</w:t>
      </w:r>
      <w:r>
        <w:t xml:space="preserve"> </w:t>
      </w:r>
      <w:r>
        <w:t xml:space="preserve">2018/822/EU (DAC6), Council Directive (EU) 2021/514 (DAC7).</w:t>
      </w:r>
      <w:r>
        <w:t xml:space="preserve"> </w:t>
      </w:r>
      <w:r>
        <w:t xml:space="preserve">7 European Commission. (2020). Proposal for a Regulation of the European Parliament and of the Council on Markets in Crypto-assets,</w:t>
      </w:r>
      <w:r>
        <w:t xml:space="preserve"> </w:t>
      </w:r>
      <w:r>
        <w:t xml:space="preserve">and amending Directive (EU) 2019/1937, COM/2020/593 final.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regulatory perimeter to a range of crypto-asset activities. The inherent cross-border nature of</w:t>
      </w:r>
      <w:r>
        <w:t xml:space="preserve"> </w:t>
      </w:r>
      <w:r>
        <w:t xml:space="preserve">crypto-assets requires strong international administrative cooperation, so as to ensure effective</w:t>
      </w:r>
      <w:r>
        <w:t xml:space="preserve"> </w:t>
      </w:r>
      <w:r>
        <w:t xml:space="preserve">regulation. The proposed MiCA legislation regulates the market for crypto-assets and provides for</w:t>
      </w:r>
      <w:r>
        <w:t xml:space="preserve"> </w:t>
      </w:r>
      <w:r>
        <w:t xml:space="preserve">the conditions for access to the EU market for crypto-assets. This framework, once adopted, would</w:t>
      </w:r>
      <w:r>
        <w:t xml:space="preserve"> </w:t>
      </w:r>
      <w:r>
        <w:t xml:space="preserve">replace national rules currently governing for example the issuance, trading and custody of crypto-</w:t>
      </w:r>
      <w:r>
        <w:t xml:space="preserve"> </w:t>
      </w:r>
      <w:r>
        <w:t xml:space="preserve">assets. This framework does not by itself provide a basis for tax authorities to collect and</w:t>
      </w:r>
      <w:r>
        <w:t xml:space="preserve"> </w:t>
      </w:r>
      <w:r>
        <w:t xml:space="preserve">exchange the information that they would need in order to tax crypto-asset income. This being</w:t>
      </w:r>
      <w:r>
        <w:t xml:space="preserve"> </w:t>
      </w:r>
      <w:r>
        <w:t xml:space="preserve">said, the planned DAC8 proposal would build on this proposed framework, including on the</w:t>
      </w:r>
      <w:r>
        <w:t xml:space="preserve"> </w:t>
      </w:r>
      <w:r>
        <w:t xml:space="preserve">definitions of crypto-assets and service providers.</w:t>
      </w:r>
      <w:r>
        <w:br/>
      </w:r>
      <w:r>
        <w:t xml:space="preserve">The Commission’s package of legislative proposals to strengthen the EU’s Anti-Money</w:t>
      </w:r>
      <w:r>
        <w:t xml:space="preserve"> </w:t>
      </w:r>
      <w:r>
        <w:t xml:space="preserve">Laundering/Countering the Financing of Terrorism framework (hereafter referred to as</w:t>
      </w:r>
      <w:r>
        <w:t xml:space="preserve"> </w:t>
      </w:r>
      <w:r>
        <w:t xml:space="preserve">“AML/CFT”)8 includes a proposal to extend the scope of obliged entities subject to AML rules, to</w:t>
      </w:r>
      <w:r>
        <w:t xml:space="preserve"> </w:t>
      </w:r>
      <w:r>
        <w:t xml:space="preserve">the virtual asset service providers regulated by MiCA. The AML package adopted by the</w:t>
      </w:r>
      <w:r>
        <w:t xml:space="preserve"> </w:t>
      </w:r>
      <w:r>
        <w:t xml:space="preserve">Commission in July 2021 aims at extending the EU AML rules to all crypto-assets service</w:t>
      </w:r>
      <w:r>
        <w:t xml:space="preserve"> </w:t>
      </w:r>
      <w:r>
        <w:t xml:space="preserve">providers (hereafter referred to as CASPs). This means that CASPs will have to ensure the</w:t>
      </w:r>
      <w:r>
        <w:t xml:space="preserve"> </w:t>
      </w:r>
      <w:r>
        <w:t xml:space="preserve">availability of certain information relative to crypto-assets (for example as the name of the payer,</w:t>
      </w:r>
      <w:r>
        <w:t xml:space="preserve"> </w:t>
      </w:r>
      <w:r>
        <w:t xml:space="preserve">the payer’s payment account number, the payer’s address, customer identification number or date</w:t>
      </w:r>
      <w:r>
        <w:t xml:space="preserve"> </w:t>
      </w:r>
      <w:r>
        <w:t xml:space="preserve">and place of birth). Information gathered for AML purposes can be useful for tax authorities, which</w:t>
      </w:r>
      <w:r>
        <w:t xml:space="preserve"> </w:t>
      </w:r>
      <w:r>
        <w:t xml:space="preserve">is demonstrated by a previous amendment to DAC (DAC5) which provides a basis for the use of</w:t>
      </w:r>
      <w:r>
        <w:t xml:space="preserve"> </w:t>
      </w:r>
      <w:r>
        <w:t xml:space="preserve">AML information for tax purposes. However, the information gathered for AML purposes is not</w:t>
      </w:r>
      <w:r>
        <w:t xml:space="preserve"> </w:t>
      </w:r>
      <w:r>
        <w:t xml:space="preserve">fully sufficient for tax purposes. It is intended for other purposes than taxation and neither the</w:t>
      </w:r>
      <w:r>
        <w:t xml:space="preserve"> </w:t>
      </w:r>
      <w:r>
        <w:t xml:space="preserve">information collected, nor the procedure for collecting it are adapted to the needs of tackling tax</w:t>
      </w:r>
      <w:r>
        <w:t xml:space="preserve"> </w:t>
      </w:r>
      <w:r>
        <w:t xml:space="preserve">fraud, evasion and avoidance.</w:t>
      </w:r>
      <w:r>
        <w:br/>
      </w:r>
      <w:r>
        <w:t xml:space="preserve">The EU initiatives, in particular the proposed legislation on MiCA and the Anti-Money Laundering</w:t>
      </w:r>
      <w:r>
        <w:t xml:space="preserve"> </w:t>
      </w:r>
      <w:r>
        <w:t xml:space="preserve">(AML) package, contribute to better regulating the crypto-assets market, improving traceability</w:t>
      </w:r>
      <w:r>
        <w:t xml:space="preserve"> </w:t>
      </w:r>
      <w:r>
        <w:t xml:space="preserve">and greater transparency at large. However, it does not improve transparency for tax purposes, as</w:t>
      </w:r>
      <w:r>
        <w:t xml:space="preserve"> </w:t>
      </w:r>
      <w:r>
        <w:t xml:space="preserve">envisaged by the proposal for DAC8.</w:t>
      </w:r>
      <w:r>
        <w:br/>
      </w:r>
      <w:r>
        <w:t xml:space="preserve">An amendment of the DAC is therefore necessary in order to provide for clear reporting obligations</w:t>
      </w:r>
      <w:r>
        <w:t xml:space="preserve"> </w:t>
      </w:r>
      <w:r>
        <w:t xml:space="preserve">with information that is relevant for tax purposes, due diligence rules and a specific mechanism</w:t>
      </w:r>
      <w:r>
        <w:t xml:space="preserve"> </w:t>
      </w:r>
      <w:r>
        <w:t xml:space="preserve">for exchanging information between Member States, which would not be provided by the MiCA</w:t>
      </w:r>
      <w:r>
        <w:t xml:space="preserve"> </w:t>
      </w:r>
      <w:r>
        <w:t xml:space="preserve">Regulation nor by the AML package.</w:t>
      </w:r>
      <w:r>
        <w:br/>
      </w:r>
      <w:r>
        <w:t xml:space="preserve">The OECD initiative, which is currently still under negotiation at the international level, aims at</w:t>
      </w:r>
      <w:r>
        <w:t xml:space="preserve"> </w:t>
      </w:r>
      <w:r>
        <w:t xml:space="preserve">introducing greater tax transparency on crypto-assets. It is important to ensure consistency between</w:t>
      </w:r>
      <w:r>
        <w:t xml:space="preserve"> </w:t>
      </w:r>
      <w:r>
        <w:t xml:space="preserve">the international OECD and EU rules in order to increase effectiveness of information exchange</w:t>
      </w:r>
      <w:r>
        <w:t xml:space="preserve"> </w:t>
      </w:r>
      <w:r>
        <w:t xml:space="preserve">and to reduce the administrative burden. However, an OECD framework would not eliminate the</w:t>
      </w:r>
      <w:r>
        <w:t xml:space="preserve"> </w:t>
      </w:r>
      <w:r>
        <w:t xml:space="preserve">need for an EU framework. In particular, a future OECD standard is not expected to be binding</w:t>
      </w:r>
      <w:r>
        <w:t xml:space="preserve"> </w:t>
      </w:r>
      <w:r>
        <w:t xml:space="preserve">and would therefore not achieve the same coordinated regulation across participating Member</w:t>
      </w:r>
      <w:r>
        <w:t xml:space="preserve"> </w:t>
      </w:r>
      <w:r>
        <w:t xml:space="preserve">States. It has been standard practice to bring OECD agreements into EU law through directives</w:t>
      </w:r>
      <w:r>
        <w:t xml:space="preserve"> </w:t>
      </w:r>
      <w:r>
        <w:t xml:space="preserve">and it has been used for DAC2, 3, 4, 6 and 7. There is a need to ensure a coordinated approach</w:t>
      </w:r>
      <w:r>
        <w:t xml:space="preserve"> </w:t>
      </w:r>
      <w:r>
        <w:t xml:space="preserve">within the EU with as few variations as possible. There is furthermore a need to ensure</w:t>
      </w:r>
      <w:r>
        <w:t xml:space="preserve"> </w:t>
      </w:r>
      <w:r>
        <w:t xml:space="preserve">that the exchanges of information on crypto-assets can be integrated into the existing EU system</w:t>
      </w:r>
    </w:p>
    <w:p>
      <w:pPr>
        <w:pStyle w:val="BodyText"/>
      </w:pPr>
      <w:r>
        <w:t xml:space="preserve">8 European Commission. (2021). Proposal for a Regulation of the European Parliament and of the Council on the prevention of the use of the</w:t>
      </w:r>
      <w:r>
        <w:t xml:space="preserve"> </w:t>
      </w:r>
      <w:r>
        <w:t xml:space="preserve">financial system for the purpose of money laundering or terrorist financing, COM (2021) 420 final, 2021/0239 (COD).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of exchange of information. Finally, only an amendment to the DAC can ensure the necessary</w:t>
      </w:r>
      <w:r>
        <w:t xml:space="preserve"> </w:t>
      </w:r>
      <w:r>
        <w:t xml:space="preserve">coherence of rules on reporting and exchange for tax purposes with the previously mentioned EU</w:t>
      </w:r>
      <w:r>
        <w:t xml:space="preserve"> </w:t>
      </w:r>
      <w:r>
        <w:t xml:space="preserve">initiatives (proposal for a MICA regulation and AML package).</w:t>
      </w:r>
      <w:r>
        <w:br/>
      </w:r>
      <w:r>
        <w:t xml:space="preserve">The European Court of Auditors (ECA) published a report9 examining the legal framework and</w:t>
      </w:r>
      <w:r>
        <w:t xml:space="preserve"> </w:t>
      </w:r>
      <w:r>
        <w:t xml:space="preserve">implementation of the DAC. This report notes that “Cryptocurrencies are excluded from the scope</w:t>
      </w:r>
      <w:r>
        <w:t xml:space="preserve"> </w:t>
      </w:r>
      <w:r>
        <w:t xml:space="preserve">of information exchange. If a taxpayer holds money in electronic cryptocurrencies, the platform</w:t>
      </w:r>
      <w:r>
        <w:t xml:space="preserve"> </w:t>
      </w:r>
      <w:r>
        <w:t xml:space="preserve">or other electronic provider supplying portfolio services for such customers are not obliged to</w:t>
      </w:r>
      <w:r>
        <w:t xml:space="preserve"> </w:t>
      </w:r>
      <w:r>
        <w:t xml:space="preserve">declare any such amounts or gains acquired to the tax authorities. Therefore, money held in such</w:t>
      </w:r>
      <w:r>
        <w:t xml:space="preserve"> </w:t>
      </w:r>
      <w:r>
        <w:t xml:space="preserve">electronic instruments remains largely untaxed.”</w:t>
      </w:r>
      <w:r>
        <w:br/>
      </w:r>
      <w:r>
        <w:t xml:space="preserve">It is important to clarify that this initiative focuses on the reporting and exchange of information</w:t>
      </w:r>
      <w:r>
        <w:t xml:space="preserve"> </w:t>
      </w:r>
      <w:r>
        <w:t xml:space="preserve">between tax administrations on the income obtained by the users of crypto-asset services and the</w:t>
      </w:r>
      <w:r>
        <w:t xml:space="preserve"> </w:t>
      </w:r>
      <w:r>
        <w:t xml:space="preserve">use of this information by tax administrations, to ensure the proper application of domestic tax</w:t>
      </w:r>
      <w:r>
        <w:t xml:space="preserve"> </w:t>
      </w:r>
      <w:r>
        <w:t xml:space="preserve">rules. It does not aim at setting out new rules regarding the actual taxation of such proceeds based</w:t>
      </w:r>
      <w:r>
        <w:t xml:space="preserve"> </w:t>
      </w:r>
      <w:r>
        <w:t xml:space="preserve">on each Member State’s national rules, nor does it cover the taxation of the profits made by the</w:t>
      </w:r>
      <w:r>
        <w:t xml:space="preserve"> </w:t>
      </w:r>
      <w:r>
        <w:t xml:space="preserve">CASPs and whether they, as companies, pay their fair share in relation to those profits. Those</w:t>
      </w:r>
      <w:r>
        <w:t xml:space="preserve"> </w:t>
      </w:r>
      <w:r>
        <w:t xml:space="preserve">aspects may be addressed through separate initiatives and work streams.</w:t>
      </w:r>
      <w:r>
        <w:t xml:space="preserve"> </w:t>
      </w:r>
      <w:r>
        <w:t xml:space="preserve">A legislative initiative addressing the issue of exchange of information on crypto-assets (DAC8)</w:t>
      </w:r>
      <w:r>
        <w:t xml:space="preserve"> </w:t>
      </w:r>
      <w:r>
        <w:t xml:space="preserve">is likely to include some fine-tuning of existing concepts in the DAC and filling in some gaps.</w:t>
      </w:r>
      <w:r>
        <w:t xml:space="preserve"> </w:t>
      </w:r>
      <w:r>
        <w:t xml:space="preserve">Areas that could be covered touch upon a further strengthening of administrative cooperation</w:t>
      </w:r>
      <w:r>
        <w:t xml:space="preserve"> </w:t>
      </w:r>
      <w:r>
        <w:t xml:space="preserve">between tax authorities, a review of the current compliance framework, a clarification of the</w:t>
      </w:r>
      <w:r>
        <w:t xml:space="preserve"> </w:t>
      </w:r>
      <w:r>
        <w:t xml:space="preserve">reporting and exchange rules applicable to information about e-money and the opening up of the</w:t>
      </w:r>
      <w:r>
        <w:t xml:space="preserve"> </w:t>
      </w:r>
      <w:r>
        <w:t xml:space="preserve">information exchange on cross-border tax rulings to further types of rulings. Those improvements</w:t>
      </w:r>
      <w:r>
        <w:t xml:space="preserve"> </w:t>
      </w:r>
      <w:r>
        <w:t xml:space="preserve">are briefly presented in Annex 6 but are not economically assessed in this impact assessment.</w:t>
      </w:r>
      <w:r>
        <w:br/>
      </w:r>
      <w:r>
        <w:t xml:space="preserve">2. PROBLEM DEFINITION</w:t>
      </w:r>
      <w:r>
        <w:t xml:space="preserve"> </w:t>
      </w:r>
      <w:r>
        <w:t xml:space="preserve">The following analysis has been performed in order to estimate how significant the problem is,</w:t>
      </w:r>
      <w:r>
        <w:t xml:space="preserve"> </w:t>
      </w:r>
      <w:r>
        <w:t xml:space="preserve">although the actual lack of available data has made this analysis challenging. Also, the problem</w:t>
      </w:r>
      <w:r>
        <w:t xml:space="preserve"> </w:t>
      </w:r>
      <w:r>
        <w:t xml:space="preserve">drivers have been examined and the evolution of the problem - in the absence of an EU policy</w:t>
      </w:r>
      <w:r>
        <w:t xml:space="preserve"> </w:t>
      </w:r>
      <w:r>
        <w:t xml:space="preserve">initiative – has been assessed. A problem tree chart has been included to visually present the</w:t>
      </w:r>
      <w:r>
        <w:t xml:space="preserve"> </w:t>
      </w:r>
      <w:r>
        <w:t xml:space="preserve">problem, its drivers and consequences.</w:t>
      </w:r>
    </w:p>
    <w:p>
      <w:pPr>
        <w:pStyle w:val="BodyText"/>
      </w:pPr>
      <w:r>
        <w:t xml:space="preserve">9 European Court of Auditors. (2021). Special Report N°03/2021: Exchanging tax information in the EU: solid foundation, cracks in the</w:t>
      </w:r>
      <w:r>
        <w:t xml:space="preserve"> </w:t>
      </w:r>
      <w:r>
        <w:t xml:space="preserve">implementation. Pages 20 and 29.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Figure 1 Problem Tree</w:t>
      </w:r>
    </w:p>
    <w:p>
      <w:pPr>
        <w:pStyle w:val="BodyText"/>
      </w:pPr>
      <w:r>
        <w:t xml:space="preserve">2.1 What are the problems?</w:t>
      </w:r>
      <w:r>
        <w:t xml:space="preserve"> </w:t>
      </w:r>
      <w:r>
        <w:t xml:space="preserve">The key problem that this impact assessment focuses on is that tax authorities lack information to</w:t>
      </w:r>
      <w:r>
        <w:t xml:space="preserve"> </w:t>
      </w:r>
      <w:r>
        <w:t xml:space="preserve">monitor the proceeds obtained using crypto-assets and the potential tax consequences of those.</w:t>
      </w:r>
      <w:r>
        <w:t xml:space="preserve"> </w:t>
      </w:r>
      <w:r>
        <w:t xml:space="preserve">In other words, there is a lack of information available to tax administrations regarding crypto-</w:t>
      </w:r>
      <w:r>
        <w:t xml:space="preserve"> </w:t>
      </w:r>
      <w:r>
        <w:t xml:space="preserve">assets, while the crypto-assets market has gained in importance over the last years. The crypto-</w:t>
      </w:r>
      <w:r>
        <w:t xml:space="preserve"> </w:t>
      </w:r>
      <w:r>
        <w:t xml:space="preserve">assets market capitalization has increased substantially and rapidly, reaching more than EUR</w:t>
      </w:r>
      <w:r>
        <w:t xml:space="preserve"> </w:t>
      </w:r>
      <w:r>
        <w:t xml:space="preserve">1.8 trillion in 2021.10 Although Bitcoin11 maintained a very high market share in the early years,</w:t>
      </w:r>
      <w:r>
        <w:t xml:space="preserve"> </w:t>
      </w:r>
      <w:r>
        <w:t xml:space="preserve">its relative importance has decreased lately due to the increasing use of other new cryptocurrencies,</w:t>
      </w:r>
      <w:r>
        <w:t xml:space="preserve"> </w:t>
      </w:r>
      <w:r>
        <w:t xml:space="preserve">such as Ethereum. In September 2021, Bitcoin’s market share was around 42,8%, followed by</w:t>
      </w:r>
      <w:r>
        <w:t xml:space="preserve"> </w:t>
      </w:r>
      <w:r>
        <w:t xml:space="preserve">Ethereum (18,8%) and Cardano (3,69%).12</w:t>
      </w:r>
      <w:r>
        <w:t xml:space="preserve"> </w:t>
      </w:r>
      <w:r>
        <w:t xml:space="preserve">Crypto-assets, like more traditional financial products, are a stock of wealth and can be taxed as</w:t>
      </w:r>
      <w:r>
        <w:t xml:space="preserve"> </w:t>
      </w:r>
      <w:r>
        <w:t xml:space="preserve">such. But more generally, it is the capital gains arising from the trading of crypto-assets that are in</w:t>
      </w:r>
      <w:r>
        <w:t xml:space="preserve"> </w:t>
      </w:r>
      <w:r>
        <w:t xml:space="preserve">principle subject to taxation under the national law of Member States. Those capital gains arise</w:t>
      </w:r>
      <w:r>
        <w:t xml:space="preserve"> </w:t>
      </w:r>
      <w:r>
        <w:t xml:space="preserve">either when (i) crypto-assets are traded for other crypto-assets or (ii) a fiat currency is traded for</w:t>
      </w:r>
      <w:r>
        <w:t xml:space="preserve"> </w:t>
      </w:r>
      <w:r>
        <w:t xml:space="preserve">crypto-assets and back to a fiat currency. The trading can be carried out using crypto-asset service</w:t>
      </w:r>
      <w:r>
        <w:t xml:space="preserve"> </w:t>
      </w:r>
      <w:r>
        <w:t xml:space="preserve">providers or between individuals or entities directly. Information on the details of these</w:t>
      </w:r>
    </w:p>
    <w:p>
      <w:pPr>
        <w:pStyle w:val="BodyText"/>
      </w:pPr>
      <w:r>
        <w:t xml:space="preserve">10 https://coinmarketcap.com/de/largest-companies/ (accessed on September 29, 2021).</w:t>
      </w:r>
      <w:r>
        <w:t xml:space="preserve"> </w:t>
      </w:r>
      <w:r>
        <w:t xml:space="preserve">11 Bitcoin is a digital currency that is not backed by a central bank and is used for payment or investment purposes.</w:t>
      </w:r>
      <w:r>
        <w:t xml:space="preserve"> </w:t>
      </w:r>
      <w:r>
        <w:t xml:space="preserve">12 https://coinmarketcap.com/charts/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transactions is available through the service providers when they are involved. In cases where no</w:t>
      </w:r>
      <w:r>
        <w:t xml:space="preserve"> </w:t>
      </w:r>
      <w:r>
        <w:t xml:space="preserve">service provider is involved, the information is more difficult to obtain and would require detailed</w:t>
      </w:r>
      <w:r>
        <w:t xml:space="preserve"> </w:t>
      </w:r>
      <w:r>
        <w:t xml:space="preserve">knowledge of the information on the blockchain.</w:t>
      </w:r>
      <w:r>
        <w:t xml:space="preserve"> </w:t>
      </w:r>
      <w:r>
        <w:t xml:space="preserve">The fact that there is no reporting (or underreporting) and the lack of exchange of data related to</w:t>
      </w:r>
      <w:r>
        <w:t xml:space="preserve"> </w:t>
      </w:r>
      <w:r>
        <w:t xml:space="preserve">revenues and income gained by investments in and transactions made with crypto-assets means</w:t>
      </w:r>
      <w:r>
        <w:t xml:space="preserve"> </w:t>
      </w:r>
      <w:r>
        <w:t xml:space="preserve">that tax administrations lack the necessary information to ensure that taxes are imposed and</w:t>
      </w:r>
      <w:r>
        <w:t xml:space="preserve"> </w:t>
      </w:r>
      <w:r>
        <w:t xml:space="preserve">effectively paid by taxpayers. Whilst it is difficult to precisely quantify this particular tax gap, it</w:t>
      </w:r>
      <w:r>
        <w:t xml:space="preserve"> </w:t>
      </w:r>
      <w:r>
        <w:t xml:space="preserve">represents a current and future problem that needs to be addressed keeping in mind that the use of</w:t>
      </w:r>
      <w:r>
        <w:t xml:space="preserve"> </w:t>
      </w:r>
      <w:r>
        <w:t xml:space="preserve">these assets is expected to increase substantially in the future. There is also significant potential</w:t>
      </w:r>
      <w:r>
        <w:t xml:space="preserve"> </w:t>
      </w:r>
      <w:r>
        <w:t xml:space="preserve">for eroding the proper functioning of the existing exchanges under DAC213, which is a key tool in</w:t>
      </w:r>
      <w:r>
        <w:t xml:space="preserve"> </w:t>
      </w:r>
      <w:r>
        <w:t xml:space="preserve">ensuring tax transparency on cross-border financial investments and tackling offshore tax evasion.</w:t>
      </w:r>
      <w:r>
        <w:br/>
      </w:r>
      <w:r>
        <w:t xml:space="preserve">The majority of Member States already have legislation14 or at least administrative guidance in</w:t>
      </w:r>
      <w:r>
        <w:t xml:space="preserve"> </w:t>
      </w:r>
      <w:r>
        <w:t xml:space="preserve">place to tax capital gains obtained through crypto-asset investments. However, they often lack the</w:t>
      </w:r>
      <w:r>
        <w:t xml:space="preserve"> </w:t>
      </w:r>
      <w:r>
        <w:t xml:space="preserve">necessary information that would enable them to do so.15 Figure 2 shows the estimated capital</w:t>
      </w:r>
      <w:r>
        <w:t xml:space="preserve"> </w:t>
      </w:r>
      <w:r>
        <w:t xml:space="preserve">gains, both realised and unrealised, of Bitcoin owners in 2020, ranked by realised capital gains. In</w:t>
      </w:r>
      <w:r>
        <w:t xml:space="preserve"> </w:t>
      </w:r>
      <w:r>
        <w:t xml:space="preserve">2020, the total realised capital gains by EU citizens amounted to EUR 3.6 billion and the total</w:t>
      </w:r>
      <w:r>
        <w:t xml:space="preserve"> </w:t>
      </w:r>
      <w:r>
        <w:t xml:space="preserve">unrealised capital gains to EUR 9.1 billion, according to a study by Thiemann (2021).16</w:t>
      </w:r>
      <w:r>
        <w:br/>
      </w:r>
      <w:r>
        <w:t xml:space="preserve">Assuming that the realised capital gains had been reported by the taxpayers and taxed at a rate of</w:t>
      </w:r>
      <w:r>
        <w:t xml:space="preserve"> </w:t>
      </w:r>
      <w:r>
        <w:t xml:space="preserve">25% (without any tax exemptions) by the relevant Member State, tax revenues of about EUR 0.9</w:t>
      </w:r>
      <w:r>
        <w:t xml:space="preserve"> </w:t>
      </w:r>
      <w:r>
        <w:t xml:space="preserve">billion could have been collected in 2020, taking only into consideration Bitcoin. The lack of</w:t>
      </w:r>
      <w:r>
        <w:t xml:space="preserve"> </w:t>
      </w:r>
      <w:r>
        <w:t xml:space="preserve">reporting rules at national level, as well as the lack of exchange of information between Member</w:t>
      </w:r>
      <w:r>
        <w:t xml:space="preserve"> </w:t>
      </w:r>
      <w:r>
        <w:t xml:space="preserve">States means that non-compliant taxpayers are difficult to detect, which leads to revenue losses.</w:t>
      </w:r>
      <w:r>
        <w:t xml:space="preserve"> </w:t>
      </w:r>
      <w:r>
        <w:t xml:space="preserve">At the same time, there is no information available about how much realised capital gains have</w:t>
      </w:r>
      <w:r>
        <w:t xml:space="preserve"> </w:t>
      </w:r>
      <w:r>
        <w:t xml:space="preserve">actually been taxed by the Member States. This makes it challenging to determine the exact impact</w:t>
      </w:r>
      <w:r>
        <w:t xml:space="preserve"> </w:t>
      </w:r>
      <w:r>
        <w:t xml:space="preserve">of the proposed initiative.</w:t>
      </w:r>
    </w:p>
    <w:p>
      <w:pPr>
        <w:pStyle w:val="BodyText"/>
      </w:pPr>
      <w:r>
        <w:t xml:space="preserve">13 Directive 2014/107/EU introducing the exchange of financial account information</w:t>
      </w:r>
      <w:r>
        <w:t xml:space="preserve"> </w:t>
      </w:r>
      <w:r>
        <w:t xml:space="preserve">14 While some Member States are planning to introduce changes to their national legislation (e.g. Slovenia).</w:t>
      </w:r>
      <w:r>
        <w:br/>
      </w:r>
      <w:r>
        <w:t xml:space="preserve">15 OECD. (2020). Taxing Virtual Currencies: An Overview of Tax Treatments and Emerging Tax Policy Issues.</w:t>
      </w:r>
      <w:r>
        <w:br/>
      </w:r>
      <w:r>
        <w:t xml:space="preserve">16 Thiemann (2021). Cryptocurrencies: An empirical view from a tax perspective, JRC Working Papers on Taxation and Structural Reforms, No</w:t>
      </w:r>
      <w:r>
        <w:t xml:space="preserve"> </w:t>
      </w:r>
      <w:r>
        <w:t xml:space="preserve">12.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Figure 2 Estimated capital gains from Bitcoin in 2020 across EU countries, realised (green)</w:t>
      </w:r>
      <w:r>
        <w:t xml:space="preserve"> </w:t>
      </w:r>
      <w:r>
        <w:t xml:space="preserve">and unrealised (red)</w:t>
      </w:r>
      <w:r>
        <w:t xml:space="preserve"> </w:t>
      </w:r>
      <w:r>
        <w:t xml:space="preserve">Source: Thiemann (2021) based on Chainalysis Inc. </w:t>
      </w:r>
      <w:r>
        <w:t xml:space="preserve"> </w:t>
      </w:r>
      <w:r>
        <w:t xml:space="preserve">Note: Flows are attributed to individual countries relying on country-based web traffic statistics, time-zone analysis of service providers’</w:t>
      </w:r>
      <w:r>
        <w:t xml:space="preserve"> </w:t>
      </w:r>
      <w:r>
        <w:t xml:space="preserve">cryptocurrency activity, most popular fiat currency pairs, and additional information (see Chainalysis, 2020); exchange rate to calculate EUR</w:t>
      </w:r>
      <w:r>
        <w:t xml:space="preserve"> </w:t>
      </w:r>
      <w:r>
        <w:t xml:space="preserve">values from the original USD values, as of May, 25, 2021 (1 EUR = 1.2212 USD).</w:t>
      </w:r>
    </w:p>
    <w:p>
      <w:pPr>
        <w:pStyle w:val="BodyText"/>
      </w:pPr>
      <w:r>
        <w:t xml:space="preserve">It is relevant for the assessment of the problem and its impacts to note that there are already</w:t>
      </w:r>
      <w:r>
        <w:t xml:space="preserve"> </w:t>
      </w:r>
      <w:r>
        <w:t xml:space="preserve">reporting obligations on financial institutions and certain assets, but they are clearly not sufficient.</w:t>
      </w:r>
      <w:r>
        <w:t xml:space="preserve"> </w:t>
      </w:r>
      <w:r>
        <w:t xml:space="preserve">The existing provisions of DAC2 lay down an obligation for financial intermediaries to report</w:t>
      </w:r>
      <w:r>
        <w:t xml:space="preserve"> </w:t>
      </w:r>
      <w:r>
        <w:t xml:space="preserve">financial account information to tax administrations that are then required to exchange this</w:t>
      </w:r>
      <w:r>
        <w:t xml:space="preserve"> </w:t>
      </w:r>
      <w:r>
        <w:t xml:space="preserve">information with other relevant Member States.</w:t>
      </w:r>
      <w:r>
        <w:br/>
      </w:r>
      <w:r>
        <w:t xml:space="preserve">Crypto-assets are currently not considered a reportable information under DAC2 and thus within</w:t>
      </w:r>
      <w:r>
        <w:t xml:space="preserve"> </w:t>
      </w:r>
      <w:r>
        <w:t xml:space="preserve">its scope (or its equivalent at the international level, the Common Reporting Standard or CRS).</w:t>
      </w:r>
      <w:r>
        <w:t xml:space="preserve"> </w:t>
      </w:r>
      <w:r>
        <w:t xml:space="preserve">They neither represent money held in a depository accounts or in financial assets as they are not</w:t>
      </w:r>
      <w:r>
        <w:t xml:space="preserve"> </w:t>
      </w:r>
      <w:r>
        <w:t xml:space="preserve">considered a commodity or security under the domestic law of most Member States. In addition,</w:t>
      </w:r>
      <w:r>
        <w:t xml:space="preserve"> </w:t>
      </w:r>
      <w:r>
        <w:t xml:space="preserve">crypto-asset service providers are in most cases not considered to be covered by the existing</w:t>
      </w:r>
      <w:r>
        <w:t xml:space="preserve"> </w:t>
      </w:r>
      <w:r>
        <w:t xml:space="preserve">definition of “financial institutions” under DAC2. Currently, tax administrations have few tools</w:t>
      </w:r>
      <w:r>
        <w:t xml:space="preserve"> </w:t>
      </w:r>
      <w:r>
        <w:t xml:space="preserve">available to verify whether the proceeds earned through investments in crypto-assets are properly</w:t>
      </w:r>
      <w:r>
        <w:t xml:space="preserve"> </w:t>
      </w:r>
      <w:r>
        <w:t xml:space="preserve">declared and, if so, whether the correct amount has been declared. As pointed out by the European</w:t>
      </w:r>
      <w:r>
        <w:t xml:space="preserve"> </w:t>
      </w:r>
      <w:r>
        <w:t xml:space="preserve">Parliament, “defining tax bases requires being in possession of a full picture of a taxpayer’s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situation”.17 Consequently, there might be an incentive to invest in crypto-assets rather than in</w:t>
      </w:r>
      <w:r>
        <w:t xml:space="preserve"> </w:t>
      </w:r>
      <w:r>
        <w:t xml:space="preserve">traditional financial products with the aim to avoid DAC2/CRS reporting.</w:t>
      </w:r>
      <w:r>
        <w:br/>
      </w:r>
      <w:r>
        <w:t xml:space="preserve">National tax administrations may use the information received related to crypto-assets through the</w:t>
      </w:r>
      <w:r>
        <w:t xml:space="preserve"> </w:t>
      </w:r>
      <w:r>
        <w:t xml:space="preserve">exchange of information proposed under this initiative for a range of purposes, such as imposing</w:t>
      </w:r>
      <w:r>
        <w:t xml:space="preserve"> </w:t>
      </w:r>
      <w:r>
        <w:t xml:space="preserve">taxes, conducting risk-assessments and tax audits relating to different tax categories including</w:t>
      </w:r>
      <w:r>
        <w:t xml:space="preserve"> </w:t>
      </w:r>
      <w:r>
        <w:t xml:space="preserve">indirect taxes like Value Added Tax (VAT). The most relevant tax for the calculation of the</w:t>
      </w:r>
      <w:r>
        <w:t xml:space="preserve"> </w:t>
      </w:r>
      <w:r>
        <w:t xml:space="preserve">benefits derived from this proposal are linked to income tax due to the potential capital gains that</w:t>
      </w:r>
      <w:r>
        <w:t xml:space="preserve"> </w:t>
      </w:r>
      <w:r>
        <w:t xml:space="preserve">taxpayers may obtain.</w:t>
      </w:r>
      <w:r>
        <w:t xml:space="preserve"> </w:t>
      </w:r>
      <w:r>
        <w:t xml:space="preserve">The consequences of the lack of reporting and exchange of information on crypto-assets indirectly</w:t>
      </w:r>
      <w:r>
        <w:t xml:space="preserve"> </w:t>
      </w:r>
      <w:r>
        <w:t xml:space="preserve">affects all EU citizens and businesses. Tax fraud, evasion and avoidance lead to fewer resources</w:t>
      </w:r>
      <w:r>
        <w:t xml:space="preserve"> </w:t>
      </w:r>
      <w:r>
        <w:t xml:space="preserve">to fund public services such as education, healthcare, pensions and infrastructure. To maintain the</w:t>
      </w:r>
      <w:r>
        <w:t xml:space="preserve"> </w:t>
      </w:r>
      <w:r>
        <w:t xml:space="preserve">level of public services, everybody must contribute according to the legal framework in force. To</w:t>
      </w:r>
      <w:r>
        <w:t xml:space="preserve"> </w:t>
      </w:r>
      <w:r>
        <w:t xml:space="preserve">support and sustain the recovery from the deep economic crisis caused by COVID-19, it is</w:t>
      </w:r>
      <w:r>
        <w:t xml:space="preserve"> </w:t>
      </w:r>
      <w:r>
        <w:t xml:space="preserve">necessary to ensure that a fair taxation system contributes to this objective. Compliant taxpayers,</w:t>
      </w:r>
      <w:r>
        <w:t xml:space="preserve"> </w:t>
      </w:r>
      <w:r>
        <w:t xml:space="preserve">who pay their fair share of taxes, are particularly affected as they may be asked to pay higher taxes</w:t>
      </w:r>
      <w:r>
        <w:t xml:space="preserve"> </w:t>
      </w:r>
      <w:r>
        <w:t xml:space="preserve">and/or they may have to accept a lower level of public services. Cost reduction achieved by not</w:t>
      </w:r>
      <w:r>
        <w:t xml:space="preserve"> </w:t>
      </w:r>
      <w:r>
        <w:t xml:space="preserve">paying taxes is not an acceptable practice in the EU or elsewhere. Furthermore, the absence of a</w:t>
      </w:r>
      <w:r>
        <w:t xml:space="preserve"> </w:t>
      </w:r>
      <w:r>
        <w:t xml:space="preserve">reporting standard for crypto-assets could be considered an incentive to invest in such products</w:t>
      </w:r>
      <w:r>
        <w:t xml:space="preserve"> </w:t>
      </w:r>
      <w:r>
        <w:t xml:space="preserve">since users/investors would not be subject to the same verification regime as other traditional</w:t>
      </w:r>
      <w:r>
        <w:t xml:space="preserve"> </w:t>
      </w:r>
      <w:r>
        <w:t xml:space="preserve">financial assets. This may affect the level playing field, fairness and integrity of the EU Internal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2.2 What are the problem drivers?</w:t>
      </w:r>
      <w:r>
        <w:t xml:space="preserve"> </w:t>
      </w:r>
      <w:r>
        <w:t xml:space="preserve">The problem related to the lack of information available to tax authorities regarding the proceeds</w:t>
      </w:r>
      <w:r>
        <w:t xml:space="preserve"> </w:t>
      </w:r>
      <w:r>
        <w:t xml:space="preserve">obtained using crypto-assets has various drivers and causes:</w:t>
      </w:r>
      <w:r>
        <w:br/>
      </w:r>
      <w:r>
        <w:t xml:space="preserve">The lack of centralized control for crypto-assets, hybrid characteristics, and the rapid</w:t>
      </w:r>
      <w:r>
        <w:t xml:space="preserve"> </w:t>
      </w:r>
      <w:r>
        <w:t xml:space="preserve">evolution of the underlying technology and its form present challenges from a taxation</w:t>
      </w:r>
      <w:r>
        <w:t xml:space="preserve"> </w:t>
      </w:r>
      <w:r>
        <w:t xml:space="preserve">perspective. The said characteristics mean that reporting and taxation obligations are unclear and</w:t>
      </w:r>
      <w:r>
        <w:t xml:space="preserve"> </w:t>
      </w:r>
      <w:r>
        <w:t xml:space="preserve">can be easily avoided. These assets escape current definitions in tax law in part due to the targeted</w:t>
      </w:r>
      <w:r>
        <w:t xml:space="preserve"> </w:t>
      </w:r>
      <w:r>
        <w:t xml:space="preserve">nature of those definitions. Furthermore, users or investors can use this form of assets for payment</w:t>
      </w:r>
      <w:r>
        <w:t xml:space="preserve"> </w:t>
      </w:r>
      <w:r>
        <w:t xml:space="preserve">as well as trading purposes, which is different from how traditional assets are traded and invested</w:t>
      </w:r>
      <w:r>
        <w:t xml:space="preserve"> </w:t>
      </w:r>
      <w:r>
        <w:t xml:space="preserve">and which makes its taxonomy and the potential tax compliance framework more complex to</w:t>
      </w:r>
      <w:r>
        <w:t xml:space="preserve"> </w:t>
      </w:r>
      <w:r>
        <w:t xml:space="preserve">design. These difficulties follow from the need to identify the relevant intermediaries, the</w:t>
      </w:r>
      <w:r>
        <w:t xml:space="preserve"> </w:t>
      </w:r>
      <w:r>
        <w:t xml:space="preserve">reportable event, the valuation of crypto-assets and the available information, among other things.</w:t>
      </w:r>
      <w:r>
        <w:t xml:space="preserve"> </w:t>
      </w:r>
      <w:r>
        <w:t xml:space="preserve">Like traditional financial assets, income or capital gains derived from crypto-assets may be subject</w:t>
      </w:r>
      <w:r>
        <w:t xml:space="preserve"> </w:t>
      </w:r>
      <w:r>
        <w:t xml:space="preserve">to taxation depending on each Member State’s legal framework. However, proper enforcement of</w:t>
      </w:r>
      <w:r>
        <w:t xml:space="preserve"> </w:t>
      </w:r>
      <w:r>
        <w:t xml:space="preserve">tax obligations relies on high-quality reporting and the ability of tax administrations to have access</w:t>
      </w:r>
      <w:r>
        <w:t xml:space="preserve"> </w:t>
      </w:r>
      <w:r>
        <w:t xml:space="preserve">to the information.</w:t>
      </w:r>
    </w:p>
    <w:p>
      <w:pPr>
        <w:pStyle w:val="BodyText"/>
      </w:pPr>
      <w:r>
        <w:t xml:space="preserve">17 European Parliament. (2019). European Parliament resolution of 26 March 2019 on financial crimes, tax evasion and tax avoidance</w:t>
      </w:r>
      <w:r>
        <w:t xml:space="preserve"> </w:t>
      </w:r>
      <w:r>
        <w:t xml:space="preserve">(2018/2121(INI)).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crypto-asset market is highly mobile and digitalised. Crypto-assets are traded all over the</w:t>
      </w:r>
      <w:r>
        <w:t xml:space="preserve"> </w:t>
      </w:r>
      <w:r>
        <w:t xml:space="preserve">world through service providers that, in turn, have great mobility since they can be located</w:t>
      </w:r>
      <w:r>
        <w:t xml:space="preserve"> </w:t>
      </w:r>
      <w:r>
        <w:t xml:space="preserve">anywhere in the world. The cross-border nature of crypto-assets means that reporting rules at</w:t>
      </w:r>
      <w:r>
        <w:t xml:space="preserve"> </w:t>
      </w:r>
      <w:r>
        <w:t xml:space="preserve">national level are unlikely to adequately capture all necessary information.</w:t>
      </w:r>
      <w:r>
        <w:br/>
      </w:r>
      <w:r>
        <w:t xml:space="preserve">It represents overall an emerging market. The first cryptocurrency, Bitcoin, was launched in</w:t>
      </w:r>
      <w:r>
        <w:t xml:space="preserve"> </w:t>
      </w:r>
      <w:r>
        <w:t xml:space="preserve">2009. As of today, there is a huge number of crypto-assets and CASPs and total crypto-asset users</w:t>
      </w:r>
      <w:r>
        <w:t xml:space="preserve"> </w:t>
      </w:r>
      <w:r>
        <w:t xml:space="preserve">have increased from 5 million in 2016 to at least 100 million in 2020 with a market capitalization</w:t>
      </w:r>
      <w:r>
        <w:t xml:space="preserve"> </w:t>
      </w:r>
      <w:r>
        <w:t xml:space="preserve">of total cryptocurrencies reaching EUR 1.8 trillion in September 2021. The crypto-asset markets</w:t>
      </w:r>
      <w:r>
        <w:t xml:space="preserve"> </w:t>
      </w:r>
      <w:r>
        <w:t xml:space="preserve">are very dynamic. New crypto-assets with new features appear almost every day all over the world.</w:t>
      </w:r>
      <w:r>
        <w:t xml:space="preserve"> </w:t>
      </w:r>
      <w:r>
        <w:t xml:space="preserve">There are more than 9,000 different crypto-assets currently available. Although this is both an</w:t>
      </w:r>
      <w:r>
        <w:t xml:space="preserve"> </w:t>
      </w:r>
      <w:r>
        <w:t xml:space="preserve">emerging and rapidly evolving market, the Commission proposals such as MiCA provide for the</w:t>
      </w:r>
      <w:r>
        <w:t xml:space="preserve"> </w:t>
      </w:r>
      <w:r>
        <w:t xml:space="preserve">necessary level of consistency and clarity by defining what crypto-asset service providers and</w:t>
      </w:r>
      <w:r>
        <w:t xml:space="preserve"> </w:t>
      </w:r>
      <w:r>
        <w:t xml:space="preserve">crypto-assets are.</w:t>
      </w:r>
      <w:r>
        <w:br/>
      </w:r>
      <w:r>
        <w:t xml:space="preserve">Pseudo-anonymity. Overall, in the crypto-asset markets, the level of transparency for tax purposes</w:t>
      </w:r>
      <w:r>
        <w:t xml:space="preserve"> </w:t>
      </w:r>
      <w:r>
        <w:t xml:space="preserve">is deficient. This new technology is used to create, hold and transfer crypto-assets without</w:t>
      </w:r>
      <w:r>
        <w:t xml:space="preserve"> </w:t>
      </w:r>
      <w:r>
        <w:t xml:space="preserve">traditional third-party intermediaries clearly covered by existing legislation. The lack of a central</w:t>
      </w:r>
      <w:r>
        <w:t xml:space="preserve"> </w:t>
      </w:r>
      <w:r>
        <w:t xml:space="preserve">authority, combined with pseudo-anonymity applying in some cases, may lead to risks of tax fraud,</w:t>
      </w:r>
      <w:r>
        <w:t xml:space="preserve"> </w:t>
      </w:r>
      <w:r>
        <w:t xml:space="preserve">evasion and avoidance. The Commission proposal for a Regulation on MiCA establishes uniform</w:t>
      </w:r>
      <w:r>
        <w:t xml:space="preserve"> </w:t>
      </w:r>
      <w:r>
        <w:t xml:space="preserve">requirements for transparency and disclosure for crypto-asset service providers and issuers. The</w:t>
      </w:r>
      <w:r>
        <w:t xml:space="preserve"> </w:t>
      </w:r>
      <w:r>
        <w:t xml:space="preserve">proposed new AML rules will also require CASPs to identify their customers through customer</w:t>
      </w:r>
      <w:r>
        <w:t xml:space="preserve"> </w:t>
      </w:r>
      <w:r>
        <w:t xml:space="preserve">due diligence measures, to comply with new information obligations linked to crypto-assets</w:t>
      </w:r>
      <w:r>
        <w:t xml:space="preserve"> </w:t>
      </w:r>
      <w:r>
        <w:t xml:space="preserve">transfers and to report possible suspicious transactions involving crypto-assets.18 The DAC8</w:t>
      </w:r>
      <w:r>
        <w:t xml:space="preserve"> </w:t>
      </w:r>
      <w:r>
        <w:t xml:space="preserve">proposal intends to solve the pseudo-anonymity feature from a tax perspective.</w:t>
      </w:r>
      <w:r>
        <w:br/>
      </w:r>
      <w:r>
        <w:t xml:space="preserve">In addition, there are substantial valuation difficulties due to the high level of price fluctuations,</w:t>
      </w:r>
      <w:r>
        <w:t xml:space="preserve"> </w:t>
      </w:r>
      <w:r>
        <w:t xml:space="preserve">which poses a major problem to the computation of the overall holdings and capital gains for tax</w:t>
      </w:r>
      <w:r>
        <w:t xml:space="preserve"> </w:t>
      </w:r>
      <w:r>
        <w:t xml:space="preserve">purposes. For instance, Bitcoin investors have experienced considerable volatility over the last ten</w:t>
      </w:r>
      <w:r>
        <w:t xml:space="preserve"> </w:t>
      </w:r>
      <w:r>
        <w:t xml:space="preserve">years. The current absence of financial markets regulation for crypto-assets, pending adoption of</w:t>
      </w:r>
      <w:r>
        <w:t xml:space="preserve"> </w:t>
      </w:r>
      <w:r>
        <w:t xml:space="preserve">the Regulation on MiCA, feeds into its volatility. This volatility may have been curbed to some</w:t>
      </w:r>
      <w:r>
        <w:t xml:space="preserve"> </w:t>
      </w:r>
      <w:r>
        <w:t xml:space="preserve">extent as a result of the implementation by Member States of the Fourth and Fifth Anti-Money</w:t>
      </w:r>
      <w:r>
        <w:t xml:space="preserve"> </w:t>
      </w:r>
      <w:r>
        <w:t xml:space="preserve">Laundering Directive19, but is still significant. Apart from daily volatility, in which double-digit</w:t>
      </w:r>
      <w:r>
        <w:t xml:space="preserve"> </w:t>
      </w:r>
      <w:r>
        <w:t xml:space="preserve">increases and decreases of its price are common, there were periods when the crypto-assets’ price</w:t>
      </w:r>
      <w:r>
        <w:t xml:space="preserve"> </w:t>
      </w:r>
      <w:r>
        <w:t xml:space="preserve">changes have outpaced even their usually volatile swings, resulting in massive price bubbles. The</w:t>
      </w:r>
      <w:r>
        <w:t xml:space="preserve"> </w:t>
      </w:r>
      <w:r>
        <w:t xml:space="preserve">unstable value of crypto-assets makes it difficult for tax administration to carry out their core tasks.</w:t>
      </w:r>
      <w:r>
        <w:t xml:space="preserve"> </w:t>
      </w:r>
      <w:r>
        <w:t xml:space="preserve">The value is one of the essential data components that tax administrations need to be able to</w:t>
      </w:r>
      <w:r>
        <w:t xml:space="preserve"> </w:t>
      </w:r>
      <w:r>
        <w:t xml:space="preserve">perform a high-level risk assessment.</w:t>
      </w:r>
    </w:p>
    <w:p>
      <w:pPr>
        <w:pStyle w:val="BodyText"/>
      </w:pPr>
      <w:r>
        <w:t xml:space="preserve">18 European Commission. (2021). Proposal for a Regulation of the European Parliament and of the Council on the prevention of the use of the</w:t>
      </w:r>
      <w:r>
        <w:t xml:space="preserve"> </w:t>
      </w:r>
      <w:r>
        <w:t xml:space="preserve">financial system for the purposes of money laundering or terrorist financing, COM(2021)420 final.</w:t>
      </w:r>
      <w:r>
        <w:t xml:space="preserve"> </w:t>
      </w:r>
      <w:r>
        <w:t xml:space="preserve">19 Designation of competent authorities for CASPs, honourability checks, etc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2.3 How will the problem evolve in the absence of an EU policy initiative?</w:t>
      </w:r>
      <w:r>
        <w:t xml:space="preserve"> </w:t>
      </w:r>
      <w:r>
        <w:t xml:space="preserve">In the absence of an EU policy initiative, the underreporting of income and revenues will increase</w:t>
      </w:r>
      <w:r>
        <w:t xml:space="preserve"> </w:t>
      </w:r>
      <w:r>
        <w:t xml:space="preserve">in proportion to the growth of the crypto-asset market. Bearing in mind that this market is growing</w:t>
      </w:r>
      <w:r>
        <w:t xml:space="preserve"> </w:t>
      </w:r>
      <w:r>
        <w:t xml:space="preserve">at a double-digit annual pace, the relevance of this proposal is clear. Tax fraud, evasion and</w:t>
      </w:r>
      <w:r>
        <w:t xml:space="preserve"> </w:t>
      </w:r>
      <w:r>
        <w:t xml:space="preserve">avoidance and the associated loss of tax revenues affect Member States’ resources and therefore</w:t>
      </w:r>
      <w:r>
        <w:t xml:space="preserve"> </w:t>
      </w:r>
      <w:r>
        <w:t xml:space="preserve">their capacity to develop their policies. Indirectly all citizens are impacted.</w:t>
      </w:r>
      <w:r>
        <w:t xml:space="preserve"> </w:t>
      </w:r>
      <w:r>
        <w:t xml:space="preserve">In the absence of a European framework for the reporting and exchange of information on</w:t>
      </w:r>
      <w:r>
        <w:t xml:space="preserve"> </w:t>
      </w:r>
      <w:r>
        <w:t xml:space="preserve">crypto-assets for tax purposes, some Member States may decide to implement a domestic</w:t>
      </w:r>
      <w:r>
        <w:t xml:space="preserve"> </w:t>
      </w:r>
      <w:r>
        <w:t xml:space="preserve">reporting framework for crypto-asset transactions. However, such domestic reporting framework</w:t>
      </w:r>
      <w:r>
        <w:t xml:space="preserve"> </w:t>
      </w:r>
      <w:r>
        <w:t xml:space="preserve">would not be sufficient given the international and highly mobile character of the market.</w:t>
      </w:r>
      <w:r>
        <w:t xml:space="preserve"> </w:t>
      </w:r>
      <w:r>
        <w:t xml:space="preserve">Furthermore, Member States are likely to take different approaches to reporting and there will be</w:t>
      </w:r>
      <w:r>
        <w:t xml:space="preserve"> </w:t>
      </w:r>
      <w:r>
        <w:t xml:space="preserve">no efficient exchange of such information amongst them. This would increase the risk of tax fraud,</w:t>
      </w:r>
      <w:r>
        <w:t xml:space="preserve"> </w:t>
      </w:r>
      <w:r>
        <w:t xml:space="preserve">evasion and avoidance.</w:t>
      </w:r>
      <w:r>
        <w:br/>
      </w:r>
      <w:r>
        <w:t xml:space="preserve">With regard to peer-to-peer transactions, the risk of tax fraud, evasion and avoidance is even higher</w:t>
      </w:r>
      <w:r>
        <w:t xml:space="preserve"> </w:t>
      </w:r>
      <w:r>
        <w:t xml:space="preserve">given that these transactions cannot be traced. The risk is that crypto-asset users could decide to</w:t>
      </w:r>
      <w:r>
        <w:t xml:space="preserve"> </w:t>
      </w:r>
      <w:r>
        <w:t xml:space="preserve">change to peer-to-peer transaction in order to evade reporting. Consequently, the main difficulty</w:t>
      </w:r>
      <w:r>
        <w:t xml:space="preserve"> </w:t>
      </w:r>
      <w:r>
        <w:t xml:space="preserve">stems from the fact that no CASPs are in-between and therefore, no reporting is possible.</w:t>
      </w:r>
      <w:r>
        <w:br/>
      </w:r>
      <w:r>
        <w:t xml:space="preserve">According to the targeted consultation of the Member States, most Member States have not yet</w:t>
      </w:r>
      <w:r>
        <w:t xml:space="preserve"> </w:t>
      </w:r>
      <w:r>
        <w:t xml:space="preserve">introduced any tax provisions or guidance at national level concerning the reporting of crypto-</w:t>
      </w:r>
      <w:r>
        <w:t xml:space="preserve"> </w:t>
      </w:r>
      <w:r>
        <w:t xml:space="preserve">assets for tax purposes. The introduction of divergent reporting requirements would result in a</w:t>
      </w:r>
      <w:r>
        <w:t xml:space="preserve"> </w:t>
      </w:r>
      <w:r>
        <w:t xml:space="preserve">more complex business environment: for a hypothetical CASP operating across 27 Member States.</w:t>
      </w:r>
      <w:r>
        <w:t xml:space="preserve"> </w:t>
      </w:r>
      <w:r>
        <w:t xml:space="preserve">Costs of compliance with 27 different requirements would be higher than having to deal with one</w:t>
      </w:r>
      <w:r>
        <w:t xml:space="preserve"> </w:t>
      </w:r>
      <w:r>
        <w:t xml:space="preserve">standard for reporting. Eventually, this would also create distortions in the Internal Market. If a</w:t>
      </w:r>
      <w:r>
        <w:t xml:space="preserve"> </w:t>
      </w:r>
      <w:r>
        <w:t xml:space="preserve">CASP is based in a Member State without any requirement for reporting, yet operating in several</w:t>
      </w:r>
      <w:r>
        <w:t xml:space="preserve"> </w:t>
      </w:r>
      <w:r>
        <w:t xml:space="preserve">Member States, it may have a competitive advantage vis-à-vis a CASP that provides the same</w:t>
      </w:r>
      <w:r>
        <w:t xml:space="preserve"> </w:t>
      </w:r>
      <w:r>
        <w:t xml:space="preserve">services but is based in a Member State with a reporting requirement. More subtly, distortions may</w:t>
      </w:r>
      <w:r>
        <w:t xml:space="preserve"> </w:t>
      </w:r>
      <w:r>
        <w:t xml:space="preserve">be created by differences between regulatory frameworks leading to a different compliance burden</w:t>
      </w:r>
      <w:r>
        <w:t xml:space="preserve"> </w:t>
      </w:r>
      <w:r>
        <w:t xml:space="preserve">depending on the Member State.</w:t>
      </w:r>
    </w:p>
    <w:p>
      <w:pPr>
        <w:pStyle w:val="BodyText"/>
      </w:pPr>
      <w:r>
        <w:t xml:space="preserve">17</w:t>
      </w:r>
    </w:p>
    <w:p>
      <w:pPr>
        <w:pStyle w:val="Compact"/>
        <w:numPr>
          <w:ilvl w:val="0"/>
          <w:numId w:val="1002"/>
        </w:numPr>
      </w:pP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The legal basis of DAC relies on Articles 113 and 115 of the Treaty on the Functioning of the</w:t>
      </w:r>
      <w:r>
        <w:t xml:space="preserve"> </w:t>
      </w:r>
      <w:r>
        <w:t xml:space="preserve">European Union (TFEU), which aim at ensuring the proper functioning of the Internal Market.</w:t>
      </w:r>
      <w:r>
        <w:t xml:space="preserve"> </w:t>
      </w:r>
      <w:r>
        <w:t xml:space="preserve">Article 113 of the TFEU provides a legal basis for the harmonisation of indirect tax systems of</w:t>
      </w:r>
      <w:r>
        <w:t xml:space="preserve"> </w:t>
      </w:r>
      <w:r>
        <w:t xml:space="preserve">Member States, as far as needed to ensure the functioning of the Internal Market and to avoid</w:t>
      </w:r>
      <w:r>
        <w:t xml:space="preserve"> </w:t>
      </w:r>
      <w:r>
        <w:t xml:space="preserve">distortion of competition. Article 115 of the TFEU provides for the approximation of such laws,</w:t>
      </w:r>
      <w:r>
        <w:t xml:space="preserve"> </w:t>
      </w:r>
      <w:r>
        <w:t xml:space="preserve">regulations or administrative provisions of the Member States, which directly affect the</w:t>
      </w:r>
      <w:r>
        <w:t xml:space="preserve"> </w:t>
      </w:r>
      <w:r>
        <w:t xml:space="preserve">establishment or functioning of the Internal Market and make the approximation of laws necessary.</w:t>
      </w:r>
      <w:r>
        <w:br/>
      </w:r>
      <w:r>
        <w:t xml:space="preserve">The aim of the DAC is to ensure a legal instrument of high quality for enhancing administrative</w:t>
      </w:r>
      <w:r>
        <w:t xml:space="preserve"> </w:t>
      </w:r>
      <w:r>
        <w:t xml:space="preserve">cooperation in the field of direct taxation, in order to allow functioning of the Internal Market by</w:t>
      </w:r>
      <w:r>
        <w:t xml:space="preserve"> </w:t>
      </w:r>
      <w:r>
        <w:t xml:space="preserve">reducing the negative effects of tax avoidance and evasion. Applying the same conditions, the</w:t>
      </w:r>
      <w:r>
        <w:t xml:space="preserve"> </w:t>
      </w:r>
      <w:r>
        <w:t xml:space="preserve">same methods and the same practices for administrative cooperation facilitates the work and</w:t>
      </w:r>
      <w:r>
        <w:t xml:space="preserve"> </w:t>
      </w:r>
      <w:r>
        <w:t xml:space="preserve">efficiency of the authorities in the fight against tax fraud, evasion and avoidance in the 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3.2 Subsidiarity: Necessity of EU action</w:t>
      </w:r>
      <w:r>
        <w:t xml:space="preserve"> </w:t>
      </w:r>
      <w:r>
        <w:t xml:space="preserve">Based on their current national legislations, most Member States may not be able to access</w:t>
      </w:r>
      <w:r>
        <w:t xml:space="preserve"> </w:t>
      </w:r>
      <w:r>
        <w:t xml:space="preserve">information about crypto-asset users that are not resident in that Member State. This is relevant for</w:t>
      </w:r>
      <w:r>
        <w:t xml:space="preserve"> </w:t>
      </w:r>
      <w:r>
        <w:t xml:space="preserve">the taxation of the capital gains from crypto-assets, where taxation rights are usually based on the</w:t>
      </w:r>
      <w:r>
        <w:t xml:space="preserve"> </w:t>
      </w:r>
      <w:r>
        <w:t xml:space="preserve">users’ tax residency.</w:t>
      </w:r>
      <w:r>
        <w:br/>
      </w:r>
      <w:r>
        <w:t xml:space="preserve">According to the current state of play of the Member States’ legislation, the national legal basis is</w:t>
      </w:r>
      <w:r>
        <w:t xml:space="preserve"> </w:t>
      </w:r>
      <w:r>
        <w:t xml:space="preserve">insufficient for effectively collecting information from CASPs. In some countries, there is no</w:t>
      </w:r>
      <w:r>
        <w:t xml:space="preserve"> </w:t>
      </w:r>
      <w:r>
        <w:t xml:space="preserve">legislation for third party reporting. In other countries, the current state of legislation does not</w:t>
      </w:r>
      <w:r>
        <w:t xml:space="preserve"> </w:t>
      </w:r>
      <w:r>
        <w:t xml:space="preserve">cover CASPs residing in other countries and through which their residents engage in crypto-asset</w:t>
      </w:r>
      <w:r>
        <w:t xml:space="preserve"> </w:t>
      </w:r>
      <w:r>
        <w:t xml:space="preserve">transactions.</w:t>
      </w:r>
      <w:r>
        <w:br/>
      </w:r>
      <w:r>
        <w:t xml:space="preserve">Furthermore, there are uncertainties as to whether domestic legislation applies to and can be</w:t>
      </w:r>
      <w:r>
        <w:t xml:space="preserve"> </w:t>
      </w:r>
      <w:r>
        <w:t xml:space="preserve">enforced upon CASPs resident outside the jurisdiction. Given that crypto-assets markets are</w:t>
      </w:r>
      <w:r>
        <w:t xml:space="preserve"> </w:t>
      </w:r>
      <w:r>
        <w:t xml:space="preserve">internationalised and that CASPs can easily operate remotely, this calls for a coordinated EU</w:t>
      </w:r>
      <w:r>
        <w:t xml:space="preserve"> </w:t>
      </w:r>
      <w:r>
        <w:t xml:space="preserve">action. There is a need to act at the EU level to ensure that Member States can effectively access</w:t>
      </w:r>
      <w:r>
        <w:t xml:space="preserve"> </w:t>
      </w:r>
      <w:r>
        <w:t xml:space="preserve">information on their tax residents, irrespective of the location of the service provider.</w:t>
      </w:r>
      <w:r>
        <w:br/>
      </w:r>
      <w:r>
        <w:t xml:space="preserve">3.3 Proportionality: The added value of EU action</w:t>
      </w:r>
      <w:r>
        <w:t xml:space="preserve"> </w:t>
      </w:r>
      <w:r>
        <w:t xml:space="preserve">Given the need to act and the nature and extent of the problem set out in chapter 2, an EU approach</w:t>
      </w:r>
      <w:r>
        <w:t xml:space="preserve"> </w:t>
      </w:r>
      <w:r>
        <w:t xml:space="preserve">to tax transparency on crypto-assets appears to be the best solution in order to avoid a patchwork</w:t>
      </w:r>
      <w:r>
        <w:t xml:space="preserve"> </w:t>
      </w:r>
      <w:r>
        <w:t xml:space="preserve">of reporting requirements unilaterally implemented by some or all Member States. The information</w:t>
      </w:r>
      <w:r>
        <w:t xml:space="preserve"> </w:t>
      </w:r>
      <w:r>
        <w:t xml:space="preserve">needs to reach the Member State where the income and revenues are due to be taxed. Still, it is</w:t>
      </w:r>
      <w:r>
        <w:t xml:space="preserve"> </w:t>
      </w:r>
      <w:r>
        <w:t xml:space="preserve">often likely to be held by intermediaries located in another Member State or even in third countries.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Since the scope of a new reporting framework should define the (i) type of CASPs in scope, (ii)</w:t>
      </w:r>
      <w:r>
        <w:t xml:space="preserve"> </w:t>
      </w:r>
      <w:r>
        <w:t xml:space="preserve">the crypto-asset users in scope, (iii) content of the information and (iv) timing of collection of the</w:t>
      </w:r>
      <w:r>
        <w:t xml:space="preserve"> </w:t>
      </w:r>
      <w:r>
        <w:t xml:space="preserve">data, a coherent and comprehensive solution at EU level would result in a relatively lower</w:t>
      </w:r>
      <w:r>
        <w:t xml:space="preserve"> </w:t>
      </w:r>
      <w:r>
        <w:t xml:space="preserve">administrative burden for both tax administrations, reporters and taxpayers. Furthermore, to ensure</w:t>
      </w:r>
      <w:r>
        <w:t xml:space="preserve"> </w:t>
      </w:r>
      <w:r>
        <w:t xml:space="preserve">coherence, to reduce administrative burden for reporting entities and administrations and in order</w:t>
      </w:r>
      <w:r>
        <w:t xml:space="preserve"> </w:t>
      </w:r>
      <w:r>
        <w:t xml:space="preserve">to close potential loopholes considering the volatile nature of the assets in question it appears</w:t>
      </w:r>
      <w:r>
        <w:t xml:space="preserve"> </w:t>
      </w:r>
      <w:r>
        <w:t xml:space="preserve">justified to also include domestic CASPs and users in the scope.</w:t>
      </w:r>
      <w:r>
        <w:t xml:space="preserve"> </w:t>
      </w:r>
      <w:r>
        <w:t xml:space="preserve">Given the developments at the international level, in particular work led by the OECD, some form</w:t>
      </w:r>
      <w:r>
        <w:t xml:space="preserve"> </w:t>
      </w:r>
      <w:r>
        <w:t xml:space="preserve">of regulation is likely to be introduced by Member States at a certain stage. The fact that today</w:t>
      </w:r>
      <w:r>
        <w:t xml:space="preserve"> </w:t>
      </w:r>
      <w:r>
        <w:t xml:space="preserve">there might be a lack of regulation in certain Member States does not imply that an EU initiative</w:t>
      </w:r>
      <w:r>
        <w:t xml:space="preserve"> </w:t>
      </w:r>
      <w:r>
        <w:t xml:space="preserve">would cause disproportionate burden for administrations or reporting entities. Quite the contrary,</w:t>
      </w:r>
      <w:r>
        <w:t xml:space="preserve"> </w:t>
      </w:r>
      <w:r>
        <w:t xml:space="preserve">the introduction of new EU provisions and procedures is expected to be less burdensome overall</w:t>
      </w:r>
      <w:r>
        <w:t xml:space="preserve"> </w:t>
      </w:r>
      <w:r>
        <w:t xml:space="preserve">than the introduction of 27 different frameworks.</w:t>
      </w:r>
    </w:p>
    <w:p>
      <w:pPr>
        <w:pStyle w:val="BodyText"/>
      </w:pPr>
      <w:r>
        <w:t xml:space="preserve">The added value of EU action is broadly confirmed in the public consultation where the vast</w:t>
      </w:r>
      <w:r>
        <w:t xml:space="preserve"> </w:t>
      </w:r>
      <w:r>
        <w:t xml:space="preserve">majority of respondents from different categories and sizes stated that CASPs should have the</w:t>
      </w:r>
      <w:r>
        <w:t xml:space="preserve"> </w:t>
      </w:r>
      <w:r>
        <w:t xml:space="preserve">same reporting obligations for tax purposes throughout the EU in terms of laying down a single</w:t>
      </w:r>
      <w:r>
        <w:t xml:space="preserve"> </w:t>
      </w:r>
      <w:r>
        <w:t xml:space="preserve">set of rules.</w:t>
      </w:r>
    </w:p>
    <w:p>
      <w:pPr>
        <w:pStyle w:val="BodyText"/>
      </w:pPr>
      <w:r>
        <w:t xml:space="preserve">19</w:t>
      </w:r>
    </w:p>
    <w:p>
      <w:pPr>
        <w:pStyle w:val="Compact"/>
        <w:numPr>
          <w:ilvl w:val="0"/>
          <w:numId w:val="1003"/>
        </w:numPr>
      </w:pPr>
      <w:r>
        <w:t xml:space="preserve">OBJECTIVES: WHAT IS TO BE ACHIEVED?</w:t>
      </w:r>
      <w:r>
        <w:br/>
      </w:r>
      <w:r>
        <w:t xml:space="preserve">4.1 General objectives</w:t>
      </w:r>
      <w:r>
        <w:br/>
      </w:r>
      <w:r>
        <w:t xml:space="preserve">The general objective is to ensure a fair and efficient functioning of the Internal Market where</w:t>
      </w:r>
      <w:r>
        <w:t xml:space="preserve"> </w:t>
      </w:r>
      <w:r>
        <w:t xml:space="preserve">all taxpayers pay their fair share of taxes.</w:t>
      </w:r>
      <w:r>
        <w:br/>
      </w:r>
      <w:r>
        <w:t xml:space="preserve">In general, it can be observed that tax authorities characterise the crypto-assets market as a tax</w:t>
      </w:r>
      <w:r>
        <w:t xml:space="preserve"> </w:t>
      </w:r>
      <w:r>
        <w:t xml:space="preserve">opaque market. This initiative will increase the transparency of the crypto-asset market by</w:t>
      </w:r>
      <w:r>
        <w:t xml:space="preserve"> </w:t>
      </w:r>
      <w:r>
        <w:t xml:space="preserve">providing tax administrations with information that can reduce tax fraud, evasion and avoidance</w:t>
      </w:r>
      <w:r>
        <w:t xml:space="preserve"> </w:t>
      </w:r>
      <w:r>
        <w:t xml:space="preserve">and better ensure a level playing field with the more traditional financial markets.</w:t>
      </w:r>
      <w:r>
        <w:t xml:space="preserve"> </w:t>
      </w:r>
      <w:r>
        <w:t xml:space="preserve">The crypto-asset market continues to increase in popularity. This new market brings with it</w:t>
      </w:r>
      <w:r>
        <w:t xml:space="preserve"> </w:t>
      </w:r>
      <w:r>
        <w:t xml:space="preserve">benefits but also challenges, particularly when it comes to taxation and the risk of non-compliance</w:t>
      </w:r>
      <w:r>
        <w:t xml:space="preserve"> </w:t>
      </w:r>
      <w:r>
        <w:t xml:space="preserve">with tax obligations.</w:t>
      </w:r>
      <w:r>
        <w:br/>
      </w:r>
      <w:r>
        <w:t xml:space="preserve">The crypto-asset market is an international market where users worldwide invest through different</w:t>
      </w:r>
      <w:r>
        <w:t xml:space="preserve"> </w:t>
      </w:r>
      <w:r>
        <w:t xml:space="preserve">CASPs established in or outside the European Union. Its international nature leads to cross-border</w:t>
      </w:r>
      <w:r>
        <w:t xml:space="preserve"> </w:t>
      </w:r>
      <w:r>
        <w:t xml:space="preserve">transactions, which makes it difficult for tax administrations to access tax-relevant information</w:t>
      </w:r>
      <w:r>
        <w:t xml:space="preserve"> </w:t>
      </w:r>
      <w:r>
        <w:t xml:space="preserve">without an exchange of information.</w:t>
      </w:r>
      <w:r>
        <w:br/>
      </w:r>
      <w:r>
        <w:t xml:space="preserve">Extending and clarifying the reporting obligations concerning the creation, transactions and</w:t>
      </w:r>
      <w:r>
        <w:t xml:space="preserve"> </w:t>
      </w:r>
      <w:r>
        <w:t xml:space="preserve">holdings of crypto-assets will provide legal certainty and increased transparency for the crypto-</w:t>
      </w:r>
      <w:r>
        <w:t xml:space="preserve"> </w:t>
      </w:r>
      <w:r>
        <w:t xml:space="preserve">assets market, in a manner that enables tax administrations to reduce tax evasion, avoidance and</w:t>
      </w:r>
      <w:r>
        <w:t xml:space="preserve"> </w:t>
      </w:r>
      <w:r>
        <w:t xml:space="preserve">fraud. This initiative therefore also aims at safeguarding Member States’ revenues.</w:t>
      </w:r>
      <w:r>
        <w:t xml:space="preserve"> </w:t>
      </w:r>
      <w:r>
        <w:t xml:space="preserve">This initiative should therefore benefit national treasuries and tax administrations. At the same</w:t>
      </w:r>
      <w:r>
        <w:t xml:space="preserve"> </w:t>
      </w:r>
      <w:r>
        <w:t xml:space="preserve">time, users and service providers will benefit from such an initiative because of the harmonised</w:t>
      </w:r>
      <w:r>
        <w:t xml:space="preserve"> </w:t>
      </w:r>
      <w:r>
        <w:t xml:space="preserve">reporting framework across the EU. This will avoid a situation where individual Member States</w:t>
      </w:r>
      <w:r>
        <w:t xml:space="preserve"> </w:t>
      </w:r>
      <w:r>
        <w:t xml:space="preserve">put in place national reporting frameworks, which may differ from jurisdiction to jurisdiction and</w:t>
      </w:r>
      <w:r>
        <w:t xml:space="preserve"> </w:t>
      </w:r>
      <w:r>
        <w:t xml:space="preserve">would make it hard and more burdensome for service providers to comply. This element is one</w:t>
      </w:r>
      <w:r>
        <w:t xml:space="preserve"> </w:t>
      </w:r>
      <w:r>
        <w:t xml:space="preserve">that applied equally to previous DAC amendments.</w:t>
      </w:r>
      <w:r>
        <w:t xml:space="preserve"> </w:t>
      </w:r>
      <w:r>
        <w:t xml:space="preserve">This proposal intends to set a reporting framework regarding crypto-assets exchanges. The</w:t>
      </w:r>
      <w:r>
        <w:t xml:space="preserve"> </w:t>
      </w:r>
      <w:r>
        <w:t xml:space="preserve">proposal does not regulate how Member States tax the users’ capital gains, the holdings or any</w:t>
      </w:r>
      <w:r>
        <w:t xml:space="preserve"> </w:t>
      </w:r>
      <w:r>
        <w:t xml:space="preserve">other direct or indirect tax related to crypto-assets.</w:t>
      </w:r>
      <w:r>
        <w:t xml:space="preserve"> </w:t>
      </w:r>
      <w:r>
        <w:t xml:space="preserve">A CASP may be established in a jurisdiction that is not currently taxing any income derived from</w:t>
      </w:r>
      <w:r>
        <w:t xml:space="preserve"> </w:t>
      </w:r>
      <w:r>
        <w:t xml:space="preserve">crypto-asset transactions, but its users might be tax resident in a different jurisdiction that taxes</w:t>
      </w:r>
      <w:r>
        <w:t xml:space="preserve"> </w:t>
      </w:r>
      <w:r>
        <w:t xml:space="preserve">income derived from crypto-assets transactions.</w:t>
      </w:r>
      <w:r>
        <w:br/>
      </w:r>
      <w:r>
        <w:t xml:space="preserve">4.2 Specific objectives</w:t>
      </w:r>
      <w:r>
        <w:t xml:space="preserve"> </w:t>
      </w:r>
      <w:r>
        <w:t xml:space="preserve">Specific objectives are to enhance the relevant information available to tax administrations to</w:t>
      </w:r>
      <w:r>
        <w:t xml:space="preserve"> </w:t>
      </w:r>
      <w:r>
        <w:t xml:space="preserve">perform their duties more effectively and to reinforce the general compliance with the provisions</w:t>
      </w:r>
      <w:r>
        <w:t xml:space="preserve"> </w:t>
      </w:r>
      <w:r>
        <w:t xml:space="preserve">of the DAC. This would allow tax administrations to monitor the risk of non-compliance with tax</w:t>
      </w:r>
    </w:p>
    <w:p>
      <w:pPr>
        <w:pStyle w:val="FirstParagraph"/>
      </w:pPr>
      <w:r>
        <w:t xml:space="preserve">20</w:t>
      </w:r>
    </w:p>
    <w:p>
      <w:pPr>
        <w:pStyle w:val="BodyText"/>
      </w:pPr>
      <w:r>
        <w:t xml:space="preserve">rules and ensure proper tax collection. More specifically, the initiative will improve the ability</w:t>
      </w:r>
      <w:r>
        <w:t xml:space="preserve"> </w:t>
      </w:r>
      <w:r>
        <w:t xml:space="preserve">of Member States to detect and counter tax fraud, evasion and avoidance.</w:t>
      </w:r>
      <w:r>
        <w:br/>
      </w:r>
      <w:r>
        <w:t xml:space="preserve">The initiative would require CASPs to report relevant information to tax administrations across</w:t>
      </w:r>
      <w:r>
        <w:t xml:space="preserve"> </w:t>
      </w:r>
      <w:r>
        <w:t xml:space="preserve">the EU thereby ensuring a level playing field across the Union.</w:t>
      </w:r>
      <w:r>
        <w:br/>
      </w:r>
      <w:r>
        <w:t xml:space="preserve">Tax authorities’ tasks to ensure the correctness of tax returns and to counter tax fraud, evasion and</w:t>
      </w:r>
      <w:r>
        <w:t xml:space="preserve"> </w:t>
      </w:r>
      <w:r>
        <w:t xml:space="preserve">avoidance relies upon good quality and relevant information. If tax officers have the information</w:t>
      </w:r>
      <w:r>
        <w:t xml:space="preserve"> </w:t>
      </w:r>
      <w:r>
        <w:t xml:space="preserve">they need, at the right time, to check that crypto-asset users declare what they obtained, it will be</w:t>
      </w:r>
      <w:r>
        <w:t xml:space="preserve"> </w:t>
      </w:r>
      <w:r>
        <w:t xml:space="preserve">possible for them to better assess the tax due and ensure that tax is paid.</w:t>
      </w:r>
      <w:r>
        <w:br/>
      </w:r>
      <w:r>
        <w:t xml:space="preserve">In addition to the ability to actively detect and counter tax fraud, evasion and avoidance, this</w:t>
      </w:r>
      <w:r>
        <w:t xml:space="preserve"> </w:t>
      </w:r>
      <w:r>
        <w:t xml:space="preserve">initiative, once adopted, would also have deterrent effects. There is evidence that taxpayers are</w:t>
      </w:r>
      <w:r>
        <w:t xml:space="preserve"> </w:t>
      </w:r>
      <w:r>
        <w:t xml:space="preserve">aware of a higher probability of being caught for avoiding and evading taxes20 with automatic</w:t>
      </w:r>
      <w:r>
        <w:t xml:space="preserve"> </w:t>
      </w:r>
      <w:r>
        <w:t xml:space="preserve">exchange of information measures in place. Automatic exchange of information is a most effective</w:t>
      </w:r>
      <w:r>
        <w:t xml:space="preserve"> </w:t>
      </w:r>
      <w:r>
        <w:t xml:space="preserve">tool to foster voluntary compliance.21 In other words, by increasing the probability of detecting</w:t>
      </w:r>
      <w:r>
        <w:t xml:space="preserve"> </w:t>
      </w:r>
      <w:r>
        <w:t xml:space="preserve">non-compliance, the initiative is expected to provide an incentive to declare and pay taxes owed.</w:t>
      </w:r>
      <w:r>
        <w:t xml:space="preserve"> </w:t>
      </w:r>
      <w:r>
        <w:t xml:space="preserve">The monitoring of the implementation and the effects of the initiative will be carried out through</w:t>
      </w:r>
      <w:r>
        <w:t xml:space="preserve"> </w:t>
      </w:r>
      <w:r>
        <w:t xml:space="preserve">yearly assessments where Member States provide quantitative and qualitative information to the</w:t>
      </w:r>
      <w:r>
        <w:t xml:space="preserve"> </w:t>
      </w:r>
      <w:r>
        <w:t xml:space="preserve">Commission, including references to key performance indicators.</w:t>
      </w:r>
    </w:p>
    <w:p>
      <w:pPr>
        <w:pStyle w:val="BodyText"/>
      </w:pPr>
      <w:r>
        <w:t xml:space="preserve">20 Shaw, J., Slemrod, J., &amp; Whiting, J. (2010). Administration and compliance. Dimensions of Tax Design. The Mirrlees Review. Oxford University</w:t>
      </w:r>
      <w:r>
        <w:t xml:space="preserve"> </w:t>
      </w:r>
      <w:r>
        <w:t xml:space="preserve">Press, chapter 12, p. 1126.</w:t>
      </w:r>
      <w:r>
        <w:t xml:space="preserve"> </w:t>
      </w:r>
      <w:r>
        <w:t xml:space="preserve">21 Beer, S, Coelho, M. and Leduc, S. (2019) Hidden Treasures: the impact of automatic exchange of information on cross-border tax evasion, IMF</w:t>
      </w:r>
      <w:r>
        <w:t xml:space="preserve"> </w:t>
      </w:r>
      <w:r>
        <w:t xml:space="preserve">working paper, WP/19/286.</w:t>
      </w:r>
    </w:p>
    <w:p>
      <w:pPr>
        <w:pStyle w:val="BodyText"/>
      </w:pPr>
      <w:r>
        <w:t xml:space="preserve">21</w:t>
      </w:r>
    </w:p>
    <w:p>
      <w:pPr>
        <w:pStyle w:val="Compact"/>
        <w:numPr>
          <w:ilvl w:val="0"/>
          <w:numId w:val="1004"/>
        </w:numPr>
      </w:pPr>
      <w:r>
        <w:t xml:space="preserve">WHAT ARE THE AVAILABLE POLICY OPTIONS?</w:t>
      </w:r>
      <w:r>
        <w:br/>
      </w:r>
      <w:r>
        <w:t xml:space="preserve">The starting point is the baseline scenario, against which various options are assessed. This chapter</w:t>
      </w:r>
      <w:r>
        <w:t xml:space="preserve"> </w:t>
      </w:r>
      <w:r>
        <w:t xml:space="preserve">describes the options identified.</w:t>
      </w:r>
      <w:r>
        <w:br/>
      </w:r>
      <w:r>
        <w:t xml:space="preserve">The baseline scenario is based on the assumption that the EU level would not act and would leave</w:t>
      </w:r>
      <w:r>
        <w:t xml:space="preserve"> </w:t>
      </w:r>
      <w:r>
        <w:t xml:space="preserve">any potential action or non-action to the Member States.</w:t>
      </w:r>
      <w:r>
        <w:t xml:space="preserve"> </w:t>
      </w:r>
      <w:r>
        <w:t xml:space="preserve">A soft-law approach would establish some requirements for Member States to act but would not</w:t>
      </w:r>
      <w:r>
        <w:t xml:space="preserve"> </w:t>
      </w:r>
      <w:r>
        <w:t xml:space="preserve">be legally binding, thereby providing them with some leeway to design an appropriate solution for</w:t>
      </w:r>
      <w:r>
        <w:t xml:space="preserve"> </w:t>
      </w:r>
      <w:r>
        <w:t xml:space="preserve">the existing problem.</w:t>
      </w:r>
      <w:r>
        <w:br/>
      </w:r>
      <w:r>
        <w:t xml:space="preserve">A legislative option would imply a legally binding framework to encompass reporting by CASPs</w:t>
      </w:r>
      <w:r>
        <w:t xml:space="preserve"> </w:t>
      </w:r>
      <w:r>
        <w:t xml:space="preserve">and the relevant exchange of information. Concerning the expansion of the scope of DAC to</w:t>
      </w:r>
      <w:r>
        <w:t xml:space="preserve"> </w:t>
      </w:r>
      <w:r>
        <w:t xml:space="preserve">crypto-assets, the EU would intervene to regulate the adoption of reporting and exchange of</w:t>
      </w:r>
      <w:r>
        <w:t xml:space="preserve"> </w:t>
      </w:r>
      <w:r>
        <w:t xml:space="preserve">information obligations, building on the work of the OECD and existing EU proposals.22 In the</w:t>
      </w:r>
      <w:r>
        <w:t xml:space="preserve"> </w:t>
      </w:r>
      <w:r>
        <w:t xml:space="preserve">broad lines, CASPs would be subject to reporting obligations under the DAC, and would therefore</w:t>
      </w:r>
      <w:r>
        <w:t xml:space="preserve"> </w:t>
      </w:r>
      <w:r>
        <w:t xml:space="preserve">be required to collect information on users and report such information to the tax authority. Tax</w:t>
      </w:r>
      <w:r>
        <w:t xml:space="preserve"> </w:t>
      </w:r>
      <w:r>
        <w:t xml:space="preserve">authorities would then be required to exchange this information with the relevant other Member</w:t>
      </w:r>
      <w:r>
        <w:t xml:space="preserve"> </w:t>
      </w:r>
      <w:r>
        <w:t xml:space="preserve">State(s).</w:t>
      </w:r>
      <w:r>
        <w:t xml:space="preserve"> </w:t>
      </w:r>
      <w:r>
        <w:t xml:space="preserve">In practice, the obligations that would fall on CASPs under the DAC would be largely equivalent</w:t>
      </w:r>
      <w:r>
        <w:t xml:space="preserve"> </w:t>
      </w:r>
      <w:r>
        <w:t xml:space="preserve">to the ones already imposed on reporting subjects under DAC, such as financial institutions under</w:t>
      </w:r>
      <w:r>
        <w:t xml:space="preserve"> </w:t>
      </w:r>
      <w:r>
        <w:t xml:space="preserve">DAC2 or digital platform operators under DAC7. Those obligations would mainly consist of</w:t>
      </w:r>
      <w:r>
        <w:t xml:space="preserve"> </w:t>
      </w:r>
      <w:r>
        <w:t xml:space="preserve">collecting and verifying relevant data to identify taxpayers and their respective Member State of</w:t>
      </w:r>
      <w:r>
        <w:t xml:space="preserve"> </w:t>
      </w:r>
      <w:r>
        <w:t xml:space="preserve">residence and reporting information relative to the proceeds and holding of crypto-assets.</w:t>
      </w:r>
      <w:r>
        <w:br/>
      </w:r>
      <w:r>
        <w:t xml:space="preserve">Figure 3. Overview of Reporting and Exchange Mechanism</w:t>
      </w:r>
    </w:p>
    <w:p>
      <w:pPr>
        <w:pStyle w:val="FirstParagraph"/>
      </w:pPr>
      <w:r>
        <w:t xml:space="preserve">The design of the legislative options is influenced by the following building blocks:</w:t>
      </w:r>
    </w:p>
    <w:p>
      <w:pPr>
        <w:pStyle w:val="Compact"/>
        <w:numPr>
          <w:ilvl w:val="0"/>
          <w:numId w:val="1005"/>
        </w:numPr>
      </w:pPr>
      <w:r>
        <w:t xml:space="preserve">Which crypto-assets are in scope?</w:t>
      </w:r>
      <w:r>
        <w:br/>
      </w:r>
      <w:r>
        <w:t xml:space="preserve">Crypto-asset definitions commonly refer to digital or virtual assets based on distributed ledger</w:t>
      </w:r>
      <w:r>
        <w:t xml:space="preserve"> </w:t>
      </w:r>
      <w:r>
        <w:t xml:space="preserve">technology (DLT) and cryptography as part of their perceived or inherent value. Additionally,</w:t>
      </w:r>
      <w:r>
        <w:t xml:space="preserve"> </w:t>
      </w:r>
      <w:r>
        <w:t xml:space="preserve">these assets can be held and transferred in a decentralised manner without the intervention of</w:t>
      </w:r>
    </w:p>
    <w:p>
      <w:pPr>
        <w:pStyle w:val="FirstParagraph"/>
      </w:pPr>
      <w:r>
        <w:t xml:space="preserve">22 MiCA and AML package.</w:t>
      </w:r>
      <w:r>
        <w:t xml:space="preserve"> </w:t>
      </w:r>
      <w:r>
        <w:t xml:space="preserve">CASPs in MS A</w:t>
      </w:r>
      <w:r>
        <w:t xml:space="preserve"> </w:t>
      </w:r>
      <w:r>
        <w:t xml:space="preserve">• collects information on</w:t>
      </w:r>
      <w:r>
        <w:t xml:space="preserve"> </w:t>
      </w:r>
      <w:r>
        <w:t xml:space="preserve">revenues/gains made by</w:t>
      </w:r>
      <w:r>
        <w:t xml:space="preserve"> </w:t>
      </w:r>
      <w:r>
        <w:t xml:space="preserve">users</w:t>
      </w:r>
      <w:r>
        <w:t xml:space="preserve"> </w:t>
      </w:r>
      <w:r>
        <w:t xml:space="preserve">• sends it to MS A’s tax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MS A</w:t>
      </w:r>
      <w:r>
        <w:t xml:space="preserve"> </w:t>
      </w:r>
      <w:r>
        <w:t xml:space="preserve">• sorts information per MS</w:t>
      </w:r>
      <w:r>
        <w:t xml:space="preserve"> </w:t>
      </w:r>
      <w:r>
        <w:t xml:space="preserve">of residence</w:t>
      </w:r>
      <w:r>
        <w:t xml:space="preserve"> </w:t>
      </w:r>
      <w:r>
        <w:t xml:space="preserve">• sends it to MS where user</w:t>
      </w:r>
      <w:r>
        <w:t xml:space="preserve"> </w:t>
      </w:r>
      <w:r>
        <w:t xml:space="preserve">is tax resident</w:t>
      </w:r>
      <w:r>
        <w:t xml:space="preserve"> </w:t>
      </w:r>
      <w:r>
        <w:t xml:space="preserve">User’s MS of residence</w:t>
      </w:r>
      <w:r>
        <w:t xml:space="preserve"> </w:t>
      </w:r>
      <w:r>
        <w:t xml:space="preserve">• receives the information</w:t>
      </w:r>
      <w:r>
        <w:t xml:space="preserve"> </w:t>
      </w:r>
      <w:r>
        <w:t xml:space="preserve">• risk analysis</w:t>
      </w:r>
      <w:r>
        <w:t xml:space="preserve"> </w:t>
      </w:r>
      <w:r>
        <w:t xml:space="preserve">• compliance activities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traditional financial intermediaries. These two key elements distinguish crypto-assets from</w:t>
      </w:r>
      <w:r>
        <w:t xml:space="preserve"> </w:t>
      </w:r>
      <w:r>
        <w:t xml:space="preserve">traditional financial assets already covered under DAC2.</w:t>
      </w:r>
      <w:r>
        <w:br/>
      </w:r>
      <w:r>
        <w:t xml:space="preserve">The proposal for a Regulation on MiCA defines crypto-assets as “a digital representation of value</w:t>
      </w:r>
      <w:r>
        <w:t xml:space="preserve"> </w:t>
      </w:r>
      <w:r>
        <w:t xml:space="preserve">or rights which may be transferred and stored electronically, using distributed ledger technology</w:t>
      </w:r>
      <w:r>
        <w:t xml:space="preserve"> </w:t>
      </w:r>
      <w:r>
        <w:t xml:space="preserve">or similar technology.”23</w:t>
      </w:r>
      <w:r>
        <w:br/>
      </w:r>
      <w:r>
        <w:t xml:space="preserve">The group of crypto-assets covered by the scope of the initiative is to a great extent similar to that</w:t>
      </w:r>
      <w:r>
        <w:t xml:space="preserve"> </w:t>
      </w:r>
      <w:r>
        <w:t xml:space="preserve">of the proposal for the Markets in Crypto-Assets (MiCA) Regulation. The general definition used</w:t>
      </w:r>
      <w:r>
        <w:t xml:space="preserve"> </w:t>
      </w:r>
      <w:r>
        <w:t xml:space="preserve">is the same and includes payment tokens, asset-referenced tokens and e-money tokens defined as</w:t>
      </w:r>
      <w:r>
        <w:t xml:space="preserve"> </w:t>
      </w:r>
      <w:r>
        <w:t xml:space="preserve">follows:</w:t>
      </w:r>
      <w:r>
        <w:t xml:space="preserve"> </w:t>
      </w:r>
      <w:r>
        <w:t xml:space="preserve"> The most well-known crypto-assets covered by the suggested definition, such as Bitcoin</w:t>
      </w:r>
      <w:r>
        <w:t xml:space="preserve"> </w:t>
      </w:r>
      <w:r>
        <w:t xml:space="preserve">or Ethereum and Litecoin, are designed to serve as a general purpose store of value,</w:t>
      </w:r>
      <w:r>
        <w:t xml:space="preserve"> </w:t>
      </w:r>
      <w:r>
        <w:t xml:space="preserve">medium of exchange or means of payment, and/or unit of account. They are sometimes</w:t>
      </w:r>
      <w:r>
        <w:t xml:space="preserve"> </w:t>
      </w:r>
      <w:r>
        <w:t xml:space="preserve">referred to as “crypto currencies” or “payment tokens”.</w:t>
      </w:r>
      <w:r>
        <w:br/>
      </w:r>
      <w:r>
        <w:t xml:space="preserve"> “Asset-referenced tokens” aim to maintain a stable value by referencing several currencies</w:t>
      </w:r>
      <w:r>
        <w:t xml:space="preserve"> </w:t>
      </w:r>
      <w:r>
        <w:t xml:space="preserve">that are legal tender, one or several commodities, one or several crypto-assets, or a basket</w:t>
      </w:r>
      <w:r>
        <w:t xml:space="preserve"> </w:t>
      </w:r>
      <w:r>
        <w:t xml:space="preserve">of such assets and subsequently act as a means of payment to buy goods and services and</w:t>
      </w:r>
      <w:r>
        <w:t xml:space="preserve"> </w:t>
      </w:r>
      <w:r>
        <w:t xml:space="preserve">as a store of value. It is suggested to report and exchange information on these crypto-</w:t>
      </w:r>
      <w:r>
        <w:t xml:space="preserve"> </w:t>
      </w:r>
      <w:r>
        <w:t xml:space="preserve">assets under the new regime for crypto-assets. Examples are LAToken, Salt and Tether.</w:t>
      </w:r>
      <w:r>
        <w:t xml:space="preserve"> </w:t>
      </w:r>
      <w:r>
        <w:t xml:space="preserve">Asset-reference tokens together with e-money tokens make up what is called “stablecoins”.</w:t>
      </w:r>
      <w:r>
        <w:t xml:space="preserve"> </w:t>
      </w:r>
      <w:r>
        <w:t xml:space="preserve"> “E-money tokens” are crypto-assets with a stable value based on only one fiat currency</w:t>
      </w:r>
      <w:r>
        <w:t xml:space="preserve"> </w:t>
      </w:r>
      <w:r>
        <w:t xml:space="preserve">that aims to function in a similar way to electronic money. However, different from e-</w:t>
      </w:r>
      <w:r>
        <w:t xml:space="preserve"> </w:t>
      </w:r>
      <w:r>
        <w:t xml:space="preserve">money, e-money tokens referencing one fiat currency which is legal tender do not provide</w:t>
      </w:r>
      <w:r>
        <w:t xml:space="preserve"> </w:t>
      </w:r>
      <w:r>
        <w:t xml:space="preserve">their holders with a claim on the issuers of such assets.</w:t>
      </w:r>
      <w:r>
        <w:br/>
      </w:r>
      <w:r>
        <w:t xml:space="preserve"> “Central bank digital currencies” refers to digital currencies representing a claim on an</w:t>
      </w:r>
      <w:r>
        <w:t xml:space="preserve"> </w:t>
      </w:r>
      <w:r>
        <w:t xml:space="preserve">issuing Central Bank.</w:t>
      </w:r>
      <w:r>
        <w:br/>
      </w:r>
      <w:r>
        <w:t xml:space="preserve"> Equity tokens are digital tokens or</w:t>
      </w:r>
      <w:r>
        <w:t xml:space="preserve"> </w:t>
      </w:r>
      <w:r>
        <w:t xml:space="preserve">“coins”</w:t>
      </w:r>
      <w:r>
        <w:t xml:space="preserve"> </w:t>
      </w:r>
      <w:r>
        <w:t xml:space="preserve">that represent equity shares in a corporation or</w:t>
      </w:r>
      <w:r>
        <w:t xml:space="preserve"> </w:t>
      </w:r>
      <w:r>
        <w:t xml:space="preserve">organization. Debt tokens are tokenized assets that represent debt instruments such as real</w:t>
      </w:r>
      <w:r>
        <w:t xml:space="preserve"> </w:t>
      </w:r>
      <w:r>
        <w:t xml:space="preserve">estate mortgages or corporate bonds.</w:t>
      </w:r>
      <w:r>
        <w:t xml:space="preserve"> </w:t>
      </w:r>
      <w:r>
        <w:t xml:space="preserve"> Non-fungible tokens: A non-fungible token (NFT) is a unique and non-interchangeable</w:t>
      </w:r>
      <w:r>
        <w:t xml:space="preserve"> </w:t>
      </w:r>
      <w:r>
        <w:t xml:space="preserve">unit of data stored on a digital ledger (blockchain). NFTs can be associated with</w:t>
      </w:r>
      <w:r>
        <w:t xml:space="preserve"> </w:t>
      </w:r>
      <w:r>
        <w:t xml:space="preserve">reproducible digital files such as photos, videos, and audio. NFTs use a digital ledger to</w:t>
      </w:r>
      <w:r>
        <w:t xml:space="preserve"> </w:t>
      </w:r>
      <w:r>
        <w:t xml:space="preserve">provide a public certificate of authenticity or proof of ownership, but it does not restrict the</w:t>
      </w:r>
      <w:r>
        <w:t xml:space="preserve"> </w:t>
      </w:r>
      <w:r>
        <w:t xml:space="preserve">sharing or copying of the underlying digital file. The lack of interchangeability (fungibility)</w:t>
      </w:r>
      <w:r>
        <w:t xml:space="preserve"> </w:t>
      </w:r>
      <w:r>
        <w:t xml:space="preserve">distinguishes NFTs from blockchain cryptocurrencies, such as Bitcoin.</w:t>
      </w:r>
    </w:p>
    <w:p>
      <w:pPr>
        <w:pStyle w:val="BodyText"/>
      </w:pPr>
      <w:r>
        <w:t xml:space="preserve">Two types of assets would not be reported under the crypto-asset reporting obligation framework,</w:t>
      </w:r>
      <w:r>
        <w:t xml:space="preserve"> </w:t>
      </w:r>
      <w:r>
        <w:t xml:space="preserve">given their features:</w:t>
      </w:r>
    </w:p>
    <w:p>
      <w:pPr>
        <w:pStyle w:val="BodyText"/>
      </w:pPr>
      <w:r>
        <w:t xml:space="preserve">23 Article 3.1(2) of the proposed Regulation on MICA.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o “Utility tokens” are intended to provide digital access to a good or service, available</w:t>
      </w:r>
      <w:r>
        <w:t xml:space="preserve"> </w:t>
      </w:r>
      <w:r>
        <w:t xml:space="preserve">on DLT, and are only accepted by the issuer of that token.24 Utility tokens are issued</w:t>
      </w:r>
      <w:r>
        <w:t xml:space="preserve"> </w:t>
      </w:r>
      <w:r>
        <w:t xml:space="preserve">with non-financial purposes to digitally provide access to an application, services</w:t>
      </w:r>
      <w:r>
        <w:t xml:space="preserve"> </w:t>
      </w:r>
      <w:r>
        <w:t xml:space="preserve">or resources available on distributed ledger networks. Due to the absence of</w:t>
      </w:r>
      <w:r>
        <w:t xml:space="preserve"> </w:t>
      </w:r>
      <w:r>
        <w:t xml:space="preserve">financial purposes these assets are rarely relevant for tax purposes. A start-up can</w:t>
      </w:r>
      <w:r>
        <w:t xml:space="preserve"> </w:t>
      </w:r>
      <w:r>
        <w:t xml:space="preserve">create utility tokens for access to the services or products it is developing. Filecoin</w:t>
      </w:r>
      <w:r>
        <w:t xml:space="preserve"> </w:t>
      </w:r>
      <w:r>
        <w:t xml:space="preserve">(FIL) is an example of a utility token. FIL holders gain access to the platform’s</w:t>
      </w:r>
      <w:r>
        <w:t xml:space="preserve"> </w:t>
      </w:r>
      <w:r>
        <w:t xml:space="preserve">decentralized cloud storage services.</w:t>
      </w:r>
      <w:r>
        <w:t xml:space="preserve"> </w:t>
      </w:r>
      <w:r>
        <w:t xml:space="preserve">o “Non-marketable crypto-assets” are not traded in a publicly available market or do</w:t>
      </w:r>
      <w:r>
        <w:t xml:space="preserve"> </w:t>
      </w:r>
      <w:r>
        <w:t xml:space="preserve">not require intervention by a CASP. These assets are not covered by the initiative</w:t>
      </w:r>
      <w:r>
        <w:t xml:space="preserve"> </w:t>
      </w:r>
      <w:r>
        <w:t xml:space="preserve">due to the fact that they are not usually subject to trading. An example is Sorare, a</w:t>
      </w:r>
      <w:r>
        <w:t xml:space="preserve"> </w:t>
      </w:r>
      <w:r>
        <w:t xml:space="preserve">fantasy football trading card game, where users can exchange the cards of real</w:t>
      </w:r>
      <w:r>
        <w:t xml:space="preserve"> </w:t>
      </w:r>
      <w:r>
        <w:t xml:space="preserve">players and manage their team to win prizes every week. The cards are all non-</w:t>
      </w:r>
      <w:r>
        <w:t xml:space="preserve"> </w:t>
      </w:r>
      <w:r>
        <w:t xml:space="preserve">marketable and are stored on blockchain.</w:t>
      </w:r>
    </w:p>
    <w:p>
      <w:pPr>
        <w:pStyle w:val="BodyText"/>
      </w:pPr>
      <w:r>
        <w:t xml:space="preserve">CRYPTO-ASSETS TAXONOMY</w:t>
      </w:r>
      <w:r>
        <w:t xml:space="preserve"> </w:t>
      </w:r>
      <w:r>
        <w:t xml:space="preserve">New Crypto-assets reporting framework</w:t>
      </w:r>
      <w:r>
        <w:t xml:space="preserve"> </w:t>
      </w:r>
      <w:r>
        <w:t xml:space="preserve">(CARF)</w:t>
      </w:r>
      <w:r>
        <w:t xml:space="preserve"> </w:t>
      </w:r>
      <w:r>
        <w:t xml:space="preserve">DAC2</w:t>
      </w:r>
      <w:r>
        <w:t xml:space="preserve"> </w:t>
      </w:r>
      <w:r>
        <w:t xml:space="preserve">Not covered by the crypto-assets</w:t>
      </w:r>
      <w:r>
        <w:t xml:space="preserve"> </w:t>
      </w:r>
      <w:r>
        <w:t xml:space="preserve">reporting obligation</w:t>
      </w:r>
      <w:r>
        <w:t xml:space="preserve"> </w:t>
      </w:r>
      <w:r>
        <w:t xml:space="preserve">Payment tokens or exchange tokens</w:t>
      </w:r>
      <w:r>
        <w:t xml:space="preserve"> </w:t>
      </w:r>
      <w:r>
        <w:t xml:space="preserve">(Bitcoin, Ethereum)</w:t>
      </w:r>
      <w:r>
        <w:t xml:space="preserve"> </w:t>
      </w:r>
      <w:r>
        <w:t xml:space="preserve">E-money tokens</w:t>
      </w:r>
      <w:r>
        <w:t xml:space="preserve"> </w:t>
      </w:r>
      <w:r>
        <w:t xml:space="preserve">Utility tokens</w:t>
      </w:r>
      <w:r>
        <w:t xml:space="preserve"> </w:t>
      </w:r>
      <w:r>
        <w:t xml:space="preserve">Asset-reference tokens (such as Tether,</w:t>
      </w:r>
      <w:r>
        <w:t xml:space="preserve"> </w:t>
      </w:r>
      <w:r>
        <w:t xml:space="preserve">USD Coin, Binance )</w:t>
      </w:r>
    </w:p>
    <w:p>
      <w:pPr>
        <w:pStyle w:val="BodyText"/>
      </w:pPr>
      <w:r>
        <w:t xml:space="preserve">CBDC</w:t>
      </w:r>
      <w:r>
        <w:t xml:space="preserve"> </w:t>
      </w:r>
      <w:r>
        <w:t xml:space="preserve">Non-marketable crypto-assets</w:t>
      </w:r>
      <w:r>
        <w:t xml:space="preserve"> </w:t>
      </w:r>
      <w:r>
        <w:t xml:space="preserve">Equity and debt tokens</w:t>
      </w:r>
    </w:p>
    <w:p>
      <w:pPr>
        <w:pStyle w:val="BodyText"/>
      </w:pPr>
      <w:r>
        <w:t xml:space="preserve">NFT</w:t>
      </w:r>
    </w:p>
    <w:p>
      <w:pPr>
        <w:pStyle w:val="Compact"/>
        <w:numPr>
          <w:ilvl w:val="0"/>
          <w:numId w:val="1006"/>
        </w:numPr>
      </w:pPr>
      <w:r>
        <w:t xml:space="preserve">Which CASPs are in scope regarding reporting obligations?</w:t>
      </w:r>
      <w:r>
        <w:t xml:space="preserve"> </w:t>
      </w:r>
      <w:r>
        <w:t xml:space="preserve">CASPs are defined as any person whose occupation or business is the provision of one or more</w:t>
      </w:r>
      <w:r>
        <w:t xml:space="preserve"> </w:t>
      </w:r>
      <w:r>
        <w:t xml:space="preserve">crypto-asset services to third parties on a professional basis.25 They can perform exchanges</w:t>
      </w:r>
      <w:r>
        <w:t xml:space="preserve"> </w:t>
      </w:r>
      <w:r>
        <w:t xml:space="preserve">between crypto-assets and fiat currencies or exchanges between one or more forms of crypto-</w:t>
      </w:r>
      <w:r>
        <w:t xml:space="preserve"> </w:t>
      </w:r>
      <w:r>
        <w:t xml:space="preserve">assets. The above definition is narrower than the definition provided in the proposal for</w:t>
      </w:r>
      <w:r>
        <w:t xml:space="preserve"> </w:t>
      </w:r>
      <w:r>
        <w:t xml:space="preserve">a MiCA Regulation. This is because services such as “providing advice”, covered in the MiCA</w:t>
      </w:r>
      <w:r>
        <w:t xml:space="preserve"> </w:t>
      </w:r>
      <w:r>
        <w:t xml:space="preserve">Regulation proposal, do not have any relevance for establishing holdings or capital gains that</w:t>
      </w:r>
      <w:r>
        <w:t xml:space="preserve"> </w:t>
      </w:r>
      <w:r>
        <w:t xml:space="preserve">would be relevant for tax purposes. The “issuance” of crypto-assets is not covered either since it</w:t>
      </w:r>
      <w:r>
        <w:t xml:space="preserve"> </w:t>
      </w:r>
      <w:r>
        <w:t xml:space="preserve">is not a transaction that will give rise to a measurable capital gain.</w:t>
      </w:r>
    </w:p>
    <w:p>
      <w:pPr>
        <w:pStyle w:val="FirstParagraph"/>
      </w:pPr>
      <w:r>
        <w:t xml:space="preserve">24 OECD uses the term Closed-Loop Crypto-Assets to refer to those crypto-Assets redeemed for a specified good or service and transferred with</w:t>
      </w:r>
      <w:r>
        <w:t xml:space="preserve"> </w:t>
      </w:r>
      <w:r>
        <w:t xml:space="preserve">the intervention of the issuer or the supplier of such good or service. (e.g. currency in a video game, a tokenised representation of frequent flyer</w:t>
      </w:r>
      <w:r>
        <w:t xml:space="preserve"> </w:t>
      </w:r>
      <w:r>
        <w:t xml:space="preserve">miles, or a tokenised redemption right to a consumer good)</w:t>
      </w:r>
      <w:r>
        <w:br/>
      </w:r>
      <w:r>
        <w:t xml:space="preserve">25 According to MICA: ‘crypto-asset service’ means any of the services and activities listed below relating to any crypto-asset:</w:t>
      </w:r>
      <w:r>
        <w:br/>
      </w:r>
      <w:r>
        <w:t xml:space="preserve">(a) the custody and administration of crypto-assets on behalf of third parties; (b) the operation of a trading platform for crypto-assets; (c) the</w:t>
      </w:r>
      <w:r>
        <w:t xml:space="preserve"> </w:t>
      </w:r>
      <w:r>
        <w:t xml:space="preserve">exchange of crypto-assets for fiat currency that is legal tender; (d) the exchange of crypto-assets for other crypto-assets; (e) the execution of orders</w:t>
      </w:r>
      <w:r>
        <w:t xml:space="preserve"> </w:t>
      </w:r>
      <w:r>
        <w:t xml:space="preserve">for crypto-assets on behalf of third parties; (f) placing of crypto-assets; (g) the reception and transmission of orders for crypto-assets on behalf of</w:t>
      </w:r>
      <w:r>
        <w:t xml:space="preserve"> </w:t>
      </w:r>
      <w:r>
        <w:t xml:space="preserve">third parties; (h) providing advice on crypto-assets.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CASPs can be, among others, exchanges, brokers and dealers, trading platforms (DEFi) as well as</w:t>
      </w:r>
      <w:r>
        <w:t xml:space="preserve"> </w:t>
      </w:r>
      <w:r>
        <w:t xml:space="preserve">crypto-asset ATMs. They play a crucial role in facilitating a market for crypto-assets and are</w:t>
      </w:r>
      <w:r>
        <w:t xml:space="preserve"> </w:t>
      </w:r>
      <w:r>
        <w:t xml:space="preserve">therefore best placed to collect and report information relevant for assessing tax liabilities (i.e. </w:t>
      </w:r>
      <w:r>
        <w:t xml:space="preserve"> </w:t>
      </w:r>
      <w:r>
        <w:t xml:space="preserve">capital gains and income), including details of gross proceeds. In general, these intermediaries</w:t>
      </w:r>
      <w:r>
        <w:t xml:space="preserve"> </w:t>
      </w:r>
      <w:r>
        <w:t xml:space="preserve">have access to the value of the crypto-assets and the transactions carried out.</w:t>
      </w:r>
    </w:p>
    <w:p>
      <w:pPr>
        <w:pStyle w:val="BodyText"/>
      </w:pPr>
      <w:r>
        <w:t xml:space="preserve">The proposal would contemplate that the new reporting and exchange framework will impose</w:t>
      </w:r>
      <w:r>
        <w:t xml:space="preserve"> </w:t>
      </w:r>
      <w:r>
        <w:t xml:space="preserve">reporting requirements solely on CASPs that are in the professional business of conducting</w:t>
      </w:r>
      <w:r>
        <w:t xml:space="preserve"> </w:t>
      </w:r>
      <w:r>
        <w:t xml:space="preserve">exchanges of crypto-assets. CASPs already fall under the scope of obliged entities under the</w:t>
      </w:r>
      <w:r>
        <w:t xml:space="preserve"> </w:t>
      </w:r>
      <w:r>
        <w:t xml:space="preserve">Financial Action Task Force (FATF) Recommendations26 and are consequently expected to</w:t>
      </w:r>
      <w:r>
        <w:t xml:space="preserve"> </w:t>
      </w:r>
      <w:r>
        <w:t xml:space="preserve">efficiently collect and review the required documentation of their customers on the basis of the</w:t>
      </w:r>
      <w:r>
        <w:t xml:space="preserve"> </w:t>
      </w:r>
      <w:r>
        <w:t xml:space="preserve">AML/KYC27 requirements.</w:t>
      </w:r>
      <w:r>
        <w:br/>
      </w:r>
      <w:r>
        <w:t xml:space="preserve">In order to determine which CASPs are in scope regarding reporting obligations, two dimensions</w:t>
      </w:r>
      <w:r>
        <w:t xml:space="preserve"> </w:t>
      </w:r>
      <w:r>
        <w:t xml:space="preserve">are being considered: size and location. As far as size is concerned, it can be envisaged whether</w:t>
      </w:r>
      <w:r>
        <w:t xml:space="preserve"> </w:t>
      </w:r>
      <w:r>
        <w:t xml:space="preserve">(i) all CASPs should report, irrespective of their size, or whether (ii) an exclusion based on size</w:t>
      </w:r>
      <w:r>
        <w:t xml:space="preserve"> </w:t>
      </w:r>
      <w:r>
        <w:t xml:space="preserve">should be introduced (i.e. SME CASPs).</w:t>
      </w:r>
      <w:r>
        <w:br/>
      </w:r>
      <w:r>
        <w:t xml:space="preserve">As far as location is concerned, it can be considered whether non-EU based CASPs should be</w:t>
      </w:r>
      <w:r>
        <w:t xml:space="preserve"> </w:t>
      </w:r>
      <w:r>
        <w:t xml:space="preserve">subject or not to the reporting obligations28, in addition to EU-based CASPs. In this respect, it</w:t>
      </w:r>
      <w:r>
        <w:t xml:space="preserve"> </w:t>
      </w:r>
      <w:r>
        <w:t xml:space="preserve">should be noted that, once adopted, the Regulation on MiCA will oblige CASPs operating on the</w:t>
      </w:r>
      <w:r>
        <w:t xml:space="preserve"> </w:t>
      </w:r>
      <w:r>
        <w:t xml:space="preserve">EU market to have their services authorized in the EU.29 This would facilitate the identification of</w:t>
      </w:r>
      <w:r>
        <w:t xml:space="preserve"> </w:t>
      </w:r>
      <w:r>
        <w:t xml:space="preserve">non-EU based CASPs.</w:t>
      </w:r>
      <w:r>
        <w:br/>
      </w:r>
      <w:r>
        <w:t xml:space="preserve">CASPs that would be subject to an equivalent reporting standard, following an agreement on a</w:t>
      </w:r>
      <w:r>
        <w:t xml:space="preserve"> </w:t>
      </w:r>
      <w:r>
        <w:t xml:space="preserve">standard in the OECD, may be excluded from the scope of EU obligations. This would require an</w:t>
      </w:r>
      <w:r>
        <w:t xml:space="preserve"> </w:t>
      </w:r>
      <w:r>
        <w:t xml:space="preserve">equivalence decision from the EU, similar to what has been adopted in the context of DAC 7 for</w:t>
      </w:r>
      <w:r>
        <w:t xml:space="preserve"> </w:t>
      </w:r>
      <w:r>
        <w:t xml:space="preserve">reporting by non-EU digital platform operators.</w:t>
      </w:r>
    </w:p>
    <w:p>
      <w:pPr>
        <w:pStyle w:val="Compact"/>
        <w:numPr>
          <w:ilvl w:val="0"/>
          <w:numId w:val="1007"/>
        </w:numPr>
      </w:pPr>
      <w:r>
        <w:t xml:space="preserve">Which type of reporting?</w:t>
      </w:r>
      <w:r>
        <w:br/>
      </w:r>
      <w:r>
        <w:t xml:space="preserve">CASPs can provide services related to different types of crypto-assets, and to different types of</w:t>
      </w:r>
      <w:r>
        <w:t xml:space="preserve"> </w:t>
      </w:r>
      <w:r>
        <w:t xml:space="preserve">transactions such as acquisitions, sales and transfers of crypto-assets but also safekeeping of assets</w:t>
      </w:r>
      <w:r>
        <w:t xml:space="preserve"> </w:t>
      </w:r>
      <w:r>
        <w:t xml:space="preserve">and provision of financial services related to i.a. issuance of assets. The inclusion of crypto-asset</w:t>
      </w:r>
      <w:r>
        <w:t xml:space="preserve"> </w:t>
      </w:r>
      <w:r>
        <w:t xml:space="preserve">transfers30 under the reporting and exchange framework would help catch transfers to cold wallets</w:t>
      </w:r>
    </w:p>
    <w:p>
      <w:pPr>
        <w:pStyle w:val="FirstParagraph"/>
      </w:pPr>
      <w:r>
        <w:t xml:space="preserve">26 Definition of “Virtual assets service providers”, retrieved from: https://www.fatf-</w:t>
      </w:r>
      <w:r>
        <w:t xml:space="preserve"> </w:t>
      </w:r>
      <w:r>
        <w:t xml:space="preserve">gafi.org/media/fatf/documents/recommendations/pdfs/FATF%20Recommendations%202012.pdf</w:t>
      </w:r>
      <w:r>
        <w:t xml:space="preserve"> </w:t>
      </w:r>
      <w:r>
        <w:t xml:space="preserve">27 Anti-money laundering/know your client</w:t>
      </w:r>
      <w:r>
        <w:t xml:space="preserve"> </w:t>
      </w:r>
      <w:r>
        <w:t xml:space="preserve">28 It should be noted that CASPs that would be subject to an equivalent reporting standard, following agreement in the OECD negotiations, may</w:t>
      </w:r>
      <w:r>
        <w:t xml:space="preserve"> </w:t>
      </w:r>
      <w:r>
        <w:t xml:space="preserve">be excluded from the scope of an EU standard. This would require an equivalence decision from the EU, similar to what has been adopted in the</w:t>
      </w:r>
      <w:r>
        <w:t xml:space="preserve"> </w:t>
      </w:r>
      <w:r>
        <w:t xml:space="preserve">context of DAC 7 for reporting by non-EU digital platform operators.</w:t>
      </w:r>
      <w:r>
        <w:t xml:space="preserve"> </w:t>
      </w:r>
      <w:r>
        <w:t xml:space="preserve">29 According to Title V (articles 53 to 75) of MICA: CASPs will need to have a registered office in a Member State of the Union and obtain an</w:t>
      </w:r>
      <w:r>
        <w:t xml:space="preserve"> </w:t>
      </w:r>
      <w:r>
        <w:t xml:space="preserve">administrative authorisation to operate in the EU in accordance with article 55. In some cases, they may be subject to additional requirements.</w:t>
      </w:r>
      <w:r>
        <w:t xml:space="preserve"> </w:t>
      </w:r>
      <w:r>
        <w:t xml:space="preserve">30 A transfer is the movement of a crypto-asset to a different wallet. These wallets can be the so-called cold wallets which are not managed by</w:t>
      </w:r>
      <w:r>
        <w:t xml:space="preserve"> </w:t>
      </w:r>
      <w:r>
        <w:t xml:space="preserve">CASPs but by the users itself, or a wallet managed by a different CASPs. All transfers and transactions are performed via blockchain.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and track the wealth of a particular taxpayer. It would assist tax authorities to reconcile information</w:t>
      </w:r>
      <w:r>
        <w:t xml:space="preserve"> </w:t>
      </w:r>
      <w:r>
        <w:t xml:space="preserve">reported from several CASPs, in case a taxpayer uses multiple providers for acquiring and/or</w:t>
      </w:r>
      <w:r>
        <w:t xml:space="preserve"> </w:t>
      </w:r>
      <w:r>
        <w:t xml:space="preserve">selling crypto-assets.</w:t>
      </w:r>
      <w:r>
        <w:t xml:space="preserve"> </w:t>
      </w:r>
      <w:r>
        <w:t xml:space="preserve">The reporting requirements need to take into account the characteristics of the asset and the type</w:t>
      </w:r>
      <w:r>
        <w:t xml:space="preserve"> </w:t>
      </w:r>
      <w:r>
        <w:t xml:space="preserve">of information to be reported. Most crypto-assets are subject to very frequent transactions and their</w:t>
      </w:r>
      <w:r>
        <w:t xml:space="preserve"> </w:t>
      </w:r>
      <w:r>
        <w:t xml:space="preserve">value can vary significantly even within very short timeframes. However, some crypto-assets are</w:t>
      </w:r>
      <w:r>
        <w:t xml:space="preserve"> </w:t>
      </w:r>
      <w:r>
        <w:t xml:space="preserve">more stable in value and are in most cases not subject to daily multiple transactions. Two examples</w:t>
      </w:r>
      <w:r>
        <w:t xml:space="preserve"> </w:t>
      </w:r>
      <w:r>
        <w:t xml:space="preserve">of the latter category are Central bank digital currency (CBDCs) and e-money tokens which are</w:t>
      </w:r>
      <w:r>
        <w:t xml:space="preserve"> </w:t>
      </w:r>
      <w:r>
        <w:t xml:space="preserve">not subject to high fluctuations in value and are used mainly for payment purposes.</w:t>
      </w:r>
      <w:r>
        <w:t xml:space="preserve"> </w:t>
      </w:r>
      <w:r>
        <w:t xml:space="preserve">Different reporting possibilities could be considered for crypto-asset reporting:</w:t>
      </w:r>
      <w:r>
        <w:t xml:space="preserve"> </w:t>
      </w:r>
      <w:r>
        <w:t xml:space="preserve">The reporting of balances is an option under which the CASPSs would provide information about</w:t>
      </w:r>
      <w:r>
        <w:t xml:space="preserve"> </w:t>
      </w:r>
      <w:r>
        <w:t xml:space="preserve">the crypto-assets balances of each user. This type of reporting is similar to what is required under</w:t>
      </w:r>
      <w:r>
        <w:t xml:space="preserve"> </w:t>
      </w:r>
      <w:r>
        <w:t xml:space="preserve">DAC2 for traditional financial assets, where information is exchanged on end-of-year account</w:t>
      </w:r>
      <w:r>
        <w:t xml:space="preserve"> </w:t>
      </w:r>
      <w:r>
        <w:t xml:space="preserve">balance.</w:t>
      </w:r>
      <w:r>
        <w:br/>
      </w:r>
      <w:r>
        <w:t xml:space="preserve">For assets that are characterised by a stable value and which are not subject to very frequent</w:t>
      </w:r>
      <w:r>
        <w:t xml:space="preserve"> </w:t>
      </w:r>
      <w:r>
        <w:t xml:space="preserve">transactions, such as CBDC and e-money tokens, it would not be necessary to require detailed</w:t>
      </w:r>
      <w:r>
        <w:t xml:space="preserve"> </w:t>
      </w:r>
      <w:r>
        <w:t xml:space="preserve">reporting. For such assets, it would be sufficient to require reporting of balances and other relevant</w:t>
      </w:r>
      <w:r>
        <w:t xml:space="preserve"> </w:t>
      </w:r>
      <w:r>
        <w:t xml:space="preserve">information, similar to what is the case under the current provisions of the DAC for financial</w:t>
      </w:r>
      <w:r>
        <w:t xml:space="preserve"> </w:t>
      </w:r>
      <w:r>
        <w:t xml:space="preserve">assets.</w:t>
      </w:r>
      <w:r>
        <w:t xml:space="preserve"> </w:t>
      </w:r>
      <w:r>
        <w:t xml:space="preserve">In terms of reporting of transaction-based information, three alternatives can be considered in</w:t>
      </w:r>
      <w:r>
        <w:t xml:space="preserve"> </w:t>
      </w:r>
      <w:r>
        <w:t xml:space="preserve">terms of level of granularity: reporting (i) on a fully aggregated basis, (ii) on a transaction-by-</w:t>
      </w:r>
      <w:r>
        <w:t xml:space="preserve"> </w:t>
      </w:r>
      <w:r>
        <w:t xml:space="preserve">transaction basis, (iii) on an aggregated basis with some breakdowns (hybrid option).</w:t>
      </w:r>
      <w:r>
        <w:t xml:space="preserve"> </w:t>
      </w:r>
      <w:r>
        <w:t xml:space="preserve">During a meeting organised by the Commission services in November 2020, Member States</w:t>
      </w:r>
      <w:r>
        <w:t xml:space="preserve"> </w:t>
      </w:r>
      <w:r>
        <w:t xml:space="preserve">expressed diverging views on the desired level of granularity of reporting of gross proceeds</w:t>
      </w:r>
      <w:r>
        <w:t xml:space="preserve"> </w:t>
      </w:r>
      <w:r>
        <w:t xml:space="preserve">derived from crypto-asset transactions. Most Member States favoured a fully aggregated reporting</w:t>
      </w:r>
      <w:r>
        <w:t xml:space="preserve"> </w:t>
      </w:r>
      <w:r>
        <w:t xml:space="preserve">of gross proceeds that would both have a deterrent effect and allow tax authorities to perform a</w:t>
      </w:r>
      <w:r>
        <w:t xml:space="preserve"> </w:t>
      </w:r>
      <w:r>
        <w:t xml:space="preserve">high-level tax risk assessment before further investigation. Other Member States were in favour of</w:t>
      </w:r>
      <w:r>
        <w:t xml:space="preserve"> </w:t>
      </w:r>
      <w:r>
        <w:t xml:space="preserve">an approach whereby the concrete tax liabilities of taxpayers could be identified, requiring a</w:t>
      </w:r>
      <w:r>
        <w:t xml:space="preserve"> </w:t>
      </w:r>
      <w:r>
        <w:t xml:space="preserve">transaction-by-transaction reporting scheme.</w:t>
      </w:r>
      <w:r>
        <w:br/>
      </w:r>
      <w:r>
        <w:t xml:space="preserve">With an aggregate reporting, tax administrations would receive a global picture of the value of</w:t>
      </w:r>
      <w:r>
        <w:t xml:space="preserve"> </w:t>
      </w:r>
      <w:r>
        <w:t xml:space="preserve">and proceeds derived from all crypto-assets held by a taxpayer. Furthermore, the data transferred</w:t>
      </w:r>
      <w:r>
        <w:t xml:space="preserve"> </w:t>
      </w:r>
      <w:r>
        <w:t xml:space="preserve">to the tax administration would be compressed and limited. However, this information may not</w:t>
      </w:r>
      <w:r>
        <w:t xml:space="preserve"> </w:t>
      </w:r>
      <w:r>
        <w:t xml:space="preserve">always be sufficient to allow tax administrations to assess the actual tax liability associated with</w:t>
      </w:r>
      <w:r>
        <w:t xml:space="preserve"> </w:t>
      </w:r>
      <w:r>
        <w:t xml:space="preserve">specific transactions in crypto-assets and it may require additional requests for further information</w:t>
      </w:r>
      <w:r>
        <w:t xml:space="preserve"> </w:t>
      </w:r>
      <w:r>
        <w:t xml:space="preserve">resulting in time-consuming contacts between tax administrations and reporting entities.</w:t>
      </w:r>
      <w:r>
        <w:br/>
      </w:r>
      <w:r>
        <w:t xml:space="preserve">With a transaction-by-transaction reporting, tax authorities would receive for each taxpayer an</w:t>
      </w:r>
      <w:r>
        <w:t xml:space="preserve"> </w:t>
      </w:r>
      <w:r>
        <w:t xml:space="preserve">overview of each transaction it has engaged over the year (with information on type of transaction,</w:t>
      </w:r>
      <w:r>
        <w:t xml:space="preserve"> </w:t>
      </w:r>
      <w:r>
        <w:t xml:space="preserve">type of crypto-asset, value and proceed of each transaction). Tax administrations would therefore</w:t>
      </w:r>
      <w:r>
        <w:t xml:space="preserve"> </w:t>
      </w:r>
      <w:r>
        <w:t xml:space="preserve">have immediate access to all available information, which would remove the need for follow-up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contacts with other Member States or with CASPs also to ensure the necessary tax treatment in</w:t>
      </w:r>
      <w:r>
        <w:t xml:space="preserve"> </w:t>
      </w:r>
      <w:r>
        <w:t xml:space="preserve">other tax areas such as indirect taxation. However, the volumes of information would be</w:t>
      </w:r>
      <w:r>
        <w:t xml:space="preserve"> </w:t>
      </w:r>
      <w:r>
        <w:t xml:space="preserve">considerable and it would entail high administrative burden and costs for tax administrations.</w:t>
      </w:r>
      <w:r>
        <w:t xml:space="preserve"> </w:t>
      </w:r>
      <w:r>
        <w:t xml:space="preserve">In a “hybrid” or middle-ground scenario, reporting would be in-between aggregate gross proceeds</w:t>
      </w:r>
      <w:r>
        <w:t xml:space="preserve"> </w:t>
      </w:r>
      <w:r>
        <w:t xml:space="preserve">reporting and full transaction-by-transaction reporting. It would require aggregate reporting on</w:t>
      </w:r>
      <w:r>
        <w:t xml:space="preserve"> </w:t>
      </w:r>
      <w:r>
        <w:t xml:space="preserve">acquisitions, transfers and disposals per type of crypto-asset. It would also require distinguishing</w:t>
      </w:r>
      <w:r>
        <w:t xml:space="preserve"> </w:t>
      </w:r>
      <w:r>
        <w:t xml:space="preserve">between crypto-to-crypto and crypto-for-fiat transactions to enhance the usability of the data for</w:t>
      </w:r>
      <w:r>
        <w:t xml:space="preserve"> </w:t>
      </w:r>
      <w:r>
        <w:t xml:space="preserve">the receiving tax administrations. Additional financial information would be provided for further</w:t>
      </w:r>
      <w:r>
        <w:t xml:space="preserve"> </w:t>
      </w:r>
      <w:r>
        <w:t xml:space="preserve">granularity, such as the number of transactions, the number of units transacted and the amount of</w:t>
      </w:r>
      <w:r>
        <w:t xml:space="preserve"> </w:t>
      </w:r>
      <w:r>
        <w:t xml:space="preserve">any fees and commissions withheld by the CASPs in respect of relevant transactions.</w:t>
      </w:r>
      <w:r>
        <w:t xml:space="preserve"> </w:t>
      </w:r>
      <w:r>
        <w:t xml:space="preserve">If relevant, the reporting on transaction-based information can be complemented with information</w:t>
      </w:r>
      <w:r>
        <w:t xml:space="preserve"> </w:t>
      </w:r>
      <w:r>
        <w:t xml:space="preserve">on balances.</w:t>
      </w:r>
      <w:r>
        <w:br/>
      </w:r>
      <w:r>
        <w:t xml:space="preserve">On the basis of these building blocks, various options are assessed in the following analysis.</w:t>
      </w:r>
      <w:r>
        <w:t xml:space="preserve"> </w:t>
      </w:r>
      <w:r>
        <w:t xml:space="preserve">The proposed IT implementation choices31 are feasible no matter which policy option is chosen.</w:t>
      </w:r>
      <w:r>
        <w:t xml:space="preserve"> </w:t>
      </w:r>
      <w:r>
        <w:t xml:space="preserve">The feasibility of the IT solution depends neither on the size of the CASPs, nor on the types of</w:t>
      </w:r>
      <w:r>
        <w:t xml:space="preserve"> </w:t>
      </w:r>
      <w:r>
        <w:t xml:space="preserve">crypto-assets in scope nor the reporting method. The issue to determine with regard to the IT</w:t>
      </w:r>
      <w:r>
        <w:t xml:space="preserve"> </w:t>
      </w:r>
      <w:r>
        <w:t xml:space="preserve">solution is more about the efficiency of the different IT solutions in achieving the initiative’s</w:t>
      </w:r>
      <w:r>
        <w:t xml:space="preserve"> </w:t>
      </w:r>
      <w:r>
        <w:t xml:space="preserve">objectives.</w:t>
      </w:r>
      <w:r>
        <w:t xml:space="preserve"> </w:t>
      </w:r>
      <w:r>
        <w:t xml:space="preserve">5.1 Baseline scenario (Option 0)</w:t>
      </w:r>
      <w:r>
        <w:t xml:space="preserve"> </w:t>
      </w:r>
      <w:r>
        <w:t xml:space="preserve">Under this option, the EU would not act. However, other actors, mainly the Member States as well</w:t>
      </w:r>
      <w:r>
        <w:t xml:space="preserve"> </w:t>
      </w:r>
      <w:r>
        <w:t xml:space="preserve">as the OECD, might still act. The use of crypto-assets has been growing a lot recently. While some</w:t>
      </w:r>
      <w:r>
        <w:t xml:space="preserve"> </w:t>
      </w:r>
      <w:r>
        <w:t xml:space="preserve">Member States have not yet addressed the problem domestically, it does not mean that they will</w:t>
      </w:r>
      <w:r>
        <w:t xml:space="preserve"> </w:t>
      </w:r>
      <w:r>
        <w:t xml:space="preserve">not act in the near future. Different approaches to the reporting for tax purposes across the EU may</w:t>
      </w:r>
      <w:r>
        <w:t xml:space="preserve"> </w:t>
      </w:r>
      <w:r>
        <w:t xml:space="preserve">also have a negative effect on the crypto-asset market and the issuance and use of crypto-assets.</w:t>
      </w:r>
      <w:r>
        <w:t xml:space="preserve"> </w:t>
      </w:r>
      <w:r>
        <w:t xml:space="preserve">The OECD is currently working on developing a new international standard intended to impose</w:t>
      </w:r>
      <w:r>
        <w:t xml:space="preserve"> </w:t>
      </w:r>
      <w:r>
        <w:t xml:space="preserve">reporting obligations on CASPs and subsequent exchange of information between jurisdictions. A</w:t>
      </w:r>
      <w:r>
        <w:t xml:space="preserve"> </w:t>
      </w:r>
      <w:r>
        <w:t xml:space="preserve">new international standard would include an obligation for CASPs to collect and provide tax</w:t>
      </w:r>
      <w:r>
        <w:t xml:space="preserve"> </w:t>
      </w:r>
      <w:r>
        <w:t xml:space="preserve">authorities with certain aggregated information. The granularity of the information that CASPs</w:t>
      </w:r>
      <w:r>
        <w:t xml:space="preserve"> </w:t>
      </w:r>
      <w:r>
        <w:t xml:space="preserve">would be required to provide would enable tax authorities to carry out effective tax risk</w:t>
      </w:r>
      <w:r>
        <w:t xml:space="preserve"> </w:t>
      </w:r>
      <w:r>
        <w:t xml:space="preserve">assessments and provide visibility on transactions and holding patterns. Member States are likely</w:t>
      </w:r>
      <w:r>
        <w:t xml:space="preserve"> </w:t>
      </w:r>
      <w:r>
        <w:t xml:space="preserve">to rely on this to implement rules at national level. However, there is a risk of divergences among</w:t>
      </w:r>
      <w:r>
        <w:t xml:space="preserve"> </w:t>
      </w:r>
      <w:r>
        <w:t xml:space="preserve">the Member States’ legal frameworks that would jeopardize the coherence of the system for</w:t>
      </w:r>
      <w:r>
        <w:t xml:space="preserve"> </w:t>
      </w:r>
      <w:r>
        <w:t xml:space="preserve">exchange of information within the EU as established by the DAC. It would also put at risk the</w:t>
      </w:r>
      <w:r>
        <w:t xml:space="preserve"> </w:t>
      </w:r>
      <w:r>
        <w:t xml:space="preserve">integrity of the EU market in crypto-assets as regulated by the proposed MiCA Regulation. The</w:t>
      </w:r>
      <w:r>
        <w:t xml:space="preserve"> </w:t>
      </w:r>
      <w:r>
        <w:t xml:space="preserve">OECD standard would not necessarily be adapted to the domestic provisions, leading to the</w:t>
      </w:r>
      <w:r>
        <w:t xml:space="preserve"> </w:t>
      </w:r>
      <w:r>
        <w:t xml:space="preserve">reporting of third country CASPs risking to be less effective.</w:t>
      </w:r>
    </w:p>
    <w:p>
      <w:pPr>
        <w:pStyle w:val="BodyText"/>
      </w:pPr>
      <w:r>
        <w:t xml:space="preserve">31 See Annex 5.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5.2 Recommendation for the implementation of a global standard</w:t>
      </w:r>
      <w:r>
        <w:t xml:space="preserve"> </w:t>
      </w:r>
      <w:r>
        <w:t xml:space="preserve">Under this option, the Commission would propose a legally non-binding recommendation</w:t>
      </w:r>
      <w:r>
        <w:t xml:space="preserve"> </w:t>
      </w:r>
      <w:r>
        <w:t xml:space="preserve">addressed to Member States to implement consistent rules addressing the lack of reporting and</w:t>
      </w:r>
      <w:r>
        <w:t xml:space="preserve"> </w:t>
      </w:r>
      <w:r>
        <w:t xml:space="preserve">exchange of information related to the taxation of income or revenue generated through the use of</w:t>
      </w:r>
      <w:r>
        <w:t xml:space="preserve"> </w:t>
      </w:r>
      <w:r>
        <w:t xml:space="preserve">crypto-assets. Such a recommendation would call on the Member States to implement a future</w:t>
      </w:r>
      <w:r>
        <w:t xml:space="preserve"> </w:t>
      </w:r>
      <w:r>
        <w:t xml:space="preserve">OECD standard and, to the extent needed, be complemented by guidance adapting such rules for</w:t>
      </w:r>
      <w:r>
        <w:t xml:space="preserve"> </w:t>
      </w:r>
      <w:r>
        <w:t xml:space="preserve">the Internal Market. A non-legally binding option may imply that Member States do not implement</w:t>
      </w:r>
      <w:r>
        <w:t xml:space="preserve"> </w:t>
      </w:r>
      <w:r>
        <w:t xml:space="preserve">the international standard uniformly, giving rise to differences that could affect the functioning of</w:t>
      </w:r>
      <w:r>
        <w:t xml:space="preserve"> </w:t>
      </w:r>
      <w:r>
        <w:t xml:space="preserve">the Internal Market.</w:t>
      </w:r>
      <w:r>
        <w:br/>
      </w:r>
      <w:r>
        <w:t xml:space="preserve">5.3 EU legislative initiative – Six options regarding the type of reporting and the impact of</w:t>
      </w:r>
      <w:r>
        <w:t xml:space="preserve"> </w:t>
      </w:r>
      <w:r>
        <w:t xml:space="preserve">having a threshold for SME- (Options 1-6)</w:t>
      </w:r>
      <w:r>
        <w:t xml:space="preserve"> </w:t>
      </w:r>
      <w:r>
        <w:t xml:space="preserve">Under the EU legislative option, the reporting and exchange of information would apply to all</w:t>
      </w:r>
      <w:r>
        <w:t xml:space="preserve"> </w:t>
      </w:r>
      <w:r>
        <w:t xml:space="preserve">crypto-assets, which are relevant from a tax perspective (i.e. all crypto-assets except non-</w:t>
      </w:r>
      <w:r>
        <w:t xml:space="preserve"> </w:t>
      </w:r>
      <w:r>
        <w:t xml:space="preserve">marketable crypto-assets and utility tokens).</w:t>
      </w:r>
      <w:r>
        <w:br/>
      </w:r>
      <w:r>
        <w:t xml:space="preserve">Under this option, the coverage would not include certain types of crypto-assets in the scope. This</w:t>
      </w:r>
      <w:r>
        <w:t xml:space="preserve"> </w:t>
      </w:r>
      <w:r>
        <w:t xml:space="preserve">would be based on the fact that non-marketable crypto-assets and utility tokens are not traded on</w:t>
      </w:r>
      <w:r>
        <w:t xml:space="preserve"> </w:t>
      </w:r>
      <w:r>
        <w:t xml:space="preserve">exchanges and mostly do not have a value outside the context of their issuer. Their use does</w:t>
      </w:r>
      <w:r>
        <w:t xml:space="preserve"> </w:t>
      </w:r>
      <w:r>
        <w:t xml:space="preserve">generally not have any tax consequences and the information would therefore not be useful for tax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As discussed above, the reporting would focus on transactional information, which would allow</w:t>
      </w:r>
      <w:r>
        <w:t xml:space="preserve"> </w:t>
      </w:r>
      <w:r>
        <w:t xml:space="preserve">tax administrations to make a more precise risk assessment. Considering that many users make</w:t>
      </w:r>
      <w:r>
        <w:t xml:space="preserve"> </w:t>
      </w:r>
      <w:r>
        <w:t xml:space="preserve">many transactions within short time frames, a reporting of information based on balances only</w:t>
      </w:r>
      <w:r>
        <w:t xml:space="preserve"> </w:t>
      </w:r>
      <w:r>
        <w:t xml:space="preserve">would in many cases require tax administrations to ask the CASPs for more detailed information,</w:t>
      </w:r>
      <w:r>
        <w:t xml:space="preserve"> </w:t>
      </w:r>
      <w:r>
        <w:t xml:space="preserve">thus creating a second round of more detailed reporting. For the CASPs, the option would mean</w:t>
      </w:r>
      <w:r>
        <w:t xml:space="preserve"> </w:t>
      </w:r>
      <w:r>
        <w:t xml:space="preserve">that less information would need to be reported initially, which would keep the administrative</w:t>
      </w:r>
      <w:r>
        <w:t xml:space="preserve"> </w:t>
      </w:r>
      <w:r>
        <w:t xml:space="preserve">burden low. However, due to the likely frequent need for more detailed information, there would</w:t>
      </w:r>
      <w:r>
        <w:t xml:space="preserve"> </w:t>
      </w:r>
      <w:r>
        <w:t xml:space="preserve">be an increased administrative burden in the second step of follow-up requests for information.</w:t>
      </w:r>
      <w:r>
        <w:t xml:space="preserve"> </w:t>
      </w:r>
      <w:r>
        <w:t xml:space="preserve">Regarding the type of transactional information to be reported, we may distinguish three sub-</w:t>
      </w:r>
      <w:r>
        <w:t xml:space="preserve"> </w:t>
      </w:r>
      <w:r>
        <w:t xml:space="preserve">options: Aggregated reporting, transaction by transaction and hybrid. In all cases, a SME32</w:t>
      </w:r>
      <w:r>
        <w:t xml:space="preserve"> </w:t>
      </w:r>
      <w:r>
        <w:t xml:space="preserve">threshold is analysed against any of these three sub-options making them in total six sub-options.</w:t>
      </w:r>
      <w:r>
        <w:t xml:space="preserve"> </w:t>
      </w:r>
      <w:r>
        <w:t xml:space="preserve">Option 1. Transaction by transaction.</w:t>
      </w:r>
      <w:r>
        <w:t xml:space="preserve"> </w:t>
      </w:r>
      <w:r>
        <w:t xml:space="preserve">Under this policy option, the reporting and exchange of information would apply to all crypto-</w:t>
      </w:r>
      <w:r>
        <w:t xml:space="preserve"> </w:t>
      </w:r>
      <w:r>
        <w:t xml:space="preserve">assets, except non-marketable crypto-assets and utility tokens, introducing a reporting obligation</w:t>
      </w:r>
      <w:r>
        <w:t xml:space="preserve"> </w:t>
      </w:r>
      <w:r>
        <w:t xml:space="preserve">on all CASPs that have EU users. In this case, the information would be reported on a transaction</w:t>
      </w:r>
    </w:p>
    <w:p>
      <w:pPr>
        <w:pStyle w:val="BodyText"/>
      </w:pPr>
      <w:r>
        <w:t xml:space="preserve">32 As defined in Commission Recommendation of 6 May 2003 concerning the definition of micro, small and medium-</w:t>
      </w:r>
      <w:r>
        <w:t xml:space="preserve"> </w:t>
      </w:r>
      <w:r>
        <w:t xml:space="preserve">sized enterprises OJ L 124, 20.5.2003, p. 36.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by transaction basis which means that each and every transaction made by a CASP for a crypto-</w:t>
      </w:r>
      <w:r>
        <w:t xml:space="preserve"> </w:t>
      </w:r>
      <w:r>
        <w:t xml:space="preserve">asset user will have to be reported.</w:t>
      </w:r>
      <w:r>
        <w:br/>
      </w:r>
      <w:r>
        <w:t xml:space="preserve">Under this option, CASPs would report the data concerning each transaction with crypto-assets</w:t>
      </w:r>
      <w:r>
        <w:t xml:space="preserve"> </w:t>
      </w:r>
      <w:r>
        <w:t xml:space="preserve">owned by EU users. In the same way, as under Option 3 and 5, all CASPs would need to report as</w:t>
      </w:r>
      <w:r>
        <w:t xml:space="preserve"> </w:t>
      </w:r>
      <w:r>
        <w:t xml:space="preserve">far as they intermediate EU users’ transactions, regardless of where they are located.</w:t>
      </w:r>
      <w:r>
        <w:br/>
      </w:r>
      <w:r>
        <w:t xml:space="preserve">The reported information would consist of detailed transactional information per crypto-asset user.</w:t>
      </w:r>
      <w:r>
        <w:t xml:space="preserve"> </w:t>
      </w:r>
      <w:r>
        <w:t xml:space="preserve">Consequently, the level of information would be so precise that tax administrations would not need</w:t>
      </w:r>
      <w:r>
        <w:t xml:space="preserve"> </w:t>
      </w:r>
      <w:r>
        <w:t xml:space="preserve">to seek additional information to calculate the taxes due by crypto-asset users. However, the mass</w:t>
      </w:r>
      <w:r>
        <w:t xml:space="preserve"> </w:t>
      </w:r>
      <w:r>
        <w:t xml:space="preserve">of data that would have to be managed by CASPs and tax administrations would entail higher</w:t>
      </w:r>
      <w:r>
        <w:t xml:space="preserve"> </w:t>
      </w:r>
      <w:r>
        <w:t xml:space="preserve">investments in IT infrastructure to guarantee its functionality and operability, resulting in higher</w:t>
      </w:r>
      <w:r>
        <w:t xml:space="preserve"> </w:t>
      </w:r>
      <w:r>
        <w:t xml:space="preserve">costs than other options.</w:t>
      </w:r>
      <w:r>
        <w:br/>
      </w:r>
      <w:r>
        <w:t xml:space="preserve">Option 2. Transaction by transaction with a SME threshold.</w:t>
      </w:r>
      <w:r>
        <w:t xml:space="preserve"> </w:t>
      </w:r>
      <w:r>
        <w:t xml:space="preserve">This option is similar to the previous one, but it introduces a threshold for CASPs that are SMEs.</w:t>
      </w:r>
      <w:r>
        <w:t xml:space="preserve"> </w:t>
      </w:r>
      <w:r>
        <w:t xml:space="preserve">In this case SMEs would not need to report.</w:t>
      </w:r>
      <w:r>
        <w:t xml:space="preserve"> </w:t>
      </w:r>
      <w:r>
        <w:t xml:space="preserve">The costs associated to the initiative could be contained by introducing an SME threshold as the</w:t>
      </w:r>
      <w:r>
        <w:t xml:space="preserve"> </w:t>
      </w:r>
      <w:r>
        <w:t xml:space="preserve">amount of information would be reduced. However, these thresholds would constitute a loophole</w:t>
      </w:r>
      <w:r>
        <w:t xml:space="preserve"> </w:t>
      </w:r>
      <w:r>
        <w:t xml:space="preserve">in the system as some users would prefer to use SME CASPS to avoid having information</w:t>
      </w:r>
      <w:r>
        <w:t xml:space="preserve"> </w:t>
      </w:r>
      <w:r>
        <w:t xml:space="preserve">concerning their crypto-assets transactions reported, even though large value transactions could</w:t>
      </w:r>
      <w:r>
        <w:t xml:space="preserve"> </w:t>
      </w:r>
      <w:r>
        <w:t xml:space="preserve">still be performed through SME CASPs.</w:t>
      </w:r>
      <w:r>
        <w:br/>
      </w:r>
      <w:r>
        <w:t xml:space="preserve">Option 3. Fully aggregated reporting:</w:t>
      </w:r>
      <w:r>
        <w:t xml:space="preserve"> </w:t>
      </w:r>
      <w:r>
        <w:t xml:space="preserve">Under this policy option, the reporting and exchange of information would apply to all crypto-</w:t>
      </w:r>
      <w:r>
        <w:t xml:space="preserve"> </w:t>
      </w:r>
      <w:r>
        <w:t xml:space="preserve">assets, except non-marketable crypto-assets and utility tokens, introducing a reporting obligation</w:t>
      </w:r>
      <w:r>
        <w:t xml:space="preserve"> </w:t>
      </w:r>
      <w:r>
        <w:t xml:space="preserve">of fully aggregated information on all CASPs that have EU users. Fully aggregated information</w:t>
      </w:r>
      <w:r>
        <w:t xml:space="preserve"> </w:t>
      </w:r>
      <w:r>
        <w:t xml:space="preserve">would provide a general picture of the crypto-asset user’s transactions, which could only be used</w:t>
      </w:r>
      <w:r>
        <w:t xml:space="preserve"> </w:t>
      </w:r>
      <w:r>
        <w:t xml:space="preserve">for risk assessment purposes. In case of need for additional information, tax administrations would</w:t>
      </w:r>
      <w:r>
        <w:t xml:space="preserve"> </w:t>
      </w:r>
      <w:r>
        <w:t xml:space="preserve">have to request it from CASPs through a second round of reporting on request. Consequently, the</w:t>
      </w:r>
      <w:r>
        <w:t xml:space="preserve"> </w:t>
      </w:r>
      <w:r>
        <w:t xml:space="preserve">fully aggregated option would require follow-up action from the tax administration concerning</w:t>
      </w:r>
      <w:r>
        <w:t xml:space="preserve"> </w:t>
      </w:r>
      <w:r>
        <w:t xml:space="preserve">taxpayers that present a higher level of risk.</w:t>
      </w:r>
      <w:r>
        <w:br/>
      </w:r>
      <w:r>
        <w:t xml:space="preserve">The absence of a threshold on the size of the CASPs would result in a more significant volume of</w:t>
      </w:r>
      <w:r>
        <w:t xml:space="preserve"> </w:t>
      </w:r>
      <w:r>
        <w:t xml:space="preserve">information being reported to tax administrations. This would result in a higher administrative</w:t>
      </w:r>
      <w:r>
        <w:t xml:space="preserve"> </w:t>
      </w:r>
      <w:r>
        <w:t xml:space="preserve">burden for tax administrations, but would equip tax administrations with different means to combat</w:t>
      </w:r>
      <w:r>
        <w:t xml:space="preserve"> </w:t>
      </w:r>
      <w:r>
        <w:t xml:space="preserve">tax fraud, evasion and avoidance. However, this would lead to additional administrative burden</w:t>
      </w:r>
      <w:r>
        <w:t xml:space="preserve"> </w:t>
      </w:r>
      <w:r>
        <w:t xml:space="preserve">for the CASPs of a smaller size, which would be proportionately more burdensome than for CASPs</w:t>
      </w:r>
      <w:r>
        <w:t xml:space="preserve"> </w:t>
      </w:r>
      <w:r>
        <w:t xml:space="preserve">of a bigger size.</w:t>
      </w:r>
      <w:r>
        <w:br/>
      </w:r>
      <w:r>
        <w:t xml:space="preserve">Option 4. Fully aggregated reporting with an SME threshold:</w:t>
      </w:r>
      <w:r>
        <w:t xml:space="preserve"> </w:t>
      </w:r>
      <w:r>
        <w:t xml:space="preserve">This option introduces a SME threshold to allow smaller CASPs not to be subject to the reporting</w:t>
      </w:r>
      <w:r>
        <w:t xml:space="preserve"> </w:t>
      </w:r>
      <w:r>
        <w:t xml:space="preserve">obligations.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A threshold on the size of CASPs would have two effects. Firstly, tax administrations would get</w:t>
      </w:r>
      <w:r>
        <w:t xml:space="preserve"> </w:t>
      </w:r>
      <w:r>
        <w:t xml:space="preserve">a lower amount of information as more minor entities would not be reporting. Secondly, for CASPs</w:t>
      </w:r>
      <w:r>
        <w:t xml:space="preserve"> </w:t>
      </w:r>
      <w:r>
        <w:t xml:space="preserve">below a specific size, it would mean that the administrative burden of reporting, which would be</w:t>
      </w:r>
      <w:r>
        <w:t xml:space="preserve"> </w:t>
      </w:r>
      <w:r>
        <w:t xml:space="preserve">more significant as a share of the overall administrative burden than for larger CASPs, would be</w:t>
      </w:r>
      <w:r>
        <w:t xml:space="preserve"> </w:t>
      </w:r>
      <w:r>
        <w:t xml:space="preserve">removed. However, there could be incentives for those users who intend to conceal their crypto-</w:t>
      </w:r>
      <w:r>
        <w:t xml:space="preserve"> </w:t>
      </w:r>
      <w:r>
        <w:t xml:space="preserve">assets tax information to act through those SME CASPs.</w:t>
      </w:r>
      <w:r>
        <w:br/>
      </w:r>
      <w:r>
        <w:t xml:space="preserve">Option 5. Hybrid or middle ground option:</w:t>
      </w:r>
      <w:r>
        <w:t xml:space="preserve"> </w:t>
      </w:r>
      <w:r>
        <w:t xml:space="preserve">In the hybrid or middle-ground option, the tax administrations would receive more granular</w:t>
      </w:r>
      <w:r>
        <w:t xml:space="preserve"> </w:t>
      </w:r>
      <w:r>
        <w:t xml:space="preserve">information than in a fully aggregated reporting system, allowing tax administrations to perform a</w:t>
      </w:r>
      <w:r>
        <w:t xml:space="preserve"> </w:t>
      </w:r>
      <w:r>
        <w:t xml:space="preserve">high-level risk assessment and calculate the crypto-asset user’s capital gains. The type of</w:t>
      </w:r>
      <w:r>
        <w:t xml:space="preserve"> </w:t>
      </w:r>
      <w:r>
        <w:t xml:space="preserve">additional data to be reported would be, for instance, the number of crypto-assets exchanged, the</w:t>
      </w:r>
      <w:r>
        <w:t xml:space="preserve"> </w:t>
      </w:r>
      <w:r>
        <w:t xml:space="preserve">type of crypto-assets exchanged and the costs charged by CASPs for the transactions. As in the</w:t>
      </w:r>
      <w:r>
        <w:t xml:space="preserve"> </w:t>
      </w:r>
      <w:r>
        <w:t xml:space="preserve">other options, all CASPS would need to report no matter where they are established, and only non-</w:t>
      </w:r>
      <w:r>
        <w:t xml:space="preserve"> </w:t>
      </w:r>
      <w:r>
        <w:t xml:space="preserve">marketable crypto-assets and utility tokens would be out of scope.</w:t>
      </w:r>
      <w:r>
        <w:br/>
      </w:r>
      <w:r>
        <w:t xml:space="preserve">The main advantage of this reporting method is that the amount of information to be managed by</w:t>
      </w:r>
      <w:r>
        <w:t xml:space="preserve"> </w:t>
      </w:r>
      <w:r>
        <w:t xml:space="preserve">tax authorities and CASPs would be moderate as they would not be obliged to report each</w:t>
      </w:r>
      <w:r>
        <w:t xml:space="preserve"> </w:t>
      </w:r>
      <w:r>
        <w:t xml:space="preserve">transactional data. However, it would allow tax administrations to obtain the data required to limit</w:t>
      </w:r>
      <w:r>
        <w:t xml:space="preserve"> </w:t>
      </w:r>
      <w:r>
        <w:t xml:space="preserve">the follow-up requests for information to the CASPs. The detailed information would in many</w:t>
      </w:r>
      <w:r>
        <w:t xml:space="preserve"> </w:t>
      </w:r>
      <w:r>
        <w:t xml:space="preserve">cases suffice to directly calculate the potential capital gains of a user.</w:t>
      </w:r>
      <w:r>
        <w:br/>
      </w:r>
      <w:r>
        <w:t xml:space="preserve">Option 7. Hybrid or middle ground option with a SME threshold:</w:t>
      </w:r>
      <w:r>
        <w:t xml:space="preserve"> </w:t>
      </w:r>
      <w:r>
        <w:t xml:space="preserve">Under this policy option, the reporting and exchange of information would apply to all crypto-</w:t>
      </w:r>
      <w:r>
        <w:t xml:space="preserve"> </w:t>
      </w:r>
      <w:r>
        <w:t xml:space="preserve">assets, except non-marketable crypto-assets and utility tokens, and for all CASPs that have EU</w:t>
      </w:r>
      <w:r>
        <w:t xml:space="preserve"> </w:t>
      </w:r>
      <w:r>
        <w:t xml:space="preserve">users. The information here would be reported on a middle ground basis.</w:t>
      </w:r>
      <w:r>
        <w:br/>
      </w:r>
      <w:r>
        <w:t xml:space="preserve">The introduction of a SME threshold would mean that SMEs do not incur the costs to aggregate</w:t>
      </w:r>
      <w:r>
        <w:t xml:space="preserve"> </w:t>
      </w:r>
      <w:r>
        <w:t xml:space="preserve">and report the information. However, as in the previous analyses, this option would not avoid</w:t>
      </w:r>
      <w:r>
        <w:t xml:space="preserve"> </w:t>
      </w:r>
      <w:r>
        <w:t xml:space="preserve">creating a potential loophole and distorting the EU market of crypto-assets. The effort that SME</w:t>
      </w:r>
      <w:r>
        <w:t xml:space="preserve"> </w:t>
      </w:r>
      <w:r>
        <w:t xml:space="preserve">would need to perform to comply with this information requirement would be within the</w:t>
      </w:r>
      <w:r>
        <w:t xml:space="preserve"> </w:t>
      </w:r>
      <w:r>
        <w:t xml:space="preserve">proportionality framework, and therefore, it would be justified not to have any threshold on SME.</w:t>
      </w:r>
      <w:r>
        <w:br/>
      </w:r>
      <w:r>
        <w:t xml:space="preserve">5.4 Options discarded at an early stage</w:t>
      </w:r>
      <w:r>
        <w:t xml:space="preserve"> </w:t>
      </w:r>
      <w:r>
        <w:t xml:space="preserve">Some of the options highlighted above were considered as not a viable way forward either because</w:t>
      </w:r>
      <w:r>
        <w:t xml:space="preserve"> </w:t>
      </w:r>
      <w:r>
        <w:t xml:space="preserve">there was no deemed added value or because experience with similar approaches has proven</w:t>
      </w:r>
      <w:r>
        <w:t xml:space="preserve"> </w:t>
      </w:r>
      <w:r>
        <w:t xml:space="preserve">ineffective in the past: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Table 2 Options Discarded</w:t>
      </w:r>
      <w:r>
        <w:t xml:space="preserve"> </w:t>
      </w:r>
      <w:r>
        <w:t xml:space="preserve">Option</w:t>
      </w:r>
      <w:r>
        <w:t xml:space="preserve"> </w:t>
      </w:r>
      <w:r>
        <w:t xml:space="preserve">discarded</w:t>
      </w:r>
      <w:r>
        <w:t xml:space="preserve"> </w:t>
      </w:r>
      <w:r>
        <w:t xml:space="preserve">Section Explanation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approach</w:t>
      </w:r>
      <w:r>
        <w:t xml:space="preserve"> </w:t>
      </w:r>
      <w:r>
        <w:t xml:space="preserve">5.2</w:t>
      </w:r>
      <w:r>
        <w:t xml:space="preserve"> </w:t>
      </w:r>
      <w:r>
        <w:t xml:space="preserve">This option would bring no added value as the OECD framework</w:t>
      </w:r>
      <w:r>
        <w:t xml:space="preserve"> </w:t>
      </w:r>
      <w:r>
        <w:t xml:space="preserve">would be developed and Member States that would wish to do so</w:t>
      </w:r>
      <w:r>
        <w:t xml:space="preserve"> </w:t>
      </w:r>
      <w:r>
        <w:t xml:space="preserve">would implement the framework. A Commission Recommendation</w:t>
      </w:r>
      <w:r>
        <w:t xml:space="preserve"> </w:t>
      </w:r>
      <w:r>
        <w:t xml:space="preserve">would bring no added value as it would not be legally binding, hence</w:t>
      </w:r>
      <w:r>
        <w:t xml:space="preserve"> </w:t>
      </w:r>
      <w:r>
        <w:t xml:space="preserve">it would not address the issue of fragmentation of reporting</w:t>
      </w:r>
      <w:r>
        <w:t xml:space="preserve"> </w:t>
      </w:r>
      <w:r>
        <w:t xml:space="preserve">requirements across the EU. In particular, it would still be for each</w:t>
      </w:r>
      <w:r>
        <w:t xml:space="preserve"> </w:t>
      </w:r>
      <w:r>
        <w:t xml:space="preserve">Member State to decide on the introduction of such reporting</w:t>
      </w:r>
      <w:r>
        <w:t xml:space="preserve"> </w:t>
      </w:r>
      <w:r>
        <w:t xml:space="preserve">obligations and on their precise scope. In addition, the difficulty of</w:t>
      </w:r>
      <w:r>
        <w:t xml:space="preserve"> </w:t>
      </w:r>
      <w:r>
        <w:t xml:space="preserve">enforcing domestic legislation vis-à-vis CASPs resident in another</w:t>
      </w:r>
      <w:r>
        <w:t xml:space="preserve"> </w:t>
      </w:r>
      <w:r>
        <w:t xml:space="preserve">jurisdiction would not be addressed. Other potential consequences</w:t>
      </w:r>
      <w:r>
        <w:t xml:space="preserve"> </w:t>
      </w:r>
      <w:r>
        <w:t xml:space="preserve">would be heterogeneous reporting obligations throughout the EU and</w:t>
      </w:r>
      <w:r>
        <w:t xml:space="preserve"> </w:t>
      </w:r>
      <w:r>
        <w:t xml:space="preserve">distortion of internal market.</w:t>
      </w:r>
      <w:r>
        <w:br/>
      </w:r>
      <w:r>
        <w:t xml:space="preserve">Only EU-based</w:t>
      </w:r>
      <w:r>
        <w:t xml:space="preserve"> </w:t>
      </w:r>
      <w:r>
        <w:t xml:space="preserve">CASPs would</w:t>
      </w:r>
      <w:r>
        <w:t xml:space="preserve"> </w:t>
      </w:r>
      <w:r>
        <w:t xml:space="preserve">be within the</w:t>
      </w:r>
      <w:r>
        <w:t xml:space="preserve"> </w:t>
      </w:r>
      <w:r>
        <w:t xml:space="preserve">scope of the</w:t>
      </w:r>
      <w:r>
        <w:t xml:space="preserve"> </w:t>
      </w:r>
      <w:r>
        <w:t xml:space="preserve">reporting</w:t>
      </w:r>
      <w:r>
        <w:t xml:space="preserve"> </w:t>
      </w:r>
      <w:r>
        <w:t xml:space="preserve">framework.</w:t>
      </w:r>
      <w:r>
        <w:t xml:space="preserve"> </w:t>
      </w:r>
      <w:r>
        <w:t xml:space="preserve">5</w:t>
      </w:r>
      <w:r>
        <w:t xml:space="preserve"> </w:t>
      </w:r>
      <w:r>
        <w:t xml:space="preserve">Some of the intrinsic characteristics of crypto- assets are that they are</w:t>
      </w:r>
      <w:r>
        <w:t xml:space="preserve"> </w:t>
      </w:r>
      <w:r>
        <w:t xml:space="preserve">highly mobile and digitalized and can therefore be exchanged all over</w:t>
      </w:r>
      <w:r>
        <w:t xml:space="preserve"> </w:t>
      </w:r>
      <w:r>
        <w:t xml:space="preserve">the world. That means that European users can use the exchanges</w:t>
      </w:r>
      <w:r>
        <w:t xml:space="preserve"> </w:t>
      </w:r>
      <w:r>
        <w:t xml:space="preserve">services of any CASPs no matter where the CASPs have their</w:t>
      </w:r>
      <w:r>
        <w:t xml:space="preserve"> </w:t>
      </w:r>
      <w:r>
        <w:t xml:space="preserve">jurisdiction. A reporting of information framework where only EU-</w:t>
      </w:r>
      <w:r>
        <w:t xml:space="preserve"> </w:t>
      </w:r>
      <w:r>
        <w:t xml:space="preserve">based CASPS would need to report would favour non-EU-based</w:t>
      </w:r>
      <w:r>
        <w:t xml:space="preserve"> </w:t>
      </w:r>
      <w:r>
        <w:t xml:space="preserve">CASPS against their European competitors, and would only provide</w:t>
      </w:r>
      <w:r>
        <w:t xml:space="preserve"> </w:t>
      </w:r>
      <w:r>
        <w:t xml:space="preserve">limited information to EU tax adminsitrations.</w:t>
      </w:r>
    </w:p>
    <w:p>
      <w:pPr>
        <w:pStyle w:val="BodyText"/>
      </w:pPr>
      <w:r>
        <w:t xml:space="preserve">31</w:t>
      </w:r>
    </w:p>
    <w:p>
      <w:pPr>
        <w:pStyle w:val="Compact"/>
        <w:numPr>
          <w:ilvl w:val="0"/>
          <w:numId w:val="1008"/>
        </w:numPr>
      </w:pPr>
      <w:r>
        <w:t xml:space="preserve">WHAT ARE THE IMPACTS OF THE POLICY OPTIONS?</w:t>
      </w:r>
      <w:r>
        <w:t xml:space="preserve"> </w:t>
      </w:r>
      <w:r>
        <w:t xml:space="preserve">6.1 Overview of options</w:t>
      </w:r>
      <w:r>
        <w:t xml:space="preserve"> </w:t>
      </w:r>
      <w:r>
        <w:t xml:space="preserve">The expected impacts of the options presented are discussed in more detail in the following section.</w:t>
      </w:r>
      <w:r>
        <w:t xml:space="preserve"> </w:t>
      </w:r>
      <w:r>
        <w:t xml:space="preserve">These cover economic impacts (costs and benefits) on CASPs, national tax administrations and</w:t>
      </w:r>
      <w:r>
        <w:t xml:space="preserve"> </w:t>
      </w:r>
      <w:r>
        <w:t xml:space="preserve">the Commission, impacts on sectors competitiveness and SMEs, as well as social and</w:t>
      </w:r>
      <w:r>
        <w:t xml:space="preserve"> </w:t>
      </w:r>
      <w:r>
        <w:t xml:space="preserve">environmental impacts. All the policy options have been assessed against the baseline scenario.</w:t>
      </w:r>
      <w:r>
        <w:t xml:space="preserve"> </w:t>
      </w:r>
      <w:r>
        <w:t xml:space="preserve">The table below provides an overview of available policy options considered in the analysis.</w:t>
      </w:r>
      <w:r>
        <w:t xml:space="preserve"> </w:t>
      </w:r>
      <w:r>
        <w:t xml:space="preserve">Table 3 Policy options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</w:t>
      </w:r>
      <w:r>
        <w:t xml:space="preserve"> </w:t>
      </w:r>
      <w:r>
        <w:t xml:space="preserve">Option 6</w:t>
      </w:r>
      <w:r>
        <w:t xml:space="preserve"> </w:t>
      </w:r>
      <w:r>
        <w:t xml:space="preserve">CASPs report</w:t>
      </w:r>
      <w:r>
        <w:t xml:space="preserve"> </w:t>
      </w:r>
      <w:r>
        <w:t xml:space="preserve">detailed</w:t>
      </w:r>
      <w:r>
        <w:t xml:space="preserve"> </w:t>
      </w:r>
      <w:r>
        <w:t xml:space="preserve">transactional</w:t>
      </w:r>
      <w:r>
        <w:t xml:space="preserve"> </w:t>
      </w:r>
      <w:r>
        <w:t xml:space="preserve">information on all</w:t>
      </w:r>
      <w:r>
        <w:t xml:space="preserve"> </w:t>
      </w:r>
      <w:r>
        <w:t xml:space="preserve">assets types</w:t>
      </w:r>
      <w:r>
        <w:t xml:space="preserve"> </w:t>
      </w:r>
      <w:r>
        <w:t xml:space="preserve">except for non-</w:t>
      </w:r>
      <w:r>
        <w:t xml:space="preserve"> </w:t>
      </w:r>
      <w:r>
        <w:t xml:space="preserve">marketable</w:t>
      </w:r>
      <w:r>
        <w:t xml:space="preserve"> </w:t>
      </w:r>
      <w:r>
        <w:t xml:space="preserve">crypto-assets and</w:t>
      </w:r>
      <w:r>
        <w:t xml:space="preserve"> </w:t>
      </w:r>
      <w:r>
        <w:t xml:space="preserve">utility tokens.</w:t>
      </w:r>
      <w:r>
        <w:t xml:space="preserve"> </w:t>
      </w:r>
      <w:r>
        <w:t xml:space="preserve">Threshold on</w:t>
      </w:r>
      <w:r>
        <w:t xml:space="preserve"> </w:t>
      </w:r>
      <w:r>
        <w:t xml:space="preserve">CASP size does</w:t>
      </w:r>
      <w:r>
        <w:t xml:space="preserve"> </w:t>
      </w:r>
      <w:r>
        <w:t xml:space="preserve">not apply.</w:t>
      </w:r>
      <w:r>
        <w:t xml:space="preserve"> </w:t>
      </w:r>
      <w:r>
        <w:t xml:space="preserve">CASPs report</w:t>
      </w:r>
      <w:r>
        <w:t xml:space="preserve"> </w:t>
      </w:r>
      <w:r>
        <w:t xml:space="preserve">detailed</w:t>
      </w:r>
      <w:r>
        <w:t xml:space="preserve"> </w:t>
      </w:r>
      <w:r>
        <w:t xml:space="preserve">transactional</w:t>
      </w:r>
      <w:r>
        <w:t xml:space="preserve"> </w:t>
      </w:r>
      <w:r>
        <w:t xml:space="preserve">information on all</w:t>
      </w:r>
      <w:r>
        <w:t xml:space="preserve"> </w:t>
      </w:r>
      <w:r>
        <w:t xml:space="preserve">assets types</w:t>
      </w:r>
      <w:r>
        <w:t xml:space="preserve"> </w:t>
      </w:r>
      <w:r>
        <w:t xml:space="preserve">except for non-</w:t>
      </w:r>
      <w:r>
        <w:t xml:space="preserve"> </w:t>
      </w:r>
      <w:r>
        <w:t xml:space="preserve">marketable</w:t>
      </w:r>
      <w:r>
        <w:t xml:space="preserve"> </w:t>
      </w:r>
      <w:r>
        <w:t xml:space="preserve">crypto-assets and</w:t>
      </w:r>
      <w:r>
        <w:t xml:space="preserve"> </w:t>
      </w:r>
      <w:r>
        <w:t xml:space="preserve">utility tokens.</w:t>
      </w:r>
      <w:r>
        <w:t xml:space="preserve"> </w:t>
      </w:r>
      <w:r>
        <w:t xml:space="preserve">Threshold on</w:t>
      </w:r>
      <w:r>
        <w:t xml:space="preserve"> </w:t>
      </w:r>
      <w:r>
        <w:t xml:space="preserve">CASP size</w:t>
      </w:r>
      <w:r>
        <w:t xml:space="preserve"> </w:t>
      </w:r>
      <w:r>
        <w:t xml:space="preserve">applies.</w:t>
      </w:r>
      <w:r>
        <w:t xml:space="preserve"> </w:t>
      </w:r>
      <w:r>
        <w:t xml:space="preserve">CASPs report</w:t>
      </w:r>
      <w:r>
        <w:t xml:space="preserve"> </w:t>
      </w:r>
      <w:r>
        <w:t xml:space="preserve">aggregated</w:t>
      </w:r>
      <w:r>
        <w:t xml:space="preserve"> </w:t>
      </w:r>
      <w:r>
        <w:t xml:space="preserve">transactional</w:t>
      </w:r>
      <w:r>
        <w:t xml:space="preserve"> </w:t>
      </w:r>
      <w:r>
        <w:t xml:space="preserve">information on all</w:t>
      </w:r>
      <w:r>
        <w:t xml:space="preserve"> </w:t>
      </w:r>
      <w:r>
        <w:t xml:space="preserve">assets types</w:t>
      </w:r>
      <w:r>
        <w:t xml:space="preserve"> </w:t>
      </w:r>
      <w:r>
        <w:t xml:space="preserve">except for non-</w:t>
      </w:r>
      <w:r>
        <w:t xml:space="preserve"> </w:t>
      </w:r>
      <w:r>
        <w:t xml:space="preserve">marketable</w:t>
      </w:r>
      <w:r>
        <w:t xml:space="preserve"> </w:t>
      </w:r>
      <w:r>
        <w:t xml:space="preserve">crypto-assets and</w:t>
      </w:r>
      <w:r>
        <w:t xml:space="preserve"> </w:t>
      </w:r>
      <w:r>
        <w:t xml:space="preserve">utility tokens.</w:t>
      </w:r>
      <w:r>
        <w:br/>
      </w:r>
      <w:r>
        <w:t xml:space="preserve">Threshold on</w:t>
      </w:r>
      <w:r>
        <w:t xml:space="preserve"> </w:t>
      </w:r>
      <w:r>
        <w:t xml:space="preserve">CASP size does</w:t>
      </w:r>
      <w:r>
        <w:t xml:space="preserve"> </w:t>
      </w:r>
      <w:r>
        <w:t xml:space="preserve">not apply.</w:t>
      </w:r>
      <w:r>
        <w:t xml:space="preserve"> </w:t>
      </w:r>
      <w:r>
        <w:t xml:space="preserve">CASPs report</w:t>
      </w:r>
      <w:r>
        <w:t xml:space="preserve"> </w:t>
      </w:r>
      <w:r>
        <w:t xml:space="preserve">aggregated</w:t>
      </w:r>
      <w:r>
        <w:t xml:space="preserve"> </w:t>
      </w:r>
      <w:r>
        <w:t xml:space="preserve">transactional</w:t>
      </w:r>
      <w:r>
        <w:t xml:space="preserve"> </w:t>
      </w:r>
      <w:r>
        <w:t xml:space="preserve">information on all</w:t>
      </w:r>
      <w:r>
        <w:t xml:space="preserve"> </w:t>
      </w:r>
      <w:r>
        <w:t xml:space="preserve">assets types</w:t>
      </w:r>
      <w:r>
        <w:t xml:space="preserve"> </w:t>
      </w:r>
      <w:r>
        <w:t xml:space="preserve">except for non-</w:t>
      </w:r>
      <w:r>
        <w:t xml:space="preserve"> </w:t>
      </w:r>
      <w:r>
        <w:t xml:space="preserve">marketable</w:t>
      </w:r>
      <w:r>
        <w:t xml:space="preserve"> </w:t>
      </w:r>
      <w:r>
        <w:t xml:space="preserve">crypto-assets and</w:t>
      </w:r>
      <w:r>
        <w:t xml:space="preserve"> </w:t>
      </w:r>
      <w:r>
        <w:t xml:space="preserve">utility tokens.</w:t>
      </w:r>
      <w:r>
        <w:t xml:space="preserve"> </w:t>
      </w:r>
      <w:r>
        <w:t xml:space="preserve">Threshold on</w:t>
      </w:r>
      <w:r>
        <w:t xml:space="preserve"> </w:t>
      </w:r>
      <w:r>
        <w:t xml:space="preserve">CASP size</w:t>
      </w:r>
      <w:r>
        <w:t xml:space="preserve"> </w:t>
      </w:r>
      <w:r>
        <w:t xml:space="preserve">applies.</w:t>
      </w:r>
      <w:r>
        <w:t xml:space="preserve"> </w:t>
      </w:r>
      <w:r>
        <w:t xml:space="preserve">CASPs report</w:t>
      </w:r>
      <w:r>
        <w:t xml:space="preserve"> </w:t>
      </w:r>
      <w:r>
        <w:t xml:space="preserve">hybrid</w:t>
      </w:r>
      <w:r>
        <w:t xml:space="preserve"> </w:t>
      </w:r>
      <w:r>
        <w:t xml:space="preserve">transactional</w:t>
      </w:r>
      <w:r>
        <w:t xml:space="preserve"> </w:t>
      </w:r>
      <w:r>
        <w:t xml:space="preserve">information on all</w:t>
      </w:r>
      <w:r>
        <w:t xml:space="preserve"> </w:t>
      </w:r>
      <w:r>
        <w:t xml:space="preserve">assets types</w:t>
      </w:r>
      <w:r>
        <w:t xml:space="preserve"> </w:t>
      </w:r>
      <w:r>
        <w:t xml:space="preserve">except for non-</w:t>
      </w:r>
      <w:r>
        <w:t xml:space="preserve"> </w:t>
      </w:r>
      <w:r>
        <w:t xml:space="preserve">marketable</w:t>
      </w:r>
      <w:r>
        <w:t xml:space="preserve"> </w:t>
      </w:r>
      <w:r>
        <w:t xml:space="preserve">crypto-assets and</w:t>
      </w:r>
      <w:r>
        <w:t xml:space="preserve"> </w:t>
      </w:r>
      <w:r>
        <w:t xml:space="preserve">utility tokens.</w:t>
      </w:r>
      <w:r>
        <w:t xml:space="preserve"> </w:t>
      </w:r>
      <w:r>
        <w:t xml:space="preserve">Threshold on</w:t>
      </w:r>
      <w:r>
        <w:t xml:space="preserve"> </w:t>
      </w:r>
      <w:r>
        <w:t xml:space="preserve">CASP size does</w:t>
      </w:r>
      <w:r>
        <w:t xml:space="preserve"> </w:t>
      </w:r>
      <w:r>
        <w:t xml:space="preserve">not apply.</w:t>
      </w:r>
      <w:r>
        <w:t xml:space="preserve"> </w:t>
      </w:r>
      <w:r>
        <w:t xml:space="preserve">CASPs report</w:t>
      </w:r>
      <w:r>
        <w:t xml:space="preserve"> </w:t>
      </w:r>
      <w:r>
        <w:t xml:space="preserve">hybrid</w:t>
      </w:r>
      <w:r>
        <w:t xml:space="preserve"> </w:t>
      </w:r>
      <w:r>
        <w:t xml:space="preserve">transactional</w:t>
      </w:r>
      <w:r>
        <w:t xml:space="preserve"> </w:t>
      </w:r>
      <w:r>
        <w:t xml:space="preserve">information on all</w:t>
      </w:r>
      <w:r>
        <w:t xml:space="preserve"> </w:t>
      </w:r>
      <w:r>
        <w:t xml:space="preserve">assets types</w:t>
      </w:r>
      <w:r>
        <w:t xml:space="preserve"> </w:t>
      </w:r>
      <w:r>
        <w:t xml:space="preserve">except for non-</w:t>
      </w:r>
      <w:r>
        <w:t xml:space="preserve"> </w:t>
      </w:r>
      <w:r>
        <w:t xml:space="preserve">marketable</w:t>
      </w:r>
      <w:r>
        <w:t xml:space="preserve"> </w:t>
      </w:r>
      <w:r>
        <w:t xml:space="preserve">crypto-assets and</w:t>
      </w:r>
      <w:r>
        <w:t xml:space="preserve"> </w:t>
      </w:r>
      <w:r>
        <w:t xml:space="preserve">utility tokens.</w:t>
      </w:r>
      <w:r>
        <w:t xml:space="preserve"> </w:t>
      </w:r>
      <w:r>
        <w:t xml:space="preserve">Threshold on</w:t>
      </w:r>
      <w:r>
        <w:t xml:space="preserve"> </w:t>
      </w:r>
      <w:r>
        <w:t xml:space="preserve">CASP size</w:t>
      </w:r>
      <w:r>
        <w:t xml:space="preserve"> </w:t>
      </w:r>
      <w:r>
        <w:t xml:space="preserve">applies.</w:t>
      </w:r>
    </w:p>
    <w:p>
      <w:pPr>
        <w:pStyle w:val="FirstParagraph"/>
      </w:pPr>
      <w:r>
        <w:t xml:space="preserve">6.2. Economic impacts</w:t>
      </w:r>
      <w:r>
        <w:t xml:space="preserve"> </w:t>
      </w:r>
      <w:r>
        <w:t xml:space="preserve">The various options focus on improving the reporting and exchange of information relative to</w:t>
      </w:r>
      <w:r>
        <w:t xml:space="preserve"> </w:t>
      </w:r>
      <w:r>
        <w:t xml:space="preserve">crypto-assets transactions. Still, there is a lack of official statistics on service providers and the</w:t>
      </w:r>
      <w:r>
        <w:t xml:space="preserve"> </w:t>
      </w:r>
      <w:r>
        <w:t xml:space="preserve">underlying transactions they tend to facilitate, which would be needed to estimate the economic</w:t>
      </w:r>
      <w:r>
        <w:t xml:space="preserve"> </w:t>
      </w:r>
      <w:r>
        <w:t xml:space="preserve">impacts of the initiative in a reliable manner. We do, however, estimate as much as possible both</w:t>
      </w:r>
      <w:r>
        <w:t xml:space="preserve"> </w:t>
      </w:r>
      <w:r>
        <w:t xml:space="preserve">the benefits and the costs of the measure on the basis of reasonable and sound assumptions</w:t>
      </w:r>
      <w:r>
        <w:t xml:space="preserve"> </w:t>
      </w:r>
      <w:r>
        <w:t xml:space="preserve">combined with extrapolations based on available data. Despite the said limitations, these estimates</w:t>
      </w:r>
      <w:r>
        <w:t xml:space="preserve"> </w:t>
      </w:r>
      <w:r>
        <w:t xml:space="preserve">can still provide a solid basis for policy-making purposes and the achievement of the objectives</w:t>
      </w:r>
      <w:r>
        <w:t xml:space="preserve"> </w:t>
      </w:r>
      <w:r>
        <w:t xml:space="preserve">under this proposal. This should be taken as the best effort by the Commission services, to assess</w:t>
      </w:r>
      <w:r>
        <w:t xml:space="preserve"> </w:t>
      </w:r>
      <w:r>
        <w:t xml:space="preserve">the most significant impacts of the initiative.</w:t>
      </w:r>
      <w:r>
        <w:t xml:space="preserve"> </w:t>
      </w:r>
      <w:r>
        <w:t xml:space="preserve">6.2.1. Benefits</w:t>
      </w:r>
      <w:r>
        <w:t xml:space="preserve"> </w:t>
      </w:r>
      <w:r>
        <w:t xml:space="preserve">One of the key aims of this initiative is to prevent tax fraud, evasion and avoidance stemming from</w:t>
      </w:r>
      <w:r>
        <w:t xml:space="preserve"> </w:t>
      </w:r>
      <w:r>
        <w:t xml:space="preserve">crypto-asset transactions. As previously discussed, revenues earned through these are currently</w:t>
      </w:r>
      <w:r>
        <w:t xml:space="preserve"> </w:t>
      </w:r>
      <w:r>
        <w:t xml:space="preserve">under-reported. Better reporting and exchange of information should therefore have a positive</w:t>
      </w:r>
      <w:r>
        <w:t xml:space="preserve"> </w:t>
      </w:r>
      <w:r>
        <w:t xml:space="preserve">impact on the revenues to be collected by tax administrations, which we try to estimate.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Central to the benefits estimation stands the concept of capital gains.33 Realised capital gains</w:t>
      </w:r>
      <w:r>
        <w:t xml:space="preserve"> </w:t>
      </w:r>
      <w:r>
        <w:t xml:space="preserve">accrue when the selling price of a crypto-asset exceeds the price of their initial purchase and the</w:t>
      </w:r>
      <w:r>
        <w:t xml:space="preserve"> </w:t>
      </w:r>
      <w:r>
        <w:t xml:space="preserve">asset is sold or exchanged.34 Such income may be subject to tax. The estimates provided hereafter</w:t>
      </w:r>
      <w:r>
        <w:t xml:space="preserve"> </w:t>
      </w:r>
      <w:r>
        <w:t xml:space="preserve">are therefore based on the previously mentioned exchange dynamics. Information related to</w:t>
      </w:r>
      <w:r>
        <w:t xml:space="preserve"> </w:t>
      </w:r>
      <w:r>
        <w:t xml:space="preserve">Bitcoin has been used due to its prevalence on the cryptocurrency market and the availability of</w:t>
      </w:r>
      <w:r>
        <w:t xml:space="preserve"> </w:t>
      </w:r>
      <w:r>
        <w:t xml:space="preserve">data. Data regarding other crypto market players is difficult to acquire and it is doubtful whether</w:t>
      </w:r>
      <w:r>
        <w:t xml:space="preserve"> </w:t>
      </w:r>
      <w:r>
        <w:t xml:space="preserve">it would be reliable. Detailed information on the methodology used to estimate the benefits and</w:t>
      </w:r>
      <w:r>
        <w:t xml:space="preserve"> </w:t>
      </w:r>
      <w:r>
        <w:t xml:space="preserve">the employed assumptions can be found in Annex 4.</w:t>
      </w:r>
      <w:r>
        <w:t xml:space="preserve"> </w:t>
      </w:r>
      <w:r>
        <w:t xml:space="preserve">In 2020, the total realised capital gains by EU citizens from Bitcoin amounted to EUR 3.6 billion</w:t>
      </w:r>
      <w:r>
        <w:t xml:space="preserve"> </w:t>
      </w:r>
      <w:r>
        <w:t xml:space="preserve">according to a study by Thiemann (2021).35,36 The employed data had been tracked by Chainalysis</w:t>
      </w:r>
      <w:r>
        <w:t xml:space="preserve"> </w:t>
      </w:r>
      <w:r>
        <w:t xml:space="preserve">(a blockchain data platform) who are considered a trusted source of information.37 The distribution</w:t>
      </w:r>
      <w:r>
        <w:t xml:space="preserve"> </w:t>
      </w:r>
      <w:r>
        <w:t xml:space="preserve">of capital gains across the Member States is uneven. Member States have different approaches</w:t>
      </w:r>
      <w:r>
        <w:t xml:space="preserve"> </w:t>
      </w:r>
      <w:r>
        <w:t xml:space="preserve">when it comes to taxing realised capital gains, with some Member States not taxing them at all.</w:t>
      </w:r>
      <w:r>
        <w:t xml:space="preserve"> </w:t>
      </w:r>
      <w:r>
        <w:t xml:space="preserve">The above-mentioned study has found that, by applying a uniform 25% tax rate on realised capital</w:t>
      </w:r>
      <w:r>
        <w:t xml:space="preserve"> </w:t>
      </w:r>
      <w:r>
        <w:t xml:space="preserve">gains from Bitcoin across all Member States, approximately EUR 0.9 billion of tax revenue could</w:t>
      </w:r>
      <w:r>
        <w:t xml:space="preserve"> </w:t>
      </w:r>
      <w:r>
        <w:t xml:space="preserve">have been collected in 2020. The alternative scenario, the one applying the actual tax rates on</w:t>
      </w:r>
      <w:r>
        <w:t xml:space="preserve"> </w:t>
      </w:r>
      <w:r>
        <w:t xml:space="preserve">realised capital gains in the Member States, has produced similar results yielding roughly EUR</w:t>
      </w:r>
      <w:r>
        <w:t xml:space="preserve"> </w:t>
      </w:r>
      <w:r>
        <w:t xml:space="preserve">0.85 billion of tax revenue.</w:t>
      </w:r>
      <w:r>
        <w:t xml:space="preserve"> </w:t>
      </w:r>
      <w:r>
        <w:t xml:space="preserve">For simplicity reasons and taking into account the narrow difference in tax revenues between the</w:t>
      </w:r>
      <w:r>
        <w:t xml:space="preserve"> </w:t>
      </w:r>
      <w:r>
        <w:t xml:space="preserve">two analysed approaches in the study, our benefit estimations are henceforth based on the</w:t>
      </w:r>
      <w:r>
        <w:t xml:space="preserve"> </w:t>
      </w:r>
      <w:r>
        <w:t xml:space="preserve">application of the 25% uniform tax rate on total capital gains from all crypto-assets. However,</w:t>
      </w:r>
      <w:r>
        <w:t xml:space="preserve"> </w:t>
      </w:r>
      <w:r>
        <w:t xml:space="preserve">since crypto-assets are prone to high volatility, as explained in the previous chapters, we have also</w:t>
      </w:r>
      <w:r>
        <w:t xml:space="preserve"> </w:t>
      </w:r>
      <w:r>
        <w:t xml:space="preserve">performed a sensitivity analysis by introducing two additional rates of 15% and 35%. Besides this,</w:t>
      </w:r>
      <w:r>
        <w:t xml:space="preserve"> </w:t>
      </w:r>
      <w:r>
        <w:t xml:space="preserve">and as explained in chapter 5, we have excluded non-marketable crypto-assets and utility tokens</w:t>
      </w:r>
      <w:r>
        <w:t xml:space="preserve"> </w:t>
      </w:r>
      <w:r>
        <w:t xml:space="preserve">(as these types of crypto-assets are not relevant for tax purposes). The benefit estimates and the</w:t>
      </w:r>
      <w:r>
        <w:t xml:space="preserve"> </w:t>
      </w:r>
      <w:r>
        <w:t xml:space="preserve">corresponding sensitivity analysis are presented in Table 4 below, while the rationale behind the</w:t>
      </w:r>
      <w:r>
        <w:t xml:space="preserve"> </w:t>
      </w:r>
      <w:r>
        <w:t xml:space="preserve">estimated figures and the employed assumptions are detailed in Annex 4.</w:t>
      </w:r>
      <w:r>
        <w:t xml:space="preserve"> </w:t>
      </w:r>
      <w:r>
        <w:t xml:space="preserve">Table 4 Tax revenue estimates from realised capital gains in 2020 and sensitivity analysis</w:t>
      </w:r>
      <w:r>
        <w:t xml:space="preserve"> </w:t>
      </w:r>
      <w:r>
        <w:t xml:space="preserve">Uniform tax rates on capital gains</w:t>
      </w:r>
      <w:r>
        <w:t xml:space="preserve"> </w:t>
      </w:r>
      <w:r>
        <w:t xml:space="preserve">Tax revenues estimates (in billion EUR)</w:t>
      </w:r>
      <w:r>
        <w:t xml:space="preserve"> </w:t>
      </w:r>
      <w:r>
        <w:t xml:space="preserve">15%</w:t>
      </w:r>
      <w:r>
        <w:t xml:space="preserve"> </w:t>
      </w:r>
      <w:r>
        <w:t xml:space="preserve">1.0</w:t>
      </w:r>
      <w:r>
        <w:t xml:space="preserve"> </w:t>
      </w:r>
      <w:r>
        <w:t xml:space="preserve">25%</w:t>
      </w:r>
      <w:r>
        <w:t xml:space="preserve"> </w:t>
      </w:r>
      <w:r>
        <w:t xml:space="preserve">1.7</w:t>
      </w:r>
      <w:r>
        <w:t xml:space="preserve"> </w:t>
      </w:r>
      <w:r>
        <w:t xml:space="preserve">35%</w:t>
      </w:r>
      <w:r>
        <w:t xml:space="preserve"> </w:t>
      </w:r>
      <w:r>
        <w:t xml:space="preserve">2.4</w:t>
      </w:r>
    </w:p>
    <w:p>
      <w:pPr>
        <w:pStyle w:val="BodyText"/>
      </w:pPr>
      <w:r>
        <w:t xml:space="preserve">When applying different uniform tax rates (as shown in the table above), the estimated tax revenues</w:t>
      </w:r>
      <w:r>
        <w:t xml:space="preserve"> </w:t>
      </w:r>
      <w:r>
        <w:t xml:space="preserve">range between EUR 1 and 2.4 billion. These figures should be interpreted with caution as crypto-</w:t>
      </w:r>
    </w:p>
    <w:p>
      <w:pPr>
        <w:pStyle w:val="BodyText"/>
      </w:pPr>
      <w:r>
        <w:t xml:space="preserve">33 Capital gains can be realised or unrealised. The latter is not being addressed in this section as only realised capital gains concern the analysis.</w:t>
      </w:r>
      <w:r>
        <w:t xml:space="preserve"> </w:t>
      </w:r>
      <w:r>
        <w:t xml:space="preserve">34 Hungerford (2010). “The Redistributive Effect of Selected Federal Transfer and Tax Provisions”.</w:t>
      </w:r>
      <w:r>
        <w:t xml:space="preserve"> </w:t>
      </w:r>
      <w:r>
        <w:t xml:space="preserve">35 Thiemann (2021). Cryptocurrencies: An empirical view from a tax perspective, JRC Working Papers on Taxation and Structural Reforms, No</w:t>
      </w:r>
      <w:r>
        <w:t xml:space="preserve"> </w:t>
      </w:r>
      <w:r>
        <w:t xml:space="preserve">12.</w:t>
      </w:r>
      <w:r>
        <w:br/>
      </w:r>
      <w:r>
        <w:t xml:space="preserve">36 The analysis includes capital losses, but the aggregate outcome is positive (i.e. capital gains).</w:t>
      </w:r>
      <w:r>
        <w:t xml:space="preserve"> </w:t>
      </w:r>
      <w:r>
        <w:t xml:space="preserve">37 Chainalysis has been commissioned by various governments, research agencies, financial institutions and insurance and cybersecurity companies</w:t>
      </w:r>
      <w:r>
        <w:t xml:space="preserve"> </w:t>
      </w:r>
      <w:r>
        <w:t xml:space="preserve">worldwide, but even them experience limitations in collecting data (e.g. the use of VPN networks that hide the true location of transacting parties).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assets (i.e. Bitcoin) may suffer even greater value oscillations (according to the available statistics)</w:t>
      </w:r>
      <w:r>
        <w:t xml:space="preserve"> </w:t>
      </w:r>
      <w:r>
        <w:t xml:space="preserve">than what has been captured by our sensitivity analysis. This considerable volatility of the crypto-</w:t>
      </w:r>
      <w:r>
        <w:t xml:space="preserve"> </w:t>
      </w:r>
      <w:r>
        <w:t xml:space="preserve">assets’ value hinders reliable growth projections. Besides capital gains, crypto-assets could be</w:t>
      </w:r>
      <w:r>
        <w:t xml:space="preserve"> </w:t>
      </w:r>
      <w:r>
        <w:t xml:space="preserve">subject to other types of taxes (e.g. wealth tax) and these additional tax revenues have not been</w:t>
      </w:r>
      <w:r>
        <w:t xml:space="preserve"> </w:t>
      </w:r>
      <w:r>
        <w:t xml:space="preserve">reflected in the above estimates due to lack of data. Moreover, the benefit estimates cannot take</w:t>
      </w:r>
      <w:r>
        <w:t xml:space="preserve"> </w:t>
      </w:r>
      <w:r>
        <w:t xml:space="preserve">into account behavioural responses and arbitrages. For example, some users might rely on peer-</w:t>
      </w:r>
      <w:r>
        <w:t xml:space="preserve"> </w:t>
      </w:r>
      <w:r>
        <w:t xml:space="preserve">to-peer transactions instead of relying on services transactions, which could obfuscate reporting</w:t>
      </w:r>
      <w:r>
        <w:t xml:space="preserve"> </w:t>
      </w:r>
      <w:r>
        <w:t xml:space="preserve">and identification of crypto-asset generated profits.</w:t>
      </w:r>
      <w:r>
        <w:t xml:space="preserve"> </w:t>
      </w:r>
      <w:r>
        <w:t xml:space="preserve">Nevertheless, the crypto market has grown exponentially thus far and it is likely to continue</w:t>
      </w:r>
      <w:r>
        <w:t xml:space="preserve"> </w:t>
      </w:r>
      <w:r>
        <w:t xml:space="preserve">expanding. It can therefore be expected that the related tax revenues should increase over time as</w:t>
      </w:r>
      <w:r>
        <w:t xml:space="preserve"> </w:t>
      </w:r>
      <w:r>
        <w:t xml:space="preserve">well.</w:t>
      </w:r>
      <w:r>
        <w:br/>
      </w:r>
      <w:r>
        <w:t xml:space="preserve">The estimated benefits in relation to the available options are summarised in the table below.</w:t>
      </w:r>
      <w:r>
        <w:br/>
      </w:r>
      <w:r>
        <w:t xml:space="preserve">Table 5 Assessment of benefits per policy option</w:t>
      </w:r>
      <w:r>
        <w:t xml:space="preserve"> </w:t>
      </w:r>
      <w:r>
        <w:t xml:space="preserve">Option</w:t>
      </w:r>
      <w:r>
        <w:t xml:space="preserve"> </w:t>
      </w:r>
      <w:r>
        <w:t xml:space="preserve">Assessment</w:t>
      </w:r>
      <w:r>
        <w:t xml:space="preserve"> </w:t>
      </w:r>
      <w:r>
        <w:t xml:space="preserve">1</w:t>
      </w:r>
      <w:r>
        <w:t xml:space="preserve"> </w:t>
      </w:r>
      <w:r>
        <w:t xml:space="preserve">Direct benefits in terms of additional tax revenues are expected to exceed EUR 1 billion (i.e. the lower</w:t>
      </w:r>
      <w:r>
        <w:t xml:space="preserve"> </w:t>
      </w:r>
      <w:r>
        <w:t xml:space="preserve">bound). All CASPs with EU users regardless of the size would report detailed transactions to tax</w:t>
      </w:r>
      <w:r>
        <w:t xml:space="preserve"> </w:t>
      </w:r>
      <w:r>
        <w:t xml:space="preserve">administrations. While all the necessary information will be available to tax administration, detailed data</w:t>
      </w:r>
      <w:r>
        <w:t xml:space="preserve"> </w:t>
      </w:r>
      <w:r>
        <w:t xml:space="preserve">could overburden them, leading to inefficiencies linked to possible processing omissions and</w:t>
      </w:r>
      <w:r>
        <w:t xml:space="preserve"> </w:t>
      </w:r>
      <w:r>
        <w:t xml:space="preserve">consequently less tax revenue.</w:t>
      </w:r>
      <w:r>
        <w:t xml:space="preserve"> </w:t>
      </w:r>
      <w:r>
        <w:t xml:space="preserve">2</w:t>
      </w:r>
      <w:r>
        <w:t xml:space="preserve"> </w:t>
      </w:r>
      <w:r>
        <w:t xml:space="preserve">Direct benefits in terms of additional tax revenues are expected to be lower than in Option 1, but still</w:t>
      </w:r>
      <w:r>
        <w:t xml:space="preserve"> </w:t>
      </w:r>
      <w:r>
        <w:t xml:space="preserve">above the lower bound of EUR 1 billion. This is due to the exclusion criteria based on size, which reduces</w:t>
      </w:r>
      <w:r>
        <w:t xml:space="preserve"> </w:t>
      </w:r>
      <w:r>
        <w:t xml:space="preserve">the number of reporting CASPs. Even though we do not have reliable information on how many SMEs</w:t>
      </w:r>
      <w:r>
        <w:t xml:space="preserve"> </w:t>
      </w:r>
      <w:r>
        <w:t xml:space="preserve">operate as CASPs, it cannot be excluded that those smaller business have large(r) customer bases (i.e. </w:t>
      </w:r>
      <w:r>
        <w:t xml:space="preserve"> </w:t>
      </w:r>
      <w:r>
        <w:t xml:space="preserve">there could be possibly a higher amount of unreported transactions).</w:t>
      </w:r>
      <w:r>
        <w:t xml:space="preserve"> </w:t>
      </w:r>
      <w:r>
        <w:t xml:space="preserve">3</w:t>
      </w:r>
      <w:r>
        <w:t xml:space="preserve"> </w:t>
      </w:r>
      <w:r>
        <w:t xml:space="preserve">Direct benefits in terms of additional tax revenues could amount to EUR 1.7 billion (i.e. the middle</w:t>
      </w:r>
      <w:r>
        <w:t xml:space="preserve"> </w:t>
      </w:r>
      <w:r>
        <w:t xml:space="preserve">bound). All CASPs with EU users regardless of the size would report aggregated transactional</w:t>
      </w:r>
      <w:r>
        <w:t xml:space="preserve"> </w:t>
      </w:r>
      <w:r>
        <w:t xml:space="preserve">information to tax administrations. The aggregated data, however, might not always provide enough</w:t>
      </w:r>
      <w:r>
        <w:t xml:space="preserve"> </w:t>
      </w:r>
      <w:r>
        <w:t xml:space="preserve">information to ensure proper taxation, which would imply the need for the second round of information</w:t>
      </w:r>
      <w:r>
        <w:t xml:space="preserve"> </w:t>
      </w:r>
      <w:r>
        <w:t xml:space="preserve">requests by the tax administrations that come with higher costs. The net benefits (taking into account the</w:t>
      </w:r>
      <w:r>
        <w:t xml:space="preserve"> </w:t>
      </w:r>
      <w:r>
        <w:t xml:space="preserve">second-round information) are therefore likely to be lower compared to Option 1.</w:t>
      </w:r>
      <w:r>
        <w:t xml:space="preserve"> </w:t>
      </w:r>
      <w:r>
        <w:t xml:space="preserve">4</w:t>
      </w:r>
      <w:r>
        <w:t xml:space="preserve"> </w:t>
      </w:r>
      <w:r>
        <w:t xml:space="preserve">This option is similar to the previous one, but it applies a threshold based on size, which could likely</w:t>
      </w:r>
      <w:r>
        <w:t xml:space="preserve"> </w:t>
      </w:r>
      <w:r>
        <w:t xml:space="preserve">result in less benefits (direct and net) in terms of additional tax revenues. These benefits are expected to</w:t>
      </w:r>
      <w:r>
        <w:t xml:space="preserve"> </w:t>
      </w:r>
      <w:r>
        <w:t xml:space="preserve">be close to the middle bound nevertheless.</w:t>
      </w:r>
      <w:r>
        <w:t xml:space="preserve"> </w:t>
      </w:r>
      <w:r>
        <w:t xml:space="preserve">5</w:t>
      </w:r>
      <w:r>
        <w:t xml:space="preserve"> </w:t>
      </w:r>
      <w:r>
        <w:t xml:space="preserve">Direct benefits in terms of additional tax revenues could reach EUR 2.4 billion (i.e. the upper bound).</w:t>
      </w:r>
      <w:r>
        <w:t xml:space="preserve"> </w:t>
      </w:r>
      <w:r>
        <w:t xml:space="preserve">The hybrid reporting approach would ensure a balance between too detailed transactional information to</w:t>
      </w:r>
      <w:r>
        <w:t xml:space="preserve"> </w:t>
      </w:r>
      <w:r>
        <w:t xml:space="preserve">be reported by all CASPs with EU users regardless of the size (Option 1), and the need for second round</w:t>
      </w:r>
      <w:r>
        <w:t xml:space="preserve"> </w:t>
      </w:r>
      <w:r>
        <w:t xml:space="preserve">information requests (Option 3).</w:t>
      </w:r>
      <w:r>
        <w:t xml:space="preserve"> </w:t>
      </w:r>
      <w:r>
        <w:t xml:space="preserve">6</w:t>
      </w:r>
      <w:r>
        <w:t xml:space="preserve"> </w:t>
      </w:r>
      <w:r>
        <w:t xml:space="preserve">This option is similar to the previous one, but it applies a threshold based on size, which could likely</w:t>
      </w:r>
      <w:r>
        <w:t xml:space="preserve"> </w:t>
      </w:r>
      <w:r>
        <w:t xml:space="preserve">result in less benefits (direct and net) in terms of additional tax revenues. These benefits are expected to</w:t>
      </w:r>
      <w:r>
        <w:t xml:space="preserve"> </w:t>
      </w:r>
      <w:r>
        <w:t xml:space="preserve">be close to the upper bound nevertheless.</w:t>
      </w:r>
    </w:p>
    <w:p>
      <w:pPr>
        <w:pStyle w:val="BodyText"/>
      </w:pPr>
      <w:r>
        <w:t xml:space="preserve">Even though the above benefit estimates give a quantitative indication concerning the impact of</w:t>
      </w:r>
      <w:r>
        <w:t xml:space="preserve"> </w:t>
      </w:r>
      <w:r>
        <w:t xml:space="preserve">this legislative initiative, their materialisation may come with certain risks. In particular, the main</w:t>
      </w:r>
      <w:r>
        <w:t xml:space="preserve"> </w:t>
      </w:r>
      <w:r>
        <w:t xml:space="preserve">risk lies with the actual use of the information obtained by Member States. While Member States</w:t>
      </w:r>
      <w:r>
        <w:t xml:space="preserve"> </w:t>
      </w:r>
      <w:r>
        <w:t xml:space="preserve">are expected to take this new information into account to ensure proper taxation, there are</w:t>
      </w:r>
      <w:r>
        <w:t xml:space="preserve"> </w:t>
      </w:r>
      <w:r>
        <w:t xml:space="preserve">variations across Member States regarding their ability to make the best use of the data.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6.2.2. Costs</w:t>
      </w:r>
      <w:r>
        <w:t xml:space="preserve"> </w:t>
      </w:r>
      <w:r>
        <w:t xml:space="preserve">Requirements for CASPs to report data and for tax administrations to exchange them will entail</w:t>
      </w:r>
      <w:r>
        <w:t xml:space="preserve"> </w:t>
      </w:r>
      <w:r>
        <w:t xml:space="preserve">costs. The costs can be categorised as:</w:t>
      </w:r>
      <w:r>
        <w:br/>
      </w:r>
      <w:r>
        <w:t xml:space="preserve"> One-off, substantive compliance costs, incurred when a new (IT) system is introduced or</w:t>
      </w:r>
      <w:r>
        <w:t xml:space="preserve"> </w:t>
      </w:r>
      <w:r>
        <w:t xml:space="preserve">when the existing one is being updated (i.e. development costs).</w:t>
      </w:r>
      <w:r>
        <w:t xml:space="preserve"> </w:t>
      </w:r>
      <w:r>
        <w:t xml:space="preserve"> Recurrent administrative and, for tax administrations, compliance measure costs, to operate</w:t>
      </w:r>
      <w:r>
        <w:t xml:space="preserve"> </w:t>
      </w:r>
      <w:r>
        <w:t xml:space="preserve">the systems once it has been set up and to ensure it works as expected.</w:t>
      </w:r>
      <w:r>
        <w:br/>
      </w:r>
      <w:r>
        <w:t xml:space="preserve">The cost analysis is built upon the costs of setting up and operating DAC2,38 which resembles most</w:t>
      </w:r>
      <w:r>
        <w:t xml:space="preserve"> </w:t>
      </w:r>
      <w:r>
        <w:t xml:space="preserve">of the reporting obligations of this initiative. Additionally, the IT costs for tax administrations (see</w:t>
      </w:r>
      <w:r>
        <w:t xml:space="preserve"> </w:t>
      </w:r>
      <w:r>
        <w:t xml:space="preserve">Annex 5) have been predicted with a relatively higher degree of precision due to the experience</w:t>
      </w:r>
      <w:r>
        <w:t xml:space="preserve"> </w:t>
      </w:r>
      <w:r>
        <w:t xml:space="preserve">gained with previous amendments of the DAC. Even so, these calculations must overall be</w:t>
      </w:r>
      <w:r>
        <w:t xml:space="preserve"> </w:t>
      </w:r>
      <w:r>
        <w:t xml:space="preserve">approached with caution considering the absence of precise information on the market structure</w:t>
      </w:r>
      <w:r>
        <w:t xml:space="preserve"> </w:t>
      </w:r>
      <w:r>
        <w:t xml:space="preserve">and scope of the transactions on the market. However, since the costs estimates must consider</w:t>
      </w:r>
      <w:r>
        <w:t xml:space="preserve"> </w:t>
      </w:r>
      <w:r>
        <w:t xml:space="preserve">specificities of the crypto-market, additional assumptions and extrapolations had to be introduced.</w:t>
      </w:r>
      <w:r>
        <w:t xml:space="preserve"> </w:t>
      </w:r>
      <w:r>
        <w:t xml:space="preserve">These were based on the analytical documents and statistics from Chainalysis (a blockchain data</w:t>
      </w:r>
      <w:r>
        <w:t xml:space="preserve"> </w:t>
      </w:r>
      <w:r>
        <w:t xml:space="preserve">platform), Binance (a crypto-currency exchange) and Coin Market Cap (a price-tracking website</w:t>
      </w:r>
      <w:r>
        <w:t xml:space="preserve"> </w:t>
      </w:r>
      <w:r>
        <w:t xml:space="preserve">for crypto-assets). The need for combining various sources of information is a result of the</w:t>
      </w:r>
      <w:r>
        <w:t xml:space="preserve"> </w:t>
      </w:r>
      <w:r>
        <w:t xml:space="preserve">restricted availability of data, which consequently reduces the overall certainty of the projected</w:t>
      </w:r>
      <w:r>
        <w:t xml:space="preserve"> </w:t>
      </w:r>
      <w:r>
        <w:t xml:space="preserve">costs. The computed estimates are therefore indirect and as such, fragile. Annex 4 provides</w:t>
      </w:r>
      <w:r>
        <w:t xml:space="preserve"> </w:t>
      </w:r>
      <w:r>
        <w:t xml:space="preserve">additional information on the categories of costs and benefits and on the assumptions made.</w:t>
      </w:r>
      <w:r>
        <w:t xml:space="preserve"> </w:t>
      </w:r>
      <w:r>
        <w:t xml:space="preserve">In order to quantify the costs for service providers, as well as tax administrations, the following</w:t>
      </w:r>
      <w:r>
        <w:t xml:space="preserve"> </w:t>
      </w:r>
      <w:r>
        <w:t xml:space="preserve">factors needed to be estimated:</w:t>
      </w:r>
      <w:r>
        <w:t xml:space="preserve"> </w:t>
      </w:r>
      <w:r>
        <w:t xml:space="preserve"> The number of service providers (and accounts) facilitating transactions. Such a figure may</w:t>
      </w:r>
      <w:r>
        <w:t xml:space="preserve"> </w:t>
      </w:r>
      <w:r>
        <w:t xml:space="preserve">vary depending on whether there are exemptions and thresholds. If the overall scope is</w:t>
      </w:r>
      <w:r>
        <w:t xml:space="preserve"> </w:t>
      </w:r>
      <w:r>
        <w:t xml:space="preserve">broad and some exemptions are introduced, the number of reportable service providers will</w:t>
      </w:r>
      <w:r>
        <w:t xml:space="preserve"> </w:t>
      </w:r>
      <w:r>
        <w:t xml:space="preserve">be lower than if the scope were without exemptions.</w:t>
      </w:r>
      <w:r>
        <w:t xml:space="preserve"> </w:t>
      </w:r>
      <w:r>
        <w:t xml:space="preserve"> The cost of complying with the initiative, ideally per service provider and tax</w:t>
      </w:r>
      <w:r>
        <w:t xml:space="preserve"> </w:t>
      </w:r>
      <w:r>
        <w:t xml:space="preserve">administration. The hypothesis is that, the more users (i.e. accounts) a certain provider has,</w:t>
      </w:r>
      <w:r>
        <w:t xml:space="preserve"> </w:t>
      </w:r>
      <w:r>
        <w:t xml:space="preserve">the higher the costs. Therefore, providers with a relatively low number of accounts will</w:t>
      </w:r>
      <w:r>
        <w:t xml:space="preserve"> </w:t>
      </w:r>
      <w:r>
        <w:t xml:space="preserve">bear lower costs than larger market players. At the same time, we would expect that the</w:t>
      </w:r>
      <w:r>
        <w:t xml:space="preserve"> </w:t>
      </w:r>
      <w:r>
        <w:t xml:space="preserve">costs, one-off and recurrent, for one tax administration running controls on a higher number</w:t>
      </w:r>
      <w:r>
        <w:t xml:space="preserve"> </w:t>
      </w:r>
      <w:r>
        <w:t xml:space="preserve">of accounts to be higher than for an administration running controls on fewer of them.</w:t>
      </w:r>
      <w:r>
        <w:br/>
      </w:r>
      <w:r>
        <w:t xml:space="preserve">We estimate that there are around 168 CASPs with EU users. In addition to this, we quantify the</w:t>
      </w:r>
      <w:r>
        <w:t xml:space="preserve"> </w:t>
      </w:r>
      <w:r>
        <w:t xml:space="preserve">number of active accounts under the available service providers. It should be noted that for the</w:t>
      </w:r>
      <w:r>
        <w:t xml:space="preserve"> </w:t>
      </w:r>
      <w:r>
        <w:t xml:space="preserve">sake of estimation, we use the available data on Bitcoin users (for CASPs). There, we assume that</w:t>
      </w:r>
      <w:r>
        <w:t xml:space="preserve"> </w:t>
      </w:r>
      <w:r>
        <w:t xml:space="preserve">the number of accounts equals the number of users, even though having one or more accounts per</w:t>
      </w:r>
      <w:r>
        <w:t xml:space="preserve"> </w:t>
      </w:r>
      <w:r>
        <w:t xml:space="preserve">user and investing in other cryptocurrencies on top of Bitcoin remains a possibility. Furthermore,</w:t>
      </w:r>
    </w:p>
    <w:p>
      <w:pPr>
        <w:pStyle w:val="BodyText"/>
      </w:pPr>
      <w:r>
        <w:t xml:space="preserve">38 Evaluation of the Council Directive 2011/16/EU (2019).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in the absence of precise market data on crypto-assets, we have assumed that each asset category</w:t>
      </w:r>
      <w:r>
        <w:t xml:space="preserve"> </w:t>
      </w:r>
      <w:r>
        <w:t xml:space="preserve">to be excluded represented a 3% market share (similar to benefit estimation). Given that two types</w:t>
      </w:r>
      <w:r>
        <w:t xml:space="preserve"> </w:t>
      </w:r>
      <w:r>
        <w:t xml:space="preserve">of assets are to be excluded, this represents 6%. A sensitivity analysis has been performed as well</w:t>
      </w:r>
      <w:r>
        <w:t xml:space="preserve"> </w:t>
      </w:r>
      <w:r>
        <w:t xml:space="preserve">to account for crypto-asset value volatility that may affect the customer base of a CASP, and for</w:t>
      </w:r>
      <w:r>
        <w:t xml:space="preserve"> </w:t>
      </w:r>
      <w:r>
        <w:t xml:space="preserve">the possibility of providing additional information (second round requests) to the tax</w:t>
      </w:r>
      <w:r>
        <w:t xml:space="preserve"> </w:t>
      </w:r>
      <w:r>
        <w:t xml:space="preserve">administrations should they ask for it explicitly.</w:t>
      </w:r>
      <w:r>
        <w:br/>
      </w:r>
      <w:r>
        <w:t xml:space="preserve">The table below shows the summary of the estimated costs for CASPs. To estimate these, several</w:t>
      </w:r>
      <w:r>
        <w:t xml:space="preserve"> </w:t>
      </w:r>
      <w:r>
        <w:t xml:space="preserve">assumptions have been used (see Annex 4). Detailed information in relation to the policy options</w:t>
      </w:r>
      <w:r>
        <w:t xml:space="preserve"> </w:t>
      </w:r>
      <w:r>
        <w:t xml:space="preserve">considered is provided in the next section.</w:t>
      </w:r>
      <w:r>
        <w:t xml:space="preserve"> </w:t>
      </w:r>
      <w:r>
        <w:t xml:space="preserve">Table 6 Summary of estimated costs for CASPs and sensitivity analysis (in EUR million)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Sensitivity interval</w:t>
      </w:r>
      <w:r>
        <w:t xml:space="preserve"> </w:t>
      </w:r>
      <w:r>
        <w:t xml:space="preserve">-10%</w:t>
      </w:r>
      <w:r>
        <w:t xml:space="preserve"> </w:t>
      </w:r>
      <w:r>
        <w:t xml:space="preserve">0</w:t>
      </w:r>
      <w:r>
        <w:t xml:space="preserve"> </w:t>
      </w:r>
      <w:r>
        <w:t xml:space="preserve">+10%</w:t>
      </w:r>
      <w:r>
        <w:t xml:space="preserve"> </w:t>
      </w:r>
      <w:r>
        <w:t xml:space="preserve">-10%</w:t>
      </w:r>
      <w:r>
        <w:t xml:space="preserve"> </w:t>
      </w:r>
      <w:r>
        <w:t xml:space="preserve">0</w:t>
      </w:r>
      <w:r>
        <w:t xml:space="preserve"> </w:t>
      </w:r>
      <w:r>
        <w:t xml:space="preserve">+10%</w:t>
      </w:r>
      <w:r>
        <w:t xml:space="preserve"> </w:t>
      </w:r>
      <w:r>
        <w:t xml:space="preserve">Reporting on all crypto-assets, except non-</w:t>
      </w:r>
      <w:r>
        <w:t xml:space="preserve"> </w:t>
      </w:r>
      <w:r>
        <w:t xml:space="preserve">marketable crypto-assets and utility tokens</w:t>
      </w:r>
      <w:r>
        <w:t xml:space="preserve"> </w:t>
      </w:r>
      <w:r>
        <w:t xml:space="preserve">233.1</w:t>
      </w:r>
      <w:r>
        <w:t xml:space="preserve"> </w:t>
      </w:r>
      <w:r>
        <w:t xml:space="preserve">259</w:t>
      </w:r>
      <w:r>
        <w:t xml:space="preserve"> </w:t>
      </w:r>
      <w:r>
        <w:t xml:space="preserve">284</w:t>
      </w:r>
      <w:r>
        <w:t xml:space="preserve"> </w:t>
      </w:r>
      <w:r>
        <w:t xml:space="preserve">20.3</w:t>
      </w:r>
      <w:r>
        <w:t xml:space="preserve"> </w:t>
      </w:r>
      <w:r>
        <w:t xml:space="preserve">22.6</w:t>
      </w:r>
      <w:r>
        <w:t xml:space="preserve"> </w:t>
      </w:r>
      <w:r>
        <w:t xml:space="preserve">24.9</w:t>
      </w:r>
    </w:p>
    <w:p>
      <w:pPr>
        <w:pStyle w:val="BodyText"/>
      </w:pPr>
      <w:r>
        <w:t xml:space="preserve">In terms of IT implementation, three solutions can be envisaged (see Annex 5 for details): (i) a</w:t>
      </w:r>
      <w:r>
        <w:t xml:space="preserve"> </w:t>
      </w:r>
      <w:r>
        <w:t xml:space="preserve">decentralised system, which is the approach taken in DAC 1, 2 and 4 with bilateral exchanges of</w:t>
      </w:r>
      <w:r>
        <w:t xml:space="preserve"> </w:t>
      </w:r>
      <w:r>
        <w:t xml:space="preserve">information between Member States, (ii) a centralised system, which has been implemented for</w:t>
      </w:r>
      <w:r>
        <w:t xml:space="preserve"> </w:t>
      </w:r>
      <w:r>
        <w:t xml:space="preserve">DAC3 and DAC6, where the information is made available by one Member State to the other</w:t>
      </w:r>
      <w:r>
        <w:t xml:space="preserve"> </w:t>
      </w:r>
      <w:r>
        <w:t xml:space="preserve">Member States via a central Directory, and (iii) a single access point, which would be a completely</w:t>
      </w:r>
      <w:r>
        <w:t xml:space="preserve"> </w:t>
      </w:r>
      <w:r>
        <w:t xml:space="preserve">innovative solution, whereby CASPs would directly report into a central system accessible to all</w:t>
      </w:r>
      <w:r>
        <w:t xml:space="preserve"> </w:t>
      </w:r>
      <w:r>
        <w:t xml:space="preserve">relevant Member States. The proposed IT implementation choices are feasible no matter which</w:t>
      </w:r>
      <w:r>
        <w:t xml:space="preserve"> </w:t>
      </w:r>
      <w:r>
        <w:t xml:space="preserve">policy option is chosen. The feasibility of the IT solution depends neither on the size of the CASPs,</w:t>
      </w:r>
      <w:r>
        <w:t xml:space="preserve"> </w:t>
      </w:r>
      <w:r>
        <w:t xml:space="preserve">nor on the types of crypto-assets in scope nor the reporting method. The question here is more</w:t>
      </w:r>
      <w:r>
        <w:t xml:space="preserve"> </w:t>
      </w:r>
      <w:r>
        <w:t xml:space="preserve">about the efficiency of the different IT solutions in achieving the initiative’s objectives.</w:t>
      </w:r>
      <w:r>
        <w:t xml:space="preserve"> </w:t>
      </w:r>
      <w:r>
        <w:t xml:space="preserve">The type of IT solution comes with different costs both, for the Commission and the national tax</w:t>
      </w:r>
      <w:r>
        <w:t xml:space="preserve"> </w:t>
      </w:r>
      <w:r>
        <w:t xml:space="preserve">administrations. These are summarised in the table below and explained in more detail in the</w:t>
      </w:r>
      <w:r>
        <w:t xml:space="preserve"> </w:t>
      </w:r>
      <w:r>
        <w:t xml:space="preserve">coming sections.</w:t>
      </w:r>
      <w:r>
        <w:t xml:space="preserve"> </w:t>
      </w:r>
      <w:r>
        <w:t xml:space="preserve">Table 7 Summary of estimated costs for tax administrations and European Commission (in EUR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Tax administrations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IT solution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Single Access Point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1.4</w:t>
      </w:r>
      <w:r>
        <w:t xml:space="preserve"> </w:t>
      </w:r>
      <w:r>
        <w:t xml:space="preserve">0.2</w:t>
      </w:r>
      <w:r>
        <w:t xml:space="preserve"> </w:t>
      </w:r>
      <w:r>
        <w:t xml:space="preserve">Central Directory</w:t>
      </w:r>
      <w:r>
        <w:t xml:space="preserve"> </w:t>
      </w:r>
      <w:r>
        <w:t xml:space="preserve">1 – 13</w:t>
      </w:r>
      <w:r>
        <w:t xml:space="preserve"> </w:t>
      </w:r>
      <w:r>
        <w:t xml:space="preserve">1 – 5.7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Decentralised IT solution</w:t>
      </w:r>
      <w:r>
        <w:t xml:space="preserve"> </w:t>
      </w:r>
      <w:r>
        <w:t xml:space="preserve">64.8</w:t>
      </w:r>
      <w:r>
        <w:t xml:space="preserve"> </w:t>
      </w:r>
      <w:r>
        <w:t xml:space="preserve">6</w:t>
      </w:r>
      <w:r>
        <w:t xml:space="preserve"> </w:t>
      </w:r>
      <w:r>
        <w:t xml:space="preserve">0.8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Largely, the risk of non-materialisation of the estimated costs is rather limited. The forthcoming</w:t>
      </w:r>
      <w:r>
        <w:t xml:space="preserve"> </w:t>
      </w:r>
      <w:r>
        <w:t xml:space="preserve">initiative would oblige tax administrations to make adjustments to their IT systems and include</w:t>
      </w:r>
      <w:r>
        <w:t xml:space="preserve"> </w:t>
      </w:r>
      <w:r>
        <w:t xml:space="preserve">efforts to process and exchange the received information from CASPs. These actions will entail</w:t>
      </w:r>
      <w:r>
        <w:t xml:space="preserve"> </w:t>
      </w:r>
      <w:r>
        <w:t xml:space="preserve">costs and as such, they have been accounted for in this impact assessment.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6.2.2.1 Impact on CASPs</w:t>
      </w:r>
    </w:p>
    <w:p>
      <w:pPr>
        <w:pStyle w:val="BodyText"/>
      </w:pPr>
      <w:r>
        <w:t xml:space="preserve">As displayed in Table 5, one-off cost estimates for CASPs will vary between EUR 233.1 million</w:t>
      </w:r>
      <w:r>
        <w:t xml:space="preserve"> </w:t>
      </w:r>
      <w:r>
        <w:t xml:space="preserve">and EUR 284 million, or roughly between EUR 1.4 million and EUR 1.7 million per service</w:t>
      </w:r>
      <w:r>
        <w:t xml:space="preserve"> </w:t>
      </w:r>
      <w:r>
        <w:t xml:space="preserve">provider respectively. The total recurrent costs, on the other hand, are estimated to range between</w:t>
      </w:r>
      <w:r>
        <w:t xml:space="preserve"> </w:t>
      </w:r>
      <w:r>
        <w:t xml:space="preserve">EUR 20.3 million and EUR 24.9 million, or roughly between EUR 120 000 and EUR 150 000 per</w:t>
      </w:r>
      <w:r>
        <w:t xml:space="preserve"> </w:t>
      </w:r>
      <w:r>
        <w:t xml:space="preserve">entity respectively. These estimates cover all CASPs with EU users (see Annex 4).</w:t>
      </w:r>
      <w:r>
        <w:br/>
      </w:r>
      <w:r>
        <w:t xml:space="preserve">The costs39 are largely dependent on their customer base (on how many users they will need to</w:t>
      </w:r>
      <w:r>
        <w:t xml:space="preserve"> </w:t>
      </w:r>
      <w:r>
        <w:t xml:space="preserve">report). It should be stressed that these estimates, including on number of users, are based on</w:t>
      </w:r>
      <w:r>
        <w:t xml:space="preserve"> </w:t>
      </w:r>
      <w:r>
        <w:t xml:space="preserve">several assumptions and they do not necessarily reflect the actual costs service providers will incur,</w:t>
      </w:r>
      <w:r>
        <w:t xml:space="preserve"> </w:t>
      </w:r>
      <w:r>
        <w:t xml:space="preserve">especially those having to report a relatively low number of transactions. Additionally, there is a</w:t>
      </w:r>
      <w:r>
        <w:t xml:space="preserve"> </w:t>
      </w:r>
      <w:r>
        <w:t xml:space="preserve">risk, though limited, for CASPs to pass through their costs onto consumers. In particular, due to</w:t>
      </w:r>
      <w:r>
        <w:t xml:space="preserve"> </w:t>
      </w:r>
      <w:r>
        <w:t xml:space="preserve">the increased costs arising from this initiative, service providers might raise their service fees paid</w:t>
      </w:r>
      <w:r>
        <w:t xml:space="preserve"> </w:t>
      </w:r>
      <w:r>
        <w:t xml:space="preserve">by their customers so as to offset (partly) the newly incurred costs. However, this is likely to be</w:t>
      </w:r>
      <w:r>
        <w:t xml:space="preserve"> </w:t>
      </w:r>
      <w:r>
        <w:t xml:space="preserve">minimal since the crypto-market offers a possibility of transacting with crypto-assets without</w:t>
      </w:r>
      <w:r>
        <w:t xml:space="preserve"> </w:t>
      </w:r>
      <w:r>
        <w:t xml:space="preserve">intermediation.</w:t>
      </w:r>
      <w:r>
        <w:br/>
      </w:r>
      <w:r>
        <w:t xml:space="preserve">Table 8 Assessment of costs per policy option (CASPs)</w:t>
      </w:r>
      <w:r>
        <w:t xml:space="preserve"> </w:t>
      </w:r>
      <w:r>
        <w:t xml:space="preserve">Option</w:t>
      </w:r>
      <w:r>
        <w:t xml:space="preserve"> </w:t>
      </w:r>
      <w:r>
        <w:t xml:space="preserve">Assessment</w:t>
      </w:r>
      <w:r>
        <w:t xml:space="preserve"> </w:t>
      </w:r>
      <w:r>
        <w:t xml:space="preserve">1</w:t>
      </w:r>
      <w:r>
        <w:t xml:space="preserve"> </w:t>
      </w:r>
      <w:r>
        <w:t xml:space="preserve">Total one-off costs estimate is likely to surpass EUR 233.1 million (i.e. the lower bound). The SME</w:t>
      </w:r>
      <w:r>
        <w:t xml:space="preserve"> </w:t>
      </w:r>
      <w:r>
        <w:t xml:space="preserve">(size) threshold does not apply. On an individual basis, this means approximately EUR 1.4 million in</w:t>
      </w:r>
      <w:r>
        <w:t xml:space="preserve"> </w:t>
      </w:r>
      <w:r>
        <w:t xml:space="preserve">one-off costs per CASP. Analogously, recurrent costs incurred by CASPs would amount to EUR 20.3</w:t>
      </w:r>
      <w:r>
        <w:t xml:space="preserve"> </w:t>
      </w:r>
      <w:r>
        <w:t xml:space="preserve">million in total or roughly EUR 121 000 individually. These relatively lower costs compared to other</w:t>
      </w:r>
      <w:r>
        <w:t xml:space="preserve"> </w:t>
      </w:r>
      <w:r>
        <w:t xml:space="preserve">options (except for Option 2) are due to transaction-by-transaction reporting, which does not require</w:t>
      </w:r>
      <w:r>
        <w:t xml:space="preserve"> </w:t>
      </w:r>
      <w:r>
        <w:t xml:space="preserve">additional processing of data by CASPs before submitting it to tax administrations.</w:t>
      </w:r>
      <w:r>
        <w:t xml:space="preserve"> </w:t>
      </w:r>
      <w:r>
        <w:t xml:space="preserve">2</w:t>
      </w:r>
      <w:r>
        <w:t xml:space="preserve"> </w:t>
      </w:r>
      <w:r>
        <w:t xml:space="preserve">The projected costs (both aggregated one-off and recurrent) are likely to be lower than in Option 1, but</w:t>
      </w:r>
      <w:r>
        <w:t xml:space="preserve"> </w:t>
      </w:r>
      <w:r>
        <w:t xml:space="preserve">still above the lower bound. This is due to the SME threshold that here applies, and which means that a</w:t>
      </w:r>
      <w:r>
        <w:t xml:space="preserve"> </w:t>
      </w:r>
      <w:r>
        <w:t xml:space="preserve">more reduced number of entities will incur costs.</w:t>
      </w:r>
      <w:r>
        <w:t xml:space="preserve"> </w:t>
      </w:r>
      <w:r>
        <w:t xml:space="preserve">3</w:t>
      </w:r>
      <w:r>
        <w:t xml:space="preserve"> </w:t>
      </w:r>
      <w:r>
        <w:t xml:space="preserve">One-off costs are estimated to reach the upper bound of EUR 284 million (or EUR 1.7 million per CASP).</w:t>
      </w:r>
      <w:r>
        <w:t xml:space="preserve"> </w:t>
      </w:r>
      <w:r>
        <w:t xml:space="preserve">The recurrent costs are estimated not to surpass EUR 149 000 (upper bound) per entity on a yearly basis.</w:t>
      </w:r>
      <w:r>
        <w:t xml:space="preserve"> </w:t>
      </w:r>
      <w:r>
        <w:t xml:space="preserve">This option entails a slightly heavier reporting since service providers need aggregate data before sending</w:t>
      </w:r>
      <w:r>
        <w:t xml:space="preserve"> </w:t>
      </w:r>
      <w:r>
        <w:t xml:space="preserve">it over to the tax administrations. The cost upper bound also reflects the need of providing additional</w:t>
      </w:r>
      <w:r>
        <w:t xml:space="preserve"> </w:t>
      </w:r>
      <w:r>
        <w:t xml:space="preserve">information to the tax administrations (second round of information requests) since data aggregation</w:t>
      </w:r>
      <w:r>
        <w:t xml:space="preserve"> </w:t>
      </w:r>
      <w:r>
        <w:t xml:space="preserve">does not necessarily disclose all the relevant information needed for tax purposes.</w:t>
      </w:r>
      <w:r>
        <w:t xml:space="preserve"> </w:t>
      </w:r>
      <w:r>
        <w:t xml:space="preserve">4</w:t>
      </w:r>
      <w:r>
        <w:t xml:space="preserve"> </w:t>
      </w:r>
      <w:r>
        <w:t xml:space="preserve">This option is similar to the previous one, but it applies a threshold based on size, which is likely to result</w:t>
      </w:r>
      <w:r>
        <w:t xml:space="preserve"> </w:t>
      </w:r>
      <w:r>
        <w:t xml:space="preserve">in lower costs (aggregated one-off and recurrent). These costs are expected to be close to the upper bound</w:t>
      </w:r>
      <w:r>
        <w:t xml:space="preserve"> </w:t>
      </w:r>
      <w:r>
        <w:t xml:space="preserve">nevertheless.</w:t>
      </w:r>
      <w:r>
        <w:t xml:space="preserve"> </w:t>
      </w:r>
      <w:r>
        <w:t xml:space="preserve">5</w:t>
      </w:r>
      <w:r>
        <w:t xml:space="preserve"> </w:t>
      </w:r>
      <w:r>
        <w:t xml:space="preserve">Total one-off costs estimate are likely to reach EUR 259 million (or EUR 1.5 million per CASP). The</w:t>
      </w:r>
      <w:r>
        <w:t xml:space="preserve"> </w:t>
      </w:r>
      <w:r>
        <w:t xml:space="preserve">recurrent costs are estimated not to surpass EUR 135 000 per entity on a yearly basis. The hybrid</w:t>
      </w:r>
      <w:r>
        <w:t xml:space="preserve"> </w:t>
      </w:r>
      <w:r>
        <w:t xml:space="preserve">reporting approach would ensure a balance between too detailed transactional information to be reported</w:t>
      </w:r>
      <w:r>
        <w:t xml:space="preserve"> </w:t>
      </w:r>
      <w:r>
        <w:t xml:space="preserve">by all CASPs with EU users regardless of the size (Option 1), and the need for second round information</w:t>
      </w:r>
      <w:r>
        <w:t xml:space="preserve"> </w:t>
      </w:r>
      <w:r>
        <w:t xml:space="preserve">requests (Option 3).</w:t>
      </w:r>
    </w:p>
    <w:p>
      <w:pPr>
        <w:pStyle w:val="BodyText"/>
      </w:pPr>
      <w:r>
        <w:t xml:space="preserve">39 The costs will likely benefit from the effects of the economy of scale: decreasing marginal costs, so that as more sellers are covered, the price</w:t>
      </w:r>
      <w:r>
        <w:t xml:space="preserve"> </w:t>
      </w:r>
      <w:r>
        <w:t xml:space="preserve">per seller for setting up the system decreases.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This option is similar to Option 5, but with lower costs (one-off and recurrent) due to the exclusion</w:t>
      </w:r>
      <w:r>
        <w:t xml:space="preserve"> </w:t>
      </w:r>
      <w:r>
        <w:t xml:space="preserve">criteria based on size, which reduces the number of reporting CASPs. These costs are expected to be</w:t>
      </w:r>
      <w:r>
        <w:t xml:space="preserve"> </w:t>
      </w:r>
      <w:r>
        <w:t xml:space="preserve">close to the middle bound nevertheless.</w:t>
      </w:r>
    </w:p>
    <w:p>
      <w:pPr>
        <w:pStyle w:val="BodyText"/>
      </w:pPr>
      <w:r>
        <w:t xml:space="preserve">6.2.2.2 Impact on tax administrations and Commission</w:t>
      </w:r>
    </w:p>
    <w:p>
      <w:pPr>
        <w:pStyle w:val="BodyText"/>
      </w:pPr>
      <w:r>
        <w:t xml:space="preserve">The estimated costs incurred by tax administrations and the European Commission are largely</w:t>
      </w:r>
      <w:r>
        <w:t xml:space="preserve"> </w:t>
      </w:r>
      <w:r>
        <w:t xml:space="preserve">dependent on the IT solution needed for the reporting by CASPs and the subsequent exchange of</w:t>
      </w:r>
      <w:r>
        <w:t xml:space="preserve"> </w:t>
      </w:r>
      <w:r>
        <w:t xml:space="preserve">information by tax administrations. These have been quantified and the relevant information is</w:t>
      </w:r>
      <w:r>
        <w:t xml:space="preserve"> </w:t>
      </w:r>
      <w:r>
        <w:t xml:space="preserve">available in Table 6 above and Annex 5.</w:t>
      </w:r>
      <w:r>
        <w:t xml:space="preserve"> </w:t>
      </w:r>
      <w:r>
        <w:t xml:space="preserve">One-off costs by tax administrations in the EU-27 when processing crypto-asset transactions are</w:t>
      </w:r>
      <w:r>
        <w:t xml:space="preserve"> </w:t>
      </w:r>
      <w:r>
        <w:t xml:space="preserve">estimated to range between EUR 500 000 and EUR 64.8 million or between EUR 18 000 and EUR</w:t>
      </w:r>
      <w:r>
        <w:t xml:space="preserve"> </w:t>
      </w:r>
      <w:r>
        <w:t xml:space="preserve">2.4 million per tax administration on average, depending on the IT solution chosen. The estimated</w:t>
      </w:r>
      <w:r>
        <w:t xml:space="preserve"> </w:t>
      </w:r>
      <w:r>
        <w:t xml:space="preserve">recurrent costs vary approximately between EUR 100 000 and EUR 6 million on a yearly basis, or</w:t>
      </w:r>
      <w:r>
        <w:t xml:space="preserve"> </w:t>
      </w:r>
      <w:r>
        <w:t xml:space="preserve">between EUR 3 700 and EUR 220 000 on average per Member State. These estimates are</w:t>
      </w:r>
      <w:r>
        <w:t xml:space="preserve"> </w:t>
      </w:r>
      <w:r>
        <w:t xml:space="preserve">extrapolated from the costs incurred by Member States under previous editions of DAC. They</w:t>
      </w:r>
      <w:r>
        <w:t xml:space="preserve"> </w:t>
      </w:r>
      <w:r>
        <w:t xml:space="preserve">broadly aim at estimating costs for information on all crypto-assets in the EU.</w:t>
      </w:r>
      <w:r>
        <w:t xml:space="preserve"> </w:t>
      </w:r>
      <w:r>
        <w:t xml:space="preserve">Furthermore, the type of reporting and scope under the various options, will also affect recurrent</w:t>
      </w:r>
      <w:r>
        <w:t xml:space="preserve"> </w:t>
      </w:r>
      <w:r>
        <w:t xml:space="preserve">costs for tax administrations. These are qualitatively assessed, however, and summarised in the</w:t>
      </w:r>
      <w:r>
        <w:t xml:space="preserve"> </w:t>
      </w:r>
      <w:r>
        <w:t xml:space="preserve">table below.</w:t>
      </w:r>
      <w:r>
        <w:br/>
      </w:r>
      <w:r>
        <w:t xml:space="preserve">Table 9 Assessment of costs per policy option (tax administrations)</w:t>
      </w:r>
      <w:r>
        <w:t xml:space="preserve"> </w:t>
      </w:r>
      <w:r>
        <w:t xml:space="preserve">Option</w:t>
      </w:r>
      <w:r>
        <w:t xml:space="preserve"> </w:t>
      </w:r>
      <w:r>
        <w:t xml:space="preserve">Assessment</w:t>
      </w:r>
      <w:r>
        <w:t xml:space="preserve"> </w:t>
      </w:r>
      <w:r>
        <w:t xml:space="preserve">1</w:t>
      </w:r>
      <w:r>
        <w:t xml:space="preserve"> </w:t>
      </w:r>
      <w:r>
        <w:t xml:space="preserve">The transaction-by-transaction reporting would bring increased costs for tax administrations, as the</w:t>
      </w:r>
      <w:r>
        <w:t xml:space="preserve"> </w:t>
      </w:r>
      <w:r>
        <w:t xml:space="preserve">information received would be much more voluminous, thus requiring more time to process. Compared</w:t>
      </w:r>
      <w:r>
        <w:t xml:space="preserve"> </w:t>
      </w:r>
      <w:r>
        <w:t xml:space="preserve">to aggregate or hybrid reporting, transaction-by-transaction reporting is likely to be quite significant with</w:t>
      </w:r>
      <w:r>
        <w:t xml:space="preserve"> </w:t>
      </w:r>
      <w:r>
        <w:t xml:space="preserve">respect to processing a much higher amount of untreated data, as all transactions by a single taxpayer</w:t>
      </w:r>
      <w:r>
        <w:t xml:space="preserve"> </w:t>
      </w:r>
      <w:r>
        <w:t xml:space="preserve">would have to be made available. Therefore, more information will need to be processed by tax</w:t>
      </w:r>
      <w:r>
        <w:t xml:space="preserve"> </w:t>
      </w:r>
      <w:r>
        <w:t xml:space="preserve">authorities, with an impact on IT infrastructure needed.</w:t>
      </w:r>
      <w:r>
        <w:t xml:space="preserve"> </w:t>
      </w:r>
      <w:r>
        <w:t xml:space="preserve">2</w:t>
      </w:r>
      <w:r>
        <w:t xml:space="preserve"> </w:t>
      </w:r>
      <w:r>
        <w:t xml:space="preserve">The potential issues remain the same as in Option 1, but the estimated costs (recurrent in particular) are</w:t>
      </w:r>
      <w:r>
        <w:t xml:space="preserve"> </w:t>
      </w:r>
      <w:r>
        <w:t xml:space="preserve">likely to be lower, as there is a threshold on CASP size, meaning less data will be transmitted to the tax</w:t>
      </w:r>
      <w:r>
        <w:t xml:space="preserve"> </w:t>
      </w:r>
      <w:r>
        <w:t xml:space="preserve">authorities. Reporting less data, however, might be problematic since even smaller CASPs can still have</w:t>
      </w:r>
      <w:r>
        <w:t xml:space="preserve"> </w:t>
      </w:r>
      <w:r>
        <w:t xml:space="preserve">relatively large customer bases, which could lead to less tax income (this is also applicable to Options 4</w:t>
      </w:r>
      <w:r>
        <w:t xml:space="preserve"> </w:t>
      </w:r>
      <w:r>
        <w:t xml:space="preserve">and 6).</w:t>
      </w:r>
      <w:r>
        <w:t xml:space="preserve"> </w:t>
      </w:r>
      <w:r>
        <w:t xml:space="preserve">3</w:t>
      </w:r>
      <w:r>
        <w:t xml:space="preserve"> </w:t>
      </w:r>
      <w:r>
        <w:t xml:space="preserve">The data sent to the tax authorities by CASPs should contain aggregate information. While the volume</w:t>
      </w:r>
      <w:r>
        <w:t xml:space="preserve"> </w:t>
      </w:r>
      <w:r>
        <w:t xml:space="preserve">of information is likely to be lower than under Options 1 and 2, the tax administrations might need</w:t>
      </w:r>
      <w:r>
        <w:t xml:space="preserve"> </w:t>
      </w:r>
      <w:r>
        <w:t xml:space="preserve">additional clarifications leading to second round of inquiries to the CASPs. However, it cannot be</w:t>
      </w:r>
      <w:r>
        <w:t xml:space="preserve"> </w:t>
      </w:r>
      <w:r>
        <w:t xml:space="preserve">precisely predicted how often will this occur, but the costs are still expected to be lesser than in previous</w:t>
      </w:r>
      <w:r>
        <w:t xml:space="preserve"> </w:t>
      </w:r>
      <w:r>
        <w:t xml:space="preserve">two options.</w:t>
      </w:r>
      <w:r>
        <w:br/>
      </w:r>
      <w:r>
        <w:t xml:space="preserve">4</w:t>
      </w:r>
      <w:r>
        <w:t xml:space="preserve"> </w:t>
      </w:r>
      <w:r>
        <w:t xml:space="preserve">This option is similar to Option 3, but the estimated costs (recurrent in particular) are likely to be lower,</w:t>
      </w:r>
      <w:r>
        <w:t xml:space="preserve"> </w:t>
      </w:r>
      <w:r>
        <w:t xml:space="preserve">as there is a threshold on CASP size, meaning less data will be transmitted to the tax authorities.</w:t>
      </w:r>
      <w:r>
        <w:t xml:space="preserve"> </w:t>
      </w:r>
      <w:r>
        <w:t xml:space="preserve">5</w:t>
      </w:r>
      <w:r>
        <w:t xml:space="preserve"> </w:t>
      </w:r>
      <w:r>
        <w:t xml:space="preserve">This option encompasses hybrid reporting by the CASPs, which is the most cost efficient modality for</w:t>
      </w:r>
      <w:r>
        <w:t xml:space="preserve"> </w:t>
      </w:r>
      <w:r>
        <w:t xml:space="preserve">the tax administrations. This is due to the fact that the data received is predominantly aggregated (i.e. no</w:t>
      </w:r>
      <w:r>
        <w:t xml:space="preserve"> </w:t>
      </w:r>
      <w:r>
        <w:t xml:space="preserve">large data volumes to process) and detailed information is requested to the CASPs only when necessary</w:t>
      </w:r>
      <w:r>
        <w:t xml:space="preserve"> </w:t>
      </w:r>
      <w:r>
        <w:t xml:space="preserve">(i.e. the need for the second round of information is being significantly reduced).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This option is similar to Option 4, but the estimated costs (recurrent in particular) are likely to be lower,</w:t>
      </w:r>
      <w:r>
        <w:t xml:space="preserve"> </w:t>
      </w:r>
      <w:r>
        <w:t xml:space="preserve">as there is a threshold on CASP size, meaning less data will be transmitted to the tax authorities.</w:t>
      </w:r>
    </w:p>
    <w:p>
      <w:pPr>
        <w:pStyle w:val="BodyText"/>
      </w:pPr>
      <w:r>
        <w:t xml:space="preserve">Besides tax administrations, the Commission would also bear costs. In any legislative option, on</w:t>
      </w:r>
      <w:r>
        <w:t xml:space="preserve"> </w:t>
      </w:r>
      <w:r>
        <w:t xml:space="preserve">the basis of current and past experience, it is likely that the Commission would incur development</w:t>
      </w:r>
      <w:r>
        <w:t xml:space="preserve"> </w:t>
      </w:r>
      <w:r>
        <w:t xml:space="preserve">costs for defining the common EU reporting specifications (i.e. the type of data to be reported,</w:t>
      </w:r>
      <w:r>
        <w:t xml:space="preserve"> </w:t>
      </w:r>
      <w:r>
        <w:t xml:space="preserve">collected and exchanged), and for setting up new and/or adapting the existing IT systems to enable</w:t>
      </w:r>
      <w:r>
        <w:t xml:space="preserve"> </w:t>
      </w:r>
      <w:r>
        <w:t xml:space="preserve">the exchange of information. Commission’s one-off costs could vary between EUR 500 000 and</w:t>
      </w:r>
      <w:r>
        <w:t xml:space="preserve"> </w:t>
      </w:r>
      <w:r>
        <w:t xml:space="preserve">EUR 1.4 million.</w:t>
      </w:r>
      <w:r>
        <w:t xml:space="preserve"> </w:t>
      </w:r>
      <w:r>
        <w:t xml:space="preserve">The recurrent costs for the European Commission are estimated to range between EUR 100 000</w:t>
      </w:r>
      <w:r>
        <w:t xml:space="preserve"> </w:t>
      </w:r>
      <w:r>
        <w:t xml:space="preserve">and EUR 200 000 on a yearly basis, and mainly relate to operating and maintaining the IT system</w:t>
      </w:r>
      <w:r>
        <w:t xml:space="preserve"> </w:t>
      </w:r>
      <w:r>
        <w:t xml:space="preserve">for data storage and exchange relative to crypto-assets. There are different IT solutions for</w:t>
      </w:r>
      <w:r>
        <w:t xml:space="preserve"> </w:t>
      </w:r>
      <w:r>
        <w:t xml:space="preserve">exchange of information available, which influence the costs range and are described in more detail</w:t>
      </w:r>
      <w:r>
        <w:t xml:space="preserve"> </w:t>
      </w:r>
      <w:r>
        <w:t xml:space="preserve">in Annex 5.</w:t>
      </w:r>
      <w:r>
        <w:t xml:space="preserve"> </w:t>
      </w:r>
      <w:r>
        <w:t xml:space="preserve">6.2.3. Impact on sector’s competitiveness and SMEs</w:t>
      </w:r>
      <w:r>
        <w:t xml:space="preserve"> </w:t>
      </w:r>
      <w:r>
        <w:t xml:space="preserve">The rapid digitalisation of the economy suggests that the economic role of CASPs as facilitators</w:t>
      </w:r>
      <w:r>
        <w:t xml:space="preserve"> </w:t>
      </w:r>
      <w:r>
        <w:t xml:space="preserve">in crypto-asset transactions is becoming increasingly relevant. The users engaging in such</w:t>
      </w:r>
      <w:r>
        <w:t xml:space="preserve"> </w:t>
      </w:r>
      <w:r>
        <w:t xml:space="preserve">transactions through service providers appreciate the speed of exchanges, availability of the</w:t>
      </w:r>
      <w:r>
        <w:t xml:space="preserve"> </w:t>
      </w:r>
      <w:r>
        <w:t xml:space="preserve">amenities and anonymity.</w:t>
      </w:r>
      <w:r>
        <w:br/>
      </w:r>
      <w:r>
        <w:t xml:space="preserve">It cannot be excluded that this legislative initiative may affect the competitiveness of certain</w:t>
      </w:r>
      <w:r>
        <w:t xml:space="preserve"> </w:t>
      </w:r>
      <w:r>
        <w:t xml:space="preserve">service providers that, in a baseline scenario, do not currently have any reporting obligations.</w:t>
      </w:r>
      <w:r>
        <w:t xml:space="preserve"> </w:t>
      </w:r>
      <w:r>
        <w:t xml:space="preserve">Looking ahead, it is expected that reporting rules will however be put in place in more countries,</w:t>
      </w:r>
      <w:r>
        <w:t xml:space="preserve"> </w:t>
      </w:r>
      <w:r>
        <w:t xml:space="preserve">even in the absence of a European initiative. The proposal aims at providing a single set of rules</w:t>
      </w:r>
      <w:r>
        <w:t xml:space="preserve"> </w:t>
      </w:r>
      <w:r>
        <w:t xml:space="preserve">throughout the EU, thereby reducing the compliance burden at least for those operators that are</w:t>
      </w:r>
      <w:r>
        <w:t xml:space="preserve"> </w:t>
      </w:r>
      <w:r>
        <w:t xml:space="preserve">active in various countries and subject to different rules. Introducing reporting rules could also</w:t>
      </w:r>
      <w:r>
        <w:t xml:space="preserve"> </w:t>
      </w:r>
      <w:r>
        <w:t xml:space="preserve">affect the service providers’ customer base. The initiative could decrease the number of users that</w:t>
      </w:r>
      <w:r>
        <w:t xml:space="preserve"> </w:t>
      </w:r>
      <w:r>
        <w:t xml:space="preserve">transact via the service providers, most likely from those users who want to avoid complying with</w:t>
      </w:r>
      <w:r>
        <w:t xml:space="preserve"> </w:t>
      </w:r>
      <w:r>
        <w:t xml:space="preserve">their tax obligations. On the other hand, the initiative could increase the trust in the system and</w:t>
      </w:r>
      <w:r>
        <w:t xml:space="preserve"> </w:t>
      </w:r>
      <w:r>
        <w:t xml:space="preserve">attract new users who appreciate reputational and trusted providers. This would positively affect</w:t>
      </w:r>
      <w:r>
        <w:t xml:space="preserve"> </w:t>
      </w:r>
      <w:r>
        <w:t xml:space="preserve">the competitiveness of CASPs, and could compensate, in part, for the loss of the clients favouring</w:t>
      </w:r>
      <w:r>
        <w:t xml:space="preserve"> </w:t>
      </w:r>
      <w:r>
        <w:t xml:space="preserve">unregulated environments.</w:t>
      </w:r>
      <w:r>
        <w:t xml:space="preserve"> </w:t>
      </w:r>
      <w:r>
        <w:t xml:space="preserve">A level playing field requires all to be subject to the same rules, which makes the competition fair</w:t>
      </w:r>
      <w:r>
        <w:t xml:space="preserve"> </w:t>
      </w:r>
      <w:r>
        <w:t xml:space="preserve">and efficient. That is, the available policy options do not differentiate between CASPs based on</w:t>
      </w:r>
      <w:r>
        <w:t xml:space="preserve"> </w:t>
      </w:r>
      <w:r>
        <w:t xml:space="preserve">location, meaning all service providers with EU users will have to report and face the same</w:t>
      </w:r>
      <w:r>
        <w:t xml:space="preserve"> </w:t>
      </w:r>
      <w:r>
        <w:t xml:space="preserve">compliance costs. The EU initiative would also level the playing field within the EU as it would</w:t>
      </w:r>
      <w:r>
        <w:t xml:space="preserve"> </w:t>
      </w:r>
      <w:r>
        <w:t xml:space="preserve">also prevent competitive disadvantages arising from possible differentiated reporting requirements</w:t>
      </w:r>
      <w:r>
        <w:t xml:space="preserve"> </w:t>
      </w:r>
      <w:r>
        <w:t xml:space="preserve">across the Member States. In addition to ensuring fairness within the crypto-asset market, it would</w:t>
      </w:r>
      <w:r>
        <w:t xml:space="preserve"> </w:t>
      </w:r>
      <w:r>
        <w:t xml:space="preserve">also positively affect competition with respect to the traditional financial institutions. This is</w:t>
      </w:r>
      <w:r>
        <w:t xml:space="preserve"> </w:t>
      </w:r>
      <w:r>
        <w:t xml:space="preserve">because CASPs would be subject to reporting obligations like traditional financial institutions.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When CASPs are SMEs, they tend to face a relatively higher administrative burden when fulfilling</w:t>
      </w:r>
      <w:r>
        <w:t xml:space="preserve"> </w:t>
      </w:r>
      <w:r>
        <w:t xml:space="preserve">tax requirements due to their relatively small size and limited resources. However, since most of</w:t>
      </w:r>
      <w:r>
        <w:t xml:space="preserve"> </w:t>
      </w:r>
      <w:r>
        <w:t xml:space="preserve">the information that needs to be collected is already collected for AML/KYC purposes, it is largely</w:t>
      </w:r>
      <w:r>
        <w:t xml:space="preserve"> </w:t>
      </w:r>
      <w:r>
        <w:t xml:space="preserve">available to CASPs for their daily operations. Furthermore, the crypto market matures relatively</w:t>
      </w:r>
      <w:r>
        <w:t xml:space="preserve"> </w:t>
      </w:r>
      <w:r>
        <w:t xml:space="preserve">fast and so do the SMEs by becoming big players on the market (provided they enable transactions</w:t>
      </w:r>
      <w:r>
        <w:t xml:space="preserve"> </w:t>
      </w:r>
      <w:r>
        <w:t xml:space="preserve">of high value increasing their turnover). Regardless of the size, SMEs can still have large user</w:t>
      </w:r>
      <w:r>
        <w:t xml:space="preserve"> </w:t>
      </w:r>
      <w:r>
        <w:t xml:space="preserve">bases since high digitalisation facilitates the management and processing of vast volumes of</w:t>
      </w:r>
      <w:r>
        <w:t xml:space="preserve"> </w:t>
      </w:r>
      <w:r>
        <w:t xml:space="preserve">transactions. Impact on SMEs and competitiveness as per available policy options is qualitatively</w:t>
      </w:r>
      <w:r>
        <w:t xml:space="preserve"> </w:t>
      </w:r>
      <w:r>
        <w:t xml:space="preserve">described in the table below.</w:t>
      </w:r>
      <w:r>
        <w:t xml:space="preserve"> </w:t>
      </w:r>
      <w:r>
        <w:t xml:space="preserve">Table 10 Policy options impacting competitiveness and SMEs</w:t>
      </w:r>
      <w:r>
        <w:t xml:space="preserve"> </w:t>
      </w:r>
      <w:r>
        <w:t xml:space="preserve">Option</w:t>
      </w:r>
      <w:r>
        <w:t xml:space="preserve"> </w:t>
      </w:r>
      <w:r>
        <w:t xml:space="preserve">Assessment</w:t>
      </w:r>
      <w:r>
        <w:t xml:space="preserve"> </w:t>
      </w:r>
      <w:r>
        <w:t xml:space="preserve">1</w:t>
      </w:r>
      <w:r>
        <w:t xml:space="preserve"> </w:t>
      </w:r>
      <w:r>
        <w:t xml:space="preserve">Common rules at EU level would be beneficial for competitiveness of the Single Market as the level</w:t>
      </w:r>
      <w:r>
        <w:t xml:space="preserve"> </w:t>
      </w:r>
      <w:r>
        <w:t xml:space="preserve">playing field between the countries would be guaranteed, thus not leaving certain business in a less</w:t>
      </w:r>
      <w:r>
        <w:t xml:space="preserve"> </w:t>
      </w:r>
      <w:r>
        <w:t xml:space="preserve">advantageous position. SMEs would not be carved out from the initiative, which would likely increase</w:t>
      </w:r>
      <w:r>
        <w:t xml:space="preserve"> </w:t>
      </w:r>
      <w:r>
        <w:t xml:space="preserve">their compliance costs. However, transaction-by-transaction reporting is less cumbersome for SMEs</w:t>
      </w:r>
      <w:r>
        <w:t xml:space="preserve"> </w:t>
      </w:r>
      <w:r>
        <w:t xml:space="preserve">compared to other reporting modalities. This would also exclude second round information requests by</w:t>
      </w:r>
      <w:r>
        <w:t xml:space="preserve"> </w:t>
      </w:r>
      <w:r>
        <w:t xml:space="preserve">tax administrations (also applicable to Option 2).</w:t>
      </w:r>
      <w:r>
        <w:br/>
      </w:r>
      <w:r>
        <w:t xml:space="preserve">2</w:t>
      </w:r>
      <w:r>
        <w:t xml:space="preserve"> </w:t>
      </w:r>
      <w:r>
        <w:t xml:space="preserve">Competitiveness of the Single Market is expected to be worse off than in Option 1. Since SMEs would</w:t>
      </w:r>
      <w:r>
        <w:t xml:space="preserve"> </w:t>
      </w:r>
      <w:r>
        <w:t xml:space="preserve">be considered out of scope, this would mean that potentially large user bases they may have and their</w:t>
      </w:r>
      <w:r>
        <w:t xml:space="preserve"> </w:t>
      </w:r>
      <w:r>
        <w:t xml:space="preserve">underlying transactions would not be reported. SMEs would avoid some administrative burden, which</w:t>
      </w:r>
      <w:r>
        <w:t xml:space="preserve"> </w:t>
      </w:r>
      <w:r>
        <w:t xml:space="preserve">would be beneficial at first. Implementing the right reporting framework once they grow bigger might</w:t>
      </w:r>
      <w:r>
        <w:t xml:space="preserve"> </w:t>
      </w:r>
      <w:r>
        <w:t xml:space="preserve">be more burdensome than having it in place from the beginning (this also applies to Options 4 and 6).</w:t>
      </w:r>
      <w:r>
        <w:t xml:space="preserve"> </w:t>
      </w:r>
      <w:r>
        <w:t xml:space="preserve">Nevertheless, transaction-by transaction reporting would entail less administrative burden.</w:t>
      </w:r>
      <w:r>
        <w:t xml:space="preserve"> </w:t>
      </w:r>
      <w:r>
        <w:t xml:space="preserve">3</w:t>
      </w:r>
      <w:r>
        <w:t xml:space="preserve"> </w:t>
      </w:r>
      <w:r>
        <w:t xml:space="preserve">Common rules at EU level would be beneficial for competitiveness in the Single Market as the level</w:t>
      </w:r>
      <w:r>
        <w:t xml:space="preserve"> </w:t>
      </w:r>
      <w:r>
        <w:t xml:space="preserve">playing field between the countries would be guaranteed, thus not leaving certain business in a less</w:t>
      </w:r>
      <w:r>
        <w:t xml:space="preserve"> </w:t>
      </w:r>
      <w:r>
        <w:t xml:space="preserve">advantageous position. SMEs would not be carved out from the initiative, which would likely increase</w:t>
      </w:r>
      <w:r>
        <w:t xml:space="preserve"> </w:t>
      </w:r>
      <w:r>
        <w:t xml:space="preserve">their compliance costs (higher than under Option 1).This is due to aggregate reporting which is more</w:t>
      </w:r>
      <w:r>
        <w:t xml:space="preserve"> </w:t>
      </w:r>
      <w:r>
        <w:t xml:space="preserve">cumbersome for SMEs compared to other reporting modalities. Second round information requests by</w:t>
      </w:r>
      <w:r>
        <w:t xml:space="preserve"> </w:t>
      </w:r>
      <w:r>
        <w:t xml:space="preserve">tax administrations are also likely (applicable to Option 4).</w:t>
      </w:r>
      <w:r>
        <w:t xml:space="preserve"> </w:t>
      </w:r>
      <w:r>
        <w:t xml:space="preserve">4</w:t>
      </w:r>
      <w:r>
        <w:t xml:space="preserve"> </w:t>
      </w:r>
      <w:r>
        <w:t xml:space="preserve">Competitiveness of the Single Market is expected to be worse off than in Option 3. Since SMEs would</w:t>
      </w:r>
      <w:r>
        <w:t xml:space="preserve"> </w:t>
      </w:r>
      <w:r>
        <w:t xml:space="preserve">be considered out of scope, this would mean that potentially large user bases that they would not be</w:t>
      </w:r>
      <w:r>
        <w:t xml:space="preserve"> </w:t>
      </w:r>
      <w:r>
        <w:t xml:space="preserve">reported. If SMEs grow bigger over time, aggregate reporting would still bring about higher compliance</w:t>
      </w:r>
      <w:r>
        <w:t xml:space="preserve"> </w:t>
      </w:r>
      <w:r>
        <w:t xml:space="preserve">costs than under Option 2.</w:t>
      </w:r>
      <w:r>
        <w:t xml:space="preserve"> </w:t>
      </w:r>
      <w:r>
        <w:t xml:space="preserve">5</w:t>
      </w:r>
      <w:r>
        <w:t xml:space="preserve"> </w:t>
      </w:r>
      <w:r>
        <w:t xml:space="preserve">Common rules at EU level would be beneficial for competitiveness of the Single Market as the level</w:t>
      </w:r>
      <w:r>
        <w:t xml:space="preserve"> </w:t>
      </w:r>
      <w:r>
        <w:t xml:space="preserve">playing field between the countries would be guaranteed, thus not leaving certain business in a less</w:t>
      </w:r>
      <w:r>
        <w:t xml:space="preserve"> </w:t>
      </w:r>
      <w:r>
        <w:t xml:space="preserve">advantageous position. SMEs would not be carved out from the initiative. The hybrid reporting modality</w:t>
      </w:r>
      <w:r>
        <w:t xml:space="preserve"> </w:t>
      </w:r>
      <w:r>
        <w:t xml:space="preserve">would make compliance costs relatively manageable (somewhere in between Options 1 and 3), with</w:t>
      </w:r>
      <w:r>
        <w:t xml:space="preserve"> </w:t>
      </w:r>
      <w:r>
        <w:t xml:space="preserve">limited amount of second round information requests by tax administrations.</w:t>
      </w:r>
      <w:r>
        <w:t xml:space="preserve"> </w:t>
      </w:r>
      <w:r>
        <w:t xml:space="preserve">6</w:t>
      </w:r>
      <w:r>
        <w:t xml:space="preserve"> </w:t>
      </w:r>
      <w:r>
        <w:t xml:space="preserve">Competitiveness of the Single Market is expected to be worse off than in Option 5. SMEs would be</w:t>
      </w:r>
      <w:r>
        <w:t xml:space="preserve"> </w:t>
      </w:r>
      <w:r>
        <w:t xml:space="preserve">carved out from the initiative. If they grow bigger over time, the hybrid reporting modality would make</w:t>
      </w:r>
      <w:r>
        <w:t xml:space="preserve"> </w:t>
      </w:r>
      <w:r>
        <w:t xml:space="preserve">compliance costs relatively manageable (somewhere in between Options 2 and 4), with limited amount</w:t>
      </w:r>
      <w:r>
        <w:t xml:space="preserve"> </w:t>
      </w:r>
      <w:r>
        <w:t xml:space="preserve">of second round information requests by tax administrations.</w:t>
      </w:r>
    </w:p>
    <w:p>
      <w:pPr>
        <w:pStyle w:val="BodyText"/>
      </w:pPr>
      <w:r>
        <w:t xml:space="preserve">6.2.4. Social and environmental impacts</w:t>
      </w:r>
      <w:r>
        <w:t xml:space="preserve"> </w:t>
      </w:r>
      <w:r>
        <w:t xml:space="preserve">Expanding the automatic exchange of information and administrative cooperation would yield</w:t>
      </w:r>
      <w:r>
        <w:t xml:space="preserve"> </w:t>
      </w:r>
      <w:r>
        <w:t xml:space="preserve">positive social and environmental impacts. As discussed above, the proposal is expected to lead to</w:t>
      </w:r>
      <w:r>
        <w:t xml:space="preserve"> </w:t>
      </w:r>
      <w:r>
        <w:t xml:space="preserve">an increase in tax revenues, which can be used to fund (green) economic and social policies of the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Member States. The initiative would also contribute to a positive perception of tax fairness and to</w:t>
      </w:r>
      <w:r>
        <w:t xml:space="preserve"> </w:t>
      </w:r>
      <w:r>
        <w:t xml:space="preserve">fair burden sharing across taxpayers, while at the same time resulting in more trust and</w:t>
      </w:r>
      <w:r>
        <w:t xml:space="preserve"> </w:t>
      </w:r>
      <w:r>
        <w:t xml:space="preserve">transparency from the side of the intermediaries.</w:t>
      </w:r>
      <w:r>
        <w:br/>
      </w:r>
      <w:r>
        <w:t xml:space="preserve">The EU would be directly tackling the challenge of unreported income earned through service</w:t>
      </w:r>
      <w:r>
        <w:t xml:space="preserve"> </w:t>
      </w:r>
      <w:r>
        <w:t xml:space="preserve">providers active in EU Member States. Tax evasion matters to a vast majority of the EU citizens.40</w:t>
      </w:r>
      <w:r>
        <w:t xml:space="preserve"> </w:t>
      </w:r>
      <w:r>
        <w:t xml:space="preserve">The perception of tax fairness, together with the EU’s role in shaping it, is expected to improve</w:t>
      </w:r>
      <w:r>
        <w:t xml:space="preserve"> </w:t>
      </w:r>
      <w:r>
        <w:t xml:space="preserve">with such an initiative. The same reasoning applies to benefits in terms of fair burden-sharing as</w:t>
      </w:r>
      <w:r>
        <w:t xml:space="preserve"> </w:t>
      </w:r>
      <w:r>
        <w:t xml:space="preserve">the Member States would ensure that taxes due are effectively collected.</w:t>
      </w:r>
      <w:r>
        <w:br/>
      </w:r>
      <w:r>
        <w:t xml:space="preserve">The total environmental effects are unclear but likely to be minimal given that the proposed</w:t>
      </w:r>
      <w:r>
        <w:t xml:space="preserve"> </w:t>
      </w:r>
      <w:r>
        <w:t xml:space="preserve">initiative only introduces a reporting and information exchange obligation for existing players</w:t>
      </w:r>
      <w:r>
        <w:t xml:space="preserve"> </w:t>
      </w:r>
      <w:r>
        <w:t xml:space="preserve">without provisioning, for example, the use of technology behind crypto-assets.</w:t>
      </w:r>
      <w:r>
        <w:br/>
      </w:r>
      <w:r>
        <w:t xml:space="preserve">Furthermore, the existing DAC includes specific provisions and safeguards on data protection in</w:t>
      </w:r>
      <w:r>
        <w:t xml:space="preserve"> </w:t>
      </w:r>
      <w:r>
        <w:t xml:space="preserve">line with the GDPR. The reporting under previous iterations of the DAC concerns different types</w:t>
      </w:r>
      <w:r>
        <w:t xml:space="preserve"> </w:t>
      </w:r>
      <w:r>
        <w:t xml:space="preserve">of income, financial assets, the content of rulings decided by the tax authorities, reports from</w:t>
      </w:r>
      <w:r>
        <w:t xml:space="preserve"> </w:t>
      </w:r>
      <w:r>
        <w:t xml:space="preserve">multinationals, arrangements facilitated by intermediaries and income from transactions using on-</w:t>
      </w:r>
      <w:r>
        <w:t xml:space="preserve"> </w:t>
      </w:r>
      <w:r>
        <w:t xml:space="preserve">line platforms. The reporting in all of these categories has been considered to be in line with the</w:t>
      </w:r>
      <w:r>
        <w:t xml:space="preserve"> </w:t>
      </w:r>
      <w:r>
        <w:t xml:space="preserve">provisions of the GDPR. Any legal initiative based on further amendments to this Directive will</w:t>
      </w:r>
      <w:r>
        <w:t xml:space="preserve"> </w:t>
      </w:r>
      <w:r>
        <w:t xml:space="preserve">then continue to follow and respect these provisions and will have to comply with GDPR from the</w:t>
      </w:r>
      <w:r>
        <w:t xml:space="preserve"> </w:t>
      </w:r>
      <w:r>
        <w:t xml:space="preserve">start. In terms of information reported, it is worthwhile noting that under this legislative proposal,</w:t>
      </w:r>
      <w:r>
        <w:t xml:space="preserve"> </w:t>
      </w:r>
      <w:r>
        <w:t xml:space="preserve">reporting entities will be transmitting user/account details as well as information related to crypto-</w:t>
      </w:r>
      <w:r>
        <w:t xml:space="preserve"> </w:t>
      </w:r>
      <w:r>
        <w:t xml:space="preserve">assets proceeds and holdings. As a consequence, crypto-asset users that carry out transactions</w:t>
      </w:r>
      <w:r>
        <w:t xml:space="preserve"> </w:t>
      </w:r>
      <w:r>
        <w:t xml:space="preserve">using CASPs will be subject to reporting of a number of basic points of information. This is the</w:t>
      </w:r>
      <w:r>
        <w:t xml:space="preserve"> </w:t>
      </w:r>
      <w:r>
        <w:t xml:space="preserve">same situation as under the current provisions of the DAC, where persons investing in shares or</w:t>
      </w:r>
      <w:r>
        <w:t xml:space="preserve"> </w:t>
      </w:r>
      <w:r>
        <w:t xml:space="preserve">saving in a bank account will be subject to the same kind of reporting. The information included</w:t>
      </w:r>
      <w:r>
        <w:t xml:space="preserve"> </w:t>
      </w:r>
      <w:r>
        <w:t xml:space="preserve">typically covers information needed to identify the taxpayer (i.e. the Tax Identification Number(s),</w:t>
      </w:r>
      <w:r>
        <w:t xml:space="preserve"> </w:t>
      </w:r>
      <w:r>
        <w:t xml:space="preserve">the first and last name of the user, the primary address of the user, the date of birth of the user) and</w:t>
      </w:r>
      <w:r>
        <w:t xml:space="preserve"> </w:t>
      </w:r>
      <w:r>
        <w:t xml:space="preserve">then specific information about the transaction. The information will be made available to the</w:t>
      </w:r>
      <w:r>
        <w:t xml:space="preserve"> </w:t>
      </w:r>
      <w:r>
        <w:t xml:space="preserve">relevant tax administrations.</w:t>
      </w:r>
      <w:r>
        <w:t xml:space="preserve"> </w:t>
      </w:r>
      <w:r>
        <w:t xml:space="preserve">Thus far, one of the main benefits for taxpayers of crypto-asset exchanges was the pseudo-</w:t>
      </w:r>
      <w:r>
        <w:t xml:space="preserve"> </w:t>
      </w:r>
      <w:r>
        <w:t xml:space="preserve">anonymity of its users, and only a relatively restricted number of service providers have been</w:t>
      </w:r>
      <w:r>
        <w:t xml:space="preserve"> </w:t>
      </w:r>
      <w:r>
        <w:t xml:space="preserve">asking for taxpayers’ identification numbers (TIN) upon their registration.41 TIN information,</w:t>
      </w:r>
      <w:r>
        <w:t xml:space="preserve"> </w:t>
      </w:r>
      <w:r>
        <w:t xml:space="preserve">together with information such as first names and surnames, are the most important data to ensure</w:t>
      </w:r>
      <w:r>
        <w:t xml:space="preserve"> </w:t>
      </w:r>
      <w:r>
        <w:t xml:space="preserve">that the information exchanged can be used for the purpose of tax control.42 This information will</w:t>
      </w:r>
      <w:r>
        <w:t xml:space="preserve"> </w:t>
      </w:r>
      <w:r>
        <w:t xml:space="preserve">be given to the tax administrations by CASPs. This does not mean that tax authorities will not be</w:t>
      </w:r>
      <w:r>
        <w:t xml:space="preserve"> </w:t>
      </w:r>
      <w:r>
        <w:t xml:space="preserve">engaging in processes of their own to find taxpayers behind the transactions.</w:t>
      </w:r>
    </w:p>
    <w:p>
      <w:pPr>
        <w:pStyle w:val="BodyText"/>
      </w:pPr>
      <w:r>
        <w:t xml:space="preserve">40 “Tax fraud: 75% of Europeans want EU to do more to fight it”, European Parliament News, 29-07-2016.</w:t>
      </w:r>
      <w:r>
        <w:t xml:space="preserve"> </w:t>
      </w:r>
      <w:r>
        <w:t xml:space="preserve">https://www.europarl.europa.eu/news/en/headlines/economy/20160707STO36204/tax-fraud-75-of-europeans-want-eu-to-do-more-to-fight-it</w:t>
      </w:r>
      <w:r>
        <w:br/>
      </w:r>
      <w:r>
        <w:t xml:space="preserve">41 Information obtained during the stakeholder consultation process.</w:t>
      </w:r>
      <w:r>
        <w:t xml:space="preserve"> </w:t>
      </w:r>
      <w:r>
        <w:t xml:space="preserve">42 European Commission. (2018). Report from the Commission to the European Parliament and the Council on overview and assessment of the</w:t>
      </w:r>
      <w:r>
        <w:t xml:space="preserve"> </w:t>
      </w:r>
      <w:r>
        <w:t xml:space="preserve">statistics and information on the automatic exchanges in the field of direct taxation COM(2018)844 final.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From the public perspective, an EU legislative proposal would also lead to an indisputable</w:t>
      </w:r>
      <w:r>
        <w:t xml:space="preserve"> </w:t>
      </w:r>
      <w:r>
        <w:t xml:space="preserve">percentage of cost savings and public revenue gains due to the relevant information that will reach</w:t>
      </w:r>
      <w:r>
        <w:t xml:space="preserve"> </w:t>
      </w:r>
      <w:r>
        <w:t xml:space="preserve">tax authorities. There would possibly be a better compliance effect stemming from taxpayers who</w:t>
      </w:r>
      <w:r>
        <w:t xml:space="preserve"> </w:t>
      </w:r>
      <w:r>
        <w:t xml:space="preserve">know that tax authorities have access to the information related to their transactions with crypto-</w:t>
      </w:r>
      <w:r>
        <w:t xml:space="preserve"> </w:t>
      </w:r>
      <w:r>
        <w:t xml:space="preserve">assets.</w:t>
      </w:r>
    </w:p>
    <w:p>
      <w:pPr>
        <w:pStyle w:val="BodyText"/>
      </w:pPr>
      <w:r>
        <w:t xml:space="preserve">42</w:t>
      </w:r>
    </w:p>
    <w:p>
      <w:pPr>
        <w:pStyle w:val="Compact"/>
        <w:numPr>
          <w:ilvl w:val="0"/>
          <w:numId w:val="1009"/>
        </w:numPr>
      </w:pPr>
      <w:r>
        <w:t xml:space="preserve">HOW DO THE OPTIONS COMPARE?</w:t>
      </w:r>
      <w:r>
        <w:t xml:space="preserve"> </w:t>
      </w:r>
      <w:r>
        <w:t xml:space="preserve">This section compares the impacts of the available options (see section 6.1). The options are</w:t>
      </w:r>
      <w:r>
        <w:t xml:space="preserve"> </w:t>
      </w:r>
      <w:r>
        <w:t xml:space="preserve">assessed against the criteria of effectiveness in reaching the policy objectives, efficiency (in terms</w:t>
      </w:r>
      <w:r>
        <w:t xml:space="preserve"> </w:t>
      </w:r>
      <w:r>
        <w:t xml:space="preserve">of costs and benefits) as well as coherence with other EU policies, namely GDPR. For each</w:t>
      </w:r>
      <w:r>
        <w:t xml:space="preserve"> </w:t>
      </w:r>
      <w:r>
        <w:t xml:space="preserve">category, the options have been rated on a scale from minus three to plus three. The baseline is</w:t>
      </w:r>
      <w:r>
        <w:t xml:space="preserve"> </w:t>
      </w:r>
      <w:r>
        <w:t xml:space="preserve">used as point of comparison, and it is scored as zero. The same zero mark has been given to</w:t>
      </w:r>
      <w:r>
        <w:t xml:space="preserve"> </w:t>
      </w:r>
      <w:r>
        <w:t xml:space="preserve">categories that produce no effects whatsoever under the available options. Scores one, two and</w:t>
      </w:r>
      <w:r>
        <w:t xml:space="preserve"> </w:t>
      </w:r>
      <w:r>
        <w:t xml:space="preserve">three indicate limited, sizeable and strong impacts43 respectively, while the signs (pluses and</w:t>
      </w:r>
      <w:r>
        <w:t xml:space="preserve"> </w:t>
      </w:r>
      <w:r>
        <w:t xml:space="preserve">minuses) reflect their positive or negative direction. The table below shows the summarised</w:t>
      </w:r>
      <w:r>
        <w:t xml:space="preserve"> </w:t>
      </w:r>
      <w:r>
        <w:t xml:space="preserve">assessment and displays ranks between different options.</w:t>
      </w:r>
      <w:r>
        <w:t xml:space="preserve"> </w:t>
      </w:r>
      <w:r>
        <w:t xml:space="preserve">Table 11 Comparison of options</w:t>
      </w:r>
      <w:r>
        <w:t xml:space="preserve"> </w:t>
      </w:r>
      <w:r>
        <w:t xml:space="preserve">Options</w:t>
      </w:r>
      <w:r>
        <w:br/>
      </w:r>
      <w:r>
        <w:t xml:space="preserve">Category</w:t>
      </w:r>
      <w:r>
        <w:br/>
      </w:r>
      <w:r>
        <w:t xml:space="preserve">Baseline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Effectiveness of the options</w:t>
      </w:r>
      <w:r>
        <w:t xml:space="preserve"> </w:t>
      </w:r>
      <w:r>
        <w:t xml:space="preserve">Consistent functioning of the internal market</w:t>
      </w:r>
      <w:r>
        <w:br/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Safeguarding tax revenues in Member States and</w:t>
      </w:r>
      <w:r>
        <w:t xml:space="preserve"> </w:t>
      </w:r>
      <w:r>
        <w:t xml:space="preserve">improving fairness of tax systems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Improved ability of Member States to detect and</w:t>
      </w:r>
      <w:r>
        <w:t xml:space="preserve"> </w:t>
      </w:r>
      <w:r>
        <w:t xml:space="preserve">counter tax fraud, evasion and avoidance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Deterrent effects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Efficiency of the options</w:t>
      </w:r>
      <w:r>
        <w:t xml:space="preserve"> </w:t>
      </w:r>
      <w:r>
        <w:t xml:space="preserve">Impact on compliance costs for service providers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Impact on enforcement costs for 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Impact on tax collection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-1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Coherence with other EU policies</w:t>
      </w:r>
      <w:r>
        <w:t xml:space="preserve"> </w:t>
      </w:r>
      <w:r>
        <w:t xml:space="preserve">Coherence with GDPR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FirstParagraph"/>
      </w:pPr>
      <w:r>
        <w:t xml:space="preserve">As displayed in the above tables, all options would contribute to the safeguarding of tax revenues</w:t>
      </w:r>
      <w:r>
        <w:t xml:space="preserve"> </w:t>
      </w:r>
      <w:r>
        <w:t xml:space="preserve">in the Member States. The available options also improve the effectiveness aspects by increasing</w:t>
      </w:r>
      <w:r>
        <w:t xml:space="preserve"> </w:t>
      </w:r>
      <w:r>
        <w:t xml:space="preserve">the fairness and transparency of tax systems’, reducing cross-border tax evasion and improving</w:t>
      </w:r>
      <w:r>
        <w:t xml:space="preserve"> </w:t>
      </w:r>
      <w:r>
        <w:t xml:space="preserve">the overall functioning of the internal market.</w:t>
      </w:r>
      <w:r>
        <w:br/>
      </w:r>
      <w:r>
        <w:t xml:space="preserve">Without a binding regulation on EU level, there is a risk that the functioning of the Internal Market</w:t>
      </w:r>
      <w:r>
        <w:t xml:space="preserve"> </w:t>
      </w:r>
      <w:r>
        <w:t xml:space="preserve">is not ensured in the same way as in the presence of binding EU legislation. This is also the case</w:t>
      </w:r>
      <w:r>
        <w:t xml:space="preserve"> </w:t>
      </w:r>
      <w:r>
        <w:t xml:space="preserve">when SMEs are being excluded (Options 2, 4 and 6) as there is an obvious lack of level playing</w:t>
      </w:r>
      <w:r>
        <w:t xml:space="preserve"> </w:t>
      </w:r>
      <w:r>
        <w:t xml:space="preserve">field.</w:t>
      </w:r>
      <w:r>
        <w:t xml:space="preserve"> </w:t>
      </w:r>
      <w:r>
        <w:t xml:space="preserve">The efficiency of different options varies since the type of reporting, as well as the application of</w:t>
      </w:r>
      <w:r>
        <w:t xml:space="preserve"> </w:t>
      </w:r>
      <w:r>
        <w:t xml:space="preserve">a size threshold, affects CASPs and tax administrations oppositely (i.e. what is more costly for</w:t>
      </w:r>
      <w:r>
        <w:t xml:space="preserve"> </w:t>
      </w:r>
      <w:r>
        <w:t xml:space="preserve">CASPs is more cost-saving for tax administrations and vice versa). In particular, providing a larger</w:t>
      </w:r>
    </w:p>
    <w:p>
      <w:pPr>
        <w:pStyle w:val="BodyText"/>
      </w:pPr>
      <w:r>
        <w:t xml:space="preserve">43 Estimated impacts may look at the amount, range or degree of a certain criteria. Limited indicates impacts that are not quite great, sizeable refers</w:t>
      </w:r>
      <w:r>
        <w:t xml:space="preserve"> </w:t>
      </w:r>
      <w:r>
        <w:t xml:space="preserve">to ones that are large, considerable or substantial, while strong indicates extremely powerful impacts.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amount of information to the tax administrations (Options 1 and 2) may result in more control and</w:t>
      </w:r>
      <w:r>
        <w:t xml:space="preserve"> </w:t>
      </w:r>
      <w:r>
        <w:t xml:space="preserve">taxes, but the additional costs stemming from the excess of data possibly leading to overburdening</w:t>
      </w:r>
      <w:r>
        <w:t xml:space="preserve"> </w:t>
      </w:r>
      <w:r>
        <w:t xml:space="preserve">may not outweigh the benefits.44 For service providers, reporting detailed (transaction-by-</w:t>
      </w:r>
      <w:r>
        <w:t xml:space="preserve"> </w:t>
      </w:r>
      <w:r>
        <w:t xml:space="preserve">transaction) information is relatively easy with lesser costs since the data provided is raw, while</w:t>
      </w:r>
      <w:r>
        <w:t xml:space="preserve"> </w:t>
      </w:r>
      <w:r>
        <w:t xml:space="preserve">data aggregation would require additional costs (Options 3 and 4). Hybrid reporting (Options 5</w:t>
      </w:r>
      <w:r>
        <w:t xml:space="preserve"> </w:t>
      </w:r>
      <w:r>
        <w:t xml:space="preserve">and 6) provides for a middle-ground solution when it comes to bearing costs as it considers data</w:t>
      </w:r>
      <w:r>
        <w:t xml:space="preserve"> </w:t>
      </w:r>
      <w:r>
        <w:t xml:space="preserve">aggregation (more work on the CASP side) while processing additionally requested raw data only</w:t>
      </w:r>
      <w:r>
        <w:t xml:space="preserve"> </w:t>
      </w:r>
      <w:r>
        <w:t xml:space="preserve">when relevant (more work for tax administrations). Size thresholds also affects costs for both</w:t>
      </w:r>
      <w:r>
        <w:t xml:space="preserve"> </w:t>
      </w:r>
      <w:r>
        <w:t xml:space="preserve">CASPs and tax administrations. This is due to positive correlation between the two variables</w:t>
      </w:r>
      <w:r>
        <w:t xml:space="preserve"> </w:t>
      </w:r>
      <w:r>
        <w:t xml:space="preserve">(number of service providers needing to report and costs).</w:t>
      </w:r>
      <w:r>
        <w:t xml:space="preserve"> </w:t>
      </w:r>
      <w:r>
        <w:t xml:space="preserve">The deterrent effect and tax collection are improved with more detailed information and with a</w:t>
      </w:r>
      <w:r>
        <w:t xml:space="preserve"> </w:t>
      </w:r>
      <w:r>
        <w:t xml:space="preserve">wider scope. Reporting of information on transactions rather than balances will therefore have a</w:t>
      </w:r>
      <w:r>
        <w:t xml:space="preserve"> </w:t>
      </w:r>
      <w:r>
        <w:t xml:space="preserve">stronger deterrent effect and will improve tax collection. The increased scope and the transactional</w:t>
      </w:r>
      <w:r>
        <w:t xml:space="preserve"> </w:t>
      </w:r>
      <w:r>
        <w:t xml:space="preserve">reporting will also improve the ability to detect and counter tax fraud, evasion and avoidance as</w:t>
      </w:r>
      <w:r>
        <w:t xml:space="preserve"> </w:t>
      </w:r>
      <w:r>
        <w:t xml:space="preserve">there is more information on a wider scope of taxpayers. In the end, this will contribute to</w:t>
      </w:r>
      <w:r>
        <w:t xml:space="preserve"> </w:t>
      </w:r>
      <w:r>
        <w:t xml:space="preserve">safeguarding tax revenues and bolster the fairness of the tax system.</w:t>
      </w:r>
      <w:r>
        <w:t xml:space="preserve"> </w:t>
      </w:r>
      <w:r>
        <w:t xml:space="preserve">To sum up, all options share certain similarities once contrasted with the baseline scenario.</w:t>
      </w:r>
      <w:r>
        <w:t xml:space="preserve"> </w:t>
      </w:r>
      <w:r>
        <w:t xml:space="preserve">Nevertheless, larger effectiveness and efficiency gains for service providers and tax</w:t>
      </w:r>
      <w:r>
        <w:t xml:space="preserve"> </w:t>
      </w:r>
      <w:r>
        <w:t xml:space="preserve">administrations are obtainable under hybrid reporting and with no differentiation in terms of size.</w:t>
      </w:r>
      <w:r>
        <w:br/>
      </w:r>
      <w:r>
        <w:t xml:space="preserve">The absence of a threshold would mean that SMEs face an administrative burden, which is</w:t>
      </w:r>
      <w:r>
        <w:t xml:space="preserve"> </w:t>
      </w:r>
      <w:r>
        <w:t xml:space="preserve">proportionately heavier than for larger CASPs. However, the fast evolution of the market and the</w:t>
      </w:r>
      <w:r>
        <w:t xml:space="preserve"> </w:t>
      </w:r>
      <w:r>
        <w:t xml:space="preserve">participating entities’ growth pattern mean that CASPs can easily and quickly grow in size. As the</w:t>
      </w:r>
      <w:r>
        <w:t xml:space="preserve"> </w:t>
      </w:r>
      <w:r>
        <w:t xml:space="preserve">market grows fast, they could within a very short time change from being out of scope to being in</w:t>
      </w:r>
      <w:r>
        <w:t xml:space="preserve"> </w:t>
      </w:r>
      <w:r>
        <w:t xml:space="preserve">scope, which would make it difficult for CASPs to collect the necessary data on short notice.</w:t>
      </w:r>
      <w:r>
        <w:t xml:space="preserve"> </w:t>
      </w:r>
      <w:r>
        <w:t xml:space="preserve">Setting a threshold to leave out of scope CASPs that have a more limited size is therefore not</w:t>
      </w:r>
      <w:r>
        <w:t xml:space="preserve"> </w:t>
      </w:r>
      <w:r>
        <w:t xml:space="preserve">necessarily a better option for SMEs. In addition, this threshold could lead to a non-desired</w:t>
      </w:r>
      <w:r>
        <w:t xml:space="preserve"> </w:t>
      </w:r>
      <w:r>
        <w:t xml:space="preserve">fragmentation of the market and imply risks of not detecting transactions that are potentially</w:t>
      </w:r>
      <w:r>
        <w:t xml:space="preserve"> </w:t>
      </w:r>
      <w:r>
        <w:t xml:space="preserve">significant from a tax perspective.</w:t>
      </w:r>
    </w:p>
    <w:p>
      <w:pPr>
        <w:pStyle w:val="BodyText"/>
      </w:pPr>
      <w:r>
        <w:t xml:space="preserve">44 The granularity of information reported plays an important role when accounting for both benefits and costs. The more data is transmitted to tax</w:t>
      </w:r>
      <w:r>
        <w:t xml:space="preserve"> </w:t>
      </w:r>
      <w:r>
        <w:t xml:space="preserve">administrations, the more transparency is provided, leading to a higher degree of discretion when shaping tax policies. At the same time, though,</w:t>
      </w:r>
      <w:r>
        <w:t xml:space="preserve"> </w:t>
      </w:r>
      <w:r>
        <w:t xml:space="preserve">the authorities are likely to become overflown with data, which can likely decrease their ability to properly analyse the received information.</w:t>
      </w:r>
    </w:p>
    <w:p>
      <w:pPr>
        <w:pStyle w:val="BodyText"/>
      </w:pPr>
      <w:r>
        <w:t xml:space="preserve">44</w:t>
      </w:r>
    </w:p>
    <w:p>
      <w:pPr>
        <w:pStyle w:val="Compact"/>
        <w:numPr>
          <w:ilvl w:val="0"/>
          <w:numId w:val="1010"/>
        </w:numPr>
      </w:pPr>
      <w:r>
        <w:t xml:space="preserve">PREFERRED OPTION</w:t>
      </w:r>
      <w:r>
        <w:t xml:space="preserve"> </w:t>
      </w:r>
      <w:r>
        <w:t xml:space="preserve">The above analysis indicates that Option 5 hybrid reporting by all CASPs, irrespective of size, is</w:t>
      </w:r>
      <w:r>
        <w:t xml:space="preserve"> </w:t>
      </w:r>
      <w:r>
        <w:t xml:space="preserve">the most appropriate option to meet the objectives of the initiative. The status quo baseline scenario</w:t>
      </w:r>
      <w:r>
        <w:t xml:space="preserve"> </w:t>
      </w:r>
      <w:r>
        <w:t xml:space="preserve">is the least effective, efficient and coherent. When compared with the baseline scenario, having an</w:t>
      </w:r>
      <w:r>
        <w:t xml:space="preserve"> </w:t>
      </w:r>
      <w:r>
        <w:t xml:space="preserve">EU mandatory common standard would ensure that all EU tax administrations have access to the</w:t>
      </w:r>
      <w:r>
        <w:t xml:space="preserve"> </w:t>
      </w:r>
      <w:r>
        <w:t xml:space="preserve">same type of information. In other words, an EU legislative initiative would put all tax authorities</w:t>
      </w:r>
      <w:r>
        <w:t xml:space="preserve"> </w:t>
      </w:r>
      <w:r>
        <w:t xml:space="preserve">on an equal footing. A legislative initiative is also the only one that allows for the automatic</w:t>
      </w:r>
      <w:r>
        <w:t xml:space="preserve"> </w:t>
      </w:r>
      <w:r>
        <w:t xml:space="preserve">exchange of information at the EU level, based on common standards and specifications.</w:t>
      </w:r>
      <w:r>
        <w:br/>
      </w:r>
      <w:r>
        <w:t xml:space="preserve">The approach outlined under Option 5, once implemented, would allow the tax authorities where</w:t>
      </w:r>
      <w:r>
        <w:t xml:space="preserve"> </w:t>
      </w:r>
      <w:r>
        <w:t xml:space="preserve">a crypto-asset user is a resident to verify that the user has accurately reported their proceeds</w:t>
      </w:r>
      <w:r>
        <w:t xml:space="preserve"> </w:t>
      </w:r>
      <w:r>
        <w:t xml:space="preserve">obtained through crypto-asset transactions. Besides, it would positively influence sector</w:t>
      </w:r>
      <w:r>
        <w:t xml:space="preserve"> </w:t>
      </w:r>
      <w:r>
        <w:t xml:space="preserve">competitiveness because it would level the playing field between actors of the traditional financial</w:t>
      </w:r>
      <w:r>
        <w:t xml:space="preserve"> </w:t>
      </w:r>
      <w:r>
        <w:t xml:space="preserve">sector and crypto-assets, as well as bring a higher degree of tax fairness, increasing trust in all</w:t>
      </w:r>
      <w:r>
        <w:t xml:space="preserve"> </w:t>
      </w:r>
      <w:r>
        <w:t xml:space="preserve">sector players.</w:t>
      </w:r>
      <w:r>
        <w:t xml:space="preserve"> </w:t>
      </w:r>
      <w:r>
        <w:t xml:space="preserve">This proposal would design a legal framework to report and exchange tax-related information</w:t>
      </w:r>
      <w:r>
        <w:t xml:space="preserve"> </w:t>
      </w:r>
      <w:r>
        <w:t xml:space="preserve">efficiently, effectively, and securely.</w:t>
      </w:r>
      <w:r>
        <w:br/>
      </w:r>
      <w:r>
        <w:t xml:space="preserve">All CASPs regardless of their size and location need to collect and report information on their</w:t>
      </w:r>
      <w:r>
        <w:t xml:space="preserve"> </w:t>
      </w:r>
      <w:r>
        <w:t xml:space="preserve">customers that are resident in the EU. This would ensure a level playing field in the Internal</w:t>
      </w:r>
      <w:r>
        <w:t xml:space="preserve"> </w:t>
      </w:r>
      <w:r>
        <w:t xml:space="preserve">Market. Moreover all CASPs offering their services to EU resident users would have to be</w:t>
      </w:r>
      <w:r>
        <w:t xml:space="preserve"> </w:t>
      </w:r>
      <w:r>
        <w:t xml:space="preserve">registered in the EU in accordance with the proposed Regulation on MiCA.</w:t>
      </w:r>
      <w:r>
        <w:br/>
      </w:r>
      <w:r>
        <w:t xml:space="preserve">This initiative would not set a threshold for reporting obligations to apply, which would reduce the</w:t>
      </w:r>
      <w:r>
        <w:t xml:space="preserve"> </w:t>
      </w:r>
      <w:r>
        <w:t xml:space="preserve">risk of creating loopholes and contribute to creating a level playing field in the global crypto-asset</w:t>
      </w:r>
      <w:r>
        <w:t xml:space="preserve"> </w:t>
      </w:r>
      <w:r>
        <w:t xml:space="preserve">market. CASPs already need to gather information for AML/KYC purposes hence they are already</w:t>
      </w:r>
      <w:r>
        <w:t xml:space="preserve"> </w:t>
      </w:r>
      <w:r>
        <w:t xml:space="preserve">obliged to identify their customers. The administrative burden linked to data collection would</w:t>
      </w:r>
      <w:r>
        <w:t xml:space="preserve"> </w:t>
      </w:r>
      <w:r>
        <w:t xml:space="preserve">therefore remain limited for service providers.</w:t>
      </w:r>
      <w:r>
        <w:br/>
      </w:r>
      <w:r>
        <w:t xml:space="preserve">Concerning the scope in terms of crypto-assets, the preferred option would aim at setting rules for</w:t>
      </w:r>
      <w:r>
        <w:t xml:space="preserve"> </w:t>
      </w:r>
      <w:r>
        <w:t xml:space="preserve">the exchange of information concerning marketable crypto-assets.</w:t>
      </w:r>
      <w:r>
        <w:br/>
      </w:r>
      <w:r>
        <w:t xml:space="preserve">Concerning the transmission and reporting of information for crypto-assets, the preferred option</w:t>
      </w:r>
      <w:r>
        <w:t xml:space="preserve"> </w:t>
      </w:r>
      <w:r>
        <w:t xml:space="preserve">would be a middle-ground between aggregate reporting and transaction-by-transaction reporting.</w:t>
      </w:r>
      <w:r>
        <w:t xml:space="preserve"> </w:t>
      </w:r>
      <w:r>
        <w:t xml:space="preserve">Some additional data such as number of transactions or any commissions or fees, would be</w:t>
      </w:r>
      <w:r>
        <w:t xml:space="preserve"> </w:t>
      </w:r>
      <w:r>
        <w:t xml:space="preserve">collected as well in order to enable a faster, more accurate and effective tax assessment by tax</w:t>
      </w:r>
      <w:r>
        <w:t xml:space="preserve"> </w:t>
      </w:r>
      <w:r>
        <w:t xml:space="preserve">authorities. This system would allow tax administrations to enhance the usability of the data and</w:t>
      </w:r>
      <w:r>
        <w:t xml:space="preserve"> </w:t>
      </w:r>
      <w:r>
        <w:t xml:space="preserve">increase the efficiency of implementing risk analysis for tax purposes. For two types of crypto-</w:t>
      </w:r>
      <w:r>
        <w:t xml:space="preserve"> </w:t>
      </w:r>
      <w:r>
        <w:t xml:space="preserve">assets, CBDCs and e-money tokens CASPs would exchange information on balances and not on</w:t>
      </w:r>
      <w:r>
        <w:t xml:space="preserve"> </w:t>
      </w:r>
      <w:r>
        <w:t xml:space="preserve">transactions, under similar conditions to those that apply to financial assets. The IT solution that</w:t>
      </w:r>
      <w:r>
        <w:t xml:space="preserve"> </w:t>
      </w:r>
      <w:r>
        <w:t xml:space="preserve">would best facilitate reporting and exchange of information with the best available balance</w:t>
      </w:r>
      <w:r>
        <w:t xml:space="preserve"> </w:t>
      </w:r>
      <w:r>
        <w:t xml:space="preserve">between costs and usability benefits for all parties involved – CASPs, the Member States and the</w:t>
      </w:r>
      <w:r>
        <w:t xml:space="preserve"> </w:t>
      </w:r>
      <w:r>
        <w:t xml:space="preserve">Commission – is the one of Central Directory (already used for exchanges under DAC3 and</w:t>
      </w:r>
      <w:r>
        <w:t xml:space="preserve"> </w:t>
      </w:r>
      <w:r>
        <w:t xml:space="preserve">DAC6).</w:t>
      </w:r>
    </w:p>
    <w:p>
      <w:pPr>
        <w:pStyle w:val="FirstParagraph"/>
      </w:pPr>
      <w:r>
        <w:t xml:space="preserve">45</w:t>
      </w:r>
    </w:p>
    <w:p>
      <w:pPr>
        <w:pStyle w:val="BodyText"/>
      </w:pPr>
      <w:r>
        <w:t xml:space="preserve">The preferred option would be proportionate and would not go beyond what is needed to achieve</w:t>
      </w:r>
      <w:r>
        <w:t xml:space="preserve"> </w:t>
      </w:r>
      <w:r>
        <w:t xml:space="preserve">the goals. The data that crypto-asset service providers would need to provide, according to the</w:t>
      </w:r>
      <w:r>
        <w:t xml:space="preserve"> </w:t>
      </w:r>
      <w:r>
        <w:t xml:space="preserve">experience with previous DACs, is the minimum required to ensure that tax administrations can</w:t>
      </w:r>
      <w:r>
        <w:t xml:space="preserve"> </w:t>
      </w:r>
      <w:r>
        <w:t xml:space="preserve">adequately execute their tax control commitments. The cost-benefit ratio is positive: the expected</w:t>
      </w:r>
      <w:r>
        <w:t xml:space="preserve"> </w:t>
      </w:r>
      <w:r>
        <w:t xml:space="preserve">return in terms of additional tax revenues is higher than the estimated costs. While there is an</w:t>
      </w:r>
      <w:r>
        <w:t xml:space="preserve"> </w:t>
      </w:r>
      <w:r>
        <w:t xml:space="preserve">administrative burden for businesses and tax administrations linked to the proposed initiative, it is</w:t>
      </w:r>
      <w:r>
        <w:t xml:space="preserve"> </w:t>
      </w:r>
      <w:r>
        <w:t xml:space="preserve">less burdensome than having a patchwork of national rules. The impact on personal data protection</w:t>
      </w:r>
      <w:r>
        <w:t xml:space="preserve"> </w:t>
      </w:r>
      <w:r>
        <w:t xml:space="preserve">is in line with data protection rules, and the expected effect on the sector’s competitiveness and</w:t>
      </w:r>
      <w:r>
        <w:t xml:space="preserve"> </w:t>
      </w:r>
      <w:r>
        <w:t xml:space="preserve">the overall social impact is deemed positive.</w:t>
      </w:r>
      <w:r>
        <w:t xml:space="preserve"> </w:t>
      </w:r>
      <w:r>
        <w:t xml:space="preserve">Concerning the administrative costs related to the ‘one in, one out’ approach, there will be</w:t>
      </w:r>
      <w:r>
        <w:t xml:space="preserve"> </w:t>
      </w:r>
      <w:r>
        <w:t xml:space="preserve">administrative costs for crypto-assets service providers. The total one-off costs for crypto-assets</w:t>
      </w:r>
      <w:r>
        <w:t xml:space="preserve"> </w:t>
      </w:r>
      <w:r>
        <w:t xml:space="preserve">service providers are estimated at EUR 259 million (or EUR 1.5 million per CASP) while the</w:t>
      </w:r>
      <w:r>
        <w:t xml:space="preserve"> </w:t>
      </w:r>
      <w:r>
        <w:t xml:space="preserve">recurrent costs are estimated at 22.6 million for all CASPs but it is estimated that they will not</w:t>
      </w:r>
      <w:r>
        <w:t xml:space="preserve"> </w:t>
      </w:r>
      <w:r>
        <w:t xml:space="preserve">surpass EUR 135 000 per entity on a yearly basis. However, as a result of the directive crypto-</w:t>
      </w:r>
      <w:r>
        <w:t xml:space="preserve"> </w:t>
      </w:r>
      <w:r>
        <w:t xml:space="preserve">assets service providers will benefit from homogeneous reporting requirements throughout the EU,</w:t>
      </w:r>
      <w:r>
        <w:t xml:space="preserve"> </w:t>
      </w:r>
      <w:r>
        <w:t xml:space="preserve">rather than having multiple standards across each Member State. They will not be faced with</w:t>
      </w:r>
      <w:r>
        <w:t xml:space="preserve"> </w:t>
      </w:r>
      <w:r>
        <w:t xml:space="preserve">burdensome individual information requests as the preferred option provides tax administrations</w:t>
      </w:r>
      <w:r>
        <w:t xml:space="preserve"> </w:t>
      </w:r>
      <w:r>
        <w:t xml:space="preserve">with the right level of information and the process to report the information will be very much</w:t>
      </w:r>
      <w:r>
        <w:t xml:space="preserve"> </w:t>
      </w:r>
      <w:r>
        <w:t xml:space="preserve">automated and digitalised.</w:t>
      </w:r>
      <w:r>
        <w:t xml:space="preserve"> </w:t>
      </w:r>
      <w:r>
        <w:t xml:space="preserve">It would also respect the principle of subsidiarity, as the main problem – which is that tax</w:t>
      </w:r>
      <w:r>
        <w:t xml:space="preserve"> </w:t>
      </w:r>
      <w:r>
        <w:t xml:space="preserve">authorities lack the information necessary to monitor the income obtained using crypto-assets –</w:t>
      </w:r>
      <w:r>
        <w:t xml:space="preserve"> </w:t>
      </w:r>
      <w:r>
        <w:t xml:space="preserve">requires EU solutions, providing new tools to enable tax administrations to do their job efficiently.</w:t>
      </w:r>
      <w:r>
        <w:t xml:space="preserve"> </w:t>
      </w:r>
      <w:r>
        <w:t xml:space="preserve">In the absence of administrative cooperation, a Member State on its own would not be able to</w:t>
      </w:r>
      <w:r>
        <w:t xml:space="preserve"> </w:t>
      </w:r>
      <w:r>
        <w:t xml:space="preserve">ensure the correct compliance of its residents. Therefore, the possibility for tax authorities to obtain</w:t>
      </w:r>
      <w:r>
        <w:t xml:space="preserve"> </w:t>
      </w:r>
      <w:r>
        <w:t xml:space="preserve">the necessary information clearly offers EU added-value, over and above what can be achieved at</w:t>
      </w:r>
      <w:r>
        <w:t xml:space="preserve"> </w:t>
      </w:r>
      <w:r>
        <w:t xml:space="preserve">the individual Member State level.</w:t>
      </w:r>
    </w:p>
    <w:p>
      <w:pPr>
        <w:pStyle w:val="BodyText"/>
      </w:pPr>
      <w:r>
        <w:t xml:space="preserve">46</w:t>
      </w:r>
    </w:p>
    <w:p>
      <w:pPr>
        <w:pStyle w:val="Compact"/>
        <w:numPr>
          <w:ilvl w:val="0"/>
          <w:numId w:val="1011"/>
        </w:numPr>
      </w:pPr>
      <w:r>
        <w:t xml:space="preserve">HOW WILL ACTUAL IMPACTS BE MONITORED AND</w:t>
      </w:r>
      <w:r>
        <w:t xml:space="preserve"> </w:t>
      </w:r>
      <w:r>
        <w:t xml:space="preserve">EVALUATED?</w:t>
      </w:r>
      <w:r>
        <w:br/>
      </w:r>
      <w:r>
        <w:t xml:space="preserve">9.1 Indicators for monitoring and evaluation</w:t>
      </w:r>
      <w:r>
        <w:t xml:space="preserve"> </w:t>
      </w:r>
      <w:r>
        <w:t xml:space="preserve">The table below gives an overview of the objectives, the indicators to measure whether they will</w:t>
      </w:r>
      <w:r>
        <w:t xml:space="preserve"> </w:t>
      </w:r>
      <w:r>
        <w:t xml:space="preserve">be achieved, the tool for monitoring them and the operational objective. In the medium term, the</w:t>
      </w:r>
      <w:r>
        <w:t xml:space="preserve"> </w:t>
      </w:r>
      <w:r>
        <w:t xml:space="preserve">initiative is expected to have a positive impact with respect to the general objectives presented in</w:t>
      </w:r>
      <w:r>
        <w:t xml:space="preserve"> </w:t>
      </w:r>
      <w:r>
        <w:t xml:space="preserve">chapter 4.</w:t>
      </w:r>
      <w:r>
        <w:t xml:space="preserve"> </w:t>
      </w:r>
      <w:r>
        <w:t xml:space="preserve">Table 12 Indicators for monitoring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Measurement tools</w:t>
      </w:r>
      <w:r>
        <w:t xml:space="preserve"> </w:t>
      </w:r>
      <w:r>
        <w:t xml:space="preserve">Improve the ability of Member</w:t>
      </w:r>
      <w:r>
        <w:t xml:space="preserve"> </w:t>
      </w:r>
      <w:r>
        <w:t xml:space="preserve">States to detect and contrast</w:t>
      </w:r>
      <w:r>
        <w:t xml:space="preserve"> </w:t>
      </w:r>
      <w:r>
        <w:t xml:space="preserve">cross-border tax evasion</w:t>
      </w:r>
    </w:p>
    <w:p>
      <w:pPr>
        <w:pStyle w:val="FirstParagraph"/>
      </w:pPr>
      <w:r>
        <w:t xml:space="preserve">Number of controls carried out</w:t>
      </w:r>
      <w:r>
        <w:t xml:space="preserve"> </w:t>
      </w:r>
      <w:r>
        <w:t xml:space="preserve">based on data tax administrations</w:t>
      </w:r>
      <w:r>
        <w:t xml:space="preserve"> </w:t>
      </w:r>
      <w:r>
        <w:t xml:space="preserve">gather via the initiative (either</w:t>
      </w:r>
      <w:r>
        <w:t xml:space="preserve"> </w:t>
      </w:r>
      <w:r>
        <w:t xml:space="preserve">only or including these data)</w:t>
      </w:r>
    </w:p>
    <w:p>
      <w:pPr>
        <w:pStyle w:val="BodyText"/>
      </w:pPr>
      <w:r>
        <w:t xml:space="preserve">Yearly assessment of automatic</w:t>
      </w:r>
      <w:r>
        <w:t xml:space="preserve"> </w:t>
      </w:r>
      <w:r>
        <w:t xml:space="preserve">exchange of information (source: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administrations)</w:t>
      </w:r>
    </w:p>
    <w:p>
      <w:pPr>
        <w:pStyle w:val="BodyText"/>
      </w:pPr>
      <w:r>
        <w:t xml:space="preserve">Additional tax revenues secured</w:t>
      </w:r>
      <w:r>
        <w:t xml:space="preserve"> </w:t>
      </w:r>
      <w:r>
        <w:t xml:space="preserve">thanks to the initiative, measured</w:t>
      </w:r>
      <w:r>
        <w:t xml:space="preserve"> </w:t>
      </w:r>
      <w:r>
        <w:t xml:space="preserve">either as increase in tax base</w:t>
      </w:r>
      <w:r>
        <w:t xml:space="preserve"> </w:t>
      </w:r>
      <w:r>
        <w:t xml:space="preserve">and/or increase in tax assessed</w:t>
      </w:r>
    </w:p>
    <w:p>
      <w:pPr>
        <w:pStyle w:val="BodyText"/>
      </w:pPr>
      <w:r>
        <w:t xml:space="preserve">Yearly assessment of automatic</w:t>
      </w:r>
      <w:r>
        <w:t xml:space="preserve"> </w:t>
      </w:r>
      <w:r>
        <w:t xml:space="preserve">exchange of information (source: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administrations)</w:t>
      </w:r>
      <w:r>
        <w:br/>
      </w:r>
      <w:r>
        <w:t xml:space="preserve">Improve the deterrent effect</w:t>
      </w:r>
      <w:r>
        <w:t xml:space="preserve"> </w:t>
      </w:r>
      <w:r>
        <w:t xml:space="preserve">through the reporting obligations</w:t>
      </w:r>
      <w:r>
        <w:t xml:space="preserve"> </w:t>
      </w:r>
      <w:r>
        <w:t xml:space="preserve">and subsequent risk of detection.</w:t>
      </w:r>
      <w:r>
        <w:br/>
      </w:r>
      <w:r>
        <w:t xml:space="preserve">Qualitative assessment of the rate</w:t>
      </w:r>
      <w:r>
        <w:t xml:space="preserve"> </w:t>
      </w:r>
      <w:r>
        <w:t xml:space="preserve">of</w:t>
      </w:r>
      <w:r>
        <w:t xml:space="preserve"> </w:t>
      </w:r>
      <w:r>
        <w:t xml:space="preserve">crypto-asset</w:t>
      </w:r>
      <w:r>
        <w:t xml:space="preserve"> </w:t>
      </w:r>
      <w:r>
        <w:t xml:space="preserve">users’</w:t>
      </w:r>
      <w:r>
        <w:t xml:space="preserve"> </w:t>
      </w:r>
      <w:r>
        <w:t xml:space="preserve">compliance.</w:t>
      </w:r>
      <w:r>
        <w:t xml:space="preserve"> </w:t>
      </w:r>
      <w:r>
        <w:t xml:space="preserve">Yearly assessment of automatic</w:t>
      </w:r>
      <w:r>
        <w:t xml:space="preserve"> </w:t>
      </w:r>
      <w:r>
        <w:t xml:space="preserve">exchange of information (source: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administrations)</w:t>
      </w:r>
      <w:r>
        <w:br/>
      </w:r>
      <w:r>
        <w:t xml:space="preserve">9.2. Monitoring and reporting</w:t>
      </w:r>
      <w:r>
        <w:t xml:space="preserve"> </w:t>
      </w:r>
      <w:r>
        <w:t xml:space="preserve">The results of the yearly assessment by Member States are presented and discussed in the Expert</w:t>
      </w:r>
      <w:r>
        <w:t xml:space="preserve"> </w:t>
      </w:r>
      <w:r>
        <w:t xml:space="preserve">Group on Administrative Cooperation in Direct Taxation Commission. The yearly assessment is</w:t>
      </w:r>
      <w:r>
        <w:t xml:space="preserve"> </w:t>
      </w:r>
      <w:r>
        <w:t xml:space="preserve">conducted on the basis of the relevant provisions of the DAC and its implementing regulation.</w:t>
      </w:r>
      <w:r>
        <w:t xml:space="preserve"> </w:t>
      </w:r>
      <w:r>
        <w:t xml:space="preserve">As the implementation of the initiative is likely to start after 2022, the Commission will report on</w:t>
      </w:r>
      <w:r>
        <w:t xml:space="preserve"> </w:t>
      </w:r>
      <w:r>
        <w:t xml:space="preserve">this initiative as part of the third report to the European Parliament and the Council on the</w:t>
      </w:r>
      <w:r>
        <w:t xml:space="preserve"> </w:t>
      </w:r>
      <w:r>
        <w:t xml:space="preserve">effectiveness and efficiency of the application of the DAC, currently due by 1 January 2028.45</w:t>
      </w:r>
      <w:r>
        <w:t xml:space="preserve"> </w:t>
      </w:r>
      <w:r>
        <w:t xml:space="preserve">The initiative’s overall success would mean Member States’ tax authorities obtain the necessary</w:t>
      </w:r>
      <w:r>
        <w:t xml:space="preserve"> </w:t>
      </w:r>
      <w:r>
        <w:t xml:space="preserve">information to complete one of their core missions, which is to efficiently control and assess the</w:t>
      </w:r>
      <w:r>
        <w:t xml:space="preserve"> </w:t>
      </w:r>
      <w:r>
        <w:t xml:space="preserve">correctness of taxpayers’ income tax returns. In other words, it would improve the ability of</w:t>
      </w:r>
      <w:r>
        <w:t xml:space="preserve"> </w:t>
      </w:r>
      <w:r>
        <w:t xml:space="preserve">Member States to detect and address cross-border tax fraud, tax evasion and tax avoidance.</w:t>
      </w:r>
      <w:r>
        <w:t xml:space="preserve"> </w:t>
      </w:r>
      <w:r>
        <w:t xml:space="preserve">Currently, tax authorities lack the necessary information to control the correctness of the capital</w:t>
      </w:r>
      <w:r>
        <w:t xml:space="preserve"> </w:t>
      </w:r>
      <w:r>
        <w:t xml:space="preserve">gains resulting from crypto-assets declared. Success would also mean that taxpayers would be</w:t>
      </w:r>
    </w:p>
    <w:p>
      <w:pPr>
        <w:pStyle w:val="BodyText"/>
      </w:pPr>
      <w:r>
        <w:t xml:space="preserve">45 The first report on the application of the DAC was due by 1 January 2018. Report from the Commission to the European Parliament and the</w:t>
      </w:r>
      <w:r>
        <w:t xml:space="preserve"> </w:t>
      </w:r>
      <w:r>
        <w:t xml:space="preserve">Council on the application of Council Directive (EU) 2011/16/EU on administrative cooperation in the field of direct taxation. COM/2017/0781</w:t>
      </w:r>
      <w:r>
        <w:t xml:space="preserve"> </w:t>
      </w:r>
      <w:r>
        <w:t xml:space="preserve">final. The second report is due by 2023.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deterred from non-complying with their tax obligation, would change their behaviour and correctly</w:t>
      </w:r>
      <w:r>
        <w:t xml:space="preserve"> </w:t>
      </w:r>
      <w:r>
        <w:t xml:space="preserve">report their income.</w:t>
      </w:r>
      <w:r>
        <w:t xml:space="preserve"> </w:t>
      </w:r>
      <w:r>
        <w:t xml:space="preserve">The data used to measure the success of this initiative, such as the number of controls carried out</w:t>
      </w:r>
      <w:r>
        <w:t xml:space="preserve"> </w:t>
      </w:r>
      <w:r>
        <w:t xml:space="preserve">based on data tax administrations gather via the initiative, the additional tax revenues secured</w:t>
      </w:r>
      <w:r>
        <w:t xml:space="preserve"> </w:t>
      </w:r>
      <w:r>
        <w:t xml:space="preserve">thanks to the initiative or the rate of compliance, are collected mainly through the yearly</w:t>
      </w:r>
      <w:r>
        <w:t xml:space="preserve"> </w:t>
      </w:r>
      <w:r>
        <w:t xml:space="preserve">assessment of the automatic exchange of information. Based on existing provisions of DAC, each</w:t>
      </w:r>
      <w:r>
        <w:t xml:space="preserve"> </w:t>
      </w:r>
      <w:r>
        <w:t xml:space="preserve">Member State has to complete annually a questionnaire (“the DAC yearly assessment”) by</w:t>
      </w:r>
      <w:r>
        <w:t xml:space="preserve"> </w:t>
      </w:r>
      <w:r>
        <w:t xml:space="preserve">providing information on the effectiveness of the automatic exchange of information and the</w:t>
      </w:r>
      <w:r>
        <w:t xml:space="preserve"> </w:t>
      </w:r>
      <w:r>
        <w:t xml:space="preserve">practical results. This questionnaire will be expanded to include this initiative. Similarly to what</w:t>
      </w:r>
      <w:r>
        <w:t xml:space="preserve"> </w:t>
      </w:r>
      <w:r>
        <w:t xml:space="preserve">exists for other provisions of DAC, the Commission will determine, by means of an implementing</w:t>
      </w:r>
      <w:r>
        <w:t xml:space="preserve"> </w:t>
      </w:r>
      <w:r>
        <w:t xml:space="preserve">regulation, a list of statistical data which shall be provided by the Member States for the purposes</w:t>
      </w:r>
      <w:r>
        <w:t xml:space="preserve"> </w:t>
      </w:r>
      <w:r>
        <w:t xml:space="preserve">of the evaluation of this initiative. In particular, the outcome of a Fiscalis Working Group on Key</w:t>
      </w:r>
      <w:r>
        <w:t xml:space="preserve"> </w:t>
      </w:r>
      <w:r>
        <w:t xml:space="preserve">Performance Indicators for DAC will be used in order to improve indicators and controls of the</w:t>
      </w:r>
      <w:r>
        <w:t xml:space="preserve"> </w:t>
      </w:r>
      <w:r>
        <w:t xml:space="preserve">performance of the initiative. This would measure for instance the number of times information</w:t>
      </w:r>
      <w:r>
        <w:t xml:space="preserve"> </w:t>
      </w:r>
      <w:r>
        <w:t xml:space="preserve">received is used as part of a compliance intervention and the number of times the tax base of a</w:t>
      </w:r>
      <w:r>
        <w:t xml:space="preserve"> </w:t>
      </w:r>
      <w:r>
        <w:t xml:space="preserve">taxpayer is adjusted as a result of received information.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ANNEX 1: PROCEDURAL INFORMATION</w:t>
      </w:r>
    </w:p>
    <w:p>
      <w:pPr>
        <w:pStyle w:val="BodyText"/>
      </w:pPr>
      <w:r>
        <w:t xml:space="preserve">DG TAXUD, PLAN/2020/8658.</w:t>
      </w:r>
    </w:p>
    <w:p>
      <w:pPr>
        <w:pStyle w:val="BodyText"/>
      </w:pPr>
      <w:r>
        <w:t xml:space="preserve">The initiative is part of the Action plan for fair and simple taxation supporting the recovery</w:t>
      </w:r>
      <w:r>
        <w:t xml:space="preserve"> </w:t>
      </w:r>
      <w:r>
        <w:t xml:space="preserve">strategy46 and listed in the Commission Work Program 2021, Annex I, priority: “An economy that</w:t>
      </w:r>
      <w:r>
        <w:t xml:space="preserve"> </w:t>
      </w:r>
      <w:r>
        <w:t xml:space="preserve">works for people”, initiative number 15.</w:t>
      </w:r>
      <w:r>
        <w:t xml:space="preserve"> </w:t>
      </w:r>
      <w:r>
        <w:t xml:space="preserve">Organisation and timing</w:t>
      </w:r>
    </w:p>
    <w:p>
      <w:pPr>
        <w:pStyle w:val="BodyText"/>
      </w:pPr>
      <w:r>
        <w:t xml:space="preserve">An inter-service steering group was set up to steer and provide input to this impact assessment</w:t>
      </w:r>
      <w:r>
        <w:t xml:space="preserve"> </w:t>
      </w:r>
      <w:r>
        <w:t xml:space="preserve">report. The steering group met 3 times before the report was submitted to the Regulatory Scrutiny</w:t>
      </w:r>
      <w:r>
        <w:t xml:space="preserve"> </w:t>
      </w:r>
      <w:r>
        <w:t xml:space="preserve">Board.</w:t>
      </w:r>
      <w:r>
        <w:t xml:space="preserve"> </w:t>
      </w:r>
      <w:r>
        <w:t xml:space="preserve">Consultation of the Regulatory Scrutiny Board</w:t>
      </w:r>
    </w:p>
    <w:p>
      <w:pPr>
        <w:pStyle w:val="BodyText"/>
      </w:pPr>
      <w:r>
        <w:t xml:space="preserve">On 11 October 2021, a draft version of the impact assessment was presented to the Regulatory</w:t>
      </w:r>
      <w:r>
        <w:t xml:space="preserve"> </w:t>
      </w:r>
      <w:r>
        <w:t xml:space="preserve">Scrutiny Board. On 12 November 2021, the RSB issued a positive opinion with reservations.</w:t>
      </w:r>
      <w:r>
        <w:t xml:space="preserve"> </w:t>
      </w:r>
      <w:r>
        <w:t xml:space="preserve">Afterwards, the draft report has been revised in order to take into account the recommendations</w:t>
      </w:r>
      <w:r>
        <w:t xml:space="preserve"> </w:t>
      </w:r>
      <w:r>
        <w:t xml:space="preserve">for improvement, as explained in more detail in the table below.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How have the recommendations led to</w:t>
      </w:r>
      <w:r>
        <w:t xml:space="preserve"> </w:t>
      </w:r>
      <w:r>
        <w:t xml:space="preserve">changes to the report?</w:t>
      </w:r>
      <w:r>
        <w:t xml:space="preserve"> </w:t>
      </w:r>
      <w:r>
        <w:t xml:space="preserve">The report should define in more depth the</w:t>
      </w:r>
      <w:r>
        <w:t xml:space="preserve"> </w:t>
      </w:r>
      <w:r>
        <w:t xml:space="preserve">different types of crypto-assets, and clarify</w:t>
      </w:r>
      <w:r>
        <w:br/>
      </w:r>
      <w:r>
        <w:t xml:space="preserve">which types are in and out of scope for this</w:t>
      </w:r>
      <w:r>
        <w:t xml:space="preserve"> </w:t>
      </w:r>
      <w:r>
        <w:t xml:space="preserve">initiative. This is particularly relevant as</w:t>
      </w:r>
      <w:r>
        <w:br/>
      </w:r>
      <w:r>
        <w:t xml:space="preserve">regards utility tokens and non-marketable</w:t>
      </w:r>
      <w:r>
        <w:t xml:space="preserve"> </w:t>
      </w:r>
      <w:r>
        <w:t xml:space="preserve">crypto-assets. In addition, the report should</w:t>
      </w:r>
      <w:r>
        <w:br/>
      </w:r>
      <w:r>
        <w:t xml:space="preserve">provide a more detailed definition on crypto-</w:t>
      </w:r>
      <w:r>
        <w:t xml:space="preserve"> </w:t>
      </w:r>
      <w:r>
        <w:t xml:space="preserve">asset service providers (CASPs) in scope.</w:t>
      </w:r>
      <w:r>
        <w:t xml:space="preserve"> </w:t>
      </w:r>
      <w:r>
        <w:t xml:space="preserve">Further definitions have been added in</w:t>
      </w:r>
      <w:r>
        <w:t xml:space="preserve"> </w:t>
      </w:r>
      <w:r>
        <w:t xml:space="preserve">chapter 5.</w:t>
      </w:r>
      <w:r>
        <w:t xml:space="preserve"> </w:t>
      </w:r>
      <w:r>
        <w:t xml:space="preserve">The report should clarify what legislative</w:t>
      </w:r>
      <w:r>
        <w:t xml:space="preserve"> </w:t>
      </w:r>
      <w:r>
        <w:t xml:space="preserve">gaps it aims to fill. It should better explain</w:t>
      </w:r>
      <w:r>
        <w:br/>
      </w:r>
      <w:r>
        <w:t xml:space="preserve">how overlaps will be avoided with the</w:t>
      </w:r>
      <w:r>
        <w:t xml:space="preserve"> </w:t>
      </w:r>
      <w:r>
        <w:t xml:space="preserve">ongoing AML Directive and how it will build</w:t>
      </w:r>
      <w:r>
        <w:t xml:space="preserve"> </w:t>
      </w:r>
      <w:r>
        <w:t xml:space="preserve">on the MiCA initiative. It should describe in</w:t>
      </w:r>
      <w:r>
        <w:t xml:space="preserve"> </w:t>
      </w:r>
      <w:r>
        <w:t xml:space="preserve">more detail how this initiative will build on</w:t>
      </w:r>
      <w:r>
        <w:t xml:space="preserve"> </w:t>
      </w:r>
      <w:r>
        <w:t xml:space="preserve">and interact with the evolving measures</w:t>
      </w:r>
      <w:r>
        <w:t xml:space="preserve"> </w:t>
      </w:r>
      <w:r>
        <w:t xml:space="preserve">emerging from the OECD discussions. It</w:t>
      </w:r>
      <w:r>
        <w:t xml:space="preserve"> </w:t>
      </w:r>
      <w:r>
        <w:t xml:space="preserve">should clearly explain how this initiative will</w:t>
      </w:r>
      <w:r>
        <w:t xml:space="preserve"> </w:t>
      </w:r>
      <w:r>
        <w:t xml:space="preserve">ensure compatibility and avoid duplication,</w:t>
      </w:r>
      <w:r>
        <w:br/>
      </w:r>
      <w:r>
        <w:t xml:space="preserve">Explanations have been developed further in</w:t>
      </w:r>
      <w:r>
        <w:t xml:space="preserve"> </w:t>
      </w:r>
      <w:r>
        <w:t xml:space="preserve">Chapter 2 and annex 6 has been added.</w:t>
      </w:r>
    </w:p>
    <w:p>
      <w:pPr>
        <w:pStyle w:val="BodyText"/>
      </w:pPr>
      <w:r>
        <w:t xml:space="preserve">46 European Commission. (2020). Communication from the Commission to the European Parliament and the Council, An action plan for fair and</w:t>
      </w:r>
      <w:r>
        <w:t xml:space="preserve"> </w:t>
      </w:r>
      <w:r>
        <w:t xml:space="preserve">simple taxation supporting the recovery strategy.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including by recalling the standard practice to</w:t>
      </w:r>
      <w:r>
        <w:t xml:space="preserve"> </w:t>
      </w:r>
      <w:r>
        <w:t xml:space="preserve">bring OECD agreements into EU law</w:t>
      </w:r>
      <w:r>
        <w:br/>
      </w:r>
      <w:r>
        <w:t xml:space="preserve">through directives. The report should also</w:t>
      </w:r>
      <w:r>
        <w:t xml:space="preserve"> </w:t>
      </w:r>
      <w:r>
        <w:t xml:space="preserve">more explicitly describe the changes referred</w:t>
      </w:r>
      <w:r>
        <w:t xml:space="preserve"> </w:t>
      </w:r>
      <w:r>
        <w:t xml:space="preserve">to as ‘fine-tuning’, clarifying their content</w:t>
      </w:r>
      <w:r>
        <w:t xml:space="preserve"> </w:t>
      </w:r>
      <w:r>
        <w:t xml:space="preserve">and impact as well as to what extent there</w:t>
      </w:r>
      <w:r>
        <w:t xml:space="preserve"> </w:t>
      </w:r>
      <w:r>
        <w:t xml:space="preserve">remains any policy choice.</w:t>
      </w:r>
      <w:r>
        <w:t xml:space="preserve"> </w:t>
      </w:r>
      <w:r>
        <w:t xml:space="preserve">The report should outline and discuss all</w:t>
      </w:r>
      <w:r>
        <w:t xml:space="preserve"> </w:t>
      </w:r>
      <w:r>
        <w:t xml:space="preserve">feasible options, realistic combinations of</w:t>
      </w:r>
      <w:r>
        <w:br/>
      </w:r>
      <w:r>
        <w:t xml:space="preserve">measures and discarded options. Based on the</w:t>
      </w:r>
      <w:r>
        <w:t xml:space="preserve"> </w:t>
      </w:r>
      <w:r>
        <w:t xml:space="preserve">clarification of the crypto-assets in scope, it</w:t>
      </w:r>
      <w:r>
        <w:br/>
      </w:r>
      <w:r>
        <w:t xml:space="preserve">should present the options in a way that their</w:t>
      </w:r>
      <w:r>
        <w:t xml:space="preserve"> </w:t>
      </w:r>
      <w:r>
        <w:t xml:space="preserve">differences, for instance in terms of measures</w:t>
      </w:r>
      <w:r>
        <w:br/>
      </w:r>
      <w:r>
        <w:t xml:space="preserve">included, can be effectively assessed and</w:t>
      </w:r>
      <w:r>
        <w:t xml:space="preserve"> </w:t>
      </w:r>
      <w:r>
        <w:t xml:space="preserve">compared with each other. The report should</w:t>
      </w:r>
      <w:r>
        <w:br/>
      </w:r>
      <w:r>
        <w:t xml:space="preserve">present the precise content of some options as</w:t>
      </w:r>
      <w:r>
        <w:t xml:space="preserve"> </w:t>
      </w:r>
      <w:r>
        <w:t xml:space="preserve">regards SME thresholds and aggregated</w:t>
      </w:r>
      <w:r>
        <w:br/>
      </w:r>
      <w:r>
        <w:t xml:space="preserve">reporting forms. It should systematically</w:t>
      </w:r>
      <w:r>
        <w:t xml:space="preserve"> </w:t>
      </w:r>
      <w:r>
        <w:t xml:space="preserve">consider suitable exemptions or lighter</w:t>
      </w:r>
      <w:r>
        <w:t xml:space="preserve"> </w:t>
      </w:r>
      <w:r>
        <w:t xml:space="preserve">regimes for SMEs, or explain why these are</w:t>
      </w:r>
      <w:r>
        <w:t xml:space="preserve"> </w:t>
      </w:r>
      <w:r>
        <w:t xml:space="preserve">not appropriate under all options. It should</w:t>
      </w:r>
      <w:r>
        <w:t xml:space="preserve"> </w:t>
      </w:r>
      <w:r>
        <w:t xml:space="preserve">explain how ‘future-proof’ the options are. It</w:t>
      </w:r>
      <w:r>
        <w:t xml:space="preserve"> </w:t>
      </w:r>
      <w:r>
        <w:t xml:space="preserve">should describe how the proposed IT</w:t>
      </w:r>
      <w:r>
        <w:t xml:space="preserve"> </w:t>
      </w:r>
      <w:r>
        <w:t xml:space="preserve">solutions are applicable to the different</w:t>
      </w:r>
      <w:r>
        <w:t xml:space="preserve"> </w:t>
      </w:r>
      <w:r>
        <w:t xml:space="preserve">options.</w:t>
      </w:r>
      <w:r>
        <w:t xml:space="preserve"> </w:t>
      </w:r>
      <w:r>
        <w:t xml:space="preserve">The options have been re-worked for</w:t>
      </w:r>
      <w:r>
        <w:t xml:space="preserve"> </w:t>
      </w:r>
      <w:r>
        <w:t xml:space="preserve">increased clarity in Chapter 5. SME</w:t>
      </w:r>
      <w:r>
        <w:t xml:space="preserve"> </w:t>
      </w:r>
      <w:r>
        <w:t xml:space="preserve">thresholds are discussed. The different IT</w:t>
      </w:r>
      <w:r>
        <w:t xml:space="preserve"> </w:t>
      </w:r>
      <w:r>
        <w:t xml:space="preserve">solutions are analysed further in Annex 5.</w:t>
      </w:r>
      <w:r>
        <w:t xml:space="preserve"> </w:t>
      </w:r>
      <w:r>
        <w:t xml:space="preserve">The report should better explain the evidence</w:t>
      </w:r>
      <w:r>
        <w:t xml:space="preserve"> </w:t>
      </w:r>
      <w:r>
        <w:t xml:space="preserve">underpinning the cost and benefit</w:t>
      </w:r>
      <w:r>
        <w:br/>
      </w:r>
      <w:r>
        <w:t xml:space="preserve">estimates, as well as the robustness of the</w:t>
      </w:r>
      <w:r>
        <w:t xml:space="preserve"> </w:t>
      </w:r>
      <w:r>
        <w:t xml:space="preserve">underlying assumptions and the reliability of</w:t>
      </w:r>
      <w:r>
        <w:t xml:space="preserve"> </w:t>
      </w:r>
      <w:r>
        <w:t xml:space="preserve">the data used. It should assess the risk that the</w:t>
      </w:r>
      <w:r>
        <w:t xml:space="preserve"> </w:t>
      </w:r>
      <w:r>
        <w:t xml:space="preserve">estimated costs and benefits may not</w:t>
      </w:r>
      <w:r>
        <w:br/>
      </w:r>
      <w:r>
        <w:t xml:space="preserve">materialise. It should undertake a sensitivity</w:t>
      </w:r>
      <w:r>
        <w:t xml:space="preserve"> </w:t>
      </w:r>
      <w:r>
        <w:t xml:space="preserve">analysis on a uniform 25% tax rate used for</w:t>
      </w:r>
      <w:r>
        <w:br/>
      </w:r>
      <w:r>
        <w:t xml:space="preserve">the additional tax revenue estimates to reflect</w:t>
      </w:r>
      <w:r>
        <w:t xml:space="preserve"> </w:t>
      </w:r>
      <w:r>
        <w:t xml:space="preserve">the variety of tax rates across Member</w:t>
      </w:r>
      <w:r>
        <w:br/>
      </w:r>
      <w:r>
        <w:t xml:space="preserve">States.</w:t>
      </w:r>
      <w:r>
        <w:t xml:space="preserve"> </w:t>
      </w:r>
      <w:r>
        <w:t xml:space="preserve">The evidence and the robustness of</w:t>
      </w:r>
      <w:r>
        <w:t xml:space="preserve"> </w:t>
      </w:r>
      <w:r>
        <w:t xml:space="preserve">assumptions has been explained further in</w:t>
      </w:r>
      <w:r>
        <w:t xml:space="preserve"> </w:t>
      </w:r>
      <w:r>
        <w:t xml:space="preserve">Chapter 6. A sensitivity analysis of the tax</w:t>
      </w:r>
      <w:r>
        <w:t xml:space="preserve"> </w:t>
      </w:r>
      <w:r>
        <w:t xml:space="preserve">rate used has also been carried out.</w:t>
      </w:r>
      <w:r>
        <w:t xml:space="preserve"> </w:t>
      </w:r>
      <w:r>
        <w:t xml:space="preserve">When assessing the impacts of the different</w:t>
      </w:r>
      <w:r>
        <w:t xml:space="preserve"> </w:t>
      </w:r>
      <w:r>
        <w:t xml:space="preserve">options, the report should account for the</w:t>
      </w:r>
      <w:r>
        <w:br/>
      </w:r>
      <w:r>
        <w:t xml:space="preserve">costs of second-round requests by tax</w:t>
      </w:r>
      <w:r>
        <w:t xml:space="preserve"> </w:t>
      </w:r>
      <w:r>
        <w:t xml:space="preserve">administrations, both for tax administrations</w:t>
      </w:r>
      <w:r>
        <w:t xml:space="preserve"> </w:t>
      </w:r>
      <w:r>
        <w:t xml:space="preserve">and service providers. It should discuss how</w:t>
      </w:r>
      <w:r>
        <w:t xml:space="preserve"> </w:t>
      </w:r>
      <w:r>
        <w:t xml:space="preserve">the different types of reporting affects the</w:t>
      </w:r>
      <w:r>
        <w:br/>
      </w:r>
      <w:r>
        <w:t xml:space="preserve">effectiveness and efficiency of collecting</w:t>
      </w:r>
      <w:r>
        <w:t xml:space="preserve"> </w:t>
      </w:r>
      <w:r>
        <w:t xml:space="preserve">information on crypto-assets for tax purposes.</w:t>
      </w:r>
      <w:r>
        <w:br/>
      </w:r>
      <w:r>
        <w:t xml:space="preserve">The report should also integrate the impact</w:t>
      </w:r>
      <w:r>
        <w:t xml:space="preserve"> </w:t>
      </w:r>
      <w:r>
        <w:t xml:space="preserve">analysis of the options on the IT system.</w:t>
      </w:r>
      <w:r>
        <w:t xml:space="preserve"> </w:t>
      </w:r>
      <w:r>
        <w:t xml:space="preserve">Further explanations and clarifications are</w:t>
      </w:r>
      <w:r>
        <w:t xml:space="preserve"> </w:t>
      </w:r>
      <w:r>
        <w:t xml:space="preserve">provided in Chapter 6 and Annexes 3 and 4.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The report should provide a better overview</w:t>
      </w:r>
      <w:r>
        <w:t xml:space="preserve"> </w:t>
      </w:r>
      <w:r>
        <w:t xml:space="preserve">of the size and role of different market</w:t>
      </w:r>
      <w:r>
        <w:br/>
      </w:r>
      <w:r>
        <w:t xml:space="preserve">actors on the EU crypto-asset market, in</w:t>
      </w:r>
      <w:r>
        <w:t xml:space="preserve"> </w:t>
      </w:r>
      <w:r>
        <w:t xml:space="preserve">particular with respect to third-country</w:t>
      </w:r>
      <w:r>
        <w:t xml:space="preserve"> </w:t>
      </w:r>
      <w:r>
        <w:t xml:space="preserve">players and European SMEs. It should better</w:t>
      </w:r>
      <w:r>
        <w:t xml:space="preserve"> </w:t>
      </w:r>
      <w:r>
        <w:t xml:space="preserve">describe the market dynamics and assess the</w:t>
      </w:r>
      <w:r>
        <w:t xml:space="preserve"> </w:t>
      </w:r>
      <w:r>
        <w:t xml:space="preserve">impacts of the options on the competitiveness</w:t>
      </w:r>
      <w:r>
        <w:t xml:space="preserve"> </w:t>
      </w:r>
      <w:r>
        <w:t xml:space="preserve">of SMEs. It should better explain how</w:t>
      </w:r>
      <w:r>
        <w:t xml:space="preserve"> </w:t>
      </w:r>
      <w:r>
        <w:t xml:space="preserve">proportionate the estimated costs are for</w:t>
      </w:r>
      <w:r>
        <w:t xml:space="preserve"> </w:t>
      </w:r>
      <w:r>
        <w:t xml:space="preserve">SMEs and whether these may prevent the</w:t>
      </w:r>
      <w:r>
        <w:t xml:space="preserve"> </w:t>
      </w:r>
      <w:r>
        <w:t xml:space="preserve">market entry of innovative EU start-ups.</w:t>
      </w:r>
      <w:r>
        <w:t xml:space="preserve"> </w:t>
      </w:r>
      <w:r>
        <w:t xml:space="preserve">Further descriptions of the market and the</w:t>
      </w:r>
      <w:r>
        <w:t xml:space="preserve"> </w:t>
      </w:r>
      <w:r>
        <w:t xml:space="preserve">assets and actors has been added. The</w:t>
      </w:r>
      <w:r>
        <w:t xml:space="preserve"> </w:t>
      </w:r>
      <w:r>
        <w:t xml:space="preserve">potential effects on SMEs have been</w:t>
      </w:r>
      <w:r>
        <w:t xml:space="preserve"> </w:t>
      </w:r>
      <w:r>
        <w:t xml:space="preserve">elaborated further in Chapters 5 and 6.</w:t>
      </w:r>
      <w:r>
        <w:t xml:space="preserve"> </w:t>
      </w:r>
      <w:r>
        <w:t xml:space="preserve">The description of the objectives as well as</w:t>
      </w:r>
      <w:r>
        <w:t xml:space="preserve"> </w:t>
      </w:r>
      <w:r>
        <w:t xml:space="preserve">the future monitoring framework should</w:t>
      </w:r>
      <w:r>
        <w:br/>
      </w:r>
      <w:r>
        <w:t xml:space="preserve">better reflect what success would look like.</w:t>
      </w:r>
      <w:r>
        <w:t xml:space="preserve"> </w:t>
      </w:r>
      <w:r>
        <w:t xml:space="preserve">The report should also better describe how</w:t>
      </w:r>
      <w:r>
        <w:t xml:space="preserve"> </w:t>
      </w:r>
      <w:r>
        <w:t xml:space="preserve">the data collection and the indicators used</w:t>
      </w:r>
      <w:r>
        <w:t xml:space="preserve"> </w:t>
      </w:r>
      <w:r>
        <w:t xml:space="preserve">will ensure that success can be measured. It</w:t>
      </w:r>
      <w:r>
        <w:t xml:space="preserve"> </w:t>
      </w:r>
      <w:r>
        <w:t xml:space="preserve">should explain the role that the envisaged</w:t>
      </w:r>
      <w:r>
        <w:t xml:space="preserve"> </w:t>
      </w:r>
      <w:r>
        <w:t xml:space="preserve">implementing measures will play in this</w:t>
      </w:r>
      <w:r>
        <w:t xml:space="preserve"> </w:t>
      </w:r>
      <w:r>
        <w:t xml:space="preserve">regard.</w:t>
      </w:r>
      <w:r>
        <w:t xml:space="preserve"> </w:t>
      </w:r>
      <w:r>
        <w:t xml:space="preserve">A description of what success should look</w:t>
      </w:r>
      <w:r>
        <w:t xml:space="preserve"> </w:t>
      </w:r>
      <w:r>
        <w:t xml:space="preserve">like as well as of how to measure results has</w:t>
      </w:r>
      <w:r>
        <w:t xml:space="preserve"> </w:t>
      </w:r>
      <w:r>
        <w:t xml:space="preserve">been added to chapter 9.</w:t>
      </w:r>
      <w:r>
        <w:t xml:space="preserve"> </w:t>
      </w:r>
      <w:r>
        <w:t xml:space="preserve">The report should better engage with the</w:t>
      </w:r>
      <w:r>
        <w:t xml:space="preserve"> </w:t>
      </w:r>
      <w:r>
        <w:t xml:space="preserve">different stakeholder views in the main</w:t>
      </w:r>
      <w:r>
        <w:br/>
      </w:r>
      <w:r>
        <w:t xml:space="preserve">analysis. It should more clearly outline the</w:t>
      </w:r>
      <w:r>
        <w:t xml:space="preserve"> </w:t>
      </w:r>
      <w:r>
        <w:t xml:space="preserve">different views from the main stakeholder</w:t>
      </w:r>
      <w:r>
        <w:br/>
      </w:r>
      <w:r>
        <w:t xml:space="preserve">groups such as Member States, CASPs</w:t>
      </w:r>
      <w:r>
        <w:t xml:space="preserve"> </w:t>
      </w:r>
      <w:r>
        <w:t xml:space="preserve">(including SMEs) and tax administrations.</w:t>
      </w:r>
      <w:r>
        <w:t xml:space="preserve"> </w:t>
      </w:r>
      <w:r>
        <w:t xml:space="preserve">Further details on consultations have been</w:t>
      </w:r>
      <w:r>
        <w:t xml:space="preserve"> </w:t>
      </w:r>
      <w:r>
        <w:t xml:space="preserve">added to Annex 2.</w:t>
      </w:r>
    </w:p>
    <w:p>
      <w:pPr>
        <w:pStyle w:val="BodyText"/>
      </w:pPr>
      <w:r>
        <w:t xml:space="preserve">Evidence, sources and consultations</w:t>
      </w:r>
    </w:p>
    <w:p>
      <w:pPr>
        <w:pStyle w:val="BodyText"/>
      </w:pPr>
      <w:r>
        <w:t xml:space="preserve">The evidence for the impact assessment report was gathered through various activities and from</w:t>
      </w:r>
      <w:r>
        <w:t xml:space="preserve"> </w:t>
      </w:r>
      <w:r>
        <w:t xml:space="preserve">different sources:</w:t>
      </w:r>
    </w:p>
    <w:p>
      <w:pPr>
        <w:pStyle w:val="BodyText"/>
      </w:pPr>
      <w:r>
        <w:t xml:space="preserve"> Consultation with the Working Party IV Commission Expert group on direct taxation</w:t>
      </w:r>
      <w:r>
        <w:t xml:space="preserve"> </w:t>
      </w:r>
      <w:r>
        <w:t xml:space="preserve"> Targeted consultation with relevant stakeholders, such as business associations and leading</w:t>
      </w:r>
      <w:r>
        <w:t xml:space="preserve"> </w:t>
      </w:r>
      <w:r>
        <w:t xml:space="preserve">corporations in the global market</w:t>
      </w:r>
      <w:r>
        <w:t xml:space="preserve"> </w:t>
      </w:r>
      <w:r>
        <w:t xml:space="preserve"> Targeted consultation addressed to tax authorities on the problems covered by the initiative</w:t>
      </w:r>
      <w:r>
        <w:t xml:space="preserve"> </w:t>
      </w:r>
      <w:r>
        <w:t xml:space="preserve">and possible solutions</w:t>
      </w:r>
      <w:r>
        <w:br/>
      </w:r>
      <w:r>
        <w:t xml:space="preserve"> Public consultation</w:t>
      </w:r>
      <w:r>
        <w:br/>
      </w:r>
      <w:r>
        <w:t xml:space="preserve"> Feedback on the inception impact assessment</w:t>
      </w:r>
      <w:r>
        <w:br/>
      </w:r>
      <w:r>
        <w:t xml:space="preserve"> Joint Research Centre (JRC) study47: Crypto-currencies – An empirical view from a tax</w:t>
      </w:r>
      <w:r>
        <w:t xml:space="preserve"> </w:t>
      </w:r>
      <w:r>
        <w:t xml:space="preserve">perspective</w:t>
      </w:r>
      <w:r>
        <w:t xml:space="preserve"> </w:t>
      </w:r>
      <w:r>
        <w:t xml:space="preserve"> Desk research</w:t>
      </w:r>
    </w:p>
    <w:p>
      <w:pPr>
        <w:pStyle w:val="BodyText"/>
      </w:pPr>
      <w:r>
        <w:t xml:space="preserve">47 See Footnote 16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I.</w:t>
      </w:r>
      <w:r>
        <w:t xml:space="preserve"> </w:t>
      </w:r>
      <w:r>
        <w:t xml:space="preserve">Introduction</w:t>
      </w:r>
      <w:r>
        <w:t xml:space="preserve"> </w:t>
      </w:r>
      <w:r>
        <w:t xml:space="preserve">For the preparation of this initiative, the European Commission designed a stakeholder’s</w:t>
      </w:r>
      <w:r>
        <w:t xml:space="preserve"> </w:t>
      </w:r>
      <w:r>
        <w:t xml:space="preserve">consultation strategy, which is summarized in this synopsis report. The aim of the synopsis report</w:t>
      </w:r>
      <w:r>
        <w:t xml:space="preserve"> </w:t>
      </w:r>
      <w:r>
        <w:t xml:space="preserve">is to present the outcome of the consultation activities and to show how the input has been taken</w:t>
      </w:r>
      <w:r>
        <w:t xml:space="preserve"> </w:t>
      </w:r>
      <w:r>
        <w:t xml:space="preserve">into account.</w:t>
      </w:r>
      <w:r>
        <w:br/>
      </w:r>
      <w:r>
        <w:t xml:space="preserve">The consultation strategy encompasses both, public and targeted consultations. Further details are</w:t>
      </w:r>
      <w:r>
        <w:t xml:space="preserve"> </w:t>
      </w:r>
      <w:r>
        <w:t xml:space="preserve">provided in the table below:</w:t>
      </w:r>
      <w:r>
        <w:br/>
      </w:r>
      <w:r>
        <w:t xml:space="preserve">Table 2 Overview of consultation activities</w:t>
      </w:r>
      <w:r>
        <w:t xml:space="preserve"> </w:t>
      </w:r>
      <w:r>
        <w:t xml:space="preserve">Methods of</w:t>
      </w:r>
      <w:r>
        <w:t xml:space="preserve"> </w:t>
      </w:r>
      <w:r>
        <w:t xml:space="preserve">consultation</w:t>
      </w:r>
    </w:p>
    <w:p>
      <w:pPr>
        <w:pStyle w:val="BodyText"/>
      </w:pPr>
      <w:r>
        <w:t xml:space="preserve">Stakeholder group</w:t>
      </w:r>
      <w:r>
        <w:t xml:space="preserve"> </w:t>
      </w:r>
      <w:r>
        <w:t xml:space="preserve">Consultation</w:t>
      </w:r>
      <w:r>
        <w:t xml:space="preserve"> </w:t>
      </w:r>
      <w:r>
        <w:t xml:space="preserve">period</w:t>
      </w:r>
      <w:r>
        <w:br/>
      </w:r>
      <w:r>
        <w:t xml:space="preserve">Objective/Scope of</w:t>
      </w:r>
      <w:r>
        <w:t xml:space="preserve"> </w:t>
      </w:r>
      <w:r>
        <w:t xml:space="preserve">consultation</w:t>
      </w:r>
      <w:r>
        <w:t xml:space="preserve"> </w:t>
      </w:r>
      <w:r>
        <w:t xml:space="preserve">Inception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(feedback mechanism)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</w:t>
      </w:r>
      <w:r>
        <w:br/>
      </w:r>
      <w:r>
        <w:t xml:space="preserve">EU citizen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Trade Union</w:t>
      </w:r>
      <w:r>
        <w:t xml:space="preserve"> </w:t>
      </w:r>
      <w:r>
        <w:t xml:space="preserve">23 Nov. 2020 –</w:t>
      </w:r>
      <w:r>
        <w:t xml:space="preserve"> </w:t>
      </w:r>
      <w:r>
        <w:t xml:space="preserve">21 Dec. 2020</w:t>
      </w:r>
      <w:r>
        <w:t xml:space="preserve"> </w:t>
      </w:r>
      <w:r>
        <w:t xml:space="preserve">Collect feedback on</w:t>
      </w:r>
      <w:r>
        <w:t xml:space="preserve"> </w:t>
      </w:r>
      <w:r>
        <w:t xml:space="preserve">the Inception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outlining the initial</w:t>
      </w:r>
      <w:r>
        <w:t xml:space="preserve"> </w:t>
      </w:r>
      <w:r>
        <w:t xml:space="preserve">structure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project.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Working</w:t>
      </w:r>
      <w:r>
        <w:t xml:space="preserve"> </w:t>
      </w:r>
      <w:r>
        <w:t xml:space="preserve">Party on</w:t>
      </w:r>
      <w:r>
        <w:t xml:space="preserve"> </w:t>
      </w:r>
      <w:r>
        <w:t xml:space="preserve">Taxation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13 Nov. 2020</w:t>
      </w:r>
      <w:r>
        <w:t xml:space="preserve"> </w:t>
      </w:r>
      <w:r>
        <w:t xml:space="preserve">Investigate the need</w:t>
      </w:r>
      <w:r>
        <w:t xml:space="preserve"> </w:t>
      </w:r>
      <w:r>
        <w:t xml:space="preserve">for EU action.</w:t>
      </w:r>
      <w:r>
        <w:t xml:space="preserve"> </w:t>
      </w:r>
      <w:r>
        <w:t xml:space="preserve">Gather views on a</w:t>
      </w:r>
      <w:r>
        <w:t xml:space="preserve"> </w:t>
      </w:r>
      <w:r>
        <w:t xml:space="preserve">possible</w:t>
      </w:r>
      <w:r>
        <w:t xml:space="preserve"> </w:t>
      </w:r>
      <w:r>
        <w:t xml:space="preserve">EU</w:t>
      </w:r>
      <w:r>
        <w:t xml:space="preserve"> </w:t>
      </w:r>
      <w:r>
        <w:t xml:space="preserve">initiative.</w:t>
      </w:r>
      <w:r>
        <w:t xml:space="preserve"> </w:t>
      </w:r>
      <w:r>
        <w:t xml:space="preserve">Define</w:t>
      </w:r>
      <w:r>
        <w:t xml:space="preserve"> </w:t>
      </w:r>
      <w:r>
        <w:t xml:space="preserve">possible</w:t>
      </w:r>
      <w:r>
        <w:t xml:space="preserve"> </w:t>
      </w:r>
      <w:r>
        <w:t xml:space="preserve">scope of an EU</w:t>
      </w:r>
      <w:r>
        <w:t xml:space="preserve"> </w:t>
      </w:r>
      <w:r>
        <w:t xml:space="preserve">initiative.</w:t>
      </w:r>
      <w:r>
        <w:t xml:space="preserve"> </w:t>
      </w:r>
      <w:r>
        <w:t xml:space="preserve">Working</w:t>
      </w:r>
      <w:r>
        <w:t xml:space="preserve"> </w:t>
      </w:r>
      <w:r>
        <w:t xml:space="preserve">Party on</w:t>
      </w:r>
      <w:r>
        <w:t xml:space="preserve"> </w:t>
      </w:r>
      <w:r>
        <w:t xml:space="preserve">Taxation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24 Mar. 2021</w:t>
      </w:r>
      <w:r>
        <w:t xml:space="preserve"> </w:t>
      </w:r>
      <w:r>
        <w:t xml:space="preserve">Investigate the need</w:t>
      </w:r>
      <w:r>
        <w:t xml:space="preserve"> </w:t>
      </w:r>
      <w:r>
        <w:t xml:space="preserve">for EU action.</w:t>
      </w:r>
      <w:r>
        <w:t xml:space="preserve"> </w:t>
      </w:r>
      <w:r>
        <w:t xml:space="preserve">Gather views on a</w:t>
      </w:r>
      <w:r>
        <w:t xml:space="preserve"> </w:t>
      </w:r>
      <w:r>
        <w:t xml:space="preserve">possible</w:t>
      </w:r>
      <w:r>
        <w:t xml:space="preserve"> </w:t>
      </w:r>
      <w:r>
        <w:t xml:space="preserve">EU</w:t>
      </w:r>
      <w:r>
        <w:t xml:space="preserve"> </w:t>
      </w:r>
      <w:r>
        <w:t xml:space="preserve">initiative.</w:t>
      </w:r>
      <w:r>
        <w:t xml:space="preserve"> </w:t>
      </w:r>
      <w:r>
        <w:t xml:space="preserve">Define</w:t>
      </w:r>
      <w:r>
        <w:t xml:space="preserve"> </w:t>
      </w:r>
      <w:r>
        <w:t xml:space="preserve">possible</w:t>
      </w:r>
      <w:r>
        <w:t xml:space="preserve"> </w:t>
      </w:r>
      <w:r>
        <w:t xml:space="preserve">scope of an EU</w:t>
      </w:r>
      <w:r>
        <w:t xml:space="preserve"> </w:t>
      </w:r>
      <w:r>
        <w:t xml:space="preserve">initiative.</w:t>
      </w:r>
      <w:r>
        <w:br/>
      </w:r>
      <w:r>
        <w:t xml:space="preserve">Private</w:t>
      </w:r>
      <w:r>
        <w:t xml:space="preserve"> </w:t>
      </w:r>
      <w:r>
        <w:t xml:space="preserve">Stakeholder’s</w:t>
      </w:r>
      <w:r>
        <w:t xml:space="preserve"> </w:t>
      </w:r>
      <w:r>
        <w:t xml:space="preserve">meetings</w:t>
      </w:r>
      <w:r>
        <w:t xml:space="preserve"> </w:t>
      </w:r>
      <w:r>
        <w:t xml:space="preserve">Business involved</w:t>
      </w:r>
      <w:r>
        <w:t xml:space="preserve"> </w:t>
      </w:r>
      <w:r>
        <w:t xml:space="preserve">23 Mar. 2021</w:t>
      </w:r>
      <w:r>
        <w:t xml:space="preserve"> </w:t>
      </w:r>
      <w:r>
        <w:t xml:space="preserve">Gather</w:t>
      </w:r>
      <w:r>
        <w:t xml:space="preserve"> </w:t>
      </w:r>
      <w:r>
        <w:t xml:space="preserve">experience</w:t>
      </w:r>
      <w:r>
        <w:t xml:space="preserve"> </w:t>
      </w:r>
      <w:r>
        <w:t xml:space="preserve">from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on their</w:t>
      </w:r>
      <w:r>
        <w:t xml:space="preserve"> </w:t>
      </w:r>
      <w:r>
        <w:t xml:space="preserve">current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Gather views on a</w:t>
      </w:r>
      <w:r>
        <w:t xml:space="preserve"> </w:t>
      </w:r>
      <w:r>
        <w:t xml:space="preserve">possible</w:t>
      </w:r>
      <w:r>
        <w:t xml:space="preserve"> </w:t>
      </w:r>
      <w:r>
        <w:t xml:space="preserve">EU</w:t>
      </w:r>
      <w:r>
        <w:t xml:space="preserve"> </w:t>
      </w:r>
      <w:r>
        <w:t xml:space="preserve">initiative.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</w:t>
      </w:r>
      <w:r>
        <w:br/>
      </w:r>
      <w:r>
        <w:t xml:space="preserve">10 Mar. – 2 Jun</w:t>
      </w:r>
      <w:r>
        <w:t xml:space="preserve"> </w:t>
      </w:r>
      <w:r>
        <w:t xml:space="preserve">2021</w:t>
      </w:r>
      <w:r>
        <w:t xml:space="preserve"> </w:t>
      </w:r>
      <w:r>
        <w:t xml:space="preserve">Ascertain the views</w:t>
      </w:r>
      <w:r>
        <w:t xml:space="preserve"> </w:t>
      </w:r>
      <w:r>
        <w:t xml:space="preserve">of a broad range of</w:t>
      </w:r>
      <w:r>
        <w:t xml:space="preserve"> </w:t>
      </w:r>
      <w:r>
        <w:t xml:space="preserve">stakeholders mainly</w:t>
      </w:r>
      <w:r>
        <w:t xml:space="preserve"> </w:t>
      </w:r>
      <w:r>
        <w:t xml:space="preserve">on the added value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EU citizen</w:t>
      </w:r>
      <w:r>
        <w:br/>
      </w:r>
      <w:r>
        <w:t xml:space="preserve">Non-EU citizen</w:t>
      </w:r>
      <w:r>
        <w:br/>
      </w:r>
      <w:r>
        <w:t xml:space="preserve">Trade union</w:t>
      </w:r>
      <w:r>
        <w:br/>
      </w:r>
      <w:r>
        <w:t xml:space="preserve">NGOs</w:t>
      </w:r>
      <w:r>
        <w:t xml:space="preserve"> </w:t>
      </w:r>
      <w:r>
        <w:t xml:space="preserve">of a European action</w:t>
      </w:r>
      <w:r>
        <w:t xml:space="preserve"> </w:t>
      </w:r>
      <w:r>
        <w:t xml:space="preserve">and the potential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</w:p>
    <w:bookmarkStart w:id="9" w:name="Xc7a95353a271684e991b74a99d6f8d62e619c51"/>
    <w:p>
      <w:pPr>
        <w:pStyle w:val="Heading2"/>
      </w:pPr>
      <w:r>
        <w:t xml:space="preserve">The different objectives of the different consultations were to:</w:t>
      </w:r>
    </w:p>
    <w:p>
      <w:pPr>
        <w:pStyle w:val="FirstParagraph"/>
      </w:pPr>
      <w:r>
        <w:t xml:space="preserve">Provide stakeholders and the wider public with the opportunity to express their views on</w:t>
      </w:r>
      <w:r>
        <w:t xml:space="preserve"> </w:t>
      </w:r>
      <w:r>
        <w:t xml:space="preserve">all relevant elements.</w:t>
      </w:r>
      <w:r>
        <w:br/>
      </w:r>
      <w:r>
        <w:t xml:space="preserve">-</w:t>
      </w:r>
      <w:r>
        <w:t xml:space="preserve"> </w:t>
      </w:r>
      <w:r>
        <w:t xml:space="preserve">Gather specialised input to support the analysis of the impact of the initiative.</w:t>
      </w:r>
      <w:r>
        <w:br/>
      </w:r>
      <w:r>
        <w:t xml:space="preserve">-</w:t>
      </w:r>
      <w:r>
        <w:t xml:space="preserve"> </w:t>
      </w:r>
      <w:r>
        <w:t xml:space="preserve">Contribute to the design of the technical aspects of the future initiative.</w:t>
      </w:r>
      <w:r>
        <w:br/>
      </w:r>
      <w:r>
        <w:t xml:space="preserve">-</w:t>
      </w:r>
      <w:r>
        <w:t xml:space="preserve"> </w:t>
      </w:r>
      <w:r>
        <w:t xml:space="preserve">Satisfy transparency principles and help to define priorities for the future initiative.</w:t>
      </w:r>
      <w:r>
        <w:br/>
      </w:r>
      <w:r>
        <w:t xml:space="preserve">As reflected above by the different methods of consultation used and the stakeholders’ groups</w:t>
      </w:r>
      <w:r>
        <w:t xml:space="preserve"> </w:t>
      </w:r>
      <w:r>
        <w:t xml:space="preserve">consulted, the stakeholder consultation strategy has formed an integral part of the policy</w:t>
      </w:r>
      <w:r>
        <w:t xml:space="preserve"> </w:t>
      </w:r>
      <w:r>
        <w:t xml:space="preserve">development process. The consultation began with the launch of the Inception Impact Assessment</w:t>
      </w:r>
      <w:r>
        <w:t xml:space="preserve"> </w:t>
      </w:r>
      <w:r>
        <w:t xml:space="preserve">published on 23 November 2020 and continued until 2 June 2021 when the Public Consultation</w:t>
      </w:r>
      <w:r>
        <w:t xml:space="preserve"> </w:t>
      </w:r>
      <w:r>
        <w:t xml:space="preserve">ended.</w:t>
      </w:r>
      <w:r>
        <w:t xml:space="preserve"> </w:t>
      </w:r>
      <w:r>
        <w:t xml:space="preserve">II.</w:t>
      </w:r>
      <w:r>
        <w:t xml:space="preserve"> </w:t>
      </w:r>
      <w:r>
        <w:t xml:space="preserve">Consultation participation</w:t>
      </w:r>
      <w:r>
        <w:t xml:space="preserve"> </w:t>
      </w:r>
      <w:r>
        <w:t xml:space="preserve">1. Feedback on the Inception Impact Assessment</w:t>
      </w:r>
      <w:r>
        <w:t xml:space="preserve"> </w:t>
      </w:r>
      <w:r>
        <w:t xml:space="preserve">The consultation period through this feedback mechanism took place between 23 November and</w:t>
      </w:r>
      <w:r>
        <w:t xml:space="preserve"> </w:t>
      </w:r>
      <w:r>
        <w:t xml:space="preserve">21 December 2020 via the Commission website48. The period started when the Inception Impact</w:t>
      </w:r>
      <w:r>
        <w:t xml:space="preserve"> </w:t>
      </w:r>
      <w:r>
        <w:t xml:space="preserve">Assessment was published outlining the initial structure and options of the project. Nine comments</w:t>
      </w:r>
      <w:r>
        <w:t xml:space="preserve"> </w:t>
      </w:r>
      <w:r>
        <w:t xml:space="preserve">were submitted during this consultation period by individuals, service providers and umbrella</w:t>
      </w:r>
      <w:r>
        <w:t xml:space="preserve"> </w:t>
      </w:r>
      <w:r>
        <w:t xml:space="preserve">organisations for the crypto/e-money sectors.</w:t>
      </w:r>
      <w:r>
        <w:t xml:space="preserve"> </w:t>
      </w:r>
      <w:r>
        <w:t xml:space="preserve">2. Targeted consultation</w:t>
      </w:r>
      <w:r>
        <w:t xml:space="preserve"> </w:t>
      </w:r>
      <w:r>
        <w:t xml:space="preserve">2.1. Targeted consultation via an expert group (Working Party IV)</w:t>
      </w:r>
      <w:r>
        <w:t xml:space="preserve"> </w:t>
      </w:r>
      <w:r>
        <w:t xml:space="preserve">The Working Party IV met on two occasions on 13 November 2020 and 24 March 2021 in order</w:t>
      </w:r>
      <w:r>
        <w:t xml:space="preserve"> </w:t>
      </w:r>
      <w:r>
        <w:t xml:space="preserve">to discuss the future possible amendments to DAC.A draft concept paper “Possible expansion of</w:t>
      </w:r>
      <w:r>
        <w:t xml:space="preserve"> </w:t>
      </w:r>
      <w:r>
        <w:t xml:space="preserve">the exchange of information framework in the field of taxation to include crypto-assets and e-</w:t>
      </w:r>
      <w:r>
        <w:t xml:space="preserve"> </w:t>
      </w:r>
      <w:r>
        <w:t xml:space="preserve">money” prepared by TAXUD D2 on crypto-assets and e-money was discussed. Participating</w:t>
      </w:r>
      <w:r>
        <w:t xml:space="preserve"> </w:t>
      </w:r>
      <w:r>
        <w:t xml:space="preserve">Member States took the floor and expressed their support for an expansion of the existing DAC to</w:t>
      </w:r>
      <w:r>
        <w:t xml:space="preserve"> </w:t>
      </w:r>
      <w:r>
        <w:t xml:space="preserve">encompass the sharing of information reported on crypto-assets and e-money. However, Member</w:t>
      </w:r>
      <w:r>
        <w:t xml:space="preserve"> </w:t>
      </w:r>
      <w:r>
        <w:t xml:space="preserve">States emphasised the importance of closely following the work of the OECD on the same subject</w:t>
      </w:r>
      <w:r>
        <w:t xml:space="preserve"> </w:t>
      </w:r>
      <w:r>
        <w:t xml:space="preserve">in order to avoid two different reporting frameworks.</w:t>
      </w:r>
      <w:r>
        <w:br/>
      </w:r>
      <w:r>
        <w:t xml:space="preserve">In order to complement the discussions with the Member States, a questionnaire, which was based</w:t>
      </w:r>
      <w:r>
        <w:t xml:space="preserve"> </w:t>
      </w:r>
      <w:r>
        <w:t xml:space="preserve">on the draft concept paper and issues that were raised during the November 2020 meeting, was</w:t>
      </w:r>
      <w:r>
        <w:t xml:space="preserve"> </w:t>
      </w:r>
      <w:r>
        <w:t xml:space="preserve">circulated to the Member States for input.</w:t>
      </w:r>
    </w:p>
    <w:p>
      <w:pPr>
        <w:pStyle w:val="BodyText"/>
      </w:pPr>
      <w:r>
        <w:t xml:space="preserve">48 https://ec.europa.eu/info/law/better-regulation/have-your-say/initiatives/12632-Tax-fraud-evasion-strengthening-rules-on-administrative-</w:t>
      </w:r>
      <w:r>
        <w:t xml:space="preserve"> </w:t>
      </w:r>
      <w:r>
        <w:t xml:space="preserve">cooperation-and-expanding-the-exchange-of-information_en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2.2.Targeted consultation via private stakeholders’ meeting</w:t>
      </w:r>
      <w:r>
        <w:t xml:space="preserve"> </w:t>
      </w:r>
      <w:r>
        <w:t xml:space="preserve">On 23 March 2021, a meeting with six representatives of different service providers and delegates</w:t>
      </w:r>
      <w:r>
        <w:t xml:space="preserve"> </w:t>
      </w:r>
      <w:r>
        <w:t xml:space="preserve">of 24 Member States (BE, BG, DK, DE, EE, IE, EL, ES, HR, IT, CY, LV, LT, LU, HU, MT, NL, AT,</w:t>
      </w:r>
      <w:r>
        <w:t xml:space="preserve"> </w:t>
      </w:r>
      <w:r>
        <w:t xml:space="preserve">PL, RO, SI, SK, FI, SE) was held virtually. Large as well as small service providers active in different</w:t>
      </w:r>
      <w:r>
        <w:t xml:space="preserve"> </w:t>
      </w:r>
      <w:r>
        <w:t xml:space="preserve">sectors were represented: crypto-asset exchanges, other types of CASPS and digital assets</w:t>
      </w:r>
      <w:r>
        <w:t xml:space="preserve"> </w:t>
      </w:r>
      <w:r>
        <w:t xml:space="preserve">associations.</w:t>
      </w:r>
    </w:p>
    <w:p>
      <w:pPr>
        <w:pStyle w:val="BodyText"/>
      </w:pPr>
      <w:r>
        <w:t xml:space="preserve">The objective of the meeting was to gather views from stakeholders on their current experience</w:t>
      </w:r>
      <w:r>
        <w:t xml:space="preserve"> </w:t>
      </w:r>
      <w:r>
        <w:t xml:space="preserve">with respect to reporting requirements based on national provisions, as well as to gather their views</w:t>
      </w:r>
      <w:r>
        <w:t xml:space="preserve"> </w:t>
      </w:r>
      <w:r>
        <w:t xml:space="preserve">on a possible EU initiative to provide tax administrations with information on taxpayers who</w:t>
      </w:r>
      <w:r>
        <w:t xml:space="preserve"> </w:t>
      </w:r>
      <w:r>
        <w:t xml:space="preserve">generate income and revenues through crypto-assets and e-money. Ahead of the meeting, a</w:t>
      </w:r>
      <w:r>
        <w:t xml:space="preserve"> </w:t>
      </w:r>
      <w:r>
        <w:t xml:space="preserve">questionnaire was issued.</w:t>
      </w:r>
      <w:r>
        <w:br/>
      </w:r>
      <w:r>
        <w:t xml:space="preserve">3. Public Consultation</w:t>
      </w:r>
      <w:r>
        <w:t xml:space="preserve"> </w:t>
      </w:r>
      <w:r>
        <w:t xml:space="preserve">The public consultation was launched on 10 March 2021. It remained open until 2 June 2021</w:t>
      </w:r>
      <w:r>
        <w:t xml:space="preserve"> </w:t>
      </w:r>
      <w:r>
        <w:t xml:space="preserve">respecting the usual 12 weeks limit.</w:t>
      </w:r>
      <w:r>
        <w:t xml:space="preserve"> </w:t>
      </w:r>
      <w:r>
        <w:t xml:space="preserve">In addition to the general identification questions, the public consultation questionnaire consisted</w:t>
      </w:r>
      <w:r>
        <w:t xml:space="preserve"> </w:t>
      </w:r>
      <w:r>
        <w:t xml:space="preserve">of 36 questions which covered all elements of the impact assessment; problem, subsidiarity,</w:t>
      </w:r>
      <w:r>
        <w:t xml:space="preserve"> </w:t>
      </w:r>
      <w:r>
        <w:t xml:space="preserve">options and impacts of the initiative. Stakeholders could also upload additional contributions. In</w:t>
      </w:r>
      <w:r>
        <w:t xml:space="preserve"> </w:t>
      </w:r>
      <w:r>
        <w:t xml:space="preserve">order to increase the visibility of the public consultation, the Commission promoted this</w:t>
      </w:r>
      <w:r>
        <w:t xml:space="preserve"> </w:t>
      </w:r>
      <w:r>
        <w:t xml:space="preserve">consultation on social media. Despite the diversity of channels used, the number of contributions</w:t>
      </w:r>
      <w:r>
        <w:t xml:space="preserve"> </w:t>
      </w:r>
      <w:r>
        <w:t xml:space="preserve">received remained small. Such a limited response to the public consultation could be explained by</w:t>
      </w:r>
      <w:r>
        <w:t xml:space="preserve"> </w:t>
      </w:r>
      <w:r>
        <w:t xml:space="preserve">the rather widespread support and non-contentious character of the initiative at stake or the still</w:t>
      </w:r>
      <w:r>
        <w:t xml:space="preserve"> </w:t>
      </w:r>
      <w:r>
        <w:t xml:space="preserve">small but growing market.</w:t>
      </w:r>
    </w:p>
    <w:p>
      <w:pPr>
        <w:pStyle w:val="BodyText"/>
      </w:pPr>
      <w:r>
        <w:t xml:space="preserve">In total, 33 responses were received, coming from the following respondents:</w:t>
      </w:r>
      <w:r>
        <w:t xml:space="preserve"> </w:t>
      </w:r>
      <w:r>
        <w:t xml:space="preserve">Annex figure 1: categories of stakeholders commenting on the public consultation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Source: responses to the public consultation questionnaire</w:t>
      </w:r>
    </w:p>
    <w:p>
      <w:pPr>
        <w:pStyle w:val="BodyText"/>
      </w:pPr>
      <w:r>
        <w:t xml:space="preserve">In terms of breakdown by country of origin of the respondents, the chart below shows a diverse</w:t>
      </w:r>
      <w:r>
        <w:t xml:space="preserve"> </w:t>
      </w:r>
      <w:r>
        <w:t xml:space="preserve">representation:</w:t>
      </w:r>
    </w:p>
    <w:p>
      <w:pPr>
        <w:pStyle w:val="BodyText"/>
      </w:pPr>
      <w:r>
        <w:t xml:space="preserve">Annex figure 2: Stakeholder’s origin country</w:t>
      </w:r>
    </w:p>
    <w:p>
      <w:pPr>
        <w:pStyle w:val="BodyText"/>
      </w:pPr>
      <w:r>
        <w:t xml:space="preserve">Source: responses to the public consultation questionnaire</w:t>
      </w:r>
    </w:p>
    <w:p>
      <w:pPr>
        <w:pStyle w:val="BodyText"/>
      </w:pPr>
      <w:r>
        <w:t xml:space="preserve">With regard to the publication of privacy settings, 2 respondents agreed to the publication of their</w:t>
      </w:r>
      <w:r>
        <w:t xml:space="preserve"> </w:t>
      </w:r>
      <w:r>
        <w:t xml:space="preserve">personal details and 31 answered as anonymous participants. From the point of view of the size of</w:t>
      </w:r>
      <w:r>
        <w:t xml:space="preserve"> </w:t>
      </w:r>
      <w:r>
        <w:t xml:space="preserve">the organizations involved, 7 are micro (1 to 9 employees), 4 small (10 to 49 employees), 4 medium</w:t>
      </w:r>
      <w:r>
        <w:t xml:space="preserve"> </w:t>
      </w:r>
      <w:r>
        <w:t xml:space="preserve">(50 to 249 employees) and 8 large (more than 250 employees).</w:t>
      </w:r>
      <w:r>
        <w:t xml:space="preserve"> </w:t>
      </w:r>
      <w:r>
        <w:t xml:space="preserve">From the replies received, at least 7 of them acknowledged using crypto-assets for investment</w:t>
      </w:r>
      <w:r>
        <w:t xml:space="preserve"> </w:t>
      </w:r>
      <w:r>
        <w:t xml:space="preserve">and/or payment purposes.</w:t>
      </w:r>
      <w:r>
        <w:t xml:space="preserve"> </w:t>
      </w:r>
      <w:r>
        <w:t xml:space="preserve">Twelve position papers were submitted by stakeholders in addition to the answers provided by</w:t>
      </w:r>
      <w:r>
        <w:t xml:space="preserve"> </w:t>
      </w:r>
      <w:r>
        <w:t xml:space="preserve">them to the standardized questionnaire. Position papers were submitted, mainly, by business</w:t>
      </w:r>
      <w:r>
        <w:t xml:space="preserve"> </w:t>
      </w:r>
      <w:r>
        <w:t xml:space="preserve">associations.</w:t>
      </w:r>
      <w:r>
        <w:t xml:space="preserve"> </w:t>
      </w:r>
      <w:r>
        <w:t xml:space="preserve">III.</w:t>
      </w:r>
      <w:r>
        <w:t xml:space="preserve"> </w:t>
      </w:r>
      <w:r>
        <w:t xml:space="preserve">Methodology and tools for processing the data</w:t>
      </w:r>
    </w:p>
    <w:p>
      <w:pPr>
        <w:pStyle w:val="BodyText"/>
      </w:pPr>
      <w:r>
        <w:t xml:space="preserve">The consultation activities allowed for the collection of data of both qualitative and quantitative</w:t>
      </w:r>
      <w:r>
        <w:t xml:space="preserve"> </w:t>
      </w:r>
      <w:r>
        <w:t xml:space="preserve">nature, which were processed and analysed systematically. Qualitative data was structured</w:t>
      </w:r>
      <w:r>
        <w:t xml:space="preserve"> </w:t>
      </w:r>
      <w:r>
        <w:t xml:space="preserve">according to key themes. Quantitative data (including survey responses and figures provided by</w:t>
      </w:r>
      <w:r>
        <w:t xml:space="preserve"> </w:t>
      </w:r>
      <w:r>
        <w:t xml:space="preserve">stakeholders) was processed using an Excel spreadsheet, and analysed using statistical methods,</w:t>
      </w:r>
      <w:r>
        <w:t xml:space="preserve"> </w:t>
      </w:r>
      <w:r>
        <w:t xml:space="preserve">ensuring the appropriate protection of personal data without publishing the information of the</w:t>
      </w:r>
      <w:r>
        <w:t xml:space="preserve"> </w:t>
      </w:r>
      <w:r>
        <w:t xml:space="preserve">respondents that did not provide their consent.</w:t>
      </w:r>
    </w:p>
    <w:p>
      <w:pPr>
        <w:pStyle w:val="BodyText"/>
      </w:pPr>
      <w:r>
        <w:t xml:space="preserve">55</w:t>
      </w:r>
    </w:p>
    <w:p>
      <w:pPr>
        <w:pStyle w:val="Compact"/>
        <w:numPr>
          <w:ilvl w:val="0"/>
          <w:numId w:val="1012"/>
        </w:numPr>
      </w:pPr>
      <w:r>
        <w:t xml:space="preserve">Consultation result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Inception Impact Assessment feedback</w:t>
      </w:r>
      <w:r>
        <w:t xml:space="preserve"> </w:t>
      </w:r>
      <w:r>
        <w:t xml:space="preserve">Overall, the initiative to create a common EU framework for reporting obligations was welcomed</w:t>
      </w:r>
      <w:r>
        <w:t xml:space="preserve"> </w:t>
      </w:r>
      <w:r>
        <w:t xml:space="preserve">by the majority of stakeholders involved. Several comments concerned the need for clearly</w:t>
      </w:r>
      <w:r>
        <w:t xml:space="preserve"> </w:t>
      </w:r>
      <w:r>
        <w:t xml:space="preserve">defining crypto-assets and e-money, as well as the service providers in scope of the amendment to</w:t>
      </w:r>
      <w:r>
        <w:t xml:space="preserve"> </w:t>
      </w:r>
      <w:r>
        <w:t xml:space="preserve">the DAC. Most agreed that MiCA’s definitional framework should be used as starting point.</w:t>
      </w:r>
      <w:r>
        <w:t xml:space="preserve"> </w:t>
      </w:r>
      <w:r>
        <w:t xml:space="preserve">Furthermore, stakeholders pointed out the need for aligning any action with the ongoing work</w:t>
      </w:r>
      <w:r>
        <w:t xml:space="preserve"> </w:t>
      </w:r>
      <w:r>
        <w:t xml:space="preserve">being undertaken by the OECD and the FATF on the regulation of cryptocurrencies.</w:t>
      </w:r>
      <w:r>
        <w:t xml:space="preserve"> </w:t>
      </w:r>
      <w:r>
        <w:t xml:space="preserve">Some stakeholders insisted on keeping the global approach - “combat tax evasion by taxpayers</w:t>
      </w:r>
      <w:r>
        <w:t xml:space="preserve"> </w:t>
      </w:r>
      <w:r>
        <w:t xml:space="preserve">seeking to hide their assets in offshore accounts and at the same time ensures a global level playing</w:t>
      </w:r>
      <w:r>
        <w:t xml:space="preserve"> </w:t>
      </w:r>
      <w:r>
        <w:t xml:space="preserve">field”. It was highlighted that the principles of subsidiarity and proportionality should be the</w:t>
      </w:r>
      <w:r>
        <w:t xml:space="preserve"> </w:t>
      </w:r>
      <w:r>
        <w:t xml:space="preserve">drivers when scoping out the amendments to the DAC.</w:t>
      </w:r>
      <w:r>
        <w:t xml:space="preserve"> </w:t>
      </w:r>
      <w:r>
        <w:t xml:space="preserve">There was widespread agreement on the need for providing a harmonized, fair and robust tax</w:t>
      </w:r>
      <w:r>
        <w:t xml:space="preserve"> </w:t>
      </w:r>
      <w:r>
        <w:t xml:space="preserve">system. While a precise and targeted regulation is needed to address illicit activity, it is important</w:t>
      </w:r>
      <w:r>
        <w:t xml:space="preserve"> </w:t>
      </w:r>
      <w:r>
        <w:t xml:space="preserve">that such a regulation is proportional and not prohibitively complex to adversely affect crypto-</w:t>
      </w:r>
      <w:r>
        <w:t xml:space="preserve"> </w:t>
      </w:r>
      <w:r>
        <w:t xml:space="preserve">assets as an important component of the financial services industry.</w:t>
      </w:r>
    </w:p>
    <w:p>
      <w:pPr>
        <w:pStyle w:val="Compact"/>
        <w:numPr>
          <w:ilvl w:val="0"/>
          <w:numId w:val="1013"/>
        </w:numPr>
      </w:pPr>
      <w:r>
        <w:t xml:space="preserve">Targeted consultation</w:t>
      </w:r>
      <w:r>
        <w:t xml:space="preserve"> </w:t>
      </w:r>
      <w:r>
        <w:t xml:space="preserve">2.1 Targeted consultation via expert group (Working Party IV)49</w:t>
      </w:r>
      <w:r>
        <w:t xml:space="preserve"> </w:t>
      </w:r>
      <w:r>
        <w:t xml:space="preserve">The expert group of Working Party IV met in November 2020, where the European Commission</w:t>
      </w:r>
      <w:r>
        <w:t xml:space="preserve"> </w:t>
      </w:r>
      <w:r>
        <w:t xml:space="preserve">presented for the first time the proposal to expand the scope of the DAC to include crypto-assets</w:t>
      </w:r>
      <w:r>
        <w:t xml:space="preserve"> </w:t>
      </w:r>
      <w:r>
        <w:t xml:space="preserve">and e-money. The corresponding concept note on expanding the scope of automatic exchange of</w:t>
      </w:r>
      <w:r>
        <w:t xml:space="preserve"> </w:t>
      </w:r>
      <w:r>
        <w:t xml:space="preserve">information to crypto-assets and e-money was presented and discussed with the Member States</w:t>
      </w:r>
      <w:r>
        <w:t xml:space="preserve"> </w:t>
      </w:r>
      <w:r>
        <w:t xml:space="preserve">during this meeting.</w:t>
      </w:r>
      <w:r>
        <w:br/>
      </w:r>
      <w:r>
        <w:t xml:space="preserve">In general, Member States expressed strong support for the expansion of the scope of automatic</w:t>
      </w:r>
      <w:r>
        <w:t xml:space="preserve"> </w:t>
      </w:r>
      <w:r>
        <w:t xml:space="preserve">exchange of information to include crypto-assets and e-money. Questions raised by the Member</w:t>
      </w:r>
      <w:r>
        <w:t xml:space="preserve"> </w:t>
      </w:r>
      <w:r>
        <w:t xml:space="preserve">States mostly revolved around the level of detail of such reporting, the extent of such reporting (in</w:t>
      </w:r>
      <w:r>
        <w:t xml:space="preserve"> </w:t>
      </w:r>
      <w:r>
        <w:t xml:space="preserve">terms of assets covered, intermediaries covered, etc.) or the consistency with the OECD work in</w:t>
      </w:r>
      <w:r>
        <w:t xml:space="preserve"> </w:t>
      </w:r>
      <w:r>
        <w:t xml:space="preserve">this area.</w:t>
      </w:r>
      <w:r>
        <w:br/>
      </w:r>
      <w:r>
        <w:t xml:space="preserve">The transfers from one wallet to another wallet held by the same taxpayer was seen as the only</w:t>
      </w:r>
      <w:r>
        <w:t xml:space="preserve"> </w:t>
      </w:r>
      <w:r>
        <w:t xml:space="preserve">valid exemption. Another aspect raised was the consideration of data protection in case of reporting</w:t>
      </w:r>
      <w:r>
        <w:t xml:space="preserve"> </w:t>
      </w:r>
      <w:r>
        <w:t xml:space="preserve">on transaction-by-transaction basis. In this context, some Member States highlighted that an</w:t>
      </w:r>
      <w:r>
        <w:t xml:space="preserve"> </w:t>
      </w:r>
      <w:r>
        <w:t xml:space="preserve">aggregate approach would be easier to reconcile with GDPR obligations.</w:t>
      </w:r>
      <w:r>
        <w:t xml:space="preserve"> </w:t>
      </w:r>
      <w:r>
        <w:t xml:space="preserve">The questionnaire circulated to Member States consisted of questions about the treatment of</w:t>
      </w:r>
      <w:r>
        <w:t xml:space="preserve"> </w:t>
      </w:r>
      <w:r>
        <w:t xml:space="preserve">crypto-assets and e-money as well as their tax treatment in each specific Member State. Regarding</w:t>
      </w:r>
      <w:r>
        <w:t xml:space="preserve"> </w:t>
      </w:r>
      <w:r>
        <w:t xml:space="preserve">the treatment of e-money, Member States agreed that e-money providers just like financial</w:t>
      </w:r>
      <w:r>
        <w:t xml:space="preserve"> </w:t>
      </w:r>
      <w:r>
        <w:t xml:space="preserve">institutions must determine whether they are a reporting Financial Institution according to DAC2.</w:t>
      </w:r>
    </w:p>
    <w:p>
      <w:pPr>
        <w:pStyle w:val="FirstParagraph"/>
      </w:pPr>
      <w:r>
        <w:t xml:space="preserve">49 Information on this Commission expert group is available at:</w:t>
      </w:r>
      <w:r>
        <w:br/>
      </w:r>
      <w:r>
        <w:t xml:space="preserve">https://ec.europa.eu/transparency/regexpert/index.cfm?do=groupDetail.groupDetail&amp;groupID=953&amp;NewSearch=1&amp;NewSearch=1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Thus, most Member States apply the CRS related FAQs to E-money providers. In terms of crypto-</w:t>
      </w:r>
      <w:r>
        <w:t xml:space="preserve"> </w:t>
      </w:r>
      <w:r>
        <w:t xml:space="preserve">assets, the outcome of the questionnaire showed that most Member States have not introduced</w:t>
      </w:r>
      <w:r>
        <w:t xml:space="preserve"> </w:t>
      </w:r>
      <w:r>
        <w:t xml:space="preserve">specific provisions for crypto-assets and even those who have find it difficult to obtain the</w:t>
      </w:r>
      <w:r>
        <w:t xml:space="preserve"> </w:t>
      </w:r>
      <w:r>
        <w:t xml:space="preserve">necessary information for taxation based on their national legislation.</w:t>
      </w:r>
      <w:r>
        <w:t xml:space="preserve"> </w:t>
      </w:r>
      <w:r>
        <w:t xml:space="preserve">Member States considered that the expansion of the scope of reportable information under DAC2</w:t>
      </w:r>
      <w:r>
        <w:t xml:space="preserve"> </w:t>
      </w:r>
      <w:r>
        <w:t xml:space="preserve">may not be entirely sufficient and as such should be adapted for crypto-assets.</w:t>
      </w:r>
      <w:r>
        <w:br/>
      </w:r>
      <w:r>
        <w:t xml:space="preserve">Stakeholders expressed a preference to exchange the information on an aggregate basis. Similarly,</w:t>
      </w:r>
      <w:r>
        <w:t xml:space="preserve"> </w:t>
      </w:r>
      <w:r>
        <w:t xml:space="preserve">most of the Member States were in favour of aggregate reporting as a basis for carrying out risk</w:t>
      </w:r>
      <w:r>
        <w:t xml:space="preserve"> </w:t>
      </w:r>
      <w:r>
        <w:t xml:space="preserve">assessments although some still expressed their preference for transaction-by-transaction reporting</w:t>
      </w:r>
      <w:r>
        <w:t xml:space="preserve"> </w:t>
      </w:r>
      <w:r>
        <w:t xml:space="preserve">for the purpose of tax assessments. Furthermore, Member States discussed the possibility of</w:t>
      </w:r>
      <w:r>
        <w:t xml:space="preserve"> </w:t>
      </w:r>
      <w:r>
        <w:t xml:space="preserve">obliging CASPs to report more than once a year or to adapt the standard to the reporting entities</w:t>
      </w:r>
      <w:r>
        <w:t xml:space="preserve"> </w:t>
      </w:r>
      <w:r>
        <w:t xml:space="preserve">or reported taxpayers.</w:t>
      </w:r>
      <w:r>
        <w:br/>
      </w:r>
      <w:r>
        <w:t xml:space="preserve">Member States expressed the need for considering the MiCA and AML proposals for extending</w:t>
      </w:r>
      <w:r>
        <w:t xml:space="preserve"> </w:t>
      </w:r>
      <w:r>
        <w:t xml:space="preserve">the scope of the DAC. Some Member States consider that the provisions in these proposals may</w:t>
      </w:r>
      <w:r>
        <w:t xml:space="preserve"> </w:t>
      </w:r>
      <w:r>
        <w:t xml:space="preserve">offer possibilities for the enforcement of reporting obligations for third country CASPs. Regarding</w:t>
      </w:r>
      <w:r>
        <w:t xml:space="preserve"> </w:t>
      </w:r>
      <w:r>
        <w:t xml:space="preserve">cold wallets, Member States agreed that it would be difficult to cover them due to the difficulties</w:t>
      </w:r>
      <w:r>
        <w:t xml:space="preserve"> </w:t>
      </w:r>
      <w:r>
        <w:t xml:space="preserve">in having information on crypto-assets held but not exchanged.</w:t>
      </w:r>
      <w:r>
        <w:t xml:space="preserve"> </w:t>
      </w:r>
      <w:r>
        <w:t xml:space="preserve">As a summary of both meetings, the Member States agreed on the need to expand the scope of</w:t>
      </w:r>
      <w:r>
        <w:t xml:space="preserve"> </w:t>
      </w:r>
      <w:r>
        <w:t xml:space="preserve">automatic exchange of information to crypto-assets. In addition, the reporting framework including</w:t>
      </w:r>
      <w:r>
        <w:t xml:space="preserve"> </w:t>
      </w:r>
      <w:r>
        <w:t xml:space="preserve">aggregate versus transaction-by-transaction and the reporting frequency remained as open issues.</w:t>
      </w:r>
    </w:p>
    <w:p>
      <w:pPr>
        <w:pStyle w:val="BodyText"/>
      </w:pPr>
      <w:r>
        <w:t xml:space="preserve">2.2 Targeted consultation via stakeholder’s meeting</w:t>
      </w:r>
      <w:r>
        <w:t xml:space="preserve"> </w:t>
      </w:r>
      <w:r>
        <w:t xml:space="preserve">On the topic of the crypto-assets in scope, stakeholders highlighted that important discussions on</w:t>
      </w:r>
      <w:r>
        <w:t xml:space="preserve"> </w:t>
      </w:r>
      <w:r>
        <w:t xml:space="preserve">definitions are still ongoing on MiCA and AML. Therefore, the majority of stakeholders signaled</w:t>
      </w:r>
      <w:r>
        <w:t xml:space="preserve"> </w:t>
      </w:r>
      <w:r>
        <w:t xml:space="preserve">the need to follow existing provisions from MiCA and AML, as well as the work done by the</w:t>
      </w:r>
      <w:r>
        <w:t xml:space="preserve"> </w:t>
      </w:r>
      <w:r>
        <w:t xml:space="preserve">OECD on cryptocurrencies. Some stakeholders consider crypto-assets to be similar to financial</w:t>
      </w:r>
      <w:r>
        <w:t xml:space="preserve"> </w:t>
      </w:r>
      <w:r>
        <w:t xml:space="preserve">assets and even money. Therefore, this initiative should only target crypto-assets that are admitted</w:t>
      </w:r>
      <w:r>
        <w:t xml:space="preserve"> </w:t>
      </w:r>
      <w:r>
        <w:t xml:space="preserve">to trading. This is also due to the fact, as stakeholders unanimously say, that information on peer-</w:t>
      </w:r>
      <w:r>
        <w:t xml:space="preserve"> </w:t>
      </w:r>
      <w:r>
        <w:t xml:space="preserve">to-peer transactions cannot be easily obtained through private or cold wallets.</w:t>
      </w:r>
    </w:p>
    <w:p>
      <w:pPr>
        <w:pStyle w:val="BodyText"/>
      </w:pPr>
      <w:r>
        <w:t xml:space="preserve">There was a general consensus on the need to maintain a level playing field with traditional</w:t>
      </w:r>
      <w:r>
        <w:t xml:space="preserve"> </w:t>
      </w:r>
      <w:r>
        <w:t xml:space="preserve">financial institutions subject to DAC2 reporting obligations and thus to avoid unnecessary</w:t>
      </w:r>
      <w:r>
        <w:t xml:space="preserve"> </w:t>
      </w:r>
      <w:r>
        <w:t xml:space="preserve">administrative burdens. There was unanimous support for the view that keeping it simple will help</w:t>
      </w:r>
      <w:r>
        <w:t xml:space="preserve"> </w:t>
      </w:r>
      <w:r>
        <w:t xml:space="preserve">to define a successful reporting standard.</w:t>
      </w:r>
      <w:r>
        <w:t xml:space="preserve"> </w:t>
      </w:r>
      <w:r>
        <w:t xml:space="preserve">On the reporting, stakeholders supported the idea of reporting aggregate data rather than</w:t>
      </w:r>
      <w:r>
        <w:t xml:space="preserve"> </w:t>
      </w:r>
      <w:r>
        <w:t xml:space="preserve">transaction-by-transaction. According to the stakeholders, it is more appropriate from the IT point</w:t>
      </w:r>
      <w:r>
        <w:t xml:space="preserve"> </w:t>
      </w:r>
      <w:r>
        <w:t xml:space="preserve">of view as there may be an excessive volume of transactional data to be reported. In this regard,</w:t>
      </w:r>
      <w:r>
        <w:t xml:space="preserve"> </w:t>
      </w:r>
      <w:r>
        <w:t xml:space="preserve">the objective should be the targeting of tax evasion and not the collection of mass data that cannot</w:t>
      </w:r>
      <w:r>
        <w:t xml:space="preserve"> </w:t>
      </w:r>
      <w:r>
        <w:t xml:space="preserve">be processed. Consequently, stakeholders also proposed the introduction of a reporting threshold</w:t>
      </w:r>
      <w:r>
        <w:t xml:space="preserve"> </w:t>
      </w:r>
      <w:r>
        <w:t xml:space="preserve">in order to reduce the administrative burden.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Based on the AML/KYC due diligence procedures, stakeholders also confirmed that they could</w:t>
      </w:r>
      <w:r>
        <w:t xml:space="preserve"> </w:t>
      </w:r>
      <w:r>
        <w:t xml:space="preserve">track information by jurisdiction.</w:t>
      </w:r>
    </w:p>
    <w:p>
      <w:pPr>
        <w:pStyle w:val="BodyText"/>
      </w:pPr>
      <w:r>
        <w:t xml:space="preserve">In summary, stakeholders and Member States agreed that the expansion of the scope of automatic</w:t>
      </w:r>
      <w:r>
        <w:t xml:space="preserve"> </w:t>
      </w:r>
      <w:r>
        <w:t xml:space="preserve">exchange of information to crypto-assets would increase legal certainty resulting in benefits for</w:t>
      </w:r>
      <w:r>
        <w:t xml:space="preserve"> </w:t>
      </w:r>
      <w:r>
        <w:t xml:space="preserve">stakeholders and tax administrations. Tax administrations will obtain the ability to increase tax</w:t>
      </w:r>
      <w:r>
        <w:t xml:space="preserve"> </w:t>
      </w:r>
      <w:r>
        <w:t xml:space="preserve">revenues and stakeholders may achieve a better-regulated market.</w:t>
      </w:r>
    </w:p>
    <w:p>
      <w:pPr>
        <w:pStyle w:val="Compact"/>
        <w:numPr>
          <w:ilvl w:val="0"/>
          <w:numId w:val="1014"/>
        </w:numPr>
      </w:pPr>
      <w:r>
        <w:t xml:space="preserve">Public Consultation</w:t>
      </w:r>
      <w:r>
        <w:t xml:space="preserve"> </w:t>
      </w:r>
      <w:r>
        <w:t xml:space="preserve">A concerted effort was made to ensure that the views and concerns of all affected stakeholders</w:t>
      </w:r>
      <w:r>
        <w:t xml:space="preserve"> </w:t>
      </w:r>
      <w:r>
        <w:t xml:space="preserve">were carefully considered throughout the impact assessment exercise.</w:t>
      </w:r>
      <w:r>
        <w:br/>
      </w:r>
      <w:r>
        <w:t xml:space="preserve">Overall, there has been strong support to lay down a single set of rules across the EU for CASPs,</w:t>
      </w:r>
      <w:r>
        <w:t xml:space="preserve"> </w:t>
      </w:r>
      <w:r>
        <w:t xml:space="preserve">e-money service providers and other financial institutions operating with crypto-assets and to have</w:t>
      </w:r>
      <w:r>
        <w:t xml:space="preserve"> </w:t>
      </w:r>
      <w:r>
        <w:t xml:space="preserve">the same reporting obligations for tax purposes throughout the EU (18 affirmative responses out</w:t>
      </w:r>
      <w:r>
        <w:t xml:space="preserve"> </w:t>
      </w:r>
      <w:r>
        <w:t xml:space="preserve">of 33 – 11 no answers). The reason might be that most of the respondents consider that common</w:t>
      </w:r>
      <w:r>
        <w:t xml:space="preserve"> </w:t>
      </w:r>
      <w:r>
        <w:t xml:space="preserve">reporting obligations in the EU would reduce the administrative burden for service providers</w:t>
      </w:r>
      <w:r>
        <w:t xml:space="preserve"> </w:t>
      </w:r>
      <w:r>
        <w:t xml:space="preserve">and/or users, while, at the same time, ensuring a level playing field with traditional service</w:t>
      </w:r>
      <w:r>
        <w:t xml:space="preserve"> </w:t>
      </w:r>
      <w:r>
        <w:t xml:space="preserve">providers (19 out of 33 confirm this statement – 12 no answers).</w:t>
      </w:r>
      <w:r>
        <w:br/>
      </w:r>
      <w:r>
        <w:t xml:space="preserve">In relation to the perception of the problem, 11 respondents from different categories and also sizes</w:t>
      </w:r>
      <w:r>
        <w:t xml:space="preserve"> </w:t>
      </w:r>
      <w:r>
        <w:t xml:space="preserve">of stakeholders (be it EU citizens, business associations, trade unions, companies/business</w:t>
      </w:r>
      <w:r>
        <w:t xml:space="preserve"> </w:t>
      </w:r>
      <w:r>
        <w:t xml:space="preserve">organisations or non-governmental organisations between micro and large of size) confirmed that</w:t>
      </w:r>
      <w:r>
        <w:t xml:space="preserve"> </w:t>
      </w:r>
      <w:r>
        <w:t xml:space="preserve">there is significant lack of reporting for tax purposes of revenues obtained through crypto-assets.</w:t>
      </w:r>
      <w:r>
        <w:t xml:space="preserve"> </w:t>
      </w:r>
      <w:r>
        <w:t xml:space="preserve">Only six disagree and five neither agree nor disagree with this statement. Thirteen respondents of</w:t>
      </w:r>
      <w:r>
        <w:t xml:space="preserve"> </w:t>
      </w:r>
      <w:r>
        <w:t xml:space="preserve">different categories and sizes of stakeholders agree that the lack of tax revenues obtained through</w:t>
      </w:r>
      <w:r>
        <w:t xml:space="preserve"> </w:t>
      </w:r>
      <w:r>
        <w:t xml:space="preserve">crypto-asset investments negatively impacts fair competition between the traditional and crypto-</w:t>
      </w:r>
      <w:r>
        <w:t xml:space="preserve"> </w:t>
      </w:r>
      <w:r>
        <w:t xml:space="preserve">asset economy, whereas 6 EU citizens disagree strongly with this statement. Two respondents</w:t>
      </w:r>
      <w:r>
        <w:t xml:space="preserve"> </w:t>
      </w:r>
      <w:r>
        <w:t xml:space="preserve">neither agree nor disagree. It seems that this problem comes from the fact that individual Member</w:t>
      </w:r>
      <w:r>
        <w:t xml:space="preserve"> </w:t>
      </w:r>
      <w:r>
        <w:t xml:space="preserve">States are insufficiently equipped to track revenues generated through crypto-assets as pointed out</w:t>
      </w:r>
      <w:r>
        <w:t xml:space="preserve"> </w:t>
      </w:r>
      <w:r>
        <w:t xml:space="preserve">by 13 respondents.</w:t>
      </w:r>
      <w:r>
        <w:br/>
      </w:r>
      <w:r>
        <w:t xml:space="preserve">The conclusion is that there is support for an EU action. </w:t>
      </w:r>
      <w:r>
        <w:t xml:space="preserve"> </w:t>
      </w:r>
      <w:r>
        <w:t xml:space="preserve">When it comes to introducing harmonised reporting obligations for tax purposes, respondents are</w:t>
      </w:r>
      <w:r>
        <w:t xml:space="preserve"> </w:t>
      </w:r>
      <w:r>
        <w:t xml:space="preserve">of the opinion that the main challenges are the cost of implementation, the complexity of handling</w:t>
      </w:r>
      <w:r>
        <w:t xml:space="preserve"> </w:t>
      </w:r>
      <w:r>
        <w:t xml:space="preserve">and migrating existing accounts and the achievement of a level playing field in the EU.</w:t>
      </w:r>
      <w:r>
        <w:t xml:space="preserve"> </w:t>
      </w:r>
      <w:r>
        <w:t xml:space="preserve">Furthermore, disadvantages for EU companies on a global level need to be avoided. A harmonised</w:t>
      </w:r>
      <w:r>
        <w:t xml:space="preserve"> </w:t>
      </w:r>
      <w:r>
        <w:t xml:space="preserve">reporting framework may result in operations re-locating out of the EU to jurisdictions where</w:t>
      </w:r>
      <w:r>
        <w:t xml:space="preserve"> </w:t>
      </w:r>
      <w:r>
        <w:t xml:space="preserve">reporting is not mandatory. Another challenge for harmonised reporting obligations is the issue of</w:t>
      </w:r>
      <w:r>
        <w:t xml:space="preserve"> </w:t>
      </w:r>
      <w:r>
        <w:t xml:space="preserve">double reporting where the same information is already collected and exchanged under other</w:t>
      </w:r>
      <w:r>
        <w:t xml:space="preserve"> </w:t>
      </w:r>
      <w:r>
        <w:t xml:space="preserve">legislation. Ensuring an accurate, transparent and efficient identification mechanism on the crypto-</w:t>
      </w:r>
      <w:r>
        <w:t xml:space="preserve"> </w:t>
      </w:r>
      <w:r>
        <w:t xml:space="preserve">asset and e-money service providers, as well as the financial institutions involved in these</w: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transactions will not be an easy task. Finally, the decentralized nature of cryptocurrencies makes</w:t>
      </w:r>
      <w:r>
        <w:t xml:space="preserve"> </w:t>
      </w:r>
      <w:r>
        <w:t xml:space="preserve">it almost impossible to capture all cryptocurrencies within an EU reporting framework.</w:t>
      </w:r>
      <w:r>
        <w:t xml:space="preserve"> </w:t>
      </w:r>
      <w:r>
        <w:t xml:space="preserve">In relation to the entities in scope of a crypto-asset reporting framework, 14 respondents of which</w:t>
      </w:r>
      <w:r>
        <w:t xml:space="preserve"> </w:t>
      </w:r>
      <w:r>
        <w:t xml:space="preserve">28% were EU citizens and the rest divided between the different categories, deem that all entities</w:t>
      </w:r>
      <w:r>
        <w:t xml:space="preserve"> </w:t>
      </w:r>
      <w:r>
        <w:t xml:space="preserve">providing services in the crypto-asset field should be subject to reporting obligations in order to</w:t>
      </w:r>
      <w:r>
        <w:t xml:space="preserve"> </w:t>
      </w:r>
      <w:r>
        <w:t xml:space="preserve">avoid potential loopholes. Only four respondents (two EU citizens, one large business organization</w:t>
      </w:r>
      <w:r>
        <w:t xml:space="preserve"> </w:t>
      </w:r>
      <w:r>
        <w:t xml:space="preserve">and one business association) would allow some exemptions. 13 provided no answer.</w:t>
      </w:r>
      <w:r>
        <w:t xml:space="preserve"> </w:t>
      </w:r>
      <w:r>
        <w:t xml:space="preserve">With regard to entities that could benefit from a reporting exemption, respondents indicated</w:t>
      </w:r>
      <w:r>
        <w:t xml:space="preserve"> </w:t>
      </w:r>
      <w:r>
        <w:t xml:space="preserve">providers primarily concerned with enabling the use of blockchain without direct links to</w:t>
      </w:r>
      <w:r>
        <w:t xml:space="preserve"> </w:t>
      </w:r>
      <w:r>
        <w:t xml:space="preserve">marketplaces, such as custodial wallet providers without an investment focus, tax reporting</w:t>
      </w:r>
      <w:r>
        <w:t xml:space="preserve"> </w:t>
      </w:r>
      <w:r>
        <w:t xml:space="preserve">services, account software, and portfolio tracking applications as well as small companies.</w:t>
      </w:r>
      <w:r>
        <w:t xml:space="preserve"> </w:t>
      </w:r>
      <w:r>
        <w:t xml:space="preserve">In relation to crypto-asset operations in scope of reporting, 10 respondents from different</w:t>
      </w:r>
      <w:r>
        <w:t xml:space="preserve"> </w:t>
      </w:r>
      <w:r>
        <w:t xml:space="preserve">categories and sizes of stakeholder deem that all crypto-asset operations should be reported in</w:t>
      </w:r>
      <w:r>
        <w:t xml:space="preserve"> </w:t>
      </w:r>
      <w:r>
        <w:t xml:space="preserve">order to avoid potential loopholes, whereas some respondents (three EU citizens, three business</w:t>
      </w:r>
      <w:r>
        <w:t xml:space="preserve"> </w:t>
      </w:r>
      <w:r>
        <w:t xml:space="preserve">associations and one business organization) indicated supporting some exemptions from reporting.</w:t>
      </w:r>
      <w:r>
        <w:br/>
      </w:r>
      <w:r>
        <w:t xml:space="preserve">11 contributors did not provide an answer.</w:t>
      </w:r>
      <w:r>
        <w:t xml:space="preserve"> </w:t>
      </w:r>
      <w:r>
        <w:t xml:space="preserve">Annex figure 3: Public consultation results – respondents’ opinions on main policy options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Source: responses to the public consultation questionnaire</w:t>
      </w:r>
    </w:p>
    <w:p>
      <w:pPr>
        <w:pStyle w:val="Compact"/>
        <w:numPr>
          <w:ilvl w:val="0"/>
          <w:numId w:val="1015"/>
        </w:numPr>
      </w:pPr>
      <w:r>
        <w:t xml:space="preserve">Conclusion</w:t>
      </w:r>
      <w:r>
        <w:t xml:space="preserve"> </w:t>
      </w:r>
      <w:r>
        <w:t xml:space="preserve">The results of the public and targeted consultations allowed the European Commission to collect</w:t>
      </w:r>
      <w:r>
        <w:t xml:space="preserve"> </w:t>
      </w:r>
      <w:r>
        <w:t xml:space="preserve">a number of views and opinions on the initiative.</w:t>
      </w:r>
    </w:p>
    <w:p>
      <w:pPr>
        <w:pStyle w:val="FirstParagraph"/>
      </w:pPr>
      <w:r>
        <w:t xml:space="preserve">Both public and targeted consultations showed wide agreement about the existence of the problems</w:t>
      </w:r>
      <w:r>
        <w:t xml:space="preserve"> </w:t>
      </w:r>
      <w:r>
        <w:t xml:space="preserve">identified in the impact assessment: no reporting of income and revenues earned through crypto-</w:t>
      </w:r>
      <w:r>
        <w:t xml:space="preserve"> </w:t>
      </w:r>
      <w:r>
        <w:t xml:space="preserve">assets.</w:t>
      </w:r>
    </w:p>
    <w:p>
      <w:pPr>
        <w:pStyle w:val="BodyText"/>
      </w:pPr>
      <w:r>
        <w:t xml:space="preserve">Regarding the reporting of information on crypto-asset users, a broad majority of stakeholders</w:t>
      </w:r>
      <w:r>
        <w:t xml:space="preserve"> </w:t>
      </w:r>
      <w:r>
        <w:t xml:space="preserve">(Member States, private entities and EU citizens) agreed on the need for a European framework</w:t>
      </w:r>
      <w:r>
        <w:t xml:space="preserve"> </w:t>
      </w:r>
      <w:r>
        <w:t xml:space="preserve">for reporting obligations in favour of achieving a sound level playing field and a true internal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As a conclusion, during the different consultations, neither stakeholders nor Member States</w:t>
      </w:r>
      <w:r>
        <w:t xml:space="preserve"> </w:t>
      </w:r>
      <w:r>
        <w:t xml:space="preserve">questioned the need of a reporting framework. In general, there was a unanimous consent in going</w:t>
      </w:r>
      <w:r>
        <w:t xml:space="preserve"> </w:t>
      </w:r>
      <w:r>
        <w:t xml:space="preserve">forward with a legal proposal. The main point of divergence was on the type and granularity of</w:t>
      </w:r>
      <w:r>
        <w:t xml:space="preserve"> </w:t>
      </w:r>
      <w:r>
        <w:t xml:space="preserve">reporting.</w:t>
      </w:r>
    </w:p>
    <w:p>
      <w:pPr>
        <w:pStyle w:val="BodyText"/>
      </w:pPr>
      <w:r>
        <w:t xml:space="preserve">Finally, it is worth noting that the feedback received throughout the public and the targeted</w:t>
      </w:r>
      <w:r>
        <w:t xml:space="preserve"> </w:t>
      </w:r>
      <w:r>
        <w:t xml:space="preserve">consultations has been used to inform the choice of the preferred policy options.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Under the preferred option, the initiative is meant to provide a legal basis at the EU level for setting</w:t>
      </w:r>
      <w:r>
        <w:t xml:space="preserve"> </w:t>
      </w:r>
      <w:r>
        <w:t xml:space="preserve">up a reporting and exchange system that will allow (i) CASPs to collect and transmit periodically</w:t>
      </w:r>
      <w:r>
        <w:t xml:space="preserve"> </w:t>
      </w:r>
      <w:r>
        <w:t xml:space="preserve">(once a year) to the tax administrations aggregate tax relevant information on its users and their</w:t>
      </w:r>
      <w:r>
        <w:t xml:space="preserve"> </w:t>
      </w:r>
      <w:r>
        <w:t xml:space="preserve">underlying transactions and, (ii) tax administrations to then exchange the reported information</w:t>
      </w:r>
      <w:r>
        <w:t xml:space="preserve"> </w:t>
      </w:r>
      <w:r>
        <w:t xml:space="preserve">with relevant Member States, in order to use it for the administration and enforcement of relevant</w:t>
      </w:r>
      <w:r>
        <w:t xml:space="preserve"> </w:t>
      </w:r>
      <w:r>
        <w:t xml:space="preserve">tax laws (e.g. tax code on personal income).</w:t>
      </w:r>
      <w:r>
        <w:t xml:space="preserve"> </w:t>
      </w:r>
      <w:r>
        <w:t xml:space="preserve">Due to the existence of other EU initiatives relative to crypto-assets, in particular the MiCA</w:t>
      </w:r>
      <w:r>
        <w:t xml:space="preserve"> </w:t>
      </w:r>
      <w:r>
        <w:t xml:space="preserve">Regulation and AML Package (i.e. Transfers of Funds Regulation), the estimated costs for DAC8</w:t>
      </w:r>
      <w:r>
        <w:t xml:space="preserve"> </w:t>
      </w:r>
      <w:r>
        <w:t xml:space="preserve">should be considered upper bound as there could be commonalities already taken into account in</w:t>
      </w:r>
      <w:r>
        <w:t xml:space="preserve"> </w:t>
      </w:r>
      <w:r>
        <w:t xml:space="preserve">the estimations of those other initiatives. Furthermore, these figures took into account the volatility</w:t>
      </w:r>
      <w:r>
        <w:t xml:space="preserve"> </w:t>
      </w:r>
      <w:r>
        <w:t xml:space="preserve">of the crypto-assets market as well as cost-savings stemming from the harmonisation of legal</w:t>
      </w:r>
      <w:r>
        <w:t xml:space="preserve"> </w:t>
      </w:r>
      <w:r>
        <w:t xml:space="preserve">requirements.</w:t>
      </w:r>
    </w:p>
    <w:p>
      <w:pPr>
        <w:pStyle w:val="Compact"/>
        <w:numPr>
          <w:ilvl w:val="0"/>
          <w:numId w:val="1016"/>
        </w:numPr>
      </w:pPr>
      <w:r>
        <w:t xml:space="preserve">Summary of costs and benefits</w:t>
      </w:r>
      <w:r>
        <w:br/>
      </w:r>
      <w:r>
        <w:t xml:space="preserve">I. Overview of Benefits (total for all provisions) – Preferred option 5 – Hybrid reporting by all CASPs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Crypto-assets users – More</w:t>
      </w:r>
      <w:r>
        <w:t xml:space="preserve"> </w:t>
      </w:r>
      <w:r>
        <w:t xml:space="preserve">tax transparency will result</w:t>
      </w:r>
      <w:r>
        <w:t xml:space="preserve"> </w:t>
      </w:r>
      <w:r>
        <w:t xml:space="preserve">in increasing legal certainty</w:t>
      </w:r>
      <w:r>
        <w:t xml:space="preserve"> </w:t>
      </w:r>
      <w:r>
        <w:t xml:space="preserve">and a fairer taxation of the</w:t>
      </w:r>
      <w:r>
        <w:t xml:space="preserve"> </w:t>
      </w:r>
      <w:r>
        <w:t xml:space="preserve">revenues and income earned</w:t>
      </w:r>
      <w:r>
        <w:t xml:space="preserve"> </w:t>
      </w:r>
      <w:r>
        <w:t xml:space="preserve">on crypto-assets.</w:t>
      </w:r>
      <w:r>
        <w:br/>
      </w:r>
      <w:r>
        <w:t xml:space="preserve">No quantification available.</w:t>
      </w:r>
      <w:r>
        <w:br/>
      </w:r>
      <w:r>
        <w:t xml:space="preserve">Crypto-assets users will benefit of a more</w:t>
      </w:r>
      <w:r>
        <w:t xml:space="preserve"> </w:t>
      </w:r>
      <w:r>
        <w:t xml:space="preserve">transparent crypto-assets market. Some tax</w:t>
      </w:r>
      <w:r>
        <w:t xml:space="preserve"> </w:t>
      </w:r>
      <w:r>
        <w:t xml:space="preserve">authorities may even be able to pre-fill tax</w:t>
      </w:r>
      <w:r>
        <w:t xml:space="preserve"> </w:t>
      </w:r>
      <w:r>
        <w:t xml:space="preserve">income statements making easier for the</w:t>
      </w:r>
      <w:r>
        <w:t xml:space="preserve"> </w:t>
      </w:r>
      <w:r>
        <w:t xml:space="preserve">users to comply with their tax duties.</w:t>
      </w:r>
      <w:r>
        <w:br/>
      </w:r>
      <w:r>
        <w:t xml:space="preserve">Tax administrations –</w:t>
      </w:r>
      <w:r>
        <w:t xml:space="preserve"> </w:t>
      </w:r>
      <w:r>
        <w:t xml:space="preserve">Gaining access to the</w:t>
      </w:r>
      <w:r>
        <w:t xml:space="preserve"> </w:t>
      </w:r>
      <w:r>
        <w:t xml:space="preserve">relevant information will</w:t>
      </w:r>
      <w:r>
        <w:t xml:space="preserve"> </w:t>
      </w:r>
      <w:r>
        <w:t xml:space="preserve">enable tax administrations</w:t>
      </w:r>
      <w:r>
        <w:t xml:space="preserve"> </w:t>
      </w:r>
      <w:r>
        <w:t xml:space="preserve">to ensure that taxes due are</w:t>
      </w:r>
      <w:r>
        <w:t xml:space="preserve"> </w:t>
      </w:r>
      <w:r>
        <w:t xml:space="preserve">paid (e.g. improved risk</w:t>
      </w:r>
      <w:r>
        <w:t xml:space="preserve"> </w:t>
      </w:r>
      <w:r>
        <w:t xml:space="preserve">analysis and accuracy of tax</w:t>
      </w:r>
      <w:r>
        <w:t xml:space="preserve"> </w:t>
      </w:r>
      <w:r>
        <w:t xml:space="preserve">audits).</w:t>
      </w:r>
      <w:r>
        <w:br/>
      </w:r>
      <w:r>
        <w:t xml:space="preserve">Direct benefits in terms of additional tax</w:t>
      </w:r>
      <w:r>
        <w:t xml:space="preserve"> </w:t>
      </w:r>
      <w:r>
        <w:t xml:space="preserve">revenues could reach EUR 2.4 billion. The</w:t>
      </w:r>
      <w:r>
        <w:t xml:space="preserve"> </w:t>
      </w:r>
      <w:r>
        <w:t xml:space="preserve">hybrid reporting approach (preferred option)</w:t>
      </w:r>
      <w:r>
        <w:t xml:space="preserve"> </w:t>
      </w:r>
      <w:r>
        <w:t xml:space="preserve">would ensure a balance between too detailed</w:t>
      </w:r>
      <w:r>
        <w:t xml:space="preserve"> </w:t>
      </w:r>
      <w:r>
        <w:t xml:space="preserve">transactional information to be reported by all</w:t>
      </w:r>
      <w:r>
        <w:t xml:space="preserve"> </w:t>
      </w:r>
      <w:r>
        <w:t xml:space="preserve">CASPs with EU users regardless of the size, and</w:t>
      </w:r>
      <w:r>
        <w:t xml:space="preserve"> </w:t>
      </w:r>
      <w:r>
        <w:t xml:space="preserve">the need for second round information requests.</w:t>
      </w:r>
      <w:r>
        <w:t xml:space="preserve"> </w:t>
      </w:r>
      <w:r>
        <w:t xml:space="preserve">Tax administrations will benefit from the</w:t>
      </w:r>
      <w:r>
        <w:t xml:space="preserve"> </w:t>
      </w:r>
      <w:r>
        <w:t xml:space="preserve">reporting and exchange of information,</w:t>
      </w:r>
      <w:r>
        <w:t xml:space="preserve"> </w:t>
      </w:r>
      <w:r>
        <w:t xml:space="preserve">which they can use to ensure that taxes dues</w:t>
      </w:r>
      <w:r>
        <w:t xml:space="preserve"> </w:t>
      </w:r>
      <w:r>
        <w:t xml:space="preserve">are paid. The extent of the benefits will</w:t>
      </w:r>
      <w:r>
        <w:t xml:space="preserve"> </w:t>
      </w:r>
      <w:r>
        <w:t xml:space="preserve">depend on how adequate Member States’</w:t>
      </w:r>
      <w:r>
        <w:t xml:space="preserve"> </w:t>
      </w:r>
      <w:r>
        <w:t xml:space="preserve">internal systems are to utilise such data.</w:t>
      </w:r>
      <w:r>
        <w:t xml:space="preserve"> </w:t>
      </w:r>
      <w:r>
        <w:t xml:space="preserve">Benefits will also depend on the</w:t>
      </w:r>
      <w:r>
        <w:t xml:space="preserve"> </w:t>
      </w:r>
      <w:r>
        <w:t xml:space="preserve">profitability and size of the crypto-assets</w:t>
      </w:r>
      <w:r>
        <w:t xml:space="preserve"> </w:t>
      </w:r>
      <w:r>
        <w:t xml:space="preserve">market. Periods of intense growth of the</w:t>
      </w:r>
      <w:r>
        <w:t xml:space="preserve"> </w:t>
      </w:r>
      <w:r>
        <w:t xml:space="preserve">market will translate into more public</w:t>
      </w:r>
      <w:r>
        <w:t xml:space="preserve"> </w:t>
      </w:r>
      <w:r>
        <w:t xml:space="preserve">revenue that will be transparently reported.</w:t>
      </w:r>
      <w:r>
        <w:br/>
      </w:r>
      <w:r>
        <w:t xml:space="preserve">Crypto-assets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No quantification available.</w:t>
      </w:r>
      <w:r>
        <w:t xml:space="preserve"> </w:t>
      </w:r>
      <w:r>
        <w:t xml:space="preserve">There will be benefits derived from having</w:t>
      </w:r>
      <w:r>
        <w:t xml:space="preserve"> </w:t>
      </w:r>
      <w:r>
        <w:t xml:space="preserve">homogeneous reporting requirements</w:t>
      </w:r>
      <w:r>
        <w:t xml:space="preserve"> </w:t>
      </w:r>
      <w:r>
        <w:t xml:space="preserve">throughout the EU, rather than having</w:t>
      </w:r>
      <w:r>
        <w:t xml:space="preserve"> </w:t>
      </w:r>
      <w:r>
        <w:t xml:space="preserve">multiple standards across each Member</w:t>
      </w:r>
      <w:r>
        <w:t xml:space="preserve"> </w:t>
      </w:r>
      <w:r>
        <w:t xml:space="preserve">States. This would make it easier to comply</w:t>
      </w:r>
      <w:r>
        <w:t xml:space="preserve"> </w:t>
      </w:r>
      <w:r>
        <w:t xml:space="preserve">with existing tax rules and would improve</w:t>
      </w:r>
      <w:r>
        <w:t xml:space="preserve"> </w:t>
      </w:r>
      <w:r>
        <w:t xml:space="preserve">compliance. Providers will not be faced</w:t>
      </w:r>
      <w:r>
        <w:t xml:space="preserve"> </w:t>
      </w:r>
      <w:r>
        <w:t xml:space="preserve">with burdensome individualised</w:t>
      </w:r>
      <w:r>
        <w:t xml:space="preserve"> </w:t>
      </w:r>
      <w:r>
        <w:t xml:space="preserve">information requests that would be needed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by tax authorities to make their</w:t>
      </w:r>
      <w:r>
        <w:t xml:space="preserve"> </w:t>
      </w:r>
      <w:r>
        <w:t xml:space="preserve">control/checks in the absence of automatic</w:t>
      </w:r>
      <w:r>
        <w:t xml:space="preserve"> </w:t>
      </w:r>
      <w:r>
        <w:t xml:space="preserve">reporting.</w:t>
      </w:r>
      <w:r>
        <w:t xml:space="preserve"> </w:t>
      </w:r>
      <w:r>
        <w:t xml:space="preserve">Indirect benefits</w:t>
      </w:r>
    </w:p>
    <w:p>
      <w:pPr>
        <w:pStyle w:val="BodyText"/>
      </w:pPr>
      <w:r>
        <w:t xml:space="preserve">Member States – macro-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The increase in tax revenues stemming from</w:t>
      </w:r>
      <w:r>
        <w:t xml:space="preserve"> </w:t>
      </w:r>
      <w:r>
        <w:t xml:space="preserve">greater transparency will indirectly benefit the</w:t>
      </w:r>
      <w:r>
        <w:t xml:space="preserve"> </w:t>
      </w:r>
      <w:r>
        <w:t xml:space="preserve">economy as a whole as it will provide revenues</w:t>
      </w:r>
      <w:r>
        <w:t xml:space="preserve"> </w:t>
      </w:r>
      <w:r>
        <w:t xml:space="preserve">to fund Member States’ economic and social</w:t>
      </w:r>
      <w:r>
        <w:t xml:space="preserve"> </w:t>
      </w:r>
      <w:r>
        <w:t xml:space="preserve">policies,</w:t>
      </w:r>
    </w:p>
    <w:p>
      <w:pPr>
        <w:pStyle w:val="BodyText"/>
      </w:pPr>
      <w:r>
        <w:t xml:space="preserve">Crypto-assets users</w:t>
      </w:r>
      <w:r>
        <w:br/>
      </w:r>
      <w:r>
        <w:t xml:space="preserve">No quantification available</w:t>
      </w:r>
      <w:r>
        <w:t xml:space="preserve"> </w:t>
      </w:r>
      <w:r>
        <w:t xml:space="preserve">Improvement in the perception of tax</w:t>
      </w:r>
      <w:r>
        <w:t xml:space="preserve"> </w:t>
      </w:r>
      <w:r>
        <w:t xml:space="preserve">fairness, resulting from taxpayers paying</w:t>
      </w:r>
      <w:r>
        <w:t xml:space="preserve"> </w:t>
      </w:r>
      <w:r>
        <w:t xml:space="preserve">their fair share in all Member States</w:t>
      </w:r>
      <w:r>
        <w:t xml:space="preserve"> </w:t>
      </w:r>
      <w:r>
        <w:t xml:space="preserve">equally.</w:t>
      </w:r>
      <w:r>
        <w:t xml:space="preserve"> </w:t>
      </w:r>
      <w:r>
        <w:t xml:space="preserve">Crypto-assets service</w:t>
      </w:r>
      <w:r>
        <w:t xml:space="preserve"> </w:t>
      </w:r>
      <w:r>
        <w:t xml:space="preserve">providers -</w:t>
      </w:r>
      <w:r>
        <w:br/>
      </w:r>
      <w:r>
        <w:t xml:space="preserve">No quantification available</w:t>
      </w:r>
      <w:r>
        <w:t xml:space="preserve"> </w:t>
      </w:r>
      <w:r>
        <w:t xml:space="preserve">Greater transparency and standardisation of</w:t>
      </w:r>
      <w:r>
        <w:t xml:space="preserve"> </w:t>
      </w:r>
      <w:r>
        <w:t xml:space="preserve">rules will increase the trust in the system</w:t>
      </w:r>
      <w:r>
        <w:t xml:space="preserve"> </w:t>
      </w:r>
      <w:r>
        <w:t xml:space="preserve">and could even attract new users who</w:t>
      </w:r>
      <w:r>
        <w:t xml:space="preserve"> </w:t>
      </w:r>
      <w:r>
        <w:t xml:space="preserve">appreciate reputational and trusted</w:t>
      </w:r>
      <w:r>
        <w:t xml:space="preserve"> </w:t>
      </w:r>
      <w:r>
        <w:t xml:space="preserve">providers.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(direct/indirect)</w:t>
      </w:r>
      <w:r>
        <w:t xml:space="preserve"> </w:t>
      </w:r>
      <w:r>
        <w:t xml:space="preserve">There will be a decrease in costs for crypto-</w:t>
      </w:r>
      <w:r>
        <w:t xml:space="preserve"> </w:t>
      </w:r>
      <w:r>
        <w:t xml:space="preserve">assets service providers due to homogeneous</w:t>
      </w:r>
      <w:r>
        <w:t xml:space="preserve"> </w:t>
      </w:r>
      <w:r>
        <w:t xml:space="preserve">compliance requirements throughout the EU,</w:t>
      </w:r>
      <w:r>
        <w:t xml:space="preserve"> </w:t>
      </w:r>
      <w:r>
        <w:t xml:space="preserve">rather than having multiple standards across</w:t>
      </w:r>
      <w:r>
        <w:t xml:space="preserve"> </w:t>
      </w:r>
      <w:r>
        <w:t xml:space="preserve">each Member State. However, there is no</w:t>
      </w:r>
      <w:r>
        <w:t xml:space="preserve"> </w:t>
      </w:r>
      <w:r>
        <w:t xml:space="preserve">quantification available.</w:t>
      </w:r>
    </w:p>
    <w:p>
      <w:pPr>
        <w:pStyle w:val="BodyText"/>
      </w:pPr>
      <w:r>
        <w:t xml:space="preserve">Crypto-assets service providers will also benefit</w:t>
      </w:r>
      <w:r>
        <w:t xml:space="preserve"> </w:t>
      </w:r>
      <w:r>
        <w:t xml:space="preserve">from not to being in a situation where there is</w:t>
      </w:r>
      <w:r>
        <w:t xml:space="preserve"> </w:t>
      </w:r>
      <w:r>
        <w:t xml:space="preserve">need to answer a multitude of individual</w:t>
      </w:r>
      <w:r>
        <w:t xml:space="preserve"> </w:t>
      </w:r>
      <w:r>
        <w:t xml:space="preserve">information requests from tax authorities.</w:t>
      </w:r>
    </w:p>
    <w:p>
      <w:pPr>
        <w:pStyle w:val="Compact"/>
        <w:numPr>
          <w:ilvl w:val="0"/>
          <w:numId w:val="1017"/>
        </w:numPr>
      </w:pPr>
      <w:r>
        <w:t xml:space="preserve">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which</w:t>
      </w:r>
      <w:r>
        <w:t xml:space="preserve"> </w:t>
      </w:r>
      <w:r>
        <w:t xml:space="preserve">stakeholder group is the main recipient of the benefit in the comment section;(3) For reductions in regulatory costs,</w:t>
      </w:r>
      <w:r>
        <w:t xml:space="preserve"> </w:t>
      </w:r>
      <w:r>
        <w:t xml:space="preserve">please describe details as to how the saving arises (e.g. reductions in adjustment costs, administrative costs,</w:t>
      </w:r>
      <w:r>
        <w:t xml:space="preserve"> </w:t>
      </w:r>
      <w:r>
        <w:t xml:space="preserve">regulatory charges, enforcement costs, etc.;); (4) Cost savings related to the ’one in, one out’ approach are detailed</w:t>
      </w:r>
      <w:r>
        <w:t xml:space="preserve"> </w:t>
      </w:r>
      <w:r>
        <w:t xml:space="preserve">in Tool #58 and #59 of the ‘better regulation’ toolbox. * if relevant</w:t>
      </w:r>
    </w:p>
    <w:p>
      <w:pPr>
        <w:pStyle w:val="Compact"/>
        <w:numPr>
          <w:ilvl w:val="0"/>
          <w:numId w:val="1018"/>
        </w:numPr>
      </w:pPr>
      <w:r>
        <w:t xml:space="preserve">Overview of costs – Preferred option- option 5 - Hybrid reporting by all CASPs50</w:t>
      </w:r>
    </w:p>
    <w:p>
      <w:pPr>
        <w:pStyle w:val="FirstParagraph"/>
      </w:pPr>
      <w:r>
        <w:t xml:space="preserve">Crypto-assets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Tax Administrations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50 Due to existence of EU initiatives relative to crypto-assets, in particular the MiCA Regulation and AML Package</w:t>
      </w:r>
      <w:r>
        <w:t xml:space="preserve"> </w:t>
      </w:r>
      <w:r>
        <w:t xml:space="preserve">(i.e. transfers of Funds Regulation), the estimated costs for DAC8 should be considered an upper bound as there could</w:t>
      </w:r>
      <w:r>
        <w:t xml:space="preserve"> </w:t>
      </w:r>
      <w:r>
        <w:t xml:space="preserve">be commonalities already taken into account in the estimations of those proposals.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Implemen</w:t>
      </w:r>
      <w:r>
        <w:t xml:space="preserve"> </w:t>
      </w:r>
      <w:r>
        <w:t xml:space="preserve">ting an IT</w:t>
      </w:r>
      <w:r>
        <w:t xml:space="preserve"> </w:t>
      </w:r>
      <w:r>
        <w:t xml:space="preserve">tool</w:t>
      </w:r>
      <w:r>
        <w:t xml:space="preserve"> </w:t>
      </w:r>
      <w:r>
        <w:t xml:space="preserve">(Central</w:t>
      </w:r>
      <w:r>
        <w:t xml:space="preserve"> </w:t>
      </w:r>
      <w:r>
        <w:t xml:space="preserve">Directory)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1-13</w:t>
      </w:r>
      <w:r>
        <w:t xml:space="preserve"> </w:t>
      </w:r>
      <w:r>
        <w:t xml:space="preserve">0.1-5.7</w:t>
      </w:r>
      <w:r>
        <w:t xml:space="preserve"> </w:t>
      </w:r>
      <w:r>
        <w:t xml:space="preserve">0.48</w:t>
      </w:r>
      <w:r>
        <w:br/>
      </w:r>
      <w:r>
        <w:t xml:space="preserve">0.21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requireme</w:t>
      </w:r>
      <w:r>
        <w:t xml:space="preserve"> </w:t>
      </w:r>
      <w:r>
        <w:t xml:space="preserve">nts</w:t>
      </w:r>
      <w:r>
        <w:br/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Total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estimate are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259</w:t>
      </w:r>
      <w:r>
        <w:t xml:space="preserve"> </w:t>
      </w:r>
      <w:r>
        <w:t xml:space="preserve">million (or</w:t>
      </w:r>
      <w:r>
        <w:t xml:space="preserve"> </w:t>
      </w:r>
      <w:r>
        <w:t xml:space="preserve">EUR 1.5</w:t>
      </w:r>
      <w:r>
        <w:t xml:space="preserve"> </w:t>
      </w:r>
      <w:r>
        <w:t xml:space="preserve">million per</w:t>
      </w:r>
      <w:r>
        <w:t xml:space="preserve"> </w:t>
      </w:r>
      <w:r>
        <w:t xml:space="preserve">CASP).</w:t>
      </w:r>
      <w:r>
        <w:br/>
      </w:r>
      <w:r>
        <w:t xml:space="preserve">The recurrent</w:t>
      </w:r>
      <w:r>
        <w:t xml:space="preserve"> </w:t>
      </w:r>
      <w:r>
        <w:t xml:space="preserve">costs are</w:t>
      </w:r>
      <w:r>
        <w:t xml:space="preserve"> </w:t>
      </w:r>
      <w:r>
        <w:t xml:space="preserve">estimated at</w:t>
      </w:r>
      <w:r>
        <w:t xml:space="preserve"> </w:t>
      </w:r>
      <w:r>
        <w:t xml:space="preserve">22.6 million for</w:t>
      </w:r>
      <w:r>
        <w:t xml:space="preserve"> </w:t>
      </w:r>
      <w:r>
        <w:t xml:space="preserve">all CASPs and</w:t>
      </w:r>
      <w:r>
        <w:t xml:space="preserve"> </w:t>
      </w:r>
      <w:r>
        <w:t xml:space="preserve">it is estimated</w:t>
      </w:r>
      <w:r>
        <w:t xml:space="preserve"> </w:t>
      </w:r>
      <w:r>
        <w:t xml:space="preserve">that they will</w:t>
      </w:r>
      <w:r>
        <w:t xml:space="preserve"> </w:t>
      </w:r>
      <w:r>
        <w:t xml:space="preserve">not surpass</w:t>
      </w:r>
      <w:r>
        <w:t xml:space="preserve"> </w:t>
      </w:r>
      <w:r>
        <w:t xml:space="preserve">EUR 135 000</w:t>
      </w:r>
      <w:r>
        <w:t xml:space="preserve"> </w:t>
      </w:r>
      <w:r>
        <w:t xml:space="preserve">per entity on a</w:t>
      </w:r>
      <w:r>
        <w:t xml:space="preserve"> </w:t>
      </w:r>
      <w:r>
        <w:t xml:space="preserve">yearly basis.</w:t>
      </w:r>
      <w:r>
        <w:t xml:space="preserve"> </w:t>
      </w:r>
      <w:r>
        <w:t xml:space="preserve">One-off costs</w:t>
      </w:r>
      <w:r>
        <w:t xml:space="preserve"> </w:t>
      </w:r>
      <w:r>
        <w:t xml:space="preserve">incurred by 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in the EU-27</w:t>
      </w:r>
      <w:r>
        <w:t xml:space="preserve"> </w:t>
      </w:r>
      <w:r>
        <w:t xml:space="preserve">are estimated to</w:t>
      </w:r>
      <w:r>
        <w:t xml:space="preserve"> </w:t>
      </w:r>
      <w:r>
        <w:t xml:space="preserve">range between</w:t>
      </w:r>
      <w:r>
        <w:t xml:space="preserve"> </w:t>
      </w:r>
      <w:r>
        <w:t xml:space="preserve">EUR 500 000</w:t>
      </w:r>
      <w:r>
        <w:t xml:space="preserve"> </w:t>
      </w:r>
      <w:r>
        <w:t xml:space="preserve">and EUR 64.8</w:t>
      </w:r>
      <w:r>
        <w:t xml:space="preserve"> </w:t>
      </w:r>
      <w:r>
        <w:t xml:space="preserve">million or</w:t>
      </w:r>
      <w:r>
        <w:t xml:space="preserve"> </w:t>
      </w:r>
      <w:r>
        <w:t xml:space="preserve">between EUR</w:t>
      </w:r>
      <w:r>
        <w:t xml:space="preserve"> </w:t>
      </w:r>
      <w:r>
        <w:t xml:space="preserve">18 000 and</w:t>
      </w:r>
      <w:r>
        <w:t xml:space="preserve"> </w:t>
      </w:r>
      <w:r>
        <w:t xml:space="preserve">EUR 2.4</w:t>
      </w:r>
      <w:r>
        <w:t xml:space="preserve"> </w:t>
      </w:r>
      <w:r>
        <w:t xml:space="preserve">million per tax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on average,</w:t>
      </w:r>
      <w:r>
        <w:t xml:space="preserve"> </w:t>
      </w:r>
      <w:r>
        <w:t xml:space="preserve">depending on</w:t>
      </w:r>
      <w:r>
        <w:t xml:space="preserve"> </w:t>
      </w:r>
      <w:r>
        <w:t xml:space="preserve">the IT solution</w:t>
      </w:r>
      <w:r>
        <w:t xml:space="preserve"> </w:t>
      </w:r>
      <w:r>
        <w:t xml:space="preserve">chosen.</w:t>
      </w:r>
      <w:r>
        <w:t xml:space="preserve"> </w:t>
      </w:r>
      <w:r>
        <w:t xml:space="preserve">The estimated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vary</w:t>
      </w:r>
      <w:r>
        <w:t xml:space="preserve"> </w:t>
      </w:r>
      <w:r>
        <w:t xml:space="preserve">approximately</w:t>
      </w:r>
      <w:r>
        <w:t xml:space="preserve"> </w:t>
      </w:r>
      <w:r>
        <w:t xml:space="preserve">between EUR</w:t>
      </w:r>
      <w:r>
        <w:t xml:space="preserve"> </w:t>
      </w:r>
      <w:r>
        <w:t xml:space="preserve">100 000 and</w:t>
      </w:r>
      <w:r>
        <w:t xml:space="preserve"> </w:t>
      </w:r>
      <w:r>
        <w:t xml:space="preserve">EUR 6 million</w:t>
      </w:r>
      <w:r>
        <w:t xml:space="preserve"> </w:t>
      </w:r>
      <w:r>
        <w:t xml:space="preserve">on a yearly</w:t>
      </w:r>
      <w:r>
        <w:t xml:space="preserve"> </w:t>
      </w:r>
      <w:r>
        <w:t xml:space="preserve">basis for all</w:t>
      </w:r>
      <w:r>
        <w:t xml:space="preserve"> </w:t>
      </w:r>
      <w:r>
        <w:t xml:space="preserve">Member States,</w:t>
      </w:r>
      <w:r>
        <w:t xml:space="preserve"> </w:t>
      </w:r>
      <w:r>
        <w:t xml:space="preserve">or between</w:t>
      </w:r>
      <w:r>
        <w:t xml:space="preserve"> </w:t>
      </w:r>
      <w:r>
        <w:t xml:space="preserve">EUR 3 700 and</w:t>
      </w:r>
      <w:r>
        <w:t xml:space="preserve"> </w:t>
      </w:r>
      <w:r>
        <w:t xml:space="preserve">EUR 220 000</w:t>
      </w:r>
      <w:r>
        <w:t xml:space="preserve"> </w:t>
      </w:r>
      <w:r>
        <w:t xml:space="preserve">on average per</w:t>
      </w:r>
      <w:r>
        <w:t xml:space="preserve"> </w:t>
      </w:r>
      <w:r>
        <w:t xml:space="preserve">Member State.</w:t>
      </w:r>
      <w:r>
        <w:t xml:space="preserve"> </w:t>
      </w:r>
      <w:r>
        <w:t xml:space="preserve">The</w:t>
      </w:r>
      <w:r>
        <w:t xml:space="preserve"> </w:t>
      </w:r>
      <w:r>
        <w:t xml:space="preserve">developmen</w:t>
      </w:r>
      <w:r>
        <w:t xml:space="preserve"> </w:t>
      </w:r>
      <w:r>
        <w:t xml:space="preserve">t costs for</w:t>
      </w:r>
      <w:r>
        <w:t xml:space="preserve"> </w:t>
      </w:r>
      <w:r>
        <w:t xml:space="preserve">defining the</w:t>
      </w:r>
      <w:r>
        <w:t xml:space="preserve"> </w:t>
      </w:r>
      <w:r>
        <w:t xml:space="preserve">common</w:t>
      </w:r>
      <w:r>
        <w:t xml:space="preserve"> </w:t>
      </w:r>
      <w:r>
        <w:t xml:space="preserve">EU</w:t>
      </w:r>
      <w:r>
        <w:t xml:space="preserve"> </w:t>
      </w:r>
      <w:r>
        <w:t xml:space="preserve">reporting</w:t>
      </w:r>
      <w:r>
        <w:t xml:space="preserve"> </w:t>
      </w:r>
      <w:r>
        <w:t xml:space="preserve">specificatio</w:t>
      </w:r>
      <w:r>
        <w:t xml:space="preserve"> </w:t>
      </w:r>
      <w:r>
        <w:t xml:space="preserve">ns (i.e. the</w:t>
      </w:r>
      <w:r>
        <w:t xml:space="preserve"> </w:t>
      </w:r>
      <w:r>
        <w:t xml:space="preserve">type of data</w:t>
      </w:r>
      <w:r>
        <w:t xml:space="preserve"> </w:t>
      </w:r>
      <w:r>
        <w:t xml:space="preserve">to be</w:t>
      </w:r>
      <w:r>
        <w:t xml:space="preserve"> </w:t>
      </w:r>
      <w:r>
        <w:t xml:space="preserve">reported,</w:t>
      </w:r>
      <w:r>
        <w:t xml:space="preserve"> </w:t>
      </w:r>
      <w:r>
        <w:t xml:space="preserve">collected</w:t>
      </w:r>
      <w:r>
        <w:t xml:space="preserve"> </w:t>
      </w:r>
      <w:r>
        <w:t xml:space="preserve">and</w:t>
      </w:r>
      <w:r>
        <w:t xml:space="preserve"> </w:t>
      </w:r>
      <w:r>
        <w:t xml:space="preserve">exchanged),</w:t>
      </w:r>
      <w:r>
        <w:t xml:space="preserve"> </w:t>
      </w:r>
      <w:r>
        <w:t xml:space="preserve">and for</w:t>
      </w:r>
      <w:r>
        <w:t xml:space="preserve"> </w:t>
      </w:r>
      <w:r>
        <w:t xml:space="preserve">setting up</w:t>
      </w:r>
      <w:r>
        <w:t xml:space="preserve"> </w:t>
      </w:r>
      <w:r>
        <w:t xml:space="preserve">new and/or</w:t>
      </w:r>
      <w:r>
        <w:t xml:space="preserve"> </w:t>
      </w:r>
      <w:r>
        <w:t xml:space="preserve">adapting the</w:t>
      </w:r>
      <w:r>
        <w:t xml:space="preserve"> </w:t>
      </w:r>
      <w:r>
        <w:t xml:space="preserve">existing IT</w:t>
      </w:r>
      <w:r>
        <w:t xml:space="preserve"> </w:t>
      </w:r>
      <w:r>
        <w:t xml:space="preserve">systems to</w:t>
      </w:r>
      <w:r>
        <w:t xml:space="preserve"> </w:t>
      </w:r>
      <w:r>
        <w:t xml:space="preserve">enable the</w:t>
      </w:r>
      <w:r>
        <w:t xml:space="preserve"> </w:t>
      </w:r>
      <w:r>
        <w:t xml:space="preserve">exchange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could vary</w:t>
      </w:r>
      <w:r>
        <w:t xml:space="preserve"> </w:t>
      </w:r>
      <w:r>
        <w:t xml:space="preserve">between</w:t>
      </w:r>
      <w:r>
        <w:t xml:space="preserve"> </w:t>
      </w:r>
      <w:r>
        <w:t xml:space="preserve">EUR 500</w:t>
      </w:r>
      <w:r>
        <w:t xml:space="preserve"> </w:t>
      </w:r>
      <w:r>
        <w:t xml:space="preserve">000 and</w:t>
      </w:r>
      <w:r>
        <w:t xml:space="preserve"> </w:t>
      </w:r>
      <w:r>
        <w:t xml:space="preserve">EUR 1.4</w:t>
      </w:r>
      <w:r>
        <w:t xml:space="preserve"> </w:t>
      </w:r>
      <w:r>
        <w:t xml:space="preserve">million.</w:t>
      </w:r>
      <w:r>
        <w:t xml:space="preserve"> </w:t>
      </w:r>
      <w:r>
        <w:t xml:space="preserve">The recurrent</w:t>
      </w:r>
      <w:r>
        <w:t xml:space="preserve"> </w:t>
      </w:r>
      <w:r>
        <w:t xml:space="preserve">costs are</w:t>
      </w:r>
      <w:r>
        <w:t xml:space="preserve"> </w:t>
      </w:r>
      <w:r>
        <w:t xml:space="preserve">estimated to</w:t>
      </w:r>
      <w:r>
        <w:t xml:space="preserve"> </w:t>
      </w:r>
      <w:r>
        <w:t xml:space="preserve">range</w:t>
      </w:r>
      <w:r>
        <w:t xml:space="preserve"> </w:t>
      </w:r>
      <w:r>
        <w:t xml:space="preserve">between EUR</w:t>
      </w:r>
      <w:r>
        <w:t xml:space="preserve"> </w:t>
      </w:r>
      <w:r>
        <w:t xml:space="preserve">100 000 and</w:t>
      </w:r>
      <w:r>
        <w:t xml:space="preserve"> </w:t>
      </w:r>
      <w:r>
        <w:t xml:space="preserve">EUR 200 000</w:t>
      </w:r>
      <w:r>
        <w:t xml:space="preserve"> </w:t>
      </w:r>
      <w:r>
        <w:t xml:space="preserve">on a yearly</w:t>
      </w:r>
      <w:r>
        <w:t xml:space="preserve"> </w:t>
      </w:r>
      <w:r>
        <w:t xml:space="preserve">basis, and</w:t>
      </w:r>
      <w:r>
        <w:t xml:space="preserve"> </w:t>
      </w:r>
      <w:r>
        <w:t xml:space="preserve">mainly relate</w:t>
      </w:r>
      <w:r>
        <w:t xml:space="preserve"> </w:t>
      </w:r>
      <w:r>
        <w:t xml:space="preserve">to operating</w:t>
      </w:r>
      <w:r>
        <w:t xml:space="preserve"> </w:t>
      </w:r>
      <w:r>
        <w:t xml:space="preserve">and</w:t>
      </w:r>
      <w:r>
        <w:t xml:space="preserve"> </w:t>
      </w:r>
      <w:r>
        <w:t xml:space="preserve">maintaining</w:t>
      </w:r>
      <w:r>
        <w:t xml:space="preserve"> </w:t>
      </w:r>
      <w:r>
        <w:t xml:space="preserve">the IT system</w:t>
      </w:r>
      <w:r>
        <w:t xml:space="preserve"> </w:t>
      </w:r>
      <w:r>
        <w:t xml:space="preserve">for data</w:t>
      </w:r>
      <w:r>
        <w:t xml:space="preserve"> </w:t>
      </w:r>
      <w:r>
        <w:t xml:space="preserve">storage and</w:t>
      </w:r>
      <w:r>
        <w:t xml:space="preserve"> </w:t>
      </w:r>
      <w:r>
        <w:t xml:space="preserve">exchange</w:t>
      </w:r>
      <w:r>
        <w:t xml:space="preserve"> </w:t>
      </w:r>
      <w:r>
        <w:t xml:space="preserve">relative to</w:t>
      </w:r>
      <w:r>
        <w:t xml:space="preserve"> </w:t>
      </w:r>
      <w:r>
        <w:t xml:space="preserve">crypto-assets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Total one-</w:t>
      </w:r>
      <w:r>
        <w:t xml:space="preserve"> </w:t>
      </w:r>
      <w:r>
        <w:t xml:space="preserve">off costs are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259</w:t>
      </w:r>
      <w:r>
        <w:t xml:space="preserve"> </w:t>
      </w:r>
      <w:r>
        <w:t xml:space="preserve">million (or</w:t>
      </w:r>
      <w:r>
        <w:t xml:space="preserve"> </w:t>
      </w:r>
      <w:r>
        <w:t xml:space="preserve">EUR 1.5</w:t>
      </w:r>
      <w:r>
        <w:t xml:space="preserve"> </w:t>
      </w:r>
      <w:r>
        <w:t xml:space="preserve">million per</w:t>
      </w:r>
      <w:r>
        <w:t xml:space="preserve"> </w:t>
      </w:r>
      <w:r>
        <w:t xml:space="preserve">CASP).</w:t>
      </w:r>
      <w:r>
        <w:t xml:space="preserve"> </w:t>
      </w:r>
      <w:r>
        <w:t xml:space="preserve">The recurrent</w:t>
      </w:r>
      <w:r>
        <w:t xml:space="preserve"> </w:t>
      </w:r>
      <w:r>
        <w:t xml:space="preserve">costs are</w:t>
      </w:r>
      <w:r>
        <w:t xml:space="preserve"> </w:t>
      </w:r>
      <w:r>
        <w:t xml:space="preserve">estimated at</w:t>
      </w:r>
      <w:r>
        <w:t xml:space="preserve"> </w:t>
      </w:r>
      <w:r>
        <w:t xml:space="preserve">22.6 million for</w:t>
      </w:r>
      <w:r>
        <w:t xml:space="preserve"> </w:t>
      </w:r>
      <w:r>
        <w:t xml:space="preserve">all CASPs and</w:t>
      </w:r>
      <w:r>
        <w:t xml:space="preserve"> </w:t>
      </w:r>
      <w:r>
        <w:t xml:space="preserve">it is estimated</w:t>
      </w:r>
      <w:r>
        <w:t xml:space="preserve"> </w:t>
      </w:r>
      <w:r>
        <w:t xml:space="preserve">that they will</w:t>
      </w:r>
      <w:r>
        <w:t xml:space="preserve"> </w:t>
      </w:r>
      <w:r>
        <w:t xml:space="preserve">not surpass</w:t>
      </w:r>
      <w:r>
        <w:t xml:space="preserve"> </w:t>
      </w:r>
      <w:r>
        <w:t xml:space="preserve">EUR 135 000</w:t>
      </w:r>
      <w:r>
        <w:t xml:space="preserve"> </w:t>
      </w:r>
      <w:r>
        <w:t xml:space="preserve">per entity on a</w:t>
      </w:r>
      <w:r>
        <w:t xml:space="preserve"> </w:t>
      </w:r>
      <w:r>
        <w:t xml:space="preserve">yearly basis.</w:t>
      </w:r>
    </w:p>
    <w:p>
      <w:pPr>
        <w:pStyle w:val="Compact"/>
        <w:numPr>
          <w:ilvl w:val="0"/>
          <w:numId w:val="1019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 costs,</w:t>
      </w:r>
      <w:r>
        <w:t xml:space="preserve"> </w:t>
      </w:r>
      <w:r>
        <w:t xml:space="preserve">indirect costs;). (4) Administrative costs for offsetting as explained in Tool #58 and #59 of the ‘better</w:t>
      </w:r>
      <w:r>
        <w:t xml:space="preserve"> </w:t>
      </w:r>
      <w:r>
        <w:t xml:space="preserve">regulation’ toolbox. The total adjustment costs should equal the sum of the adjustment costs presented in the</w:t>
      </w:r>
      <w:r>
        <w:t xml:space="preserve"> </w:t>
      </w:r>
      <w:r>
        <w:t xml:space="preserve">upper part of the table (whenever they are quantifiable and/or can be monetised). Measures taken with a</w:t>
      </w:r>
      <w:r>
        <w:t xml:space="preserve"> </w:t>
      </w:r>
      <w:r>
        <w:t xml:space="preserve">view to compensate adjustment costs to the greatest extent possible are presented in the section of the impact</w:t>
      </w:r>
      <w:r>
        <w:t xml:space="preserve"> </w:t>
      </w:r>
      <w:r>
        <w:t xml:space="preserve">assessment report presenting the preferred option.</w:t>
      </w:r>
    </w:p>
    <w:p>
      <w:pPr>
        <w:pStyle w:val="Compact"/>
        <w:numPr>
          <w:ilvl w:val="0"/>
          <w:numId w:val="1020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21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– 8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The initiative will have a positive effect on tax</w:t>
      </w:r>
      <w:r>
        <w:t xml:space="preserve"> </w:t>
      </w:r>
      <w:r>
        <w:t xml:space="preserve">revenues, which can in turn be used to fund</w:t>
      </w:r>
      <w:r>
        <w:t xml:space="preserve"> </w:t>
      </w:r>
      <w:r>
        <w:t xml:space="preserve">Member States’ economic and social policies.</w:t>
      </w:r>
      <w:r>
        <w:br/>
      </w:r>
      <w:r>
        <w:t xml:space="preserve">Common rules at EU level would also be</w:t>
      </w:r>
      <w:r>
        <w:t xml:space="preserve"> </w:t>
      </w:r>
      <w:r>
        <w:t xml:space="preserve">beneficial for competitiveness of the Single</w:t>
      </w:r>
      <w:r>
        <w:t xml:space="preserve"> </w:t>
      </w:r>
      <w:r>
        <w:t xml:space="preserve">Market as the level playing field would be</w:t>
      </w:r>
      <w:r>
        <w:t xml:space="preserve"> </w:t>
      </w:r>
      <w:r>
        <w:t xml:space="preserve">guaranteed, thus not leaving certain business in a</w:t>
      </w:r>
      <w:r>
        <w:t xml:space="preserve"> </w:t>
      </w:r>
      <w:r>
        <w:t xml:space="preserve">less advantageous position;</w:t>
      </w:r>
    </w:p>
    <w:p>
      <w:pPr>
        <w:pStyle w:val="FirstParagraph"/>
      </w:pPr>
      <w:r>
        <w:t xml:space="preserve">SDG – 9 Industry,</w:t>
      </w:r>
      <w:r>
        <w:t xml:space="preserve"> </w:t>
      </w:r>
      <w:r>
        <w:t xml:space="preserve">innovation and infrastructure</w:t>
      </w:r>
      <w:r>
        <w:br/>
      </w:r>
      <w:r>
        <w:t xml:space="preserve">Having a streamlined process to report</w:t>
      </w:r>
      <w:r>
        <w:t xml:space="preserve"> </w:t>
      </w:r>
      <w:r>
        <w:t xml:space="preserve">electronically all the specified data will promote</w:t>
      </w:r>
      <w:r>
        <w:t xml:space="preserve"> </w:t>
      </w:r>
      <w:r>
        <w:t xml:space="preserve">digitalisation and the upgrading of technology.</w:t>
      </w:r>
    </w:p>
    <w:p>
      <w:pPr>
        <w:pStyle w:val="BodyText"/>
      </w:pPr>
      <w:r>
        <w:t xml:space="preserve">SDG 10 - “Reduced</w:t>
      </w:r>
      <w:r>
        <w:t xml:space="preserve"> </w:t>
      </w:r>
      <w:r>
        <w:t xml:space="preserve">inequalities”</w:t>
      </w:r>
      <w:r>
        <w:t xml:space="preserve"> </w:t>
      </w:r>
      <w:r>
        <w:t xml:space="preserve">The initiative aims at fighting tax evasion through</w:t>
      </w:r>
      <w:r>
        <w:t xml:space="preserve"> </w:t>
      </w:r>
      <w:r>
        <w:t xml:space="preserve">greater tax transparency. Ensuring that all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taxpayers pay the taxes dues contributes to greater</w:t>
      </w:r>
      <w:r>
        <w:t xml:space="preserve"> </w:t>
      </w:r>
      <w:r>
        <w:t xml:space="preserve">equality because Member States can avail</w:t>
      </w:r>
      <w:r>
        <w:t xml:space="preserve"> </w:t>
      </w:r>
      <w:r>
        <w:t xml:space="preserve">themselves of more revenues to fund their policies</w:t>
      </w:r>
      <w:r>
        <w:t xml:space="preserve"> </w:t>
      </w:r>
      <w:r>
        <w:t xml:space="preserve">and because it prevents that some taxpayers escape</w:t>
      </w:r>
      <w:r>
        <w:t xml:space="preserve"> </w:t>
      </w:r>
      <w:r>
        <w:t xml:space="preserve">their obligations leaving it to other taxpayers to</w:t>
      </w:r>
      <w:r>
        <w:t xml:space="preserve"> </w:t>
      </w:r>
      <w:r>
        <w:t xml:space="preserve">shoulder the burden.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In this section, we explain the underlying assumptions relevant for estimating both benefit and cost</w:t>
      </w:r>
      <w:r>
        <w:t xml:space="preserve"> </w:t>
      </w:r>
      <w:r>
        <w:t xml:space="preserve">estimates. It is worthwhile noting that the estimates presented below are significantly limited as</w:t>
      </w:r>
      <w:r>
        <w:t xml:space="preserve"> </w:t>
      </w:r>
      <w:r>
        <w:t xml:space="preserve">the data on crypto-assets is scarce.</w:t>
      </w:r>
      <w:r>
        <w:br/>
      </w:r>
      <w:r>
        <w:t xml:space="preserve">Benefits</w:t>
      </w:r>
      <w:r>
        <w:t xml:space="preserve"> </w:t>
      </w:r>
      <w:r>
        <w:t xml:space="preserve"> We first estimate the number of CASPs operating in the EU by assuming the following:</w:t>
      </w:r>
      <w:r>
        <w:t xml:space="preserve"> </w:t>
      </w:r>
      <w:r>
        <w:t xml:space="preserve">o Exchanges are defined as businesses that allow customers to trade cryptocurrency for</w:t>
      </w:r>
      <w:r>
        <w:t xml:space="preserve"> </w:t>
      </w:r>
      <w:r>
        <w:t xml:space="preserve">fiat money or other cryptocurrency.51 Our assumption is that this definition comes close</w:t>
      </w:r>
      <w:r>
        <w:t xml:space="preserve"> </w:t>
      </w:r>
      <w:r>
        <w:t xml:space="preserve">enough in describing CASPs and thus, we give equal footing to the two notions.</w:t>
      </w:r>
      <w:r>
        <w:t xml:space="preserve"> </w:t>
      </w:r>
      <w:r>
        <w:t xml:space="preserve">o In August 2021, there were 672 exchanges worldwide.52 Therefore, 672 CASPs.</w:t>
      </w:r>
      <w:r>
        <w:br/>
      </w:r>
      <w:r>
        <w:t xml:space="preserve">o 25% share of global cryptocurrency value is received by Central, Northern &amp; Western</w:t>
      </w:r>
      <w:r>
        <w:t xml:space="preserve"> </w:t>
      </w:r>
      <w:r>
        <w:t xml:space="preserve">Europe.53</w:t>
      </w:r>
      <w:r>
        <w:t xml:space="preserve"> </w:t>
      </w:r>
      <w:r>
        <w:t xml:space="preserve">o By applying the aforesaid share (i.e. 25%) to the overall number of CASPs, we</w:t>
      </w:r>
      <w:r>
        <w:t xml:space="preserve"> </w:t>
      </w:r>
      <w:r>
        <w:t xml:space="preserve">approximate that there are 168 CASPs with EU users. This assumption is simplistic</w:t>
      </w:r>
      <w:r>
        <w:t xml:space="preserve"> </w:t>
      </w:r>
      <w:r>
        <w:t xml:space="preserve">and significantly limited as users and intermediaries cannot be equaled, but it gives an</w:t>
      </w:r>
      <w:r>
        <w:t xml:space="preserve"> </w:t>
      </w:r>
      <w:r>
        <w:t xml:space="preserve">indication on how many CASPs operate in the EU (the real number might be higher).</w:t>
      </w:r>
      <w:r>
        <w:t xml:space="preserve"> </w:t>
      </w:r>
      <w:r>
        <w:t xml:space="preserve">Any conclusion stemming from it should therefore be interpreted with caution.</w:t>
      </w:r>
      <w:r>
        <w:t xml:space="preserve"> </w:t>
      </w:r>
      <w:r>
        <w:t xml:space="preserve"> In order to estimate the benefits of introducing a compulsory reporting and exchange of</w:t>
      </w:r>
      <w:r>
        <w:t xml:space="preserve"> </w:t>
      </w:r>
      <w:r>
        <w:t xml:space="preserve">information on crypto-assets, we rely on the findings from a study by Thiemann (2021) on</w:t>
      </w:r>
      <w:r>
        <w:t xml:space="preserve"> </w:t>
      </w:r>
      <w:r>
        <w:t xml:space="preserve">realised capital gains54,55 in the EU Member States. Realised capital gains accrue when the</w:t>
      </w:r>
      <w:r>
        <w:t xml:space="preserve"> </w:t>
      </w:r>
      <w:r>
        <w:t xml:space="preserve">selling price of an asset exceeds the price of their initial purchase and the asset is sold.56 The</w:t>
      </w:r>
      <w:r>
        <w:t xml:space="preserve"> </w:t>
      </w:r>
      <w:r>
        <w:t xml:space="preserve">study based its findings on Bitcoin data only that had been received from Chainalysis (a</w:t>
      </w:r>
      <w:r>
        <w:t xml:space="preserve"> </w:t>
      </w:r>
      <w:r>
        <w:t xml:space="preserve">blockchain data platform).</w:t>
      </w:r>
      <w:r>
        <w:t xml:space="preserve"> </w:t>
      </w:r>
      <w:r>
        <w:t xml:space="preserve"> In 2020, EU citizens accrued EUR 3.6 billion of total realised capital gains according to the</w:t>
      </w:r>
      <w:r>
        <w:t xml:space="preserve"> </w:t>
      </w:r>
      <w:r>
        <w:t xml:space="preserve">analysis by Thiemann (2021). This amount is unevenly distributed amongst the EU countries</w:t>
      </w:r>
      <w:r>
        <w:t xml:space="preserve"> </w:t>
      </w:r>
      <w:r>
        <w:t xml:space="preserve">and unevenly taxed (if at all). In the study, a uniform EU tax rate of 25% is therefore applied,</w:t>
      </w:r>
      <w:r>
        <w:t xml:space="preserve"> </w:t>
      </w:r>
      <w:r>
        <w:t xml:space="preserve">leading to an estimated EUR 0.9 billion of tax revenues from Bitcoin.</w:t>
      </w:r>
      <w:r>
        <w:t xml:space="preserve"> </w:t>
      </w:r>
      <w:r>
        <w:t xml:space="preserve"> In order to estimate tax revenues from all crypto-assets (all options) we assume the following:</w:t>
      </w:r>
      <w:r>
        <w:t xml:space="preserve"> </w:t>
      </w:r>
      <w:r>
        <w:t xml:space="preserve">o We approximate Bitcoin market share to 50% (47% dominance according to Coin</w:t>
      </w:r>
      <w:r>
        <w:t xml:space="preserve"> </w:t>
      </w:r>
      <w:r>
        <w:t xml:space="preserve">Market Cap as of 27/6/2021).</w:t>
      </w:r>
      <w:r>
        <w:br/>
      </w:r>
      <w:r>
        <w:t xml:space="preserve">o The other 50% is relative to the remaining cryptocurrencies on the market (almost 11</w:t>
      </w:r>
      <w:r>
        <w:t xml:space="preserve"> </w:t>
      </w:r>
      <w:r>
        <w:t xml:space="preserve">000 cryptocurrencies in total according to Coin Market Cap).</w:t>
      </w:r>
    </w:p>
    <w:p>
      <w:pPr>
        <w:pStyle w:val="BodyText"/>
      </w:pPr>
      <w:r>
        <w:t xml:space="preserve">51 Coin Market Cap (2021).</w:t>
      </w:r>
      <w:r>
        <w:t xml:space="preserve"> </w:t>
      </w:r>
      <w:r>
        <w:t xml:space="preserve">52 Chainalysis (2021). The 2021 Geography of Cryptocurrency Report. Analysis of Geographic Trends in Cryptocurrency Adoption and Usage.</w:t>
      </w:r>
      <w:r>
        <w:t xml:space="preserve"> </w:t>
      </w:r>
      <w:r>
        <w:t xml:space="preserve">53 Idem.</w:t>
      </w:r>
      <w:r>
        <w:t xml:space="preserve"> </w:t>
      </w:r>
      <w:r>
        <w:t xml:space="preserve">54 Thiemann (2021). Cryptocurrencies: An empirical view from a tax perspective, JRC Working Papers on Taxation and Structural Reforms, No</w:t>
      </w:r>
      <w:r>
        <w:t xml:space="preserve"> </w:t>
      </w:r>
      <w:r>
        <w:t xml:space="preserve">12, also footnote 16.</w:t>
      </w:r>
      <w:r>
        <w:t xml:space="preserve"> </w:t>
      </w:r>
      <w:r>
        <w:t xml:space="preserve">55 The analysis includes capital losses. The aggregate outcome is positive however (i.e. capital gains).</w:t>
      </w:r>
      <w:r>
        <w:t xml:space="preserve"> </w:t>
      </w:r>
      <w:r>
        <w:t xml:space="preserve">56 Hungerford (2010). The Redistributive Effect of Selected Federal Transfer and Tax Provisions.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o In order to estimate revenues from all crypto-assets, we double the tax revenues</w:t>
      </w:r>
      <w:r>
        <w:t xml:space="preserve"> </w:t>
      </w:r>
      <w:r>
        <w:t xml:space="preserve">previously projected by the above-mentioned study and estimate a new figure of EUR</w:t>
      </w:r>
      <w:r>
        <w:t xml:space="preserve"> </w:t>
      </w:r>
      <w:r>
        <w:t xml:space="preserve">1.8 billion (EUR 0.9 * 2). Please note that this is a simplifying assumption since</w:t>
      </w:r>
      <w:r>
        <w:t xml:space="preserve"> </w:t>
      </w:r>
      <w:r>
        <w:t xml:space="preserve">cryptocurrencies differ in value and consequently in possible realised capital gains. For</w:t>
      </w:r>
      <w:r>
        <w:t xml:space="preserve"> </w:t>
      </w:r>
      <w:r>
        <w:t xml:space="preserve">a more precise estimate one should dispose of reliable data on cryptocurrencies other</w:t>
      </w:r>
      <w:r>
        <w:t xml:space="preserve"> </w:t>
      </w:r>
      <w:r>
        <w:t xml:space="preserve">than Bitcoin, and employ sophisticated empirical methods. Since we do not have such</w:t>
      </w:r>
      <w:r>
        <w:t xml:space="preserve"> </w:t>
      </w:r>
      <w:r>
        <w:t xml:space="preserve">data, caution in interpreting the results is advised.</w:t>
      </w:r>
      <w:r>
        <w:t xml:space="preserve"> </w:t>
      </w:r>
      <w:r>
        <w:t xml:space="preserve">o From newly estimated tax revenues, we further exclude the transactions under the</w:t>
      </w:r>
      <w:r>
        <w:t xml:space="preserve"> </w:t>
      </w:r>
      <w:r>
        <w:t xml:space="preserve">following crypto-asset categories (i.e. discarded options): non-marketable crypto-</w:t>
      </w:r>
      <w:r>
        <w:t xml:space="preserve"> </w:t>
      </w:r>
      <w:r>
        <w:t xml:space="preserve">assets and utility tokens. Determining their respective shares in the total crypto-asset</w:t>
      </w:r>
      <w:r>
        <w:t xml:space="preserve"> </w:t>
      </w:r>
      <w:r>
        <w:t xml:space="preserve">market, however, is challenging due to lack of official statistics. Bitcoin remains the</w:t>
      </w:r>
      <w:r>
        <w:t xml:space="preserve"> </w:t>
      </w:r>
      <w:r>
        <w:t xml:space="preserve">dominant cryptocurrency representing almost half of the total market according to Coin</w:t>
      </w:r>
      <w:r>
        <w:t xml:space="preserve"> </w:t>
      </w:r>
      <w:r>
        <w:t xml:space="preserve">Market Cap. The market share of the remaining cryptocurrencies is relatively small. To</w:t>
      </w:r>
      <w:r>
        <w:t xml:space="preserve"> </w:t>
      </w:r>
      <w:r>
        <w:t xml:space="preserve">illustrate this better, already the sixth most dominant crypto-asset (XRP) comes with a</w:t>
      </w:r>
      <w:r>
        <w:t xml:space="preserve"> </w:t>
      </w:r>
      <w:r>
        <w:t xml:space="preserve">share of less than 3% in the total cryptocurrency spectrum. As we are unable to sum up</w:t>
      </w:r>
      <w:r>
        <w:t xml:space="preserve"> </w:t>
      </w:r>
      <w:r>
        <w:t xml:space="preserve">different cryptocurrencies per asset type and determine their corresponding shares in</w:t>
      </w:r>
      <w:r>
        <w:t xml:space="preserve"> </w:t>
      </w:r>
      <w:r>
        <w:t xml:space="preserve">the total market, we artificially assign a 3% share per reported asset category (i.e. </w:t>
      </w:r>
      <w:r>
        <w:t xml:space="preserve"> </w:t>
      </w:r>
      <w:r>
        <w:t xml:space="preserve">6% in total) to be excluded in these options. This assumption is imperfect and might</w:t>
      </w:r>
      <w:r>
        <w:t xml:space="preserve"> </w:t>
      </w:r>
      <w:r>
        <w:t xml:space="preserve">also be inflated. Any estimates deriving from it should be therefore be cautiously</w:t>
      </w:r>
      <w:r>
        <w:t xml:space="preserve"> </w:t>
      </w:r>
      <w:r>
        <w:t xml:space="preserve">interpreted.</w:t>
      </w:r>
      <w:r>
        <w:br/>
      </w:r>
      <w:r>
        <w:t xml:space="preserve">o By reducing the benefits by 3% per asset category, this gives roughly EUR 1.7 billion</w:t>
      </w:r>
      <w:r>
        <w:t xml:space="preserve"> </w:t>
      </w:r>
      <w:r>
        <w:t xml:space="preserve">(EUR 1.8 - EUR 1.8 * 0.06) in tax revenues.</w:t>
      </w:r>
      <w:r>
        <w:t xml:space="preserve"> </w:t>
      </w:r>
      <w:r>
        <w:t xml:space="preserve">o As gains from crypto-assets are subject to high volatility, this consequently affects</w:t>
      </w:r>
      <w:r>
        <w:t xml:space="preserve"> </w:t>
      </w:r>
      <w:r>
        <w:t xml:space="preserve">collected tax revenues from such gains. We have therefore performed a sensitivity</w:t>
      </w:r>
      <w:r>
        <w:t xml:space="preserve"> </w:t>
      </w:r>
      <w:r>
        <w:t xml:space="preserve">analysis on the applied 25% uniform tax rate (i.e. adding 15% and 35% tax rates to the</w:t>
      </w:r>
      <w:r>
        <w:t xml:space="preserve"> </w:t>
      </w:r>
      <w:r>
        <w:t xml:space="preserve">analysis). This increase/decrease of 10 percentage points was motivated by the current</w:t>
      </w:r>
      <w:r>
        <w:t xml:space="preserve"> </w:t>
      </w:r>
      <w:r>
        <w:t xml:space="preserve">use of tax rates on capital gains in the Member States (see the table below). As the</w:t>
      </w:r>
      <w:r>
        <w:t xml:space="preserve"> </w:t>
      </w:r>
      <w:r>
        <w:t xml:space="preserve">majority of countries legislates tax rates above 15%, this has been used as the lower</w:t>
      </w:r>
      <w:r>
        <w:t xml:space="preserve"> </w:t>
      </w:r>
      <w:r>
        <w:t xml:space="preserve">bound. A 35% tax rate has been used as the upper bound to maintain the same</w:t>
      </w:r>
      <w:r>
        <w:t xml:space="preserve"> </w:t>
      </w:r>
      <w:r>
        <w:t xml:space="preserve">sensitivity interval from the central rate and to signal that no capital gains are being</w:t>
      </w:r>
      <w:r>
        <w:t xml:space="preserve"> </w:t>
      </w:r>
      <w:r>
        <w:t xml:space="preserve">taxed above this rate.</w:t>
      </w:r>
      <w:r>
        <w:t xml:space="preserve"> </w:t>
      </w:r>
      <w:r>
        <w:t xml:space="preserve">Table 7 EU country distribution based on legislated tax rates on capital gains</w:t>
      </w:r>
      <w:r>
        <w:t xml:space="preserve"> </w:t>
      </w:r>
      <w:r>
        <w:t xml:space="preserve">Tax rates on</w:t>
      </w:r>
      <w:r>
        <w:t xml:space="preserve"> </w:t>
      </w:r>
      <w:r>
        <w:t xml:space="preserve">capital gains</w:t>
      </w:r>
      <w:r>
        <w:t xml:space="preserve"> </w:t>
      </w:r>
      <w:r>
        <w:t xml:space="preserve">0-5%</w:t>
      </w:r>
      <w:r>
        <w:t xml:space="preserve"> </w:t>
      </w:r>
      <w:r>
        <w:t xml:space="preserve">6-10%</w:t>
      </w:r>
      <w:r>
        <w:t xml:space="preserve"> </w:t>
      </w:r>
      <w:r>
        <w:t xml:space="preserve">11-15%</w:t>
      </w:r>
      <w:r>
        <w:t xml:space="preserve"> </w:t>
      </w:r>
      <w:r>
        <w:t xml:space="preserve">16-20%</w:t>
      </w:r>
      <w:r>
        <w:t xml:space="preserve"> </w:t>
      </w:r>
      <w:r>
        <w:t xml:space="preserve">21-25%</w:t>
      </w:r>
      <w:r>
        <w:t xml:space="preserve"> </w:t>
      </w:r>
      <w:r>
        <w:t xml:space="preserve">26-30%</w:t>
      </w:r>
      <w:r>
        <w:t xml:space="preserve"> </w:t>
      </w:r>
      <w:r>
        <w:t xml:space="preserve">31-35%</w:t>
      </w:r>
      <w:r>
        <w:t xml:space="preserve"> </w:t>
      </w:r>
      <w:r>
        <w:t xml:space="preserve">Number of</w:t>
      </w:r>
      <w:r>
        <w:t xml:space="preserve"> </w:t>
      </w:r>
      <w:r>
        <w:t xml:space="preserve">countries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Notes: In cases where countries do not legislate tax rates on capital gains specifically, corporate income</w:t>
      </w:r>
      <w:r>
        <w:t xml:space="preserve"> </w:t>
      </w:r>
      <w:r>
        <w:t xml:space="preserve">tax rate is used instead. Source: Own work based on information from Taxes in Europe Data Base</w:t>
      </w:r>
      <w:r>
        <w:t xml:space="preserve"> </w:t>
      </w:r>
      <w:r>
        <w:t xml:space="preserve">(TEDB).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o By applying a 15% tax rate and also accounting for the crypto assets on top of Bitcoin</w:t>
      </w:r>
      <w:r>
        <w:t xml:space="preserve"> </w:t>
      </w:r>
      <w:r>
        <w:t xml:space="preserve">(i.e. the other 50% of the market as done above), this gives EUR 1.08 billion (3.6 *</w:t>
      </w:r>
      <w:r>
        <w:t xml:space="preserve"> </w:t>
      </w:r>
      <w:r>
        <w:t xml:space="preserve">0.15 * 2). We further exclude the two non-considered crypto-asset types, which brings</w:t>
      </w:r>
      <w:r>
        <w:t xml:space="preserve"> </w:t>
      </w:r>
      <w:r>
        <w:t xml:space="preserve">the total amount down to EUR 1.02 billion (1.08 – 1.08 * 0.06).</w:t>
      </w:r>
      <w:r>
        <w:br/>
      </w:r>
      <w:r>
        <w:t xml:space="preserve">o By applying a 35% tax rate and also accounting for the crypto assets on top of Bitcoin</w:t>
      </w:r>
      <w:r>
        <w:t xml:space="preserve"> </w:t>
      </w:r>
      <w:r>
        <w:t xml:space="preserve">(i.e. the other 50% of the market as done above), this gives EUR 2.52 billion (3.6 *</w:t>
      </w:r>
      <w:r>
        <w:t xml:space="preserve"> </w:t>
      </w:r>
      <w:r>
        <w:t xml:space="preserve">0.35 * 2). We further exclude the two non-considered crypto-asset types, which brings</w:t>
      </w:r>
      <w:r>
        <w:t xml:space="preserve"> </w:t>
      </w:r>
      <w:r>
        <w:t xml:space="preserve">the total amount down to EUR 2.37 billion (2.52 – 2.52 * 0.06).</w:t>
      </w:r>
      <w:r>
        <w:br/>
      </w:r>
      <w:r>
        <w:t xml:space="preserve">o We estimate an absolute difference of EUR 1.35 billion between the lower and the</w:t>
      </w:r>
      <w:r>
        <w:t xml:space="preserve"> </w:t>
      </w:r>
      <w:r>
        <w:t xml:space="preserve">higher bound. Please note, however, that the oscillations in cryptocurrency value may</w:t>
      </w:r>
      <w:r>
        <w:t xml:space="preserve"> </w:t>
      </w:r>
      <w:r>
        <w:t xml:space="preserve">be higher than the ones employed in this sensitivity analysis.</w:t>
      </w:r>
      <w:r>
        <w:br/>
      </w:r>
      <w:r>
        <w:t xml:space="preserve">Costs</w:t>
      </w:r>
      <w:r>
        <w:t xml:space="preserve"> </w:t>
      </w:r>
      <w:r>
        <w:t xml:space="preserve">The methodology employed for the estimation of the costs follows the Standard Cost Model, where</w:t>
      </w:r>
      <w:r>
        <w:t xml:space="preserve"> </w:t>
      </w:r>
      <w:r>
        <w:t xml:space="preserve">each option can be projected and monetised by multiplying the total quantity (estimate) of</w:t>
      </w:r>
      <w:r>
        <w:t xml:space="preserve"> </w:t>
      </w:r>
      <w:r>
        <w:t xml:space="preserve">reportable users (Qs) under each option by a cost (P).</w:t>
      </w:r>
      <w:r>
        <w:t xml:space="preserve"> </w:t>
      </w:r>
      <w:r>
        <w:t xml:space="preserve">𝐶𝑜𝑠𝑡𝑠= 𝑄𝑠∗𝑃</w:t>
      </w:r>
      <w:r>
        <w:br/>
      </w:r>
      <w:r>
        <w:t xml:space="preserve">The average costs per service provider, as shown in the equation below, are obtained by dividing</w:t>
      </w:r>
      <w:r>
        <w:t xml:space="preserve"> </w:t>
      </w:r>
      <w:r>
        <w:t xml:space="preserve">the total estimated costs (one-off or recurrent) by the number of service providers that would have</w:t>
      </w:r>
      <w:r>
        <w:t xml:space="preserve"> </w:t>
      </w:r>
      <w:r>
        <w:t xml:space="preserve">to comply. The average costs per tax administrations are obtained by dividing the total costs (one-</w:t>
      </w:r>
      <w:r>
        <w:t xml:space="preserve"> </w:t>
      </w:r>
      <w:r>
        <w:t xml:space="preserve">off or recurrent) for tax administrations by twenty-seven. These are simplifying assumptions and</w:t>
      </w:r>
      <w:r>
        <w:t xml:space="preserve"> </w:t>
      </w:r>
      <w:r>
        <w:t xml:space="preserve">the costs will vary given the size of the service provider and of the tax administration. We lack</w:t>
      </w:r>
      <w:r>
        <w:t xml:space="preserve"> </w:t>
      </w:r>
      <w:r>
        <w:t xml:space="preserve">available data for a more granular estimation.</w:t>
      </w:r>
      <w:r>
        <w:br/>
      </w:r>
      <w:r>
        <w:t xml:space="preserve">𝐶𝑜𝑠𝑡𝑠</w:t>
      </w:r>
      <w:r>
        <w:t xml:space="preserve"> </w:t>
      </w:r>
      <w:r>
        <w:t xml:space="preserve">𝐶𝐴𝑆𝑃𝑠 𝑜𝑟 𝑇𝑎𝑥 𝐴𝑢𝑡ℎ𝑜𝑟𝑖𝑡𝑖𝑒𝑠</w:t>
      </w:r>
      <w:r>
        <w:t xml:space="preserve"> </w:t>
      </w:r>
      <w:r>
        <w:t xml:space="preserve">Table 1 below summarises all the cost estimates for all parties concerns (CASPs, tax</w:t>
      </w:r>
      <w:r>
        <w:t xml:space="preserve"> </w:t>
      </w:r>
      <w:r>
        <w:t xml:space="preserve">administrations and the European Commission). The total costs that would be incurred due to these</w:t>
      </w:r>
      <w:r>
        <w:t xml:space="preserve"> </w:t>
      </w:r>
      <w:r>
        <w:t xml:space="preserve">legislative interventions are grouped according to the available options under the intervention.</w:t>
      </w:r>
      <w:r>
        <w:t xml:space="preserve"> </w:t>
      </w:r>
      <w:r>
        <w:t xml:space="preserve">Table 8 Estimated costs and comparison (DAC2 vs DAC8)</w:t>
      </w:r>
      <w:r>
        <w:t xml:space="preserve"> </w:t>
      </w:r>
      <w:r>
        <w:t xml:space="preserve">DAC2 estimate (DAC evaluation)</w:t>
      </w:r>
      <w:r>
        <w:t xml:space="preserve"> </w:t>
      </w:r>
      <w:r>
        <w:t xml:space="preserve">Affected Party / Costs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Traditional financial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EUR 491 million</w:t>
      </w:r>
      <w:r>
        <w:t xml:space="preserve"> </w:t>
      </w:r>
      <w:r>
        <w:t xml:space="preserve">EUR 42 million</w:t>
      </w:r>
      <w:r>
        <w:t xml:space="preserve"> </w:t>
      </w:r>
      <w:r>
        <w:t xml:space="preserve">TA</w:t>
      </w:r>
      <w:r>
        <w:t xml:space="preserve"> </w:t>
      </w:r>
      <w:r>
        <w:t xml:space="preserve">EUR 49.1 million</w:t>
      </w:r>
      <w:r>
        <w:t xml:space="preserve"> </w:t>
      </w:r>
      <w:r>
        <w:t xml:space="preserve">EUR 4.2 million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DAC8 own estimates</w:t>
      </w:r>
      <w:r>
        <w:t xml:space="preserve"> </w:t>
      </w:r>
      <w:r>
        <w:t xml:space="preserve">Affected Party / Costs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CASPs (all crypto-assets,</w:t>
      </w:r>
      <w:r>
        <w:t xml:space="preserve"> </w:t>
      </w:r>
      <w:r>
        <w:t xml:space="preserve">except non-marketable</w:t>
      </w:r>
      <w:r>
        <w:t xml:space="preserve"> </w:t>
      </w:r>
      <w:r>
        <w:t xml:space="preserve">crypto-assets and utility</w:t>
      </w:r>
      <w:r>
        <w:t xml:space="preserve"> </w:t>
      </w:r>
      <w:r>
        <w:t xml:space="preserve">tokens)</w:t>
      </w:r>
      <w:r>
        <w:t xml:space="preserve"> </w:t>
      </w:r>
      <w:r>
        <w:t xml:space="preserve">EUR 233.1 – 284 million</w:t>
      </w:r>
      <w:r>
        <w:t xml:space="preserve"> </w:t>
      </w:r>
      <w:r>
        <w:t xml:space="preserve">(EUR 1.4 – 1.7</w:t>
      </w:r>
      <w:r>
        <w:t xml:space="preserve"> </w:t>
      </w:r>
      <w:r>
        <w:t xml:space="preserve">million/CASP)</w:t>
      </w:r>
      <w:r>
        <w:t xml:space="preserve"> </w:t>
      </w:r>
      <w:r>
        <w:t xml:space="preserve">EUR 20.3 – 24.9 million</w:t>
      </w:r>
      <w:r>
        <w:t xml:space="preserve"> </w:t>
      </w:r>
      <w:r>
        <w:t xml:space="preserve">(EUR 0.12 – 0.14</w:t>
      </w:r>
      <w:r>
        <w:t xml:space="preserve"> </w:t>
      </w:r>
      <w:r>
        <w:t xml:space="preserve">million/CASP)</w:t>
      </w:r>
      <w:r>
        <w:t xml:space="preserve"> </w:t>
      </w:r>
      <w:r>
        <w:t xml:space="preserve">TA (decentralised IT</w:t>
      </w:r>
      <w:r>
        <w:t xml:space="preserve"> </w:t>
      </w:r>
      <w:r>
        <w:t xml:space="preserve">solution)</w:t>
      </w:r>
      <w:r>
        <w:t xml:space="preserve"> </w:t>
      </w:r>
      <w:r>
        <w:t xml:space="preserve">EUR 64.8 million (EUR 2.4</w:t>
      </w:r>
      <w:r>
        <w:t xml:space="preserve"> </w:t>
      </w:r>
      <w:r>
        <w:t xml:space="preserve">million/TA)</w:t>
      </w:r>
      <w:r>
        <w:t xml:space="preserve"> </w:t>
      </w:r>
      <w:r>
        <w:t xml:space="preserve">EUR 6 million (EUR 0.22</w:t>
      </w:r>
      <w:r>
        <w:t xml:space="preserve"> </w:t>
      </w:r>
      <w:r>
        <w:t xml:space="preserve">million/TA)</w:t>
      </w:r>
      <w:r>
        <w:t xml:space="preserve"> </w:t>
      </w:r>
      <w:r>
        <w:t xml:space="preserve">TA (Central Directory)</w:t>
      </w:r>
      <w:r>
        <w:t xml:space="preserve"> </w:t>
      </w:r>
      <w:r>
        <w:t xml:space="preserve">EUR 1 – 12.96 million (EUR</w:t>
      </w:r>
      <w:r>
        <w:t xml:space="preserve"> </w:t>
      </w:r>
      <w:r>
        <w:t xml:space="preserve">0.03 – 0.48 million/TA)</w:t>
      </w:r>
      <w:r>
        <w:t xml:space="preserve"> </w:t>
      </w:r>
      <w:r>
        <w:t xml:space="preserve">EUR 1 – 5.67 million (EUR</w:t>
      </w:r>
      <w:r>
        <w:t xml:space="preserve"> </w:t>
      </w:r>
      <w:r>
        <w:t xml:space="preserve">0.03 – 0.21 million/TA)</w:t>
      </w:r>
      <w:r>
        <w:t xml:space="preserve"> </w:t>
      </w:r>
      <w:r>
        <w:t xml:space="preserve">TA (Single Access Point)</w:t>
      </w:r>
      <w:r>
        <w:t xml:space="preserve"> </w:t>
      </w:r>
      <w:r>
        <w:t xml:space="preserve">EUR 0.5 million (EUR 0.02</w:t>
      </w:r>
      <w:r>
        <w:t xml:space="preserve"> </w:t>
      </w:r>
      <w:r>
        <w:t xml:space="preserve">million/TA)</w:t>
      </w:r>
      <w:r>
        <w:t xml:space="preserve"> </w:t>
      </w:r>
      <w:r>
        <w:t xml:space="preserve">EUR 0.1 million (EUR 3</w:t>
      </w:r>
      <w:r>
        <w:t xml:space="preserve"> </w:t>
      </w:r>
      <w:r>
        <w:t xml:space="preserve">703 per TA)</w:t>
      </w:r>
      <w:r>
        <w:t xml:space="preserve"> </w:t>
      </w:r>
      <w:r>
        <w:t xml:space="preserve">EC (decentralised IT</w:t>
      </w:r>
      <w:r>
        <w:t xml:space="preserve"> </w:t>
      </w:r>
      <w:r>
        <w:t xml:space="preserve">solution)</w:t>
      </w:r>
      <w:r>
        <w:t xml:space="preserve"> </w:t>
      </w:r>
      <w:r>
        <w:t xml:space="preserve">EUR 0.8 million</w:t>
      </w:r>
      <w:r>
        <w:t xml:space="preserve"> </w:t>
      </w:r>
      <w:r>
        <w:t xml:space="preserve">EUR 0.1 million</w:t>
      </w:r>
      <w:r>
        <w:t xml:space="preserve"> </w:t>
      </w:r>
      <w:r>
        <w:t xml:space="preserve">EC (Central Directory)</w:t>
      </w:r>
      <w:r>
        <w:t xml:space="preserve"> </w:t>
      </w:r>
      <w:r>
        <w:t xml:space="preserve">EUR 0.48 million</w:t>
      </w:r>
      <w:r>
        <w:t xml:space="preserve"> </w:t>
      </w:r>
      <w:r>
        <w:t xml:space="preserve">EUR 0.21 million</w:t>
      </w:r>
      <w:r>
        <w:t xml:space="preserve"> </w:t>
      </w:r>
      <w:r>
        <w:t xml:space="preserve">EC (Single Access Point)</w:t>
      </w:r>
      <w:r>
        <w:t xml:space="preserve"> </w:t>
      </w:r>
      <w:r>
        <w:t xml:space="preserve">EUR 1.35 million</w:t>
      </w:r>
      <w:r>
        <w:t xml:space="preserve"> </w:t>
      </w:r>
      <w:r>
        <w:t xml:space="preserve">EUR 0.21 million</w:t>
      </w:r>
      <w:r>
        <w:t xml:space="preserve"> </w:t>
      </w:r>
      <w:r>
        <w:t xml:space="preserve">Notes: (1) The figures in the table are rounded. (2) TA = tax administration in EU. EC = European</w:t>
      </w:r>
      <w:r>
        <w:t xml:space="preserve"> </w:t>
      </w:r>
      <w:r>
        <w:t xml:space="preserve">Commission. (3) For costing details relative to TA and EC see Annex 5. CASPs costs are assumed</w:t>
      </w:r>
      <w:r>
        <w:t xml:space="preserve"> </w:t>
      </w:r>
      <w:r>
        <w:t xml:space="preserve">not to be affected by the IT solution used for reporting/information exchange.</w:t>
      </w:r>
      <w:r>
        <w:t xml:space="preserve"> </w:t>
      </w:r>
      <w:r>
        <w:t xml:space="preserve">In order to estimate the costs for CASPs, both recurrent and one-off, a number of assumptions</w:t>
      </w:r>
      <w:r>
        <w:t xml:space="preserve"> </w:t>
      </w:r>
      <w:r>
        <w:t xml:space="preserve">needed to be employed.</w:t>
      </w:r>
      <w:r>
        <w:br/>
      </w:r>
      <w:r>
        <w:t xml:space="preserve">a) Assumptions used to estimate the number of crypto-asset users:</w:t>
      </w:r>
      <w:r>
        <w:t xml:space="preserve"> </w:t>
      </w:r>
      <w:r>
        <w:t xml:space="preserve"> According to Binance (2021), there were more than 100 million users of crypto-assets</w:t>
      </w:r>
      <w:r>
        <w:t xml:space="preserve"> </w:t>
      </w:r>
      <w:r>
        <w:t xml:space="preserve">worldwide in 2020.</w:t>
      </w:r>
      <w:r>
        <w:br/>
      </w:r>
      <w:r>
        <w:t xml:space="preserve"> Bitcoin remains the dominant cryptocurrency with a 47% total market share (Coin</w:t>
      </w:r>
      <w:r>
        <w:t xml:space="preserve"> </w:t>
      </w:r>
      <w:r>
        <w:t xml:space="preserve">Market Cap as at 27/6/2021). In the absence of the official statistics, we use this</w:t>
      </w:r>
      <w:r>
        <w:t xml:space="preserve"> </w:t>
      </w:r>
      <w:r>
        <w:t xml:space="preserve">dominance indicator and estimate 47 million Bitcoin users worldwide.</w:t>
      </w:r>
      <w:r>
        <w:t xml:space="preserve"> </w:t>
      </w:r>
      <w:r>
        <w:t xml:space="preserve"> In order to estimate the number of users in the EU or, more precisely, in the internal</w:t>
      </w:r>
      <w:r>
        <w:t xml:space="preserve"> </w:t>
      </w:r>
      <w:r>
        <w:t xml:space="preserve">market, we rely on the data from Chainalysis. As they focus on Bitcoin information,</w:t>
      </w:r>
      <w:r>
        <w:t xml:space="preserve"> </w:t>
      </w:r>
      <w:r>
        <w:t xml:space="preserve">they find that just over 25% of all Bitcoins are held at service-based addresses in</w:t>
      </w:r>
      <w:r>
        <w:t xml:space="preserve"> </w:t>
      </w:r>
      <w:r>
        <w:t xml:space="preserve">Northern and Western Europe. As we lack a more granular, per country, information,</w:t>
      </w:r>
      <w:r>
        <w:t xml:space="preserve"> </w:t>
      </w:r>
      <w:r>
        <w:t xml:space="preserve">we assume that there are roughly 12 million Bitcoin users in EU by applying the same</w:t>
      </w:r>
      <w:r>
        <w:t xml:space="preserve"> </w:t>
      </w:r>
      <w:r>
        <w:t xml:space="preserve">25% rate to the number of worldwide Bitcoin users.</w:t>
      </w:r>
      <w:r>
        <w:t xml:space="preserve"> </w:t>
      </w:r>
      <w:r>
        <w:t xml:space="preserve"> We also use a simplifying assumption ‘one user, one account’ in the absence of more</w:t>
      </w:r>
      <w:r>
        <w:t xml:space="preserve"> </w:t>
      </w:r>
      <w:r>
        <w:t xml:space="preserve">precise data, which lets us estimate 12 million accounts in the EU. This assumption is</w:t>
      </w:r>
      <w:r>
        <w:t xml:space="preserve"> </w:t>
      </w:r>
      <w:r>
        <w:t xml:space="preserve">imperfect as a single user can own more accounts simultaneously and/or operate with</w:t>
      </w:r>
      <w:r>
        <w:t xml:space="preserve"> </w:t>
      </w:r>
      <w:r>
        <w:t xml:space="preserve">cryptocurrencies other than Bitcoin. Any further estimates employing this assumption</w:t>
      </w:r>
      <w:r>
        <w:t xml:space="preserve"> </w:t>
      </w:r>
      <w:r>
        <w:t xml:space="preserve">should be interpreted with caution.</w:t>
      </w:r>
      <w:r>
        <w:t xml:space="preserve"> </w:t>
      </w:r>
      <w:r>
        <w:t xml:space="preserve">b) Assumptions used to estimate total costs</w:t>
      </w:r>
      <w:r>
        <w:t xml:space="preserve"> </w:t>
      </w:r>
      <w:r>
        <w:t xml:space="preserve"> In order to estimate the total costs for CASPs, we rely on projected DAC2 costs</w:t>
      </w:r>
      <w:r>
        <w:t xml:space="preserve"> </w:t>
      </w:r>
      <w:r>
        <w:t xml:space="preserve">incurred by the traditional financial institutions when implementing the directive. The</w:t>
      </w:r>
      <w:r>
        <w:t xml:space="preserve"> </w:t>
      </w:r>
      <w:r>
        <w:t xml:space="preserve">data employed derive from the Commission’s DAC evaluation report from 2019.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 The DAC2 average cost per account is estimated at EUR 6.4 for automatic exchanges</w:t>
      </w:r>
      <w:r>
        <w:t xml:space="preserve"> </w:t>
      </w:r>
      <w:r>
        <w:t xml:space="preserve">between tax administrations, but the traditional financial institutions incurred 10 times</w:t>
      </w:r>
      <w:r>
        <w:t xml:space="preserve"> </w:t>
      </w:r>
      <w:r>
        <w:t xml:space="preserve">higher costs than the authorities (i.e. EUR 64). A share of 92% and 8% of total costs</w:t>
      </w:r>
      <w:r>
        <w:t xml:space="preserve"> </w:t>
      </w:r>
      <w:r>
        <w:t xml:space="preserve">were relative to one-off and recurrent costs respectively (Commission’s DAC</w:t>
      </w:r>
      <w:r>
        <w:t xml:space="preserve"> </w:t>
      </w:r>
      <w:r>
        <w:t xml:space="preserve">Evaluation 2019).</w:t>
      </w:r>
      <w:r>
        <w:br/>
      </w:r>
      <w:r>
        <w:t xml:space="preserve"> In the DAC7 impact assessment, by taking DAC2 as a comparable set of obligations</w:t>
      </w:r>
      <w:r>
        <w:t xml:space="preserve"> </w:t>
      </w:r>
      <w:r>
        <w:t xml:space="preserve">imposed on the reporting subject, it has been assumed that the total costs for the</w:t>
      </w:r>
      <w:r>
        <w:t xml:space="preserve"> </w:t>
      </w:r>
      <w:r>
        <w:t xml:space="preserve">traditional financial institutions were higher than for digital platform operators (in</w:t>
      </w:r>
      <w:r>
        <w:t xml:space="preserve"> </w:t>
      </w:r>
      <w:r>
        <w:t xml:space="preserve">scope of DAC7), given that the costs incurred by financial institutions encompassed</w:t>
      </w:r>
      <w:r>
        <w:t xml:space="preserve"> </w:t>
      </w:r>
      <w:r>
        <w:t xml:space="preserve">the costs stemming from the reporting requirements under FATCA and CRS under</w:t>
      </w:r>
      <w:r>
        <w:t xml:space="preserve"> </w:t>
      </w:r>
      <w:r>
        <w:t xml:space="preserve">which the due diligence procedure is more stringent. Furthermore, given the digital</w:t>
      </w:r>
      <w:r>
        <w:t xml:space="preserve"> </w:t>
      </w:r>
      <w:r>
        <w:t xml:space="preserve">model of platform operators and the development of the IT infrastructure, it was</w:t>
      </w:r>
      <w:r>
        <w:t xml:space="preserve"> </w:t>
      </w:r>
      <w:r>
        <w:t xml:space="preserve">assumed that access to the data was less costly. These assumptions significantly</w:t>
      </w:r>
      <w:r>
        <w:t xml:space="preserve"> </w:t>
      </w:r>
      <w:r>
        <w:t xml:space="preserve">lowered total reporting costs per account. We consider that these assumptions remain</w:t>
      </w:r>
      <w:r>
        <w:t xml:space="preserve"> </w:t>
      </w:r>
      <w:r>
        <w:t xml:space="preserve">valid for CASPs as well. Hence, we assume that the total costs for CASPs will be EUR</w:t>
      </w:r>
      <w:r>
        <w:t xml:space="preserve"> </w:t>
      </w:r>
      <w:r>
        <w:t xml:space="preserve">25 per account reported, of which EUR 23 for one-off and EUR 2 for recurrent costs</w:t>
      </w:r>
      <w:r>
        <w:t xml:space="preserve"> </w:t>
      </w:r>
      <w:r>
        <w:t xml:space="preserve">(when applying the before said rates as per the Commission’s DAC Evaluation report).</w:t>
      </w:r>
      <w:r>
        <w:t xml:space="preserve"> </w:t>
      </w:r>
      <w:r>
        <w:t xml:space="preserve"> When multiplying the retrieved costs per account by the number of accounts, this gives</w:t>
      </w:r>
      <w:r>
        <w:t xml:space="preserve"> </w:t>
      </w:r>
      <w:r>
        <w:t xml:space="preserve">total recurrent costs of EUR 24 million (12 million accounts * EUR 2) and total one-</w:t>
      </w:r>
      <w:r>
        <w:t xml:space="preserve"> </w:t>
      </w:r>
      <w:r>
        <w:t xml:space="preserve">off costs of EUR 276 million (12 million accounts * EUR 23).</w:t>
      </w:r>
      <w:r>
        <w:t xml:space="preserve"> </w:t>
      </w:r>
      <w:r>
        <w:t xml:space="preserve"> Similar to what we did for estimating the benefits, the costs are adjusted by 6%</w:t>
      </w:r>
      <w:r>
        <w:t xml:space="preserve"> </w:t>
      </w:r>
      <w:r>
        <w:t xml:space="preserve">(assumed to be the market share of non-marketable crypto-assets and utility tokens) in</w:t>
      </w:r>
      <w:r>
        <w:t xml:space="preserve"> </w:t>
      </w:r>
      <w:r>
        <w:t xml:space="preserve">the options where the crypto-assets in scope exclude non-marketable crypto-assets and</w:t>
      </w:r>
      <w:r>
        <w:t xml:space="preserve"> </w:t>
      </w:r>
      <w:r>
        <w:t xml:space="preserve">utility tokens.</w:t>
      </w:r>
      <w:r>
        <w:br/>
      </w:r>
      <w:r>
        <w:t xml:space="preserve"> By reducing the costs by 3% per assets category, this gives EUR 22.6 million in</w:t>
      </w:r>
      <w:r>
        <w:t xml:space="preserve"> </w:t>
      </w:r>
      <w:r>
        <w:t xml:space="preserve">recurrent (24 - 24 * 0.06) and EUR 259 million in one-off costs (276 - 276 * 0.06).</w:t>
      </w:r>
      <w:r>
        <w:t xml:space="preserve"> </w:t>
      </w:r>
      <w:r>
        <w:t xml:space="preserve"> Furthermore, we also performed a sensitivity analysis (+/- 10% applied to the above</w:t>
      </w:r>
      <w:r>
        <w:t xml:space="preserve"> </w:t>
      </w:r>
      <w:r>
        <w:t xml:space="preserve">estimated costs. This was done so as to account for (i) price volatility of crypto-assets</w:t>
      </w:r>
      <w:r>
        <w:t xml:space="preserve"> </w:t>
      </w:r>
      <w:r>
        <w:t xml:space="preserve">which can result in having more or less crypto-asset users (depending on the direction</w:t>
      </w:r>
      <w:r>
        <w:t xml:space="preserve"> </w:t>
      </w:r>
      <w:r>
        <w:t xml:space="preserve">of the prices) and (ii) potential need for the second round of reporting requests by tax</w:t>
      </w:r>
      <w:r>
        <w:t xml:space="preserve"> </w:t>
      </w:r>
      <w:r>
        <w:t xml:space="preserve">administrations. This gives one-off cost ranging from EUR 233.1 to 284 million, and</w:t>
      </w:r>
      <w:r>
        <w:t xml:space="preserve"> </w:t>
      </w:r>
      <w:r>
        <w:t xml:space="preserve">recurrent costs from EUR 20.3 to 24.9 million.</w:t>
      </w:r>
      <w:r>
        <w:t xml:space="preserve"> </w:t>
      </w:r>
      <w:r>
        <w:t xml:space="preserve">c) Assumptions used to estimate the number of CASPs</w:t>
      </w:r>
      <w:r>
        <w:t xml:space="preserve"> </w:t>
      </w:r>
      <w:r>
        <w:t xml:space="preserve"> We estimate that there are 168 CASPs operating in the EU (see the assumptions made</w:t>
      </w:r>
      <w:r>
        <w:t xml:space="preserve"> </w:t>
      </w:r>
      <w:r>
        <w:t xml:space="preserve">above under the benefits section).</w:t>
      </w:r>
      <w:r>
        <w:t xml:space="preserve"> </w:t>
      </w:r>
      <w:r>
        <w:t xml:space="preserve"> In order to estimate recurrent and one-of costs per CASP, we divide the estimated cost</w:t>
      </w:r>
      <w:r>
        <w:t xml:space="preserve"> </w:t>
      </w:r>
      <w:r>
        <w:t xml:space="preserve">figures (see section b) above) by 168 for each of the scopes. The retrieved amounts are</w:t>
      </w:r>
      <w:r>
        <w:t xml:space="preserve"> </w:t>
      </w:r>
      <w:r>
        <w:t xml:space="preserve">presented in the table above.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In order to estimate the costs for tax administrations, both recurrent and one-off, a number of</w:t>
      </w:r>
      <w:r>
        <w:t xml:space="preserve"> </w:t>
      </w:r>
      <w:r>
        <w:t xml:space="preserve">assumptions needed to be employed:</w:t>
      </w:r>
      <w:r>
        <w:t xml:space="preserve"> </w:t>
      </w:r>
      <w:r>
        <w:t xml:space="preserve"> The estimated costs for the exchange of information relative to crypto-assets depend</w:t>
      </w:r>
      <w:r>
        <w:t xml:space="preserve"> </w:t>
      </w:r>
      <w:r>
        <w:t xml:space="preserve">on the IT solution provided. We differentiate between three IT options, the</w:t>
      </w:r>
      <w:r>
        <w:t xml:space="preserve"> </w:t>
      </w:r>
      <w:r>
        <w:t xml:space="preserve">specifications of which are detailed in Annex 5.</w:t>
      </w:r>
      <w:r>
        <w:br/>
      </w:r>
      <w:r>
        <w:t xml:space="preserve"> For the decentralized IT solution in particular, we rely on reported DAC2 costs,</w:t>
      </w:r>
      <w:r>
        <w:t xml:space="preserve"> </w:t>
      </w:r>
      <w:r>
        <w:t xml:space="preserve">divided by the number of accounts, which amounts to EUR 5.4 for one-off and EUR</w:t>
      </w:r>
      <w:r>
        <w:t xml:space="preserve"> </w:t>
      </w:r>
      <w:r>
        <w:t xml:space="preserve">0.5 for recurrent costs (i.e. 92% and 8% respectively of total costs as per Commission’s</w:t>
      </w:r>
      <w:r>
        <w:t xml:space="preserve"> </w:t>
      </w:r>
      <w:r>
        <w:t xml:space="preserve">DAC Evaluation report). We assume that tax administrations will incur exactly the</w:t>
      </w:r>
      <w:r>
        <w:t xml:space="preserve"> </w:t>
      </w:r>
      <w:r>
        <w:t xml:space="preserve">same costs when exchanging information under DAC8 provisions. This gives EUR 6</w:t>
      </w:r>
      <w:r>
        <w:t xml:space="preserve"> </w:t>
      </w:r>
      <w:r>
        <w:t xml:space="preserve">million (12 million CASP accounts * EUR 0.5) in recurrent and EUR 64.8 million (12</w:t>
      </w:r>
      <w:r>
        <w:t xml:space="preserve"> </w:t>
      </w:r>
      <w:r>
        <w:t xml:space="preserve">million CASP accounts * EUR 5.4 in one-off costs).</w:t>
      </w:r>
      <w:r>
        <w:t xml:space="preserve"> </w:t>
      </w:r>
      <w:r>
        <w:t xml:space="preserve"> The total one-off costs for tax administrations when dealing with CASPs are estimated</w:t>
      </w:r>
      <w:r>
        <w:t xml:space="preserve"> </w:t>
      </w:r>
      <w:r>
        <w:t xml:space="preserve">to range from EUR 0.5 million to EUR 64.8 million, while the total recurrent costs are</w:t>
      </w:r>
      <w:r>
        <w:t xml:space="preserve"> </w:t>
      </w:r>
      <w:r>
        <w:t xml:space="preserve">estimated to vary between EUR 0.1 million and EUR 6 million.</w:t>
      </w:r>
      <w:r>
        <w:t xml:space="preserve"> </w:t>
      </w:r>
      <w:r>
        <w:t xml:space="preserve">In order to estimate the costs for the European Commission, both recurrent and one-off, we</w:t>
      </w:r>
      <w:r>
        <w:t xml:space="preserve"> </w:t>
      </w:r>
      <w:r>
        <w:t xml:space="preserve">assume that:</w:t>
      </w:r>
      <w:r>
        <w:t xml:space="preserve"> </w:t>
      </w:r>
      <w:r>
        <w:t xml:space="preserve"> CASP related costs will depend on the IT solution provided. We differentiate between</w:t>
      </w:r>
      <w:r>
        <w:t xml:space="preserve"> </w:t>
      </w:r>
      <w:r>
        <w:t xml:space="preserve">three IT options, the specifications of which are detailed in Annex 5.</w:t>
      </w:r>
      <w:r>
        <w:br/>
      </w:r>
      <w:r>
        <w:t xml:space="preserve"> The one-off costs for the European Commission when dealing with crypto-assets</w:t>
      </w:r>
      <w:r>
        <w:t xml:space="preserve"> </w:t>
      </w:r>
      <w:r>
        <w:t xml:space="preserve">exchanges are estimated to range from EUR 0.48 million to EUR 1.35 million, while</w:t>
      </w:r>
      <w:r>
        <w:t xml:space="preserve"> </w:t>
      </w:r>
      <w:r>
        <w:t xml:space="preserve">the recurrent costs are expected to vary between EUR 0.1 and EUR 0.21 million.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ANNEX 5: IT SOLUTION</w:t>
      </w:r>
      <w:r>
        <w:t xml:space="preserve"> </w:t>
      </w:r>
      <w:r>
        <w:t xml:space="preserve">1. General description of DAC IT solutions</w:t>
      </w:r>
      <w:r>
        <w:t xml:space="preserve"> </w:t>
      </w:r>
      <w:r>
        <w:t xml:space="preserve">The Directive on Administrative Cooperation (DAC) sets in Section II, the legal basis for the</w:t>
      </w:r>
      <w:r>
        <w:t xml:space="preserve"> </w:t>
      </w:r>
      <w:r>
        <w:t xml:space="preserve">automatic exchange of different types of information between the competent authorities of each</w:t>
      </w:r>
      <w:r>
        <w:t xml:space="preserve"> </w:t>
      </w:r>
      <w:r>
        <w:t xml:space="preserve">Member State.</w:t>
      </w:r>
      <w:r>
        <w:br/>
      </w:r>
      <w:r>
        <w:t xml:space="preserve">There are four particularities concerning the reporting and exchange of information of the different</w:t>
      </w:r>
      <w:r>
        <w:t xml:space="preserve"> </w:t>
      </w:r>
      <w:r>
        <w:t xml:space="preserve">DACs:</w:t>
      </w:r>
      <w:r>
        <w:br/>
      </w:r>
      <w:r>
        <w:t xml:space="preserve">i)</w:t>
      </w:r>
      <w:r>
        <w:t xml:space="preserve"> </w:t>
      </w:r>
      <w:r>
        <w:t xml:space="preserve">DAC1 and DAC3 exchanges deal with information held by the competent authorities;</w:t>
      </w:r>
      <w:r>
        <w:br/>
      </w:r>
      <w:r>
        <w:t xml:space="preserve">ii)</w:t>
      </w:r>
      <w:r>
        <w:t xml:space="preserve"> </w:t>
      </w:r>
      <w:r>
        <w:t xml:space="preserve">DAC2, DAC4, DAC6 and DAC7 exchanges deal with information that the competent</w:t>
      </w:r>
      <w:r>
        <w:t xml:space="preserve"> </w:t>
      </w:r>
      <w:r>
        <w:t xml:space="preserve">authority receives from a reporting entity, be it a financial institution, a large</w:t>
      </w:r>
      <w:r>
        <w:t xml:space="preserve"> </w:t>
      </w:r>
      <w:r>
        <w:t xml:space="preserve">multinational enterprise, an intermediary or a digital platform operator;</w:t>
      </w:r>
      <w:r>
        <w:br/>
      </w:r>
      <w:r>
        <w:t xml:space="preserve">iii)</w:t>
      </w:r>
      <w:r>
        <w:t xml:space="preserve"> </w:t>
      </w:r>
      <w:r>
        <w:t xml:space="preserve">DAC3 and DAC6 information is uploaded by each competent authority on a Central</w:t>
      </w:r>
      <w:r>
        <w:t xml:space="preserve"> </w:t>
      </w:r>
      <w:r>
        <w:t xml:space="preserve">Directory, where it is available to the other competent authorities, and</w:t>
      </w:r>
      <w:r>
        <w:br/>
      </w:r>
      <w:r>
        <w:t xml:space="preserve">iv)</w:t>
      </w:r>
      <w:r>
        <w:t xml:space="preserve"> </w:t>
      </w:r>
      <w:r>
        <w:t xml:space="preserve">DAC1, DAC2, DAC4 and DAC7 information is automatically exchanged between</w:t>
      </w:r>
      <w:r>
        <w:t xml:space="preserve"> </w:t>
      </w:r>
      <w:r>
        <w:t xml:space="preserve">competent authorities by using the Commission Communication Network (CCN).</w:t>
      </w:r>
      <w:r>
        <w:br/>
      </w:r>
      <w:r>
        <w:t xml:space="preserve">The Commission provides the IT infrastructure making these automatic exchanges possible, i.e. </w:t>
      </w:r>
      <w:r>
        <w:t xml:space="preserve"> </w:t>
      </w:r>
      <w:r>
        <w:t xml:space="preserve">the transmission channel (CCN), the XML schemas and the XSD User Guide.57 The Commission</w:t>
      </w:r>
      <w:r>
        <w:t xml:space="preserve"> </w:t>
      </w:r>
      <w:r>
        <w:t xml:space="preserve">is a data processor. Except for DAC1 and DAC3, the exchange of information under the other</w:t>
      </w:r>
      <w:r>
        <w:t xml:space="preserve"> </w:t>
      </w:r>
      <w:r>
        <w:t xml:space="preserve">DAC’s consists of a three-step approach: First, the information is collected and reported by a</w:t>
      </w:r>
      <w:r>
        <w:t xml:space="preserve"> </w:t>
      </w:r>
      <w:r>
        <w:t xml:space="preserve">reporting entity; second, it is received by the relevant competent authority and finally, it is</w:t>
      </w:r>
      <w:r>
        <w:t xml:space="preserve"> </w:t>
      </w:r>
      <w:r>
        <w:t xml:space="preserve">exchanged by this competent authority either with other relevant competent authorities or to the</w:t>
      </w:r>
      <w:r>
        <w:t xml:space="preserve"> </w:t>
      </w:r>
      <w:r>
        <w:t xml:space="preserve">Central Directory.</w:t>
      </w:r>
    </w:p>
    <w:p>
      <w:pPr>
        <w:pStyle w:val="BodyText"/>
      </w:pPr>
      <w:r>
        <w:t xml:space="preserve">This proposal would introduce a reporting standard to provide competent authorities with essential</w:t>
      </w:r>
      <w:r>
        <w:t xml:space="preserve"> </w:t>
      </w:r>
      <w:r>
        <w:t xml:space="preserve">information about crypto-assets. Regardless of the complexity of the policy options that will be</w:t>
      </w:r>
      <w:r>
        <w:t xml:space="preserve"> </w:t>
      </w:r>
      <w:r>
        <w:t xml:space="preserve">chosen, there are in principle three main IT solutions for implementing an efficient exchange of</w:t>
      </w:r>
      <w:r>
        <w:t xml:space="preserve"> </w:t>
      </w:r>
      <w:r>
        <w:t xml:space="preserve">information:</w:t>
      </w:r>
      <w:r>
        <w:br/>
      </w:r>
      <w:r>
        <w:t xml:space="preserve">I.</w:t>
      </w:r>
      <w:r>
        <w:t xml:space="preserve"> </w:t>
      </w:r>
      <w:r>
        <w:t xml:space="preserve">Decentralised system – the traditional DAC three stage approach</w:t>
      </w:r>
    </w:p>
    <w:p>
      <w:pPr>
        <w:pStyle w:val="Compact"/>
        <w:numPr>
          <w:ilvl w:val="0"/>
          <w:numId w:val="1022"/>
        </w:numPr>
      </w:pPr>
      <w:r>
        <w:t xml:space="preserve">This system would assume that the CASPs report the information to the competent authority</w:t>
      </w:r>
      <w:r>
        <w:t xml:space="preserve"> </w:t>
      </w:r>
      <w:r>
        <w:t xml:space="preserve">of their tax residence or where they are authorised to operate.58 These competent authorities</w:t>
      </w:r>
      <w:r>
        <w:t xml:space="preserve"> </w:t>
      </w:r>
      <w:r>
        <w:t xml:space="preserve">would in turn then exchange the concerned information with the competent authorities of other</w:t>
      </w:r>
      <w:r>
        <w:t xml:space="preserve"> </w:t>
      </w:r>
      <w:r>
        <w:t xml:space="preserve">relevant Member States. As a result, each EU tax administration receives a maximum of 26</w:t>
      </w:r>
      <w:r>
        <w:t xml:space="preserve"> </w:t>
      </w:r>
      <w:r>
        <w:t xml:space="preserve">“blocks” of reportable information, which have to be further processed in order to be integrated</w:t>
      </w:r>
    </w:p>
    <w:p>
      <w:pPr>
        <w:pStyle w:val="FirstParagraph"/>
      </w:pPr>
      <w:r>
        <w:t xml:space="preserve">57 XML schema is used to describe and validate the structure and the content of XML data. XML schema defines the elements, attributes and data</w:t>
      </w:r>
      <w:r>
        <w:t xml:space="preserve"> </w:t>
      </w:r>
      <w:r>
        <w:t xml:space="preserve">types. These are filled in with the information to be exchanged under DAC.</w:t>
      </w:r>
      <w:r>
        <w:t xml:space="preserve"> </w:t>
      </w:r>
      <w:r>
        <w:t xml:space="preserve">58 Those CASPs that are not already authorised and registered under the MiCA registration would be registered in a separate register for direct tax</w:t>
      </w:r>
      <w:r>
        <w:t xml:space="preserve"> </w:t>
      </w:r>
      <w:r>
        <w:t xml:space="preserve">purposes. Member States would feed the register while the Commission services would provide the infrastructure. This is a similar approach to</w:t>
      </w:r>
      <w:r>
        <w:t xml:space="preserve"> </w:t>
      </w:r>
      <w:r>
        <w:t xml:space="preserve">DAC7.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in the national IT systems and then used for the envisaged purposes (risk assessment, etc.). The</w:t>
      </w:r>
      <w:r>
        <w:t xml:space="preserve"> </w:t>
      </w:r>
      <w:r>
        <w:t xml:space="preserve">exchange (send/receive) takes place at regular intervals (once per year or each quarter), which</w:t>
      </w:r>
      <w:r>
        <w:t xml:space="preserve"> </w:t>
      </w:r>
      <w:r>
        <w:t xml:space="preserve">are generally defined by the Directive. Each competent authority has to set-up and maintain a</w:t>
      </w:r>
      <w:r>
        <w:t xml:space="preserve"> </w:t>
      </w:r>
      <w:r>
        <w:t xml:space="preserve">national IT system implementing the processes described above. This is the option that has</w:t>
      </w:r>
      <w:r>
        <w:t xml:space="preserve"> </w:t>
      </w:r>
      <w:r>
        <w:t xml:space="preserve">been used for the implementation of the provisions laid down in DAC2 and DAC4 and the</w:t>
      </w:r>
      <w:r>
        <w:t xml:space="preserve"> </w:t>
      </w:r>
      <w:r>
        <w:t xml:space="preserve">recently agreed DAC7.</w:t>
      </w:r>
    </w:p>
    <w:p>
      <w:pPr>
        <w:pStyle w:val="Compact"/>
        <w:numPr>
          <w:ilvl w:val="0"/>
          <w:numId w:val="1023"/>
        </w:numPr>
      </w:pPr>
      <w:r>
        <w:t xml:space="preserve">Centralised system – the traditional DAC - Central Directory</w:t>
      </w:r>
    </w:p>
    <w:p>
      <w:pPr>
        <w:pStyle w:val="Compact"/>
        <w:numPr>
          <w:ilvl w:val="0"/>
          <w:numId w:val="1024"/>
        </w:numPr>
      </w:pPr>
      <w:r>
        <w:t xml:space="preserve">As for DAC 3 and 6, this system would assume that the CASPs report the information to the</w:t>
      </w:r>
      <w:r>
        <w:t xml:space="preserve"> </w:t>
      </w:r>
      <w:r>
        <w:t xml:space="preserve">competent authority of their tax residence or where they are authorised to operate. These</w:t>
      </w:r>
      <w:r>
        <w:t xml:space="preserve"> </w:t>
      </w:r>
      <w:r>
        <w:t xml:space="preserve">competent authorities would in turn then upload the reported information to the Central</w:t>
      </w:r>
      <w:r>
        <w:t xml:space="preserve"> </w:t>
      </w:r>
      <w:r>
        <w:t xml:space="preserve">Directory to which competent authority of each Member State can connect for consulting and</w:t>
      </w:r>
      <w:r>
        <w:t xml:space="preserve"> </w:t>
      </w:r>
      <w:r>
        <w:t xml:space="preserve">downloading relevant information (information related to its taxpayers only).</w:t>
      </w:r>
    </w:p>
    <w:p>
      <w:pPr>
        <w:pStyle w:val="Compact"/>
        <w:numPr>
          <w:ilvl w:val="0"/>
          <w:numId w:val="1025"/>
        </w:numPr>
      </w:pPr>
      <w:r>
        <w:t xml:space="preserve">Single access point – new IT alternative</w:t>
      </w:r>
    </w:p>
    <w:p>
      <w:pPr>
        <w:pStyle w:val="Compact"/>
        <w:numPr>
          <w:ilvl w:val="0"/>
          <w:numId w:val="1026"/>
        </w:numPr>
      </w:pPr>
      <w:r>
        <w:t xml:space="preserve">Under this new IT alternative, the reporting entity would no longer report information in a</w:t>
      </w:r>
      <w:r>
        <w:t xml:space="preserve"> </w:t>
      </w:r>
      <w:r>
        <w:t xml:space="preserve">given country but instead directly into a general database (the “Single Access Point”).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More specifically, the first step would be that the competent authority authorizes/grants access</w:t>
      </w:r>
      <w:r>
        <w:t xml:space="preserve"> </w:t>
      </w:r>
      <w:r>
        <w:t xml:space="preserve">(after receiving the request) to the CASPs to upload data to the Single Access Point maintained</w:t>
      </w:r>
      <w:r>
        <w:t xml:space="preserve"> </w:t>
      </w:r>
      <w:r>
        <w:t xml:space="preserve">by the European Commission. In this phase, the competent authority would check that the</w:t>
      </w:r>
      <w:r>
        <w:t xml:space="preserve"> </w:t>
      </w:r>
      <w:r>
        <w:t xml:space="preserve">requesting CASP fulfils the requirements laid down in the Directive (i.e. registration, TIN,</w:t>
      </w:r>
      <w:r>
        <w:t xml:space="preserve"> </w:t>
      </w:r>
      <w:r>
        <w:t xml:space="preserve">etc.). Once authorized, the CASP may upload the relevant information to the Single Access</w:t>
      </w:r>
      <w:r>
        <w:t xml:space="preserve"> </w:t>
      </w:r>
      <w:r>
        <w:t xml:space="preserve">Point.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The authorisation to report information to the Single Access Point would be managed by the</w:t>
      </w:r>
      <w:r>
        <w:t xml:space="preserve"> </w:t>
      </w:r>
      <w:r>
        <w:t xml:space="preserve">Member State of residence of the CASP or in the Member State where they are authorized to</w:t>
      </w:r>
      <w:r>
        <w:t xml:space="preserve"> </w:t>
      </w:r>
      <w:r>
        <w:t xml:space="preserve">operate.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The reporting of information would happen in a standardised way like for traditional DAC</w:t>
      </w:r>
      <w:r>
        <w:t xml:space="preserve"> </w:t>
      </w:r>
      <w:r>
        <w:t xml:space="preserve">exchanges through an XML schema and a XSD User Guide, XML schema and a XSD User</w:t>
      </w:r>
      <w:r>
        <w:t xml:space="preserve"> </w:t>
      </w:r>
      <w:r>
        <w:t xml:space="preserve">Guide.</w:t>
      </w:r>
    </w:p>
    <w:p>
      <w:pPr>
        <w:pStyle w:val="Compact"/>
        <w:numPr>
          <w:ilvl w:val="0"/>
          <w:numId w:val="1026"/>
        </w:numPr>
      </w:pPr>
      <w:r>
        <w:t xml:space="preserve">Consequently, CASPs would only be allowed to upload standardised information to the Single</w:t>
      </w:r>
      <w:r>
        <w:t xml:space="preserve"> </w:t>
      </w:r>
      <w:r>
        <w:t xml:space="preserve">Access Point. Competent authorities of each Member State would have the right to access the</w:t>
      </w:r>
      <w:r>
        <w:t xml:space="preserve"> </w:t>
      </w:r>
      <w:r>
        <w:t xml:space="preserve">information.</w:t>
      </w:r>
    </w:p>
    <w:p>
      <w:pPr>
        <w:pStyle w:val="Compact"/>
        <w:numPr>
          <w:ilvl w:val="0"/>
          <w:numId w:val="1026"/>
        </w:numPr>
      </w:pPr>
      <w:r>
        <w:t xml:space="preserve">As in the Central Directory, the Commission would have limited or no access to the data.</w:t>
      </w:r>
      <w:r>
        <w:t xml:space="preserve"> </w:t>
      </w:r>
      <w:r>
        <w:t xml:space="preserve">Consequently, the Commission would play a data processor role only.</w:t>
      </w:r>
      <w:r>
        <w:t xml:space="preserve"> </w:t>
      </w:r>
      <w:r>
        <w:t xml:space="preserve">The second and third IT solutions could appear similar as they are both centralised and the</w:t>
      </w:r>
      <w:r>
        <w:t xml:space="preserve"> </w:t>
      </w:r>
      <w:r>
        <w:t xml:space="preserve">infrastructure is provided by the Commission services. However, the difference is the necessity of</w:t>
      </w:r>
      <w:r>
        <w:t xml:space="preserve"> </w:t>
      </w:r>
      <w:r>
        <w:t xml:space="preserve">an intermediary. In the second IT solution, the tax administration has to be in possession of</w:t>
      </w:r>
      <w:r>
        <w:t xml:space="preserve"> </w:t>
      </w:r>
      <w:r>
        <w:t xml:space="preserve">information or data in order to be able to upload it to the Central Directory and make it available</w:t>
      </w:r>
      <w:r>
        <w:t xml:space="preserve"> </w:t>
      </w:r>
      <w:r>
        <w:t xml:space="preserve">to other tax administrations, i.e. the tax administration takes the role of an intermediary between</w:t>
      </w:r>
      <w:r>
        <w:t xml:space="preserve"> </w:t>
      </w:r>
      <w:r>
        <w:t xml:space="preserve">the reporting entity and the central platform.</w:t>
      </w:r>
    </w:p>
    <w:p>
      <w:pPr>
        <w:pStyle w:val="FirstParagraph"/>
      </w:pPr>
      <w:r>
        <w:t xml:space="preserve">73</w:t>
      </w:r>
    </w:p>
    <w:p>
      <w:pPr>
        <w:pStyle w:val="BodyText"/>
      </w:pPr>
      <w:r>
        <w:t xml:space="preserve">In the third IT solution there is no intermediary between the reporting entity and the database where</w:t>
      </w:r>
      <w:r>
        <w:t xml:space="preserve"> </w:t>
      </w:r>
      <w:r>
        <w:t xml:space="preserve">the information will be available to tax administrations in the new IT solution. There would</w:t>
      </w:r>
      <w:r>
        <w:t xml:space="preserve"> </w:t>
      </w:r>
      <w:r>
        <w:t xml:space="preserve">therefore be no development costs of a national IT infrastructure for the collection of information</w:t>
      </w:r>
      <w:r>
        <w:t xml:space="preserve"> </w:t>
      </w:r>
      <w:r>
        <w:t xml:space="preserve">and export to the Central Directory. This being said, the national tax administrations are likely to</w:t>
      </w:r>
      <w:r>
        <w:t xml:space="preserve"> </w:t>
      </w:r>
      <w:r>
        <w:t xml:space="preserve">incur a certain level of IT costs as they would need to download in their own national system the</w:t>
      </w:r>
      <w:r>
        <w:t xml:space="preserve"> </w:t>
      </w:r>
      <w:r>
        <w:t xml:space="preserve">data that is made available through the Single Access Point to be able to use them. This means that</w:t>
      </w:r>
      <w:r>
        <w:t xml:space="preserve"> </w:t>
      </w:r>
      <w:r>
        <w:t xml:space="preserve">mainly the reporting entity and the Single Access Point will bear costs for the IT development, be</w:t>
      </w:r>
      <w:r>
        <w:t xml:space="preserve"> </w:t>
      </w:r>
      <w:r>
        <w:t xml:space="preserve">it implementing the reporting format or updating an existing IT interface.</w:t>
      </w:r>
      <w:r>
        <w:br/>
      </w:r>
      <w:r>
        <w:t xml:space="preserve">For the three proposed exchange IT solutions, the GDPR requirements remain the same as the</w:t>
      </w:r>
      <w:r>
        <w:t xml:space="preserve"> </w:t>
      </w:r>
      <w:r>
        <w:t xml:space="preserve">information collected and exchanged and the access of Member States to that information will be</w:t>
      </w:r>
      <w:r>
        <w:t xml:space="preserve"> </w:t>
      </w:r>
      <w:r>
        <w:t xml:space="preserve">of the same nature regardless of the method selected.</w:t>
      </w:r>
      <w:r>
        <w:br/>
      </w:r>
      <w:r>
        <w:t xml:space="preserve">2. Cost-benefit analysis</w:t>
      </w:r>
      <w:r>
        <w:t xml:space="preserve"> </w:t>
      </w:r>
      <w:r>
        <w:t xml:space="preserve">Having an IT solution that will allow a proper exchange of information relative to crypto-assets</w:t>
      </w:r>
      <w:r>
        <w:t xml:space="preserve"> </w:t>
      </w:r>
      <w:r>
        <w:t xml:space="preserve">will come with both benefits and costs. As these differ between available IT options, the</w:t>
      </w:r>
      <w:r>
        <w:t xml:space="preserve"> </w:t>
      </w:r>
      <w:r>
        <w:t xml:space="preserve">quantification of costs is based on the cost information (one-off and recurrent) incurred for setting</w:t>
      </w:r>
      <w:r>
        <w:t xml:space="preserve"> </w:t>
      </w:r>
      <w:r>
        <w:t xml:space="preserve">up and operating DAC6,59 as well as DAC260 and DAC761 (see the table below). Benefits, on the</w:t>
      </w:r>
      <w:r>
        <w:t xml:space="preserve"> </w:t>
      </w:r>
      <w:r>
        <w:t xml:space="preserve">other hand, have been assessed qualitatively due to limited data.</w:t>
      </w:r>
      <w:r>
        <w:t xml:space="preserve"> </w:t>
      </w:r>
      <w:r>
        <w:t xml:space="preserve">Table 9 Summary of costs relative to IT solution (in EUR million)</w:t>
      </w:r>
    </w:p>
    <w:p>
      <w:pPr>
        <w:pStyle w:val="BodyText"/>
      </w:pPr>
      <w:r>
        <w:t xml:space="preserve">IT solution</w:t>
      </w:r>
    </w:p>
    <w:p>
      <w:pPr>
        <w:pStyle w:val="BodyText"/>
      </w:pPr>
      <w:r>
        <w:t xml:space="preserve">Decentralised</w:t>
      </w:r>
      <w:r>
        <w:t xml:space="preserve"> </w:t>
      </w:r>
      <w:r>
        <w:t xml:space="preserve">Central Directory</w:t>
      </w:r>
      <w:r>
        <w:t xml:space="preserve"> </w:t>
      </w:r>
      <w:r>
        <w:t xml:space="preserve">Single Access Point</w:t>
      </w:r>
      <w:r>
        <w:t xml:space="preserve"> </w:t>
      </w:r>
      <w:r>
        <w:t xml:space="preserve">Costs / Entities</w:t>
      </w:r>
      <w:r>
        <w:t xml:space="preserve"> </w:t>
      </w:r>
      <w:r>
        <w:t xml:space="preserve">MS</w:t>
      </w:r>
      <w:r>
        <w:t xml:space="preserve"> </w:t>
      </w:r>
      <w:r>
        <w:t xml:space="preserve">Commission</w:t>
      </w:r>
      <w:r>
        <w:t xml:space="preserve"> </w:t>
      </w:r>
      <w:r>
        <w:t xml:space="preserve">MS</w:t>
      </w:r>
      <w:r>
        <w:t xml:space="preserve"> </w:t>
      </w:r>
      <w:r>
        <w:t xml:space="preserve">Commission</w:t>
      </w:r>
      <w:r>
        <w:t xml:space="preserve"> </w:t>
      </w:r>
      <w:r>
        <w:t xml:space="preserve">MS</w:t>
      </w:r>
      <w:r>
        <w:t xml:space="preserve"> </w:t>
      </w:r>
      <w:r>
        <w:t xml:space="preserve">Commission</w:t>
      </w:r>
      <w:r>
        <w:t xml:space="preserve"> </w:t>
      </w:r>
      <w:r>
        <w:t xml:space="preserve">One-off</w:t>
      </w:r>
      <w:r>
        <w:t xml:space="preserve"> </w:t>
      </w:r>
      <w:r>
        <w:t xml:space="preserve">64.8</w:t>
      </w:r>
      <w:r>
        <w:t xml:space="preserve"> </w:t>
      </w:r>
      <w:r>
        <w:t xml:space="preserve">0.8</w:t>
      </w:r>
      <w:r>
        <w:t xml:space="preserve"> </w:t>
      </w:r>
      <w:r>
        <w:t xml:space="preserve">1 - 12.96</w:t>
      </w:r>
      <w:r>
        <w:t xml:space="preserve"> </w:t>
      </w:r>
      <w:r>
        <w:t xml:space="preserve">0.48</w:t>
      </w:r>
      <w:r>
        <w:br/>
      </w:r>
      <w:r>
        <w:t xml:space="preserve">0.5</w:t>
      </w:r>
      <w:r>
        <w:t xml:space="preserve"> </w:t>
      </w:r>
      <w:r>
        <w:t xml:space="preserve">1.35</w:t>
      </w:r>
      <w:r>
        <w:t xml:space="preserve"> </w:t>
      </w:r>
      <w:r>
        <w:t xml:space="preserve">Recurrent (annual)</w:t>
      </w:r>
      <w:r>
        <w:t xml:space="preserve"> </w:t>
      </w:r>
      <w:r>
        <w:t xml:space="preserve">6</w:t>
      </w:r>
      <w:r>
        <w:t xml:space="preserve"> </w:t>
      </w:r>
      <w:r>
        <w:t xml:space="preserve">0.1</w:t>
      </w:r>
      <w:r>
        <w:t xml:space="preserve"> </w:t>
      </w:r>
      <w:r>
        <w:t xml:space="preserve">1- 5.67</w:t>
      </w:r>
      <w:r>
        <w:t xml:space="preserve"> </w:t>
      </w:r>
      <w:r>
        <w:t xml:space="preserve">0.21</w:t>
      </w:r>
      <w:r>
        <w:t xml:space="preserve"> </w:t>
      </w:r>
      <w:r>
        <w:t xml:space="preserve">0.1</w:t>
      </w:r>
      <w:r>
        <w:t xml:space="preserve"> </w:t>
      </w:r>
      <w:r>
        <w:t xml:space="preserve">0.21</w:t>
      </w:r>
      <w:r>
        <w:t xml:space="preserve"> </w:t>
      </w:r>
      <w:r>
        <w:t xml:space="preserve">Total</w:t>
      </w:r>
      <w:r>
        <w:t xml:space="preserve"> </w:t>
      </w:r>
      <w:r>
        <w:t xml:space="preserve">70.8</w:t>
      </w:r>
      <w:r>
        <w:t xml:space="preserve"> </w:t>
      </w:r>
      <w:r>
        <w:t xml:space="preserve">0.9</w:t>
      </w:r>
      <w:r>
        <w:t xml:space="preserve"> </w:t>
      </w:r>
      <w:r>
        <w:t xml:space="preserve">2 - 18.63</w:t>
      </w:r>
      <w:r>
        <w:t xml:space="preserve"> </w:t>
      </w:r>
      <w:r>
        <w:t xml:space="preserve">0.69</w:t>
      </w:r>
      <w:r>
        <w:t xml:space="preserve"> </w:t>
      </w:r>
      <w:r>
        <w:t xml:space="preserve">0.6</w:t>
      </w:r>
      <w:r>
        <w:t xml:space="preserve"> </w:t>
      </w:r>
      <w:r>
        <w:t xml:space="preserve">1.56</w:t>
      </w:r>
    </w:p>
    <w:p>
      <w:pPr>
        <w:pStyle w:val="BodyText"/>
      </w:pPr>
      <w:r>
        <w:t xml:space="preserve">A decentralised approach means that the Member States are responsible for setting up, maintaining</w:t>
      </w:r>
      <w:r>
        <w:t xml:space="preserve"> </w:t>
      </w:r>
      <w:r>
        <w:t xml:space="preserve">and updating their national IT systems so as to abide by the provisions set out in the DAC. The</w:t>
      </w:r>
      <w:r>
        <w:t xml:space="preserve"> </w:t>
      </w:r>
      <w:r>
        <w:t xml:space="preserve">cost estimates stemming from the decentralised approach are based on DAC2 costs incurred by</w:t>
      </w:r>
      <w:r>
        <w:t xml:space="preserve"> </w:t>
      </w:r>
      <w:r>
        <w:t xml:space="preserve">tax administrations, which are further adapted to the population of crypto-asset accounts (see</w:t>
      </w:r>
      <w:r>
        <w:t xml:space="preserve"> </w:t>
      </w:r>
      <w:r>
        <w:t xml:space="preserve">Annex 4). Even though these costs are likely to be substantial, the maximum amount should not</w:t>
      </w:r>
      <w:r>
        <w:t xml:space="preserve"> </w:t>
      </w:r>
      <w:r>
        <w:t xml:space="preserve">surpass EUR 64.8 million in one-off and EUR 6 million in recurrent costs. Due to lack of official</w:t>
      </w:r>
      <w:r>
        <w:t xml:space="preserve"> </w:t>
      </w:r>
      <w:r>
        <w:t xml:space="preserve">data, however, precise estimates on the costs to be incurred in the Member States cannot be made.</w:t>
      </w:r>
      <w:r>
        <w:t xml:space="preserve"> </w:t>
      </w:r>
      <w:r>
        <w:t xml:space="preserve">Moreover, the costs for the Commission under this option are likely to be relatively low.62</w:t>
      </w:r>
    </w:p>
    <w:p>
      <w:pPr>
        <w:pStyle w:val="BodyText"/>
      </w:pPr>
      <w:r>
        <w:t xml:space="preserve">59 European Commission (2017). Commission staff working document- Impact Assessment Accompanying the document Proposal for a COUNCIL</w:t>
      </w:r>
      <w:r>
        <w:t xml:space="preserve"> </w:t>
      </w:r>
      <w:r>
        <w:t xml:space="preserve">DIRECTIVE amending Directive 2011/16/EU as regards mandatory automatic exchange of information in the field of taxation in relation to</w:t>
      </w:r>
      <w:r>
        <w:t xml:space="preserve"> </w:t>
      </w:r>
      <w:r>
        <w:t xml:space="preserve">reportable cross-border arrangements, SWD/2017/0236 final.</w:t>
      </w:r>
      <w:r>
        <w:br/>
      </w:r>
      <w:r>
        <w:t xml:space="preserve">60 European Commission. (2019). Evaluation of the Council Directive 2011/16/EU on administrative cooperation in the field of taxation and</w:t>
      </w:r>
      <w:r>
        <w:t xml:space="preserve"> </w:t>
      </w:r>
      <w:r>
        <w:t xml:space="preserve">repealing Directive 77/799/EEC, SWD(2019) 327 final</w:t>
      </w:r>
      <w:r>
        <w:br/>
      </w:r>
      <w:r>
        <w:t xml:space="preserve">61 European Commission. (2020). Commission Staff Working Document – Impact assessment accompanying the Proposal for a Council Directive</w:t>
      </w:r>
      <w:r>
        <w:t xml:space="preserve"> </w:t>
      </w:r>
      <w:r>
        <w:t xml:space="preserve">amending Directive 2011/16/EU on administrative cooperation in the field of taxation, SWD(2020) 131 final.</w:t>
      </w:r>
      <w:r>
        <w:t xml:space="preserve"> </w:t>
      </w:r>
      <w:r>
        <w:t xml:space="preserve">62 European Commission. (2020). Commission Staff Working Document – Impact assessment accompanying the Proposal for a Council Directive</w:t>
      </w:r>
      <w:r>
        <w:t xml:space="preserve"> </w:t>
      </w:r>
      <w:r>
        <w:t xml:space="preserve">amending Directive 2011/16/EU on administrative cooperation in the field of taxation, SWD(2020) 131 final.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The second option would entail relying on the existing system of information exchange, namely</w:t>
      </w:r>
      <w:r>
        <w:t xml:space="preserve"> </w:t>
      </w:r>
      <w:r>
        <w:t xml:space="preserve">the Central Directory set-up and managed by the European Commission. The total one-off costs</w:t>
      </w:r>
      <w:r>
        <w:t xml:space="preserve"> </w:t>
      </w:r>
      <w:r>
        <w:t xml:space="preserve">of upgrading and updating the Central Directory are estimated to be EUR 480 000, while the</w:t>
      </w:r>
      <w:r>
        <w:t xml:space="preserve"> </w:t>
      </w:r>
      <w:r>
        <w:t xml:space="preserve">recurrent costs would amount to EUR 210 000. Since some IT infrastructure has already been</w:t>
      </w:r>
      <w:r>
        <w:t xml:space="preserve"> </w:t>
      </w:r>
      <w:r>
        <w:t xml:space="preserve">developed and is operational, the projected cost is likely to be similar to those of running DAC6.</w:t>
      </w:r>
      <w:r>
        <w:t xml:space="preserve"> </w:t>
      </w:r>
      <w:r>
        <w:t xml:space="preserve">Moreover, under this option, the national tax authorities are also likely to bear costs as they may</w:t>
      </w:r>
      <w:r>
        <w:t xml:space="preserve"> </w:t>
      </w:r>
      <w:r>
        <w:t xml:space="preserve">extract relevant information from the Central Directory into national databases and have an</w:t>
      </w:r>
      <w:r>
        <w:t xml:space="preserve"> </w:t>
      </w:r>
      <w:r>
        <w:t xml:space="preserve">upgraded (or newly built) IT infrastructure for data downloading and uploading operations. Since</w:t>
      </w:r>
      <w:r>
        <w:t xml:space="preserve"> </w:t>
      </w:r>
      <w:r>
        <w:t xml:space="preserve">precise cost estimates are challenging to make, we assume that such costs could be in the order of</w:t>
      </w:r>
      <w:r>
        <w:t xml:space="preserve"> </w:t>
      </w:r>
      <w:r>
        <w:t xml:space="preserve">millions of euros, but not higher than EUR 12.96 million (one-off) and EUR 5.67 (recurrent). This</w:t>
      </w:r>
      <w:r>
        <w:t xml:space="preserve"> </w:t>
      </w:r>
      <w:r>
        <w:t xml:space="preserve">can be explained by the Commission’s effort to provide a centralised IT architecture that can</w:t>
      </w:r>
      <w:r>
        <w:t xml:space="preserve"> </w:t>
      </w:r>
      <w:r>
        <w:t xml:space="preserve">significantly reduce costs for national administrations.</w:t>
      </w:r>
      <w:r>
        <w:t xml:space="preserve"> </w:t>
      </w:r>
      <w:r>
        <w:t xml:space="preserve">Finally, a new Single Access Point would bring about greater centralisation since CASPs would</w:t>
      </w:r>
      <w:r>
        <w:t xml:space="preserve"> </w:t>
      </w:r>
      <w:r>
        <w:t xml:space="preserve">be directly linked to the Commission’s IT interface. This new IT solution will likely entail higher</w:t>
      </w:r>
      <w:r>
        <w:t xml:space="preserve"> </w:t>
      </w:r>
      <w:r>
        <w:t xml:space="preserve">costs for the Commission to develop it as the number of connected entities will be higher than</w:t>
      </w:r>
      <w:r>
        <w:t xml:space="preserve"> </w:t>
      </w:r>
      <w:r>
        <w:t xml:space="preserve">usual (i.e. around 168 CASPs63 vs 27 national tax administrations). Considering the costs incurred</w:t>
      </w:r>
      <w:r>
        <w:t xml:space="preserve"> </w:t>
      </w:r>
      <w:r>
        <w:t xml:space="preserve">for developing the IT interface under DAC6, we assume that the total one-off costs for the</w:t>
      </w:r>
      <w:r>
        <w:t xml:space="preserve"> </w:t>
      </w:r>
      <w:r>
        <w:t xml:space="preserve">Commission will reach EUR 1.35 million as a minimum. The recurrent costs will be approximately</w:t>
      </w:r>
      <w:r>
        <w:t xml:space="preserve"> </w:t>
      </w:r>
      <w:r>
        <w:t xml:space="preserve">EUR 210 000. The Commission costs for developing the Single Access Point are expected to be</w:t>
      </w:r>
      <w:r>
        <w:t xml:space="preserve"> </w:t>
      </w:r>
      <w:r>
        <w:t xml:space="preserve">higher compared to the ones needed to update the Central Directory. However, for the Member</w:t>
      </w:r>
      <w:r>
        <w:t xml:space="preserve"> </w:t>
      </w:r>
      <w:r>
        <w:t xml:space="preserve">States, it remains challenging to precisely assess the costs that will be incurred for adapting their</w:t>
      </w:r>
      <w:r>
        <w:t xml:space="preserve"> </w:t>
      </w:r>
      <w:r>
        <w:t xml:space="preserve">systems to the Single Access Point. While we estimate, as a minimum, EUR 500 000 and EUR</w:t>
      </w:r>
      <w:r>
        <w:t xml:space="preserve"> </w:t>
      </w:r>
      <w:r>
        <w:t xml:space="preserve">100 000 for the one-off and recurrent costs respectively, we are unable to quantify the cost ceilings</w:t>
      </w:r>
      <w:r>
        <w:t xml:space="preserve"> </w:t>
      </w:r>
      <w:r>
        <w:t xml:space="preserve">which might be substantial (in the order of millions of euros). This is due to the fact that the</w:t>
      </w:r>
      <w:r>
        <w:t xml:space="preserve"> </w:t>
      </w:r>
      <w:r>
        <w:t xml:space="preserve">Member States remain responsible to ensuring that CASPs have fulfilled their legal obligations</w:t>
      </w:r>
      <w:r>
        <w:t xml:space="preserve"> </w:t>
      </w:r>
      <w:r>
        <w:t xml:space="preserve">and might still opt for setting up national databases to store previously extracted data.</w:t>
      </w:r>
      <w:r>
        <w:t xml:space="preserve"> </w:t>
      </w:r>
      <w:r>
        <w:t xml:space="preserve">Taking into account uncertainty on the actual size of the benefits in the absence of reliable data,</w:t>
      </w:r>
      <w:r>
        <w:t xml:space="preserve"> </w:t>
      </w:r>
      <w:r>
        <w:t xml:space="preserve">no quantification of benefits has been provided. Possible benefits stemming from the initiative can</w:t>
      </w:r>
      <w:r>
        <w:t xml:space="preserve"> </w:t>
      </w:r>
      <w:r>
        <w:t xml:space="preserve">be looked at qualitatively through cost reduction for the Member States. Even though some savings</w:t>
      </w:r>
      <w:r>
        <w:t xml:space="preserve"> </w:t>
      </w:r>
      <w:r>
        <w:t xml:space="preserve">can be obtained via the Single Access Point where the Commission provides the necessary</w:t>
      </w:r>
      <w:r>
        <w:t xml:space="preserve"> </w:t>
      </w:r>
      <w:r>
        <w:t xml:space="preserve">infrastructure and CASPs report directly into the new interface, a reliable cost estimation leading</w:t>
      </w:r>
      <w:r>
        <w:t xml:space="preserve"> </w:t>
      </w:r>
      <w:r>
        <w:t xml:space="preserve">to proper IT solution comparison remains challenging to make. Conversely, some IT infrastructure</w:t>
      </w:r>
      <w:r>
        <w:t xml:space="preserve"> </w:t>
      </w:r>
      <w:r>
        <w:t xml:space="preserve">already exists for the use of the existing Central Directory as this IT solution could be</w:t>
      </w:r>
      <w:r>
        <w:t xml:space="preserve"> </w:t>
      </w:r>
      <w:r>
        <w:t xml:space="preserve">delivered/deployed within a shorter legal base deadline, thus likely having a positive impact on</w:t>
      </w:r>
      <w:r>
        <w:t xml:space="preserve"> </w:t>
      </w:r>
      <w:r>
        <w:t xml:space="preserve">savings. This point is of particular importance in this case where the need to regulate reporting and</w:t>
      </w:r>
      <w:r>
        <w:t xml:space="preserve"> </w:t>
      </w:r>
      <w:r>
        <w:t xml:space="preserve">ensure exchanges of information on crypto-assets is urgent and a prerequisite for other initiatives</w:t>
      </w:r>
      <w:r>
        <w:t xml:space="preserve"> </w:t>
      </w:r>
      <w:r>
        <w:t xml:space="preserve">in the EU as well as in the individual Member States. Similarly, some existing IT infrastructure</w:t>
      </w:r>
      <w:r>
        <w:t xml:space="preserve"> </w:t>
      </w:r>
      <w:r>
        <w:t xml:space="preserve">also exists under the decentralized approach, but the estimated costs are quite high compared to</w:t>
      </w:r>
      <w:r>
        <w:t xml:space="preserve"> </w:t>
      </w:r>
      <w:r>
        <w:t xml:space="preserve">other IT solutions and unlikely to be offset by any possible benefits.</w:t>
      </w:r>
    </w:p>
    <w:p>
      <w:pPr>
        <w:pStyle w:val="BodyText"/>
      </w:pPr>
      <w:r>
        <w:t xml:space="preserve">63 Information on how we estimate the number of CASPs and their reporting costs can be found in Annex 4.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Finally, when it comes to the policy options, the three IT implementation choices are feasible no</w:t>
      </w:r>
      <w:r>
        <w:t xml:space="preserve"> </w:t>
      </w:r>
      <w:r>
        <w:t xml:space="preserve">matter which policy option is chosen. The feasibility of the IT solution depends neither on the size</w:t>
      </w:r>
      <w:r>
        <w:t xml:space="preserve"> </w:t>
      </w:r>
      <w:r>
        <w:t xml:space="preserve">of the CASPs, nor on the types for crypto-assets in scope nor the reporting method. The question</w:t>
      </w:r>
      <w:r>
        <w:t xml:space="preserve"> </w:t>
      </w:r>
      <w:r>
        <w:t xml:space="preserve">here is more about the efficiency of the different IT solutions in achieving the initiative’s</w:t>
      </w:r>
      <w:r>
        <w:t xml:space="preserve"> </w:t>
      </w:r>
      <w:r>
        <w:t xml:space="preserve">objectives.</w:t>
      </w:r>
    </w:p>
    <w:p>
      <w:pPr>
        <w:pStyle w:val="Compact"/>
        <w:numPr>
          <w:ilvl w:val="0"/>
          <w:numId w:val="1027"/>
        </w:numPr>
      </w:pPr>
      <w:r>
        <w:t xml:space="preserve">Overall assessment</w:t>
      </w:r>
    </w:p>
    <w:p>
      <w:pPr>
        <w:pStyle w:val="FirstParagraph"/>
      </w:pPr>
      <w:r>
        <w:t xml:space="preserve">Each of the proposed IT solutions have advantages and disadvantages. The first two options</w:t>
      </w:r>
      <w:r>
        <w:t xml:space="preserve"> </w:t>
      </w:r>
      <w:r>
        <w:t xml:space="preserve">described above have the advantage of having already been tested and developed, which revealed</w:t>
      </w:r>
      <w:r>
        <w:t xml:space="preserve"> </w:t>
      </w:r>
      <w:r>
        <w:t xml:space="preserve">their strengths as well as their weaknesses while developing or using them for the different DAC</w:t>
      </w:r>
      <w:r>
        <w:t xml:space="preserve"> </w:t>
      </w:r>
      <w:r>
        <w:t xml:space="preserve">exchanges.</w:t>
      </w:r>
      <w:r>
        <w:br/>
      </w:r>
      <w:r>
        <w:t xml:space="preserve">For the moment, the first two IT solutions coexist and are used for different DAC exchanges. The</w:t>
      </w:r>
      <w:r>
        <w:t xml:space="preserve"> </w:t>
      </w:r>
      <w:r>
        <w:t xml:space="preserve">new IT solution would become a third alternative for DAC information exchanges.</w:t>
      </w:r>
      <w:r>
        <w:br/>
      </w:r>
      <w:r>
        <w:t xml:space="preserve">As already explained, the main advantage of the Single Access Point is the absence of an</w:t>
      </w:r>
      <w:r>
        <w:t xml:space="preserve"> </w:t>
      </w:r>
      <w:r>
        <w:t xml:space="preserve">intermediary tax administration, which means that the information is available in one single</w:t>
      </w:r>
      <w:r>
        <w:t xml:space="preserve"> </w:t>
      </w:r>
      <w:r>
        <w:t xml:space="preserve">platform without additional IT infrastructures at the level of the intermediary. The cost and</w:t>
      </w:r>
      <w:r>
        <w:t xml:space="preserve"> </w:t>
      </w:r>
      <w:r>
        <w:t xml:space="preserve">resources for the intermediary are therefore reduced in terms of implementation and development.</w:t>
      </w:r>
      <w:r>
        <w:t xml:space="preserve"> </w:t>
      </w:r>
      <w:r>
        <w:t xml:space="preserve">Furthermore, there would only be one single IT solution instead of 27 that the reporting entity will</w:t>
      </w:r>
      <w:r>
        <w:t xml:space="preserve"> </w:t>
      </w:r>
      <w:r>
        <w:t xml:space="preserve">have to adapt to. These IT tools would also potentially reduce development costs for compliance,</w:t>
      </w:r>
      <w:r>
        <w:t xml:space="preserve"> </w:t>
      </w:r>
      <w:r>
        <w:t xml:space="preserve">risk assessment, statistics and other tools, which are required to show the respective use of</w:t>
      </w:r>
      <w:r>
        <w:t xml:space="preserve"> </w:t>
      </w:r>
      <w:r>
        <w:t xml:space="preserve">information received through the DAC framework.</w:t>
      </w:r>
      <w:r>
        <w:br/>
      </w:r>
      <w:r>
        <w:t xml:space="preserve">Despite the listed advantages of the Single Access Point solution, the traditional Central Directory</w:t>
      </w:r>
      <w:r>
        <w:t xml:space="preserve"> </w:t>
      </w:r>
      <w:r>
        <w:t xml:space="preserve">is considered a better solution because it is already known by Member States and used for DAC3</w:t>
      </w:r>
      <w:r>
        <w:t xml:space="preserve"> </w:t>
      </w:r>
      <w:r>
        <w:t xml:space="preserve">and DAC6 purposes. Precise calculations of costs are not possible to make as this would be a new</w:t>
      </w:r>
      <w:r>
        <w:t xml:space="preserve"> </w:t>
      </w:r>
      <w:r>
        <w:t xml:space="preserve">and untested solution, but Member States would need to adapt their national systems to new</w:t>
      </w:r>
      <w:r>
        <w:t xml:space="preserve"> </w:t>
      </w:r>
      <w:r>
        <w:t xml:space="preserve">channels for receiving data. Another advantage compared to the Single Access Point is that it can</w:t>
      </w:r>
      <w:r>
        <w:t xml:space="preserve"> </w:t>
      </w:r>
      <w:r>
        <w:t xml:space="preserve">be delivered and deployed with a shorter deadline. It is urgent to start the reporting and exchange</w:t>
      </w:r>
      <w:r>
        <w:t xml:space="preserve"> </w:t>
      </w:r>
      <w:r>
        <w:t xml:space="preserve">of crypto-asset information as other initiatives, whether at EU level or at national level, rely on</w:t>
      </w:r>
      <w:r>
        <w:t xml:space="preserve"> </w:t>
      </w:r>
      <w:r>
        <w:t xml:space="preserve">such information in order to operate and considering the current serious lack of necessary</w:t>
      </w:r>
      <w:r>
        <w:t xml:space="preserve"> </w:t>
      </w:r>
      <w:r>
        <w:t xml:space="preserve">information. Compared to the decentralised solution, the Central Directory solution provides for</w:t>
      </w:r>
      <w:r>
        <w:t xml:space="preserve"> </w:t>
      </w:r>
      <w:r>
        <w:t xml:space="preserve">more flexibility in the future in case the IT solutions will need to be harmonised for the DAC as a</w:t>
      </w:r>
      <w:r>
        <w:t xml:space="preserve"> </w:t>
      </w:r>
      <w:r>
        <w:t xml:space="preserve">whole. The introduction of a Single Access Point would be more appropriate to consider for the</w:t>
      </w:r>
      <w:r>
        <w:t xml:space="preserve"> </w:t>
      </w:r>
      <w:r>
        <w:t xml:space="preserve">DAC including all amendments in order to calculate and reduce costs with a high degree of</w:t>
      </w:r>
      <w:r>
        <w:t xml:space="preserve"> </w:t>
      </w:r>
      <w:r>
        <w:t xml:space="preserve">certainty.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6: STRENGTHENING OF ADMINISTRATIVE COOPERATION</w:t>
      </w:r>
      <w:r>
        <w:t xml:space="preserve"> </w:t>
      </w:r>
      <w:r>
        <w:t xml:space="preserve">BETWEEN TAX AUTHORITIES</w:t>
      </w:r>
    </w:p>
    <w:p>
      <w:pPr>
        <w:pStyle w:val="BodyText"/>
      </w:pPr>
      <w:r>
        <w:t xml:space="preserve">In the broader context of the DAC, this impact assessment also presents a further strengthening of</w:t>
      </w:r>
      <w:r>
        <w:t xml:space="preserve"> </w:t>
      </w:r>
      <w:r>
        <w:t xml:space="preserve">administrative cooperation between tax authorities, including a review of the current compliance</w:t>
      </w:r>
      <w:r>
        <w:t xml:space="preserve"> </w:t>
      </w:r>
      <w:r>
        <w:t xml:space="preserve">framework, a clarification of the rules applicable to e-money and the expansion of the exchange</w:t>
      </w:r>
      <w:r>
        <w:t xml:space="preserve"> </w:t>
      </w:r>
      <w:r>
        <w:t xml:space="preserve">of cross-border tax rulings to rulings granted to natural persons.</w:t>
      </w:r>
      <w:r>
        <w:br/>
      </w:r>
      <w:r>
        <w:t xml:space="preserve">The European Court of Auditors (ECA) report64 and the European Parliament resolution65 pointed</w:t>
      </w:r>
      <w:r>
        <w:t xml:space="preserve"> </w:t>
      </w:r>
      <w:r>
        <w:t xml:space="preserve">at the inefficiencies and the need of improvement in several areas of the Directive including the</w:t>
      </w:r>
      <w:r>
        <w:t xml:space="preserve"> </w:t>
      </w:r>
      <w:r>
        <w:t xml:space="preserve">compliance measures, e-money provisions and rulings.66</w:t>
      </w:r>
      <w:r>
        <w:t xml:space="preserve"> </w:t>
      </w:r>
      <w:r>
        <w:t xml:space="preserve">The problems</w:t>
      </w:r>
    </w:p>
    <w:p>
      <w:pPr>
        <w:pStyle w:val="BodyText"/>
      </w:pPr>
      <w:r>
        <w:t xml:space="preserve">There are inefficiencies in the current framework on administrative cooperation and enforcement</w:t>
      </w:r>
      <w:r>
        <w:t xml:space="preserve"> </w:t>
      </w:r>
      <w:r>
        <w:t xml:space="preserve">of the DAC provisions, which stem from a lack of clarity concerning some provisions of the legal</w:t>
      </w:r>
      <w:r>
        <w:t xml:space="preserve"> </w:t>
      </w:r>
      <w:r>
        <w:t xml:space="preserve">text underpinning this framework, in particular when it comes to the application of penalties or</w:t>
      </w:r>
      <w:r>
        <w:t xml:space="preserve"> </w:t>
      </w:r>
      <w:r>
        <w:t xml:space="preserve">other compliance measures, or the exchange of information on e-money. Furthermore, the current</w:t>
      </w:r>
      <w:r>
        <w:t xml:space="preserve"> </w:t>
      </w:r>
      <w:r>
        <w:t xml:space="preserve">framework for exchanging cross-border rulings could be made more coherent.</w:t>
      </w:r>
    </w:p>
    <w:p>
      <w:pPr>
        <w:pStyle w:val="BodyText"/>
      </w:pPr>
      <w:r>
        <w:t xml:space="preserve">To illustrate the need for clarification of some concepts: DAC established a reporting obligation</w:t>
      </w:r>
      <w:r>
        <w:t xml:space="preserve"> </w:t>
      </w:r>
      <w:r>
        <w:t xml:space="preserve">on a number of actors (such as financial institutions under DAC2, MNEs under DAC4,</w:t>
      </w:r>
      <w:r>
        <w:t xml:space="preserve"> </w:t>
      </w:r>
      <w:r>
        <w:t xml:space="preserve">intermediaries under DAC6, digital platform operators under DAC7). Under the current wording</w:t>
      </w:r>
      <w:r>
        <w:t xml:space="preserve"> </w:t>
      </w:r>
      <w:r>
        <w:t xml:space="preserve">of Article 25a of the DAC, Member States have the obligation to introduce “effective,</w:t>
      </w:r>
      <w:r>
        <w:t xml:space="preserve"> </w:t>
      </w:r>
      <w:r>
        <w:t xml:space="preserve">proportionate and dissuasive” penalties, in case of non-compliance with the reporting</w:t>
      </w:r>
      <w:r>
        <w:t xml:space="preserve"> </w:t>
      </w:r>
      <w:r>
        <w:t xml:space="preserve">obligations. Non-compliance can consist for example in the absence of reporting, late reporting,</w:t>
      </w:r>
      <w:r>
        <w:t xml:space="preserve"> </w:t>
      </w:r>
      <w:r>
        <w:t xml:space="preserve">incomplete or false reporting, etc. However, as shown in Annex 7, there are significant differences</w:t>
      </w:r>
      <w:r>
        <w:t xml:space="preserve"> </w:t>
      </w:r>
      <w:r>
        <w:t xml:space="preserve">between the Member States’ penalties frameworks set out for non-compliance under the DAC,</w:t>
      </w:r>
      <w:r>
        <w:t xml:space="preserve"> </w:t>
      </w:r>
      <w:r>
        <w:t xml:space="preserve">which may have a negative effect on compliance with the aforementioned principles. Member</w:t>
      </w:r>
      <w:r>
        <w:t xml:space="preserve"> </w:t>
      </w:r>
      <w:r>
        <w:t xml:space="preserve">States having implemented low-level penalties as compared to other Member States do not provide</w:t>
      </w:r>
      <w:r>
        <w:t xml:space="preserve"> </w:t>
      </w:r>
      <w:r>
        <w:t xml:space="preserve">for a dissuasive penalty framework and thus undermine the proper functioning of DAC.</w:t>
      </w:r>
      <w:r>
        <w:t xml:space="preserve"> </w:t>
      </w:r>
      <w:r>
        <w:t xml:space="preserve">Considering the current vague wording on compliance measures in the DAC, the legal basis for</w:t>
      </w:r>
      <w:r>
        <w:t xml:space="preserve"> </w:t>
      </w:r>
      <w:r>
        <w:t xml:space="preserve">infringement procedures in situations where the national measures are not regarded as dissuasive</w:t>
      </w:r>
      <w:r>
        <w:t xml:space="preserve"> </w:t>
      </w:r>
      <w:r>
        <w:t xml:space="preserve">enough is fragile.</w:t>
      </w:r>
    </w:p>
    <w:p>
      <w:pPr>
        <w:pStyle w:val="BodyText"/>
      </w:pPr>
      <w:r>
        <w:t xml:space="preserve">Another area which suffers from a lack of a clear and unequivocal drafting are the rules pertaining</w:t>
      </w:r>
      <w:r>
        <w:t xml:space="preserve"> </w:t>
      </w:r>
      <w:r>
        <w:t xml:space="preserve">to the reporting and exchange of information on e-money products. E-money is broadly defined as</w:t>
      </w:r>
      <w:r>
        <w:t xml:space="preserve"> </w:t>
      </w:r>
      <w:r>
        <w:t xml:space="preserve">an electronic store of monetary value on a technical device that may be used for making payments</w:t>
      </w:r>
      <w:r>
        <w:t xml:space="preserve"> </w:t>
      </w:r>
      <w:r>
        <w:t xml:space="preserve">to entities other than the e-money issuer. It acts as a prepaid bearer instrument, which does not</w:t>
      </w:r>
      <w:r>
        <w:t xml:space="preserve"> </w:t>
      </w:r>
      <w:r>
        <w:t xml:space="preserve">necessarily involve bank accounts in transactions. Most Member States interpret the existing</w:t>
      </w:r>
    </w:p>
    <w:p>
      <w:pPr>
        <w:pStyle w:val="BodyText"/>
      </w:pPr>
      <w:r>
        <w:t xml:space="preserve">64 Special Report N°03/2021: Exchanging tax information in the EU: solid foundation, cracks in the implementation.</w:t>
      </w:r>
      <w:r>
        <w:t xml:space="preserve"> </w:t>
      </w:r>
      <w:r>
        <w:t xml:space="preserve">65 See footnote 4. European Parliament. (2021). European Parliament resolution of 16 September 2021 on the implementation of the EU</w:t>
      </w:r>
      <w:r>
        <w:t xml:space="preserve"> </w:t>
      </w:r>
      <w:r>
        <w:t xml:space="preserve">requirements for exchange of tax information: progress, lessons learnt and obstacles to overcome, retrieved from:</w:t>
      </w:r>
      <w:r>
        <w:br/>
      </w:r>
      <w:r>
        <w:t xml:space="preserve">https://www.europarl.europa.eu/doceo/document/TA-9-2021-0392_EN.pdf</w:t>
      </w:r>
      <w:r>
        <w:t xml:space="preserve"> </w:t>
      </w:r>
      <w:r>
        <w:t xml:space="preserve">66 European Court of Auditors. (2021). Exchanging tax information in the EU: solid foundation, cracks in the implementation, Exchanges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have</w:t>
      </w:r>
      <w:r>
        <w:t xml:space="preserve"> </w:t>
      </w:r>
      <w:r>
        <w:t xml:space="preserve">increased,</w:t>
      </w:r>
      <w:r>
        <w:t xml:space="preserve"> </w:t>
      </w:r>
      <w:r>
        <w:t xml:space="preserve">but</w:t>
      </w:r>
      <w:r>
        <w:t xml:space="preserve"> </w:t>
      </w:r>
      <w:r>
        <w:t xml:space="preserve">some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still</w:t>
      </w:r>
      <w:r>
        <w:t xml:space="preserve"> </w:t>
      </w:r>
      <w:r>
        <w:t xml:space="preserve">not</w:t>
      </w:r>
      <w:r>
        <w:t xml:space="preserve"> </w:t>
      </w:r>
      <w:r>
        <w:t xml:space="preserve">reported.</w:t>
      </w:r>
      <w:r>
        <w:t xml:space="preserve"> </w:t>
      </w:r>
      <w:r>
        <w:t xml:space="preserve">Pages</w:t>
      </w:r>
      <w:r>
        <w:t xml:space="preserve"> </w:t>
      </w:r>
      <w:r>
        <w:t xml:space="preserve">33-34,</w:t>
      </w:r>
      <w:r>
        <w:t xml:space="preserve"> </w:t>
      </w:r>
      <w:r>
        <w:t xml:space="preserve">retrieved</w:t>
      </w:r>
      <w:r>
        <w:t xml:space="preserve"> </w:t>
      </w:r>
      <w:r>
        <w:t xml:space="preserve">from:</w:t>
      </w:r>
      <w:r>
        <w:t xml:space="preserve"> </w:t>
      </w:r>
      <w:r>
        <w:t xml:space="preserve">https://www.eca.europa.eu/Lists/ECADocuments/SR21_03/SR_Exchange_tax_inform_EN.pdf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provisions on the reporting and exchange of financial information (DAC2) as including e-money</w:t>
      </w:r>
      <w:r>
        <w:t xml:space="preserve"> </w:t>
      </w:r>
      <w:r>
        <w:t xml:space="preserve">within its scope, whereas others do not. This creates the risk of an uneven playing field within the</w:t>
      </w:r>
      <w:r>
        <w:t xml:space="preserve"> </w:t>
      </w:r>
      <w:r>
        <w:t xml:space="preserve">financial sector and across Member States. Although e-money products are mainly used for</w:t>
      </w:r>
      <w:r>
        <w:t xml:space="preserve"> </w:t>
      </w:r>
      <w:r>
        <w:t xml:space="preserve">payment and quick transactions and not for investment, they could also be used to store money</w:t>
      </w:r>
      <w:r>
        <w:t xml:space="preserve"> </w:t>
      </w:r>
      <w:r>
        <w:t xml:space="preserve">and, in the current situation, avoid reporting.</w:t>
      </w:r>
    </w:p>
    <w:p>
      <w:pPr>
        <w:pStyle w:val="BodyText"/>
      </w:pPr>
      <w:r>
        <w:t xml:space="preserve">Finally, the existing rules provide for tax transparency on cross-border rulings and advanced</w:t>
      </w:r>
      <w:r>
        <w:t xml:space="preserve"> </w:t>
      </w:r>
      <w:r>
        <w:t xml:space="preserve">pricing agreements (APAs), under DAC 3. Tax rulings and APAs are most commonly associated</w:t>
      </w:r>
      <w:r>
        <w:t xml:space="preserve"> </w:t>
      </w:r>
      <w:r>
        <w:t xml:space="preserve">with legal persons. However, natural persons may also benefit from cross-border rulings on</w:t>
      </w:r>
      <w:r>
        <w:t xml:space="preserve"> </w:t>
      </w:r>
      <w:r>
        <w:t xml:space="preserve">complex tax arrangements. The latter category of cross-border rulings might be of interest to the</w:t>
      </w:r>
      <w:r>
        <w:t xml:space="preserve"> </w:t>
      </w:r>
      <w:r>
        <w:t xml:space="preserve">competent tax administrations of other Member States.</w:t>
      </w:r>
    </w:p>
    <w:p>
      <w:pPr>
        <w:pStyle w:val="BodyText"/>
      </w:pPr>
      <w:r>
        <w:t xml:space="preserve">Strengthening the compliance framework and completing the existing framework for automatic</w:t>
      </w:r>
      <w:r>
        <w:t xml:space="preserve"> </w:t>
      </w:r>
      <w:r>
        <w:t xml:space="preserve">exchange of information on e-money and rulings</w:t>
      </w:r>
      <w:r>
        <w:br/>
      </w:r>
      <w:r>
        <w:t xml:space="preserve">The ECA report and the resolution of the European Parliament mentioned above both conclude</w:t>
      </w:r>
      <w:r>
        <w:t xml:space="preserve"> </w:t>
      </w:r>
      <w:r>
        <w:t xml:space="preserve">that the lack of a consistent compliance framework, the lack of clear provisions on e-money and</w:t>
      </w:r>
      <w:r>
        <w:t xml:space="preserve"> </w:t>
      </w:r>
      <w:r>
        <w:t xml:space="preserve">the non-inclusion of some types of rulings significantly reduce the efficiency of the DAC. Building</w:t>
      </w:r>
      <w:r>
        <w:t xml:space="preserve"> </w:t>
      </w:r>
      <w:r>
        <w:t xml:space="preserve">upon the findings of those reports, the initiative would include clarifications and fixes to the current</w:t>
      </w:r>
      <w:r>
        <w:t xml:space="preserve"> </w:t>
      </w:r>
      <w:r>
        <w:t xml:space="preserve">administrative cooperation framework to ensure it becomes more effective. These changes mainly</w:t>
      </w:r>
      <w:r>
        <w:t xml:space="preserve"> </w:t>
      </w:r>
      <w:r>
        <w:t xml:space="preserve">concern the following:</w:t>
      </w:r>
    </w:p>
    <w:p>
      <w:pPr>
        <w:pStyle w:val="Compact"/>
        <w:numPr>
          <w:ilvl w:val="0"/>
          <w:numId w:val="1028"/>
        </w:numPr>
      </w:pPr>
      <w:r>
        <w:t xml:space="preserve">Compliance framework</w:t>
      </w:r>
      <w:r>
        <w:t xml:space="preserve"> </w:t>
      </w:r>
      <w:r>
        <w:t xml:space="preserve">As mentioned above, there is a need to clarify the compliance framework provided for in DAC to</w:t>
      </w:r>
      <w:r>
        <w:t xml:space="preserve"> </w:t>
      </w:r>
      <w:r>
        <w:t xml:space="preserve">ensure a more consistent implementation across the EU Member States. It would consist of setting</w:t>
      </w:r>
      <w:r>
        <w:t xml:space="preserve"> </w:t>
      </w:r>
      <w:r>
        <w:t xml:space="preserve">a common minimum level of penalties for the most serious non-compliant behaviours, such as</w:t>
      </w:r>
      <w:r>
        <w:t xml:space="preserve"> </w:t>
      </w:r>
      <w:r>
        <w:t xml:space="preserve">complete absence of reporting despite administrative reminders. It would also provide guidance in</w:t>
      </w:r>
      <w:r>
        <w:t xml:space="preserve"> </w:t>
      </w:r>
      <w:r>
        <w:t xml:space="preserve">the DAC itself as to what effectiveness, dissuasiveness and proportionality should imply for each</w:t>
      </w:r>
      <w:r>
        <w:t xml:space="preserve"> </w:t>
      </w:r>
      <w:r>
        <w:t xml:space="preserve">Member State’s compliance framework. This would establish the basis for guaranteeing a</w:t>
      </w:r>
      <w:r>
        <w:t xml:space="preserve"> </w:t>
      </w:r>
      <w:r>
        <w:t xml:space="preserve">compliance framework that complies with the principles of effectiveness, proportionality, and</w:t>
      </w:r>
      <w:r>
        <w:t xml:space="preserve"> </w:t>
      </w:r>
      <w:r>
        <w:t xml:space="preserve">dissuasiveness. In relation to the principle of effectiveness, the DAC might indicate what broad</w:t>
      </w:r>
      <w:r>
        <w:t xml:space="preserve"> </w:t>
      </w:r>
      <w:r>
        <w:t xml:space="preserve">types of conducts and behaviours might be penalised leaving the Member States with the option</w:t>
      </w:r>
      <w:r>
        <w:t xml:space="preserve"> </w:t>
      </w:r>
      <w:r>
        <w:t xml:space="preserve">to go further, depending on their domestic circumstances. The DAC might also put forward some</w:t>
      </w:r>
      <w:r>
        <w:t xml:space="preserve"> </w:t>
      </w:r>
      <w:r>
        <w:t xml:space="preserve">types of penalties and other compliance measures that serve as guidance for the Member States in</w:t>
      </w:r>
      <w:r>
        <w:t xml:space="preserve"> </w:t>
      </w:r>
      <w:r>
        <w:t xml:space="preserve">the development of their own legal compliance framework. Penalties could be set in proportion to</w:t>
      </w:r>
      <w:r>
        <w:t xml:space="preserve"> </w:t>
      </w:r>
      <w:r>
        <w:t xml:space="preserve">the economic size of the taxpayer/reporting entity and/or to the relevant amount of tax owed.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5.3.2.2 E-money</w:t>
      </w:r>
      <w:r>
        <w:t xml:space="preserve"> </w:t>
      </w:r>
      <w:r>
        <w:t xml:space="preserve">The scope of reporting under DAC2 would be clarified in order to explicitly include tax relevant</w:t>
      </w:r>
      <w:r>
        <w:t xml:space="preserve"> </w:t>
      </w:r>
      <w:r>
        <w:t xml:space="preserve">data on e-money. It would ensure that a single standard for reporting and exchange of e-money</w:t>
      </w:r>
      <w:r>
        <w:t xml:space="preserve"> </w:t>
      </w:r>
      <w:r>
        <w:t xml:space="preserve">data will apply. At the international level, the OECD is also working on amending the CRS to</w:t>
      </w:r>
      <w:r>
        <w:t xml:space="preserve"> </w:t>
      </w:r>
      <w:r>
        <w:t xml:space="preserve">explicitly include e-money.</w:t>
      </w:r>
    </w:p>
    <w:p>
      <w:pPr>
        <w:pStyle w:val="FirstParagraph"/>
      </w:pPr>
      <w:r>
        <w:t xml:space="preserve">78</w:t>
      </w:r>
    </w:p>
    <w:p>
      <w:pPr>
        <w:pStyle w:val="Compact"/>
        <w:numPr>
          <w:ilvl w:val="0"/>
          <w:numId w:val="1029"/>
        </w:numPr>
      </w:pPr>
      <w:r>
        <w:t xml:space="preserve">5.3.2.3 Exchanges of cross-border rulings</w:t>
      </w:r>
      <w:r>
        <w:t xml:space="preserve"> </w:t>
      </w:r>
      <w:r>
        <w:t xml:space="preserve">Rulings provided by Member States’ tax authorities for the benefit of natural persons are currently</w:t>
      </w:r>
      <w:r>
        <w:t xml:space="preserve"> </w:t>
      </w:r>
      <w:r>
        <w:t xml:space="preserve">not subject to reporting and automatic exchange between Member States under DAC. However,</w:t>
      </w:r>
      <w:r>
        <w:t xml:space="preserve"> </w:t>
      </w:r>
      <w:r>
        <w:t xml:space="preserve">covering all taxpayers would be in line with the general logic of the DAC.</w:t>
      </w:r>
      <w:r>
        <w:br/>
      </w:r>
      <w:r>
        <w:t xml:space="preserve">Currently, there is only limited information exchange between national authorities on tax rulings</w:t>
      </w:r>
      <w:r>
        <w:t xml:space="preserve"> </w:t>
      </w:r>
      <w:r>
        <w:t xml:space="preserve">for natural persons, if at all. Member States whose tax base is adversely affected by the tax rulings</w:t>
      </w:r>
      <w:r>
        <w:t xml:space="preserve"> </w:t>
      </w:r>
      <w:r>
        <w:t xml:space="preserve">of others cannot react, given that they will not even know of the existence of the respective tax</w:t>
      </w:r>
      <w:r>
        <w:t xml:space="preserve"> </w:t>
      </w:r>
      <w:r>
        <w:t xml:space="preserve">ruling that might cover arrangements leading to base erosion in their jurisdiction. In line with the</w:t>
      </w:r>
      <w:r>
        <w:t xml:space="preserve"> </w:t>
      </w:r>
      <w:r>
        <w:t xml:space="preserve">joint effort to combat tax avoidance, there is clearly a need for greater transparency and</w:t>
      </w:r>
      <w:r>
        <w:t xml:space="preserve"> </w:t>
      </w:r>
      <w:r>
        <w:t xml:space="preserve">information sharing on cross-border tax rulings.67</w:t>
      </w:r>
      <w:r>
        <w:br/>
      </w:r>
      <w:r>
        <w:t xml:space="preserve">The inclusion of natural persons would limit the possibility for circumvention of the information</w:t>
      </w:r>
      <w:r>
        <w:t xml:space="preserve"> </w:t>
      </w:r>
      <w:r>
        <w:t xml:space="preserve">exchange by adapting the respective setup of the tax structure. Therefore, this initiative would</w:t>
      </w:r>
      <w:r>
        <w:t xml:space="preserve"> </w:t>
      </w:r>
      <w:r>
        <w:t xml:space="preserve">make compulsory the reporting of tax rulings for natural persons with a cross-border element. The</w:t>
      </w:r>
      <w:r>
        <w:t xml:space="preserve"> </w:t>
      </w:r>
      <w:r>
        <w:t xml:space="preserve">obligation to exchange information about tax rulings would in no way restrict or limit the</w:t>
      </w:r>
      <w:r>
        <w:t xml:space="preserve"> </w:t>
      </w:r>
      <w:r>
        <w:t xml:space="preserve">possibility for natural persons to request rulings from the national administration.</w:t>
      </w:r>
    </w:p>
    <w:p>
      <w:pPr>
        <w:pStyle w:val="FirstParagraph"/>
      </w:pPr>
      <w:r>
        <w:t xml:space="preserve">67 European Commission SWD. (2015): Technical analysis of focus and scope of the legal proposal Accompanying the document Proposal for a</w:t>
      </w:r>
      <w:r>
        <w:t xml:space="preserve"> </w:t>
      </w:r>
      <w:r>
        <w:t xml:space="preserve">Council Directive amending Directive 2011/16/EU as regards exchange of information in the field of taxation.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7: OVERVIEW OF DIFFERING PENALTIES APPLIED BY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Based on the information gathered through the consultation of Member States, all Member States</w:t>
      </w:r>
      <w:r>
        <w:t xml:space="preserve"> </w:t>
      </w:r>
      <w:r>
        <w:t xml:space="preserve">have legislation in place, which provides for the application of penalties for infringements pursuant</w:t>
      </w:r>
      <w:r>
        <w:t xml:space="preserve"> </w:t>
      </w:r>
      <w:r>
        <w:t xml:space="preserve">to the provisions of the DAC. Additionally, the vast majority of Member States have developed</w:t>
      </w:r>
      <w:r>
        <w:t xml:space="preserve"> </w:t>
      </w:r>
      <w:r>
        <w:t xml:space="preserve">administrative procedures for verifying compliance with the DAC. The measures through which</w:t>
      </w:r>
      <w:r>
        <w:t xml:space="preserve"> </w:t>
      </w:r>
      <w:r>
        <w:t xml:space="preserve">the Member States monitor the fulfilment of the obligations derived from the DAC are, amongst</w:t>
      </w:r>
      <w:r>
        <w:t xml:space="preserve"> </w:t>
      </w:r>
      <w:r>
        <w:t xml:space="preserve">others, desk-based checks and on-site inspections, as well as statistical analysis..</w:t>
      </w:r>
      <w:r>
        <w:br/>
      </w:r>
      <w:r>
        <w:t xml:space="preserve">Of the circumstances and factors that some Member States take into account to determine the level</w:t>
      </w:r>
      <w:r>
        <w:t xml:space="preserve"> </w:t>
      </w:r>
      <w:r>
        <w:t xml:space="preserve">of the penalty, the degree of the intentionality of the offending subject is the most frequently</w:t>
      </w:r>
      <w:r>
        <w:t xml:space="preserve"> </w:t>
      </w:r>
      <w:r>
        <w:t xml:space="preserve">applied. Some Member States also consider whether there has been repetitive non-compliance, as</w:t>
      </w:r>
      <w:r>
        <w:t xml:space="preserve"> </w:t>
      </w:r>
      <w:r>
        <w:t xml:space="preserve">well as the size of the subject or the benefit obtained from the offending conduct.</w:t>
      </w:r>
      <w:r>
        <w:t xml:space="preserve"> </w:t>
      </w:r>
      <w:r>
        <w:t xml:space="preserve">The majority of Member States distinguish between late reporting of information, reporting with</w:t>
      </w:r>
      <w:r>
        <w:t xml:space="preserve"> </w:t>
      </w:r>
      <w:r>
        <w:t xml:space="preserve">minor errors, reporting with false statements or documents, and not reporting at all when designing</w:t>
      </w:r>
      <w:r>
        <w:t xml:space="preserve"> </w:t>
      </w:r>
      <w:r>
        <w:t xml:space="preserve">penalties and compliance measures for infringements of reporting obligations under the DAC.</w:t>
      </w:r>
      <w:r>
        <w:t xml:space="preserve"> </w:t>
      </w:r>
      <w:r>
        <w:t xml:space="preserve">Although the domestic context must be considered when analysing the differences in the penalties</w:t>
      </w:r>
      <w:r>
        <w:t xml:space="preserve"> </w:t>
      </w:r>
      <w:r>
        <w:t xml:space="preserve">designed for the different DAC’s, it is also necessary to emphasize that to guarantee a level playing</w:t>
      </w:r>
      <w:r>
        <w:t xml:space="preserve"> </w:t>
      </w:r>
      <w:r>
        <w:t xml:space="preserve">field throughout the European internal market, the competent authorities must perform this</w:t>
      </w:r>
      <w:r>
        <w:t xml:space="preserve"> </w:t>
      </w:r>
      <w:r>
        <w:t xml:space="preserve">analysis with a European perspective.</w:t>
      </w:r>
      <w:r>
        <w:t xml:space="preserve"> </w:t>
      </w:r>
      <w:r>
        <w:t xml:space="preserve">From the table below, we can clearly distinguish significant differences in the amounts of penalties</w:t>
      </w:r>
      <w:r>
        <w:t xml:space="preserve"> </w:t>
      </w:r>
      <w:r>
        <w:t xml:space="preserve">set by different Member States. Particularly striking are the large differences in the amount of</w:t>
      </w:r>
      <w:r>
        <w:t xml:space="preserve"> </w:t>
      </w:r>
      <w:r>
        <w:t xml:space="preserve">minimum penalties that may affect, to a greater or lesser extent, the effectiveness and efficiency</w:t>
      </w:r>
      <w:r>
        <w:t xml:space="preserve"> </w:t>
      </w:r>
      <w:r>
        <w:t xml:space="preserve">of compliance with the rules of the DAC. Although there are significant differences in the</w:t>
      </w:r>
      <w:r>
        <w:t xml:space="preserve"> </w:t>
      </w:r>
      <w:r>
        <w:t xml:space="preserve">maximum amount of sanctions applied, it is considered that this aspect would fall within the</w:t>
      </w:r>
      <w:r>
        <w:t xml:space="preserve"> </w:t>
      </w:r>
      <w:r>
        <w:t xml:space="preserve">discretion of the Member States to make their compliance system stricter in the event of any non-</w:t>
      </w:r>
      <w:r>
        <w:t xml:space="preserve"> </w:t>
      </w:r>
      <w:r>
        <w:t xml:space="preserve">compliance.</w:t>
      </w:r>
      <w:r>
        <w:t xml:space="preserve"> </w:t>
      </w:r>
      <w:r>
        <w:t xml:space="preserve">To correctly analyse the biggest differences between Member States’ compliance measures in</w:t>
      </w:r>
      <w:r>
        <w:t xml:space="preserve"> </w:t>
      </w:r>
      <w:r>
        <w:t xml:space="preserve">DAC2, it is important to bear in mind that some Member States fix these amounts in relation to</w:t>
      </w:r>
      <w:r>
        <w:t xml:space="preserve"> </w:t>
      </w:r>
      <w:r>
        <w:t xml:space="preserve">the number of accounts or even concerning the data of these accounts. Differences of the penalties’</w:t>
      </w:r>
      <w:r>
        <w:t xml:space="preserve"> </w:t>
      </w:r>
      <w:r>
        <w:t xml:space="preserve">calculation must be considered when assessing the differences between the minimum and</w:t>
      </w:r>
      <w:r>
        <w:t xml:space="preserve"> </w:t>
      </w:r>
      <w:r>
        <w:t xml:space="preserve">maximum penalties established by Member States.</w:t>
      </w:r>
      <w:r>
        <w:t xml:space="preserve"> </w:t>
      </w:r>
      <w:r>
        <w:t xml:space="preserve">Under DAC4, large multinational enterprises with a total consolidated group revenue of more than</w:t>
      </w:r>
      <w:r>
        <w:t xml:space="preserve"> </w:t>
      </w:r>
      <w:r>
        <w:t xml:space="preserve">EUR 750.000.000 are obliged to submit annual Country-by-Country (CbC) reports. The failure to</w:t>
      </w:r>
      <w:r>
        <w:t xml:space="preserve"> </w:t>
      </w:r>
      <w:r>
        <w:t xml:space="preserve">comply with the domestic law transposing DAC4 can lead to minimum penalties as low as or even</w:t>
      </w:r>
      <w:r>
        <w:t xml:space="preserve"> </w:t>
      </w:r>
      <w:r>
        <w:t xml:space="preserve">below EUR 1.000. This very low minimum amount of penalties does not provide a great dissuasive</w:t>
      </w:r>
      <w:r>
        <w:t xml:space="preserve"> </w:t>
      </w:r>
      <w:r>
        <w:t xml:space="preserve">effect on obliged subjects. In most cases, the cost of complying with this rule will exceed the</w:t>
      </w:r>
      <w:r>
        <w:t xml:space="preserve"> </w:t>
      </w:r>
      <w:r>
        <w:t xml:space="preserve">amount of the minimum penalties.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The same arguments can be used to analyse the penalties provided for breaches of DAC6, where</w:t>
      </w:r>
      <w:r>
        <w:t xml:space="preserve"> </w:t>
      </w:r>
      <w:r>
        <w:t xml:space="preserve">the highest minimum penalty does not exceed EUR 6.000. At the same time, a minimum amount</w:t>
      </w:r>
      <w:r>
        <w:t xml:space="preserve"> </w:t>
      </w:r>
      <w:r>
        <w:t xml:space="preserve">of penalties below EUR 1.000 is widespread among Member States.</w:t>
      </w:r>
      <w:r>
        <w:br/>
      </w:r>
      <w:r>
        <w:t xml:space="preserve">Table 10 – Overview of penalties in Member States.</w:t>
      </w:r>
      <w:r>
        <w:t xml:space="preserve"> </w:t>
      </w:r>
      <w:r>
        <w:t xml:space="preserve">MEM</w:t>
      </w:r>
      <w:r>
        <w:t xml:space="preserve"> </w:t>
      </w:r>
      <w:r>
        <w:t xml:space="preserve">BER</w:t>
      </w:r>
      <w:r>
        <w:t xml:space="preserve"> </w:t>
      </w:r>
      <w:r>
        <w:t xml:space="preserve">STATE</w:t>
      </w:r>
      <w:r>
        <w:t xml:space="preserve"> </w:t>
      </w:r>
      <w:r>
        <w:t xml:space="preserve">INFRINGEM</w:t>
      </w:r>
      <w:r>
        <w:t xml:space="preserve"> </w:t>
      </w:r>
      <w:r>
        <w:t xml:space="preserve">ENT OF</w:t>
      </w:r>
      <w:r>
        <w:br/>
      </w:r>
      <w:r>
        <w:t xml:space="preserve">REPORTING</w:t>
      </w:r>
      <w:r>
        <w:t xml:space="preserve"> </w:t>
      </w:r>
      <w:r>
        <w:t xml:space="preserve">OBLIGATIO</w:t>
      </w:r>
      <w:r>
        <w:t xml:space="preserve"> </w:t>
      </w:r>
      <w:r>
        <w:t xml:space="preserve">NS UNDER</w:t>
      </w:r>
      <w:r>
        <w:t xml:space="preserve"> </w:t>
      </w:r>
      <w:r>
        <w:t xml:space="preserve">RELEVANT</w:t>
      </w:r>
      <w:r>
        <w:t xml:space="preserve"> </w:t>
      </w:r>
      <w:r>
        <w:t xml:space="preserve">DACS</w:t>
      </w:r>
      <w:r>
        <w:t xml:space="preserve"> </w:t>
      </w:r>
      <w:r>
        <w:t xml:space="preserve">PERSONAL SCOPE / SCOPE RATIONE MATERIAE OF</w:t>
      </w:r>
      <w:r>
        <w:t xml:space="preserve"> </w:t>
      </w:r>
      <w:r>
        <w:t xml:space="preserve">INFRINGEMENTS COVERED BY PENALTIES</w:t>
      </w:r>
      <w:r>
        <w:t xml:space="preserve"> </w:t>
      </w:r>
      <w:r>
        <w:t xml:space="preserve">MINIMUM AMOUNT</w:t>
      </w:r>
      <w:r>
        <w:t xml:space="preserve"> </w:t>
      </w:r>
      <w:r>
        <w:t xml:space="preserve">OF PENALTIES (IN EUR</w:t>
      </w:r>
      <w:r>
        <w:t xml:space="preserve"> </w:t>
      </w:r>
      <w:r>
        <w:t xml:space="preserve">OR NATIONAL</w:t>
      </w:r>
      <w:r>
        <w:t xml:space="preserve"> </w:t>
      </w:r>
      <w:r>
        <w:t xml:space="preserve">CURRENCY FOR NON-</w:t>
      </w:r>
      <w:r>
        <w:t xml:space="preserve"> </w:t>
      </w:r>
      <w:r>
        <w:t xml:space="preserve">EA MEMBER STATE)</w:t>
      </w:r>
      <w:r>
        <w:t xml:space="preserve"> </w:t>
      </w:r>
      <w:r>
        <w:t xml:space="preserve">MAXIMUM AMOUNT OF</w:t>
      </w:r>
      <w:r>
        <w:t xml:space="preserve"> </w:t>
      </w:r>
      <w:r>
        <w:t xml:space="preserve">PENALTIES</w:t>
      </w:r>
      <w:r>
        <w:t xml:space="preserve"> </w:t>
      </w:r>
      <w:r>
        <w:t xml:space="preserve">(IN EUR OR NATIONAL</w:t>
      </w:r>
      <w:r>
        <w:t xml:space="preserve"> </w:t>
      </w:r>
      <w:r>
        <w:t xml:space="preserve">CURRENCY FOR NON-EA</w:t>
      </w:r>
      <w:r>
        <w:t xml:space="preserve"> </w:t>
      </w:r>
      <w:r>
        <w:t xml:space="preserve">MEMBER STATE)</w:t>
      </w:r>
    </w:p>
    <w:p>
      <w:pPr>
        <w:pStyle w:val="BodyText"/>
      </w:pPr>
      <w:r>
        <w:t xml:space="preserve">The scope rationae materiae (i.e. the following 4</w:t>
      </w:r>
      <w:r>
        <w:t xml:space="preserve"> </w:t>
      </w:r>
      <w:r>
        <w:t xml:space="preserve">categories are covered in national law: 1) no</w:t>
      </w:r>
      <w:r>
        <w:t xml:space="preserve"> </w:t>
      </w:r>
      <w:r>
        <w:t xml:space="preserve">reporting, 2) late reporting, 3) on purpose wrong</w:t>
      </w:r>
      <w:r>
        <w:t xml:space="preserve"> </w:t>
      </w:r>
      <w:r>
        <w:t xml:space="preserve">reporting, 4) partial reporting and the respective fines</w:t>
      </w:r>
      <w:r>
        <w:t xml:space="preserve"> </w:t>
      </w:r>
      <w:r>
        <w:t xml:space="preserve">for each category if differentiation is done in the fines</w:t>
      </w:r>
      <w:r>
        <w:t xml:space="preserve"> </w:t>
      </w:r>
      <w:r>
        <w:t xml:space="preserve">for the different categories in national law. The</w:t>
      </w:r>
      <w:r>
        <w:t xml:space="preserve"> </w:t>
      </w:r>
      <w:r>
        <w:t xml:space="preserve">different fines are then mentioned in column 4 and 5).</w:t>
      </w:r>
    </w:p>
    <w:p>
      <w:pPr>
        <w:pStyle w:val="BodyText"/>
      </w:pPr>
      <w:r>
        <w:t xml:space="preserve">The personal scope: if a differentiation in minimum</w:t>
      </w:r>
      <w:r>
        <w:t xml:space="preserve"> </w:t>
      </w:r>
      <w:r>
        <w:t xml:space="preserve">and maximum penalties is made for</w:t>
      </w:r>
      <w:r>
        <w:t xml:space="preserve"> </w:t>
      </w:r>
      <w:r>
        <w:t xml:space="preserve">individuals/natural persons and legal persons the</w:t>
      </w:r>
      <w:r>
        <w:t xml:space="preserve"> </w:t>
      </w:r>
      <w:r>
        <w:t xml:space="preserve">penalties are mentioned also separately per type of</w:t>
      </w:r>
      <w:r>
        <w:t xml:space="preserve"> </w:t>
      </w:r>
      <w:r>
        <w:t xml:space="preserve">person at the end of column 3 with the relevant</w:t>
      </w:r>
      <w:r>
        <w:t xml:space="preserve"> </w:t>
      </w:r>
      <w:r>
        <w:t xml:space="preserve">penalties in column 4 and 5.</w:t>
      </w:r>
    </w:p>
    <w:p>
      <w:pPr>
        <w:pStyle w:val="BodyText"/>
      </w:pPr>
      <w:r>
        <w:t xml:space="preserve">Indication, if relevant, whether the fines are foreseen</w:t>
      </w:r>
      <w:r>
        <w:t xml:space="preserve"> </w:t>
      </w:r>
      <w:r>
        <w:t xml:space="preserve">per individual infringement (e.g. the penalty applies</w:t>
      </w:r>
      <w:r>
        <w:t xml:space="preserve"> </w:t>
      </w:r>
      <w:r>
        <w:t xml:space="preserve">every time when a single bank account was not</w:t>
      </w:r>
      <w:r>
        <w:t xml:space="preserve"> </w:t>
      </w:r>
      <w:r>
        <w:t xml:space="preserve">reported) or only cumulative for a number of</w:t>
      </w:r>
      <w:r>
        <w:t xml:space="preserve"> </w:t>
      </w:r>
      <w:r>
        <w:t xml:space="preserve">detected infringements. Rationale: to get an idea of</w:t>
      </w:r>
      <w:r>
        <w:t xml:space="preserve"> </w:t>
      </w:r>
      <w:r>
        <w:t xml:space="preserve">the intensity of sanctioning/penalties. This is the info</w:t>
      </w:r>
      <w:r>
        <w:t xml:space="preserve"> </w:t>
      </w:r>
      <w:r>
        <w:t xml:space="preserve">Benjamin is after. Pay careful attention to it whether</w:t>
      </w:r>
      <w:r>
        <w:t xml:space="preserve"> </w:t>
      </w:r>
      <w:r>
        <w:t xml:space="preserve">you can detect this on the basis of national law or not.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Minimum amount in</w:t>
      </w:r>
      <w:r>
        <w:t xml:space="preserve"> </w:t>
      </w:r>
      <w:r>
        <w:t xml:space="preserve">EUR or for non-EA MS</w:t>
      </w:r>
      <w:r>
        <w:t xml:space="preserve"> </w:t>
      </w:r>
      <w:r>
        <w:t xml:space="preserve">their national currency</w:t>
      </w:r>
      <w:r>
        <w:t xml:space="preserve"> </w:t>
      </w:r>
      <w:r>
        <w:t xml:space="preserve">with EUR amount in</w:t>
      </w:r>
      <w:r>
        <w:t xml:space="preserve"> </w:t>
      </w:r>
      <w:r>
        <w:t xml:space="preserve">brackets.</w:t>
      </w:r>
      <w:r>
        <w:t xml:space="preserve"> </w:t>
      </w:r>
      <w:r>
        <w:t xml:space="preserve">Maximum amount in EUR or</w:t>
      </w:r>
      <w:r>
        <w:t xml:space="preserve"> </w:t>
      </w:r>
      <w:r>
        <w:t xml:space="preserve">for non-EA MS their national</w:t>
      </w:r>
      <w:r>
        <w:t xml:space="preserve"> </w:t>
      </w:r>
      <w:r>
        <w:t xml:space="preserve">currency with EUR amount in</w:t>
      </w:r>
      <w:r>
        <w:t xml:space="preserve"> </w:t>
      </w:r>
      <w:r>
        <w:t xml:space="preserve">brackets</w:t>
      </w:r>
    </w:p>
    <w:p>
      <w:pPr>
        <w:pStyle w:val="FirstParagraph"/>
      </w:pPr>
      <w:r>
        <w:t xml:space="preserve">AT</w:t>
      </w:r>
      <w:r>
        <w:t xml:space="preserve"> </w:t>
      </w:r>
      <w:r>
        <w:t xml:space="preserve">DAC 2</w:t>
      </w:r>
      <w:r>
        <w:t xml:space="preserve"> </w:t>
      </w:r>
      <w:r>
        <w:t xml:space="preserve">-</w:t>
      </w:r>
      <w:r>
        <w:t xml:space="preserve"> </w:t>
      </w:r>
      <w:r>
        <w:t xml:space="preserve">Scope ratione materiae</w:t>
      </w:r>
      <w:r>
        <w:t xml:space="preserve"> </w:t>
      </w:r>
      <w:r>
        <w:t xml:space="preserve">Scenario 2: No differentiation in fines for different</w:t>
      </w:r>
      <w:r>
        <w:t xml:space="preserve"> </w:t>
      </w:r>
      <w:r>
        <w:t xml:space="preserve">reporting categories - Infringement of reporting</w:t>
      </w:r>
      <w:r>
        <w:t xml:space="preserve"> </w:t>
      </w:r>
      <w:r>
        <w:t xml:space="preserve">obligations under DAC 2</w:t>
      </w:r>
      <w:r>
        <w:t xml:space="preserve"> </w:t>
      </w:r>
      <w:r>
        <w:t xml:space="preserve">-</w:t>
      </w:r>
      <w:r>
        <w:t xml:space="preserve"> </w:t>
      </w:r>
      <w:r>
        <w:t xml:space="preserve">Personal scope</w:t>
      </w:r>
      <w:r>
        <w:br/>
      </w:r>
      <w:r>
        <w:t xml:space="preserve">No differentiation between legal entities or natural</w:t>
      </w:r>
      <w:r>
        <w:t xml:space="preserve"> </w:t>
      </w:r>
      <w:r>
        <w:t xml:space="preserve">persons for application of penalties is made</w:t>
      </w:r>
      <w:r>
        <w:t xml:space="preserve"> </w:t>
      </w:r>
      <w:r>
        <w:t xml:space="preserve">-</w:t>
      </w:r>
      <w:r>
        <w:t xml:space="preserve"> </w:t>
      </w:r>
      <w:r>
        <w:t xml:space="preserve">Individual / Cumulative application: Not</w:t>
      </w:r>
      <w:r>
        <w:t xml:space="preserve"> </w:t>
      </w:r>
      <w:r>
        <w:t xml:space="preserve">explicit but it appears that penalties are</w:t>
      </w:r>
      <w:r>
        <w:t xml:space="preserve"> </w:t>
      </w:r>
      <w:r>
        <w:t xml:space="preserve">applied per person and per infringement.</w:t>
      </w:r>
    </w:p>
    <w:p>
      <w:pPr>
        <w:pStyle w:val="BodyText"/>
      </w:pPr>
      <w:r>
        <w:t xml:space="preserve">Not determined</w:t>
      </w:r>
      <w:r>
        <w:t xml:space="preserve"> </w:t>
      </w:r>
      <w:r>
        <w:t xml:space="preserve">Different fine amounts apply</w:t>
      </w:r>
      <w:r>
        <w:t xml:space="preserve"> </w:t>
      </w:r>
      <w:r>
        <w:t xml:space="preserve">depending on whether the</w:t>
      </w:r>
      <w:r>
        <w:t xml:space="preserve"> </w:t>
      </w:r>
      <w:r>
        <w:t xml:space="preserve">infringement is intentional or</w:t>
      </w:r>
      <w:r>
        <w:t xml:space="preserve"> </w:t>
      </w:r>
      <w:r>
        <w:t xml:space="preserve">results from gross negligence</w:t>
      </w:r>
      <w:r>
        <w:br/>
      </w:r>
      <w:r>
        <w:t xml:space="preserve">Intentional: 200 000 EUR</w:t>
      </w:r>
      <w:r>
        <w:br/>
      </w:r>
      <w:r>
        <w:t xml:space="preserve">Gross negligence: 100 000</w:t>
      </w:r>
      <w:r>
        <w:t xml:space="preserve"> </w:t>
      </w:r>
      <w:r>
        <w:t xml:space="preserve">EUR</w:t>
      </w:r>
      <w:r>
        <w:t xml:space="preserve"> </w:t>
      </w:r>
      <w:r>
        <w:t xml:space="preserve">DAC 4</w:t>
      </w:r>
      <w:r>
        <w:t xml:space="preserve"> </w:t>
      </w:r>
      <w:r>
        <w:t xml:space="preserve"></w:t>
      </w:r>
      <w:r>
        <w:t xml:space="preserve"> </w:t>
      </w:r>
      <w:r>
        <w:t xml:space="preserve">Scope ratione materiae</w:t>
      </w:r>
      <w:r>
        <w:t xml:space="preserve"> </w:t>
      </w:r>
      <w:r>
        <w:t xml:space="preserve">Scenario 2: No differentiation in fines for different</w:t>
      </w:r>
      <w:r>
        <w:t xml:space="preserve"> </w:t>
      </w:r>
      <w:r>
        <w:t xml:space="preserve">reporting categories - Infringement of reporting</w:t>
      </w:r>
      <w:r>
        <w:t xml:space="preserve"> </w:t>
      </w:r>
      <w:r>
        <w:t xml:space="preserve">obligations under DAC 4</w:t>
      </w:r>
      <w:r>
        <w:br/>
      </w:r>
      <w:r>
        <w:t xml:space="preserve"></w:t>
      </w:r>
      <w:r>
        <w:t xml:space="preserve"> </w:t>
      </w:r>
      <w:r>
        <w:t xml:space="preserve">Personal scope: Penalties apply to legal</w:t>
      </w:r>
      <w:r>
        <w:t xml:space="preserve"> </w:t>
      </w:r>
      <w:r>
        <w:t xml:space="preserve">persons</w:t>
      </w:r>
    </w:p>
    <w:p>
      <w:pPr>
        <w:pStyle w:val="BodyText"/>
      </w:pPr>
      <w:r>
        <w:t xml:space="preserve">Not determined</w:t>
      </w:r>
      <w:r>
        <w:t xml:space="preserve"> </w:t>
      </w:r>
      <w:r>
        <w:t xml:space="preserve">Different fine amounts apply</w:t>
      </w:r>
      <w:r>
        <w:t xml:space="preserve"> </w:t>
      </w:r>
      <w:r>
        <w:t xml:space="preserve">depending on whether the</w:t>
      </w:r>
      <w:r>
        <w:t xml:space="preserve"> </w:t>
      </w:r>
      <w:r>
        <w:t xml:space="preserve">infringement is intentional or</w:t>
      </w:r>
      <w:r>
        <w:t xml:space="preserve"> </w:t>
      </w:r>
      <w:r>
        <w:t xml:space="preserve">results from gross-negligence</w:t>
      </w:r>
      <w:r>
        <w:br/>
      </w:r>
      <w:r>
        <w:t xml:space="preserve">Intentional failure to file, late</w:t>
      </w:r>
      <w:r>
        <w:t xml:space="preserve"> </w:t>
      </w:r>
      <w:r>
        <w:t xml:space="preserve">filing</w:t>
      </w:r>
      <w:r>
        <w:t xml:space="preserve"> </w:t>
      </w:r>
      <w:r>
        <w:t xml:space="preserve">or</w:t>
      </w:r>
      <w:r>
        <w:t xml:space="preserve"> </w:t>
      </w:r>
      <w:r>
        <w:t xml:space="preserve">file</w:t>
      </w:r>
      <w:r>
        <w:t xml:space="preserve"> </w:t>
      </w:r>
      <w:r>
        <w:t xml:space="preserve">inaccurate</w:t>
      </w:r>
      <w:r>
        <w:t xml:space="preserve"> </w:t>
      </w:r>
      <w:r>
        <w:t xml:space="preserve">information: 50 000 EUR</w:t>
      </w:r>
      <w:r>
        <w:br/>
      </w:r>
      <w:r>
        <w:t xml:space="preserve">Gross negligence failure to</w:t>
      </w:r>
      <w:r>
        <w:t xml:space="preserve"> </w:t>
      </w:r>
      <w:r>
        <w:t xml:space="preserve">file,</w:t>
      </w:r>
      <w:r>
        <w:t xml:space="preserve"> </w:t>
      </w:r>
      <w:r>
        <w:t xml:space="preserve">late</w:t>
      </w:r>
      <w:r>
        <w:t xml:space="preserve"> </w:t>
      </w:r>
      <w:r>
        <w:t xml:space="preserve">filing</w:t>
      </w:r>
      <w:r>
        <w:t xml:space="preserve"> </w:t>
      </w:r>
      <w:r>
        <w:t xml:space="preserve">or</w:t>
      </w:r>
      <w:r>
        <w:t xml:space="preserve"> </w:t>
      </w:r>
      <w:r>
        <w:t xml:space="preserve">file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Individual / Cumulative application: Not</w:t>
      </w:r>
      <w:r>
        <w:t xml:space="preserve"> </w:t>
      </w:r>
      <w:r>
        <w:t xml:space="preserve">explicit but it seems that penalties are</w:t>
      </w:r>
      <w:r>
        <w:t xml:space="preserve"> </w:t>
      </w:r>
      <w:r>
        <w:t xml:space="preserve">applied per person and per infringement.</w:t>
      </w:r>
      <w:r>
        <w:t xml:space="preserve"> </w:t>
      </w:r>
      <w:r>
        <w:t xml:space="preserve">inaccurate information: 25</w:t>
      </w:r>
      <w:r>
        <w:t xml:space="preserve"> </w:t>
      </w:r>
      <w:r>
        <w:t xml:space="preserve">000 EUR</w:t>
      </w:r>
      <w:r>
        <w:br/>
      </w:r>
      <w:r>
        <w:t xml:space="preserve">DAC 6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t xml:space="preserve"> </w:t>
      </w:r>
      <w:r>
        <w:t xml:space="preserve">Scenario 2: No differentiation in fines for different</w:t>
      </w:r>
      <w:r>
        <w:t xml:space="preserve"> </w:t>
      </w:r>
      <w:r>
        <w:t xml:space="preserve">reporting categories.</w:t>
      </w:r>
      <w:r>
        <w:br/>
      </w:r>
      <w:r>
        <w:t xml:space="preserve">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No differentiation between legal entities or natural</w:t>
      </w:r>
      <w:r>
        <w:t xml:space="preserve"> </w:t>
      </w:r>
      <w:r>
        <w:t xml:space="preserve">persons for application of penalties is made</w:t>
      </w:r>
      <w:r>
        <w:br/>
      </w:r>
      <w:r>
        <w:t xml:space="preserve">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applied per person and per infringement.</w:t>
      </w:r>
      <w:r>
        <w:t xml:space="preserve"> </w:t>
      </w:r>
      <w:r>
        <w:t xml:space="preserve">According to the Austrian Financial Criminal Act</w:t>
      </w:r>
      <w:r>
        <w:t xml:space="preserve"> </w:t>
      </w:r>
      <w:r>
        <w:t xml:space="preserve">(FinStrG) and the Corporate Criminal Act (VbVG), more</w:t>
      </w:r>
      <w:r>
        <w:t xml:space="preserve"> </w:t>
      </w:r>
      <w:r>
        <w:t xml:space="preserve">than one person could be fined for the same</w:t>
      </w:r>
      <w:r>
        <w:t xml:space="preserve"> </w:t>
      </w:r>
      <w:r>
        <w:t xml:space="preserve">non/false/late-reporting case</w:t>
      </w:r>
      <w:r>
        <w:t xml:space="preserve"> </w:t>
      </w:r>
      <w:r>
        <w:t xml:space="preserve">Not determined</w:t>
      </w:r>
      <w:r>
        <w:t xml:space="preserve"> </w:t>
      </w:r>
      <w:r>
        <w:t xml:space="preserve">Different</w:t>
      </w:r>
      <w:r>
        <w:t xml:space="preserve"> </w:t>
      </w:r>
      <w:r>
        <w:t xml:space="preserve">amounts</w:t>
      </w:r>
      <w:r>
        <w:t xml:space="preserve"> </w:t>
      </w:r>
      <w:r>
        <w:t xml:space="preserve">apply</w:t>
      </w:r>
      <w:r>
        <w:t xml:space="preserve"> </w:t>
      </w:r>
      <w:r>
        <w:t xml:space="preserve">depending on whether the</w:t>
      </w:r>
      <w:r>
        <w:t xml:space="preserve"> </w:t>
      </w:r>
      <w:r>
        <w:t xml:space="preserve">infringement is intentional or</w:t>
      </w:r>
      <w:r>
        <w:t xml:space="preserve"> </w:t>
      </w:r>
      <w:r>
        <w:t xml:space="preserve">results from gross-negligence</w:t>
      </w:r>
      <w:r>
        <w:br/>
      </w:r>
      <w:r>
        <w:t xml:space="preserve">Intentional</w:t>
      </w:r>
      <w:r>
        <w:t xml:space="preserve"> </w:t>
      </w:r>
      <w:r>
        <w:t xml:space="preserve">non-reporting,</w:t>
      </w:r>
      <w:r>
        <w:t xml:space="preserve"> </w:t>
      </w:r>
      <w:r>
        <w:t xml:space="preserve">false</w:t>
      </w:r>
      <w:r>
        <w:t xml:space="preserve"> </w:t>
      </w:r>
      <w:r>
        <w:t xml:space="preserve">reporting</w:t>
      </w:r>
      <w:r>
        <w:t xml:space="preserve"> </w:t>
      </w:r>
      <w:r>
        <w:t xml:space="preserve">or</w:t>
      </w:r>
      <w:r>
        <w:t xml:space="preserve"> </w:t>
      </w:r>
      <w:r>
        <w:t xml:space="preserve">late</w:t>
      </w:r>
      <w:r>
        <w:t xml:space="preserve"> </w:t>
      </w:r>
      <w:r>
        <w:t xml:space="preserve">reporting: up to 50 000 EUR</w:t>
      </w:r>
      <w:r>
        <w:br/>
      </w:r>
      <w:r>
        <w:t xml:space="preserve">Gross</w:t>
      </w:r>
      <w:r>
        <w:t xml:space="preserve"> </w:t>
      </w:r>
      <w:r>
        <w:t xml:space="preserve">negligence</w:t>
      </w:r>
      <w:r>
        <w:t xml:space="preserve"> </w:t>
      </w:r>
      <w:r>
        <w:t xml:space="preserve">non-</w:t>
      </w:r>
      <w:r>
        <w:t xml:space="preserve"> </w:t>
      </w:r>
      <w:r>
        <w:t xml:space="preserve">reporting, false reporting or</w:t>
      </w:r>
      <w:r>
        <w:t xml:space="preserve"> </w:t>
      </w:r>
      <w:r>
        <w:t xml:space="preserve">late reporting: up to 25 000</w:t>
      </w:r>
      <w:r>
        <w:t xml:space="preserve"> </w:t>
      </w:r>
      <w:r>
        <w:t xml:space="preserve">EUR</w:t>
      </w:r>
      <w:r>
        <w:t xml:space="preserve"> </w:t>
      </w:r>
      <w:r>
        <w:t xml:space="preserve">BE</w:t>
      </w:r>
      <w:r>
        <w:t xml:space="preserve"> </w:t>
      </w:r>
      <w:r>
        <w:t xml:space="preserve">DAC 2</w:t>
      </w:r>
      <w:r>
        <w:br/>
      </w:r>
      <w:r>
        <w:t xml:space="preserve">Scope ratione materiae</w:t>
      </w:r>
      <w:r>
        <w:t xml:space="preserve"> </w:t>
      </w:r>
      <w:r>
        <w:t xml:space="preserve">Non-communication of information</w:t>
      </w:r>
      <w:r>
        <w:t xml:space="preserve"> </w:t>
      </w:r>
      <w:r>
        <w:t xml:space="preserve">Any other infringement</w:t>
      </w:r>
      <w:r>
        <w:t xml:space="preserve"> </w:t>
      </w:r>
      <w:r>
        <w:t xml:space="preserve">If infringement with intention to commit fraud or</w:t>
      </w:r>
      <w:r>
        <w:t xml:space="preserve"> </w:t>
      </w:r>
      <w:r>
        <w:t xml:space="preserve">harm</w:t>
      </w:r>
      <w:r>
        <w:t xml:space="preserve"> </w:t>
      </w:r>
      <w:r>
        <w:t xml:space="preserve">If use of falsifications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No differentiation between legal entities or natural</w:t>
      </w:r>
      <w:r>
        <w:t xml:space="preserve"> </w:t>
      </w:r>
      <w:r>
        <w:t xml:space="preserve">persons for application of penalties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per individual infringement and person</w:t>
      </w:r>
    </w:p>
    <w:p>
      <w:pPr>
        <w:pStyle w:val="BodyText"/>
      </w:pPr>
      <w:r>
        <w:t xml:space="preserve">250 EUR</w:t>
      </w:r>
      <w:r>
        <w:t xml:space="preserve"> </w:t>
      </w:r>
      <w:r>
        <w:t xml:space="preserve">250 EUR</w:t>
      </w:r>
    </w:p>
    <w:p>
      <w:pPr>
        <w:pStyle w:val="BodyText"/>
      </w:pPr>
      <w:r>
        <w:t xml:space="preserve">1000 EUR per reportable</w:t>
      </w:r>
      <w:r>
        <w:t xml:space="preserve"> </w:t>
      </w:r>
      <w:r>
        <w:t xml:space="preserve">account</w:t>
      </w:r>
      <w:r>
        <w:t xml:space="preserve"> </w:t>
      </w:r>
      <w:r>
        <w:t xml:space="preserve">2500 EUR</w:t>
      </w:r>
      <w:r>
        <w:t xml:space="preserve"> </w:t>
      </w:r>
      <w:r>
        <w:t xml:space="preserve">500 000 EUR or imprisonment</w:t>
      </w:r>
      <w:r>
        <w:t xml:space="preserve"> </w:t>
      </w:r>
      <w:r>
        <w:t xml:space="preserve">up to 5 years</w:t>
      </w:r>
      <w:r>
        <w:t xml:space="preserve"> </w:t>
      </w:r>
      <w:r>
        <w:t xml:space="preserve">500 000 EUR or imprisonment</w:t>
      </w:r>
      <w:r>
        <w:t xml:space="preserve"> </w:t>
      </w:r>
      <w:r>
        <w:t xml:space="preserve">up to 5 years</w:t>
      </w:r>
      <w:r>
        <w:t xml:space="preserve"> </w:t>
      </w:r>
      <w:r>
        <w:t xml:space="preserve">DAC 4</w:t>
      </w:r>
      <w:r>
        <w:br/>
      </w:r>
      <w:r>
        <w:t xml:space="preserve">Scope ratione materiae</w:t>
      </w:r>
      <w:r>
        <w:t xml:space="preserve"> </w:t>
      </w:r>
      <w:r>
        <w:t xml:space="preserve">If non-communication, late communication or</w:t>
      </w:r>
      <w:r>
        <w:t xml:space="preserve"> </w:t>
      </w:r>
      <w:r>
        <w:t xml:space="preserve">incomplete communication not committed in bad</w:t>
      </w:r>
      <w:r>
        <w:t xml:space="preserve"> </w:t>
      </w:r>
      <w:r>
        <w:t xml:space="preserve">faith or committed without intention to commit fraud</w:t>
      </w:r>
      <w:r>
        <w:t xml:space="preserve"> </w:t>
      </w:r>
      <w:r>
        <w:t xml:space="preserve">If the above committed in bad faith or with intention</w:t>
      </w:r>
      <w:r>
        <w:t xml:space="preserve"> </w:t>
      </w:r>
      <w:r>
        <w:t xml:space="preserve">to commit fraud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Legal entities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per individual infringement and person. The</w:t>
      </w:r>
      <w:r>
        <w:t xml:space="preserve"> </w:t>
      </w:r>
      <w:r>
        <w:t xml:space="preserve">penalties increase gradually per repeated</w:t>
      </w:r>
      <w:r>
        <w:t xml:space="preserve"> </w:t>
      </w:r>
      <w:r>
        <w:t xml:space="preserve">infringement according to a table</w:t>
      </w:r>
    </w:p>
    <w:p>
      <w:pPr>
        <w:pStyle w:val="BodyText"/>
      </w:pPr>
      <w:r>
        <w:t xml:space="preserve">1250 EUR</w:t>
      </w:r>
    </w:p>
    <w:p>
      <w:pPr>
        <w:pStyle w:val="BodyText"/>
      </w:pPr>
      <w:r>
        <w:t xml:space="preserve">12 500 EUR</w:t>
      </w:r>
    </w:p>
    <w:p>
      <w:pPr>
        <w:pStyle w:val="BodyText"/>
      </w:pPr>
      <w:r>
        <w:t xml:space="preserve">25 000 EUR</w:t>
      </w:r>
    </w:p>
    <w:p>
      <w:pPr>
        <w:pStyle w:val="BodyText"/>
      </w:pPr>
      <w:r>
        <w:t xml:space="preserve">25 000 EUR</w:t>
      </w:r>
      <w:r>
        <w:t xml:space="preserve"> </w:t>
      </w:r>
      <w:r>
        <w:t xml:space="preserve">DAC 6</w:t>
      </w:r>
      <w:r>
        <w:br/>
      </w:r>
      <w:r>
        <w:t xml:space="preserve">Scope ratione materiae</w:t>
      </w:r>
      <w:r>
        <w:t xml:space="preserve"> </w:t>
      </w:r>
      <w:r>
        <w:t xml:space="preserve">Incomplete information, if given without intention to</w:t>
      </w:r>
      <w:r>
        <w:t xml:space="preserve"> </w:t>
      </w:r>
      <w:r>
        <w:t xml:space="preserve">commit fraud</w:t>
      </w:r>
      <w:r>
        <w:t xml:space="preserve"> </w:t>
      </w:r>
      <w:r>
        <w:t xml:space="preserve">Incomplete information, if given with intention to</w:t>
      </w:r>
      <w:r>
        <w:t xml:space="preserve"> </w:t>
      </w:r>
      <w:r>
        <w:t xml:space="preserve">commit fraud</w:t>
      </w:r>
      <w:r>
        <w:t xml:space="preserve"> </w:t>
      </w:r>
      <w:r>
        <w:t xml:space="preserve">Non-provision or late provision of information without</w:t>
      </w:r>
      <w:r>
        <w:t xml:space="preserve"> </w:t>
      </w:r>
      <w:r>
        <w:t xml:space="preserve">intention to commit fraud</w:t>
      </w:r>
      <w:r>
        <w:t xml:space="preserve"> </w:t>
      </w:r>
      <w:r>
        <w:t xml:space="preserve">Non-provision or late provision of information with</w:t>
      </w:r>
      <w:r>
        <w:t xml:space="preserve"> </w:t>
      </w:r>
      <w:r>
        <w:t xml:space="preserve">intention to commit fraud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No differentiation between legal entities or natural</w:t>
      </w:r>
      <w:r>
        <w:t xml:space="preserve"> </w:t>
      </w:r>
      <w:r>
        <w:t xml:space="preserve">persons for application of penalties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per individual infringement and person.</w:t>
      </w:r>
    </w:p>
    <w:p>
      <w:pPr>
        <w:pStyle w:val="BodyText"/>
      </w:pPr>
      <w:r>
        <w:t xml:space="preserve">1250 EUR</w:t>
      </w:r>
      <w:r>
        <w:t xml:space="preserve"> </w:t>
      </w:r>
      <w:r>
        <w:t xml:space="preserve">2500 EUR</w:t>
      </w:r>
      <w:r>
        <w:t xml:space="preserve"> </w:t>
      </w:r>
      <w:r>
        <w:t xml:space="preserve">5000 EUR</w:t>
      </w:r>
    </w:p>
    <w:p>
      <w:pPr>
        <w:pStyle w:val="BodyText"/>
      </w:pPr>
      <w:r>
        <w:t xml:space="preserve">12 500 EUR</w:t>
      </w:r>
    </w:p>
    <w:p>
      <w:pPr>
        <w:pStyle w:val="BodyText"/>
      </w:pPr>
      <w:r>
        <w:t xml:space="preserve">12 500 EUR</w:t>
      </w:r>
      <w:r>
        <w:t xml:space="preserve"> </w:t>
      </w:r>
      <w:r>
        <w:t xml:space="preserve">25 000 EUR</w:t>
      </w:r>
      <w:r>
        <w:t xml:space="preserve"> </w:t>
      </w:r>
      <w:r>
        <w:t xml:space="preserve">50 000 EUR</w:t>
      </w:r>
    </w:p>
    <w:p>
      <w:pPr>
        <w:pStyle w:val="BodyText"/>
      </w:pPr>
      <w:r>
        <w:t xml:space="preserve">500 000 EUR</w:t>
      </w:r>
      <w:r>
        <w:t xml:space="preserve"> </w:t>
      </w:r>
      <w:r>
        <w:t xml:space="preserve">BG</w:t>
      </w:r>
      <w:r>
        <w:t xml:space="preserve"> </w:t>
      </w:r>
      <w:r>
        <w:t xml:space="preserve">DAC 2</w:t>
      </w:r>
      <w:r>
        <w:br/>
      </w:r>
      <w:r>
        <w:t xml:space="preserve">Scope ratione materiae</w:t>
      </w:r>
      <w:r>
        <w:t xml:space="preserve"> </w:t>
      </w:r>
      <w:r>
        <w:t xml:space="preserve">1) Non-reporting of information or incorrect</w:t>
      </w:r>
      <w:r>
        <w:t xml:space="preserve"> </w:t>
      </w:r>
      <w:r>
        <w:t xml:space="preserve">information</w:t>
      </w:r>
    </w:p>
    <w:p>
      <w:pPr>
        <w:pStyle w:val="Compact"/>
        <w:numPr>
          <w:ilvl w:val="0"/>
          <w:numId w:val="1031"/>
        </w:numPr>
      </w:pPr>
      <w:r>
        <w:t xml:space="preserve">Opening a new account without adhering to</w:t>
      </w:r>
      <w:r>
        <w:t xml:space="preserve"> </w:t>
      </w:r>
      <w:r>
        <w:t xml:space="preserve">the customer due diligence procedures</w:t>
      </w:r>
    </w:p>
    <w:p>
      <w:pPr>
        <w:pStyle w:val="Compact"/>
        <w:numPr>
          <w:ilvl w:val="0"/>
          <w:numId w:val="1031"/>
        </w:numPr>
      </w:pPr>
      <w:r>
        <w:t xml:space="preserve">Not keeping the customer due diligence</w:t>
      </w:r>
      <w:r>
        <w:t xml:space="preserve"> </w:t>
      </w:r>
      <w:r>
        <w:t xml:space="preserve">documentation</w:t>
      </w:r>
    </w:p>
    <w:p>
      <w:pPr>
        <w:pStyle w:val="FirstParagraph"/>
      </w:pPr>
      <w:r>
        <w:t xml:space="preserve">Not determined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Not determined</w:t>
      </w:r>
      <w:r>
        <w:t xml:space="preserve"> </w:t>
      </w:r>
      <w:r>
        <w:t xml:space="preserve">Not determined</w:t>
      </w:r>
    </w:p>
    <w:p>
      <w:pPr>
        <w:pStyle w:val="BodyText"/>
      </w:pPr>
      <w:r>
        <w:t xml:space="preserve">EUR 130 per reportable</w:t>
      </w:r>
      <w:r>
        <w:t xml:space="preserve"> </w:t>
      </w:r>
      <w:r>
        <w:t xml:space="preserve">account</w:t>
      </w:r>
      <w:r>
        <w:t xml:space="preserve"> </w:t>
      </w:r>
      <w:r>
        <w:t xml:space="preserve">EUR 260 per reportable</w:t>
      </w:r>
      <w:r>
        <w:t xml:space="preserve"> </w:t>
      </w:r>
      <w:r>
        <w:t xml:space="preserve">account for repeat violation</w:t>
      </w:r>
    </w:p>
    <w:p>
      <w:pPr>
        <w:pStyle w:val="BodyText"/>
      </w:pPr>
      <w:r>
        <w:t xml:space="preserve">EUR 500 per reportable</w:t>
      </w:r>
      <w:r>
        <w:t xml:space="preserve"> </w:t>
      </w:r>
      <w:r>
        <w:t xml:space="preserve">account</w:t>
      </w:r>
    </w:p>
    <w:p>
      <w:pPr>
        <w:pStyle w:val="BodyText"/>
      </w:pPr>
      <w:r>
        <w:t xml:space="preserve">82</w:t>
      </w:r>
    </w:p>
    <w:p>
      <w:pPr>
        <w:pStyle w:val="Compact"/>
        <w:numPr>
          <w:ilvl w:val="0"/>
          <w:numId w:val="1032"/>
        </w:numPr>
      </w:pPr>
      <w:r>
        <w:t xml:space="preserve">Not closing accounts after refusal by the</w:t>
      </w:r>
      <w:r>
        <w:t xml:space="preserve"> </w:t>
      </w:r>
      <w:r>
        <w:t xml:space="preserve">account holder to provide self-certification or</w:t>
      </w:r>
      <w:r>
        <w:t xml:space="preserve"> </w:t>
      </w:r>
      <w:r>
        <w:t xml:space="preserve">other information. Manipulating the IT system</w:t>
      </w:r>
      <w:r>
        <w:t xml:space="preserve"> </w:t>
      </w:r>
      <w:r>
        <w:t xml:space="preserve">in order to hamper the aggregation of financial</w:t>
      </w:r>
      <w:r>
        <w:t xml:space="preserve"> </w:t>
      </w:r>
      <w:r>
        <w:t xml:space="preserve">accounts of account holders</w:t>
      </w:r>
    </w:p>
    <w:p>
      <w:pPr>
        <w:pStyle w:val="Compact"/>
        <w:numPr>
          <w:ilvl w:val="0"/>
          <w:numId w:val="1032"/>
        </w:numPr>
      </w:pPr>
      <w:r>
        <w:t xml:space="preserve">Account Holder providing misleading self-</w:t>
      </w:r>
      <w:r>
        <w:t xml:space="preserve"> </w:t>
      </w:r>
      <w:r>
        <w:t xml:space="preserve">certification or other misleading information</w:t>
      </w:r>
    </w:p>
    <w:p>
      <w:pPr>
        <w:pStyle w:val="FirstParagraph"/>
      </w:pPr>
      <w:r>
        <w:t xml:space="preserve">Personal scope</w:t>
      </w:r>
      <w:r>
        <w:t xml:space="preserve"> </w:t>
      </w:r>
      <w:r>
        <w:t xml:space="preserve">The fine for providing misleading self-</w:t>
      </w:r>
      <w:r>
        <w:t xml:space="preserve"> </w:t>
      </w:r>
      <w:r>
        <w:t xml:space="preserve">certification or other information (point 5</w:t>
      </w:r>
      <w:r>
        <w:t xml:space="preserve"> </w:t>
      </w:r>
      <w:r>
        <w:t xml:space="preserve">above) applies to account holders (mostly</w:t>
      </w:r>
      <w:r>
        <w:t xml:space="preserve"> </w:t>
      </w:r>
      <w:r>
        <w:t xml:space="preserve">natural persons)</w:t>
      </w:r>
      <w:r>
        <w:t xml:space="preserve"> </w:t>
      </w:r>
      <w:r>
        <w:t xml:space="preserve">All other fines (points 1-4 above) apply to</w:t>
      </w:r>
      <w:r>
        <w:t xml:space="preserve"> </w:t>
      </w:r>
      <w:r>
        <w:t xml:space="preserve">Reporting Financial Institutions (legal persons)</w:t>
      </w:r>
    </w:p>
    <w:p>
      <w:pPr>
        <w:pStyle w:val="BodyText"/>
      </w:pPr>
      <w:r>
        <w:t xml:space="preserve">Individual / Cumulative application</w:t>
      </w:r>
      <w:r>
        <w:t xml:space="preserve"> </w:t>
      </w:r>
      <w:r>
        <w:t xml:space="preserve">Penalties 1) and 2), i.e. for non-provision of</w:t>
      </w:r>
      <w:r>
        <w:t xml:space="preserve"> </w:t>
      </w:r>
      <w:r>
        <w:t xml:space="preserve">information or incorrect information and for opening</w:t>
      </w:r>
      <w:r>
        <w:t xml:space="preserve"> </w:t>
      </w:r>
      <w:r>
        <w:t xml:space="preserve">a new account without adhering to the customer due</w:t>
      </w:r>
      <w:r>
        <w:t xml:space="preserve"> </w:t>
      </w:r>
      <w:r>
        <w:t xml:space="preserve">diligence procedures are per individual infringement</w:t>
      </w:r>
      <w:r>
        <w:t xml:space="preserve"> </w:t>
      </w:r>
      <w:r>
        <w:t xml:space="preserve">and per each reportable account</w:t>
      </w:r>
      <w:r>
        <w:t xml:space="preserve"> </w:t>
      </w:r>
      <w:r>
        <w:t xml:space="preserve">Penalties 3) and 4) i.e. for not keeping the customer</w:t>
      </w:r>
      <w:r>
        <w:t xml:space="preserve"> </w:t>
      </w:r>
      <w:r>
        <w:t xml:space="preserve">due diligence documentation and for not closing</w:t>
      </w:r>
      <w:r>
        <w:t xml:space="preserve"> </w:t>
      </w:r>
      <w:r>
        <w:t xml:space="preserve">accounts after refusal by the account holder to</w:t>
      </w:r>
      <w:r>
        <w:t xml:space="preserve"> </w:t>
      </w:r>
      <w:r>
        <w:t xml:space="preserve">provide self-certification or other information or</w:t>
      </w:r>
      <w:r>
        <w:t xml:space="preserve"> </w:t>
      </w:r>
      <w:r>
        <w:t xml:space="preserve">manipulating the IT system in order to hamper the</w:t>
      </w:r>
      <w:r>
        <w:t xml:space="preserve"> </w:t>
      </w:r>
      <w:r>
        <w:t xml:space="preserve">aggregation of financial accounts of account holders</w:t>
      </w:r>
      <w:r>
        <w:t xml:space="preserve"> </w:t>
      </w:r>
      <w:r>
        <w:t xml:space="preserve">are cumulatively applicable for the financial institution</w:t>
      </w:r>
      <w:r>
        <w:t xml:space="preserve"> </w:t>
      </w:r>
      <w:r>
        <w:t xml:space="preserve">as a whole</w:t>
      </w:r>
      <w:r>
        <w:t xml:space="preserve"> </w:t>
      </w:r>
      <w:r>
        <w:t xml:space="preserve">Penalty 5) for providing misleading self-certification or</w:t>
      </w:r>
      <w:r>
        <w:t xml:space="preserve"> </w:t>
      </w:r>
      <w:r>
        <w:t xml:space="preserve">other misleading information is per individual</w:t>
      </w:r>
      <w:r>
        <w:t xml:space="preserve"> </w:t>
      </w:r>
      <w:r>
        <w:t xml:space="preserve">infringement and per each reportable account of the</w:t>
      </w:r>
      <w:r>
        <w:t xml:space="preserve"> </w:t>
      </w:r>
      <w:r>
        <w:t xml:space="preserve">same account holder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1000</w:t>
      </w:r>
      <w:r>
        <w:br/>
      </w:r>
      <w:r>
        <w:t xml:space="preserve">EUR 1000</w:t>
      </w:r>
    </w:p>
    <w:p>
      <w:pPr>
        <w:pStyle w:val="BodyText"/>
      </w:pPr>
      <w:r>
        <w:t xml:space="preserve">EUR 500 per reportable</w:t>
      </w:r>
      <w:r>
        <w:t xml:space="preserve"> </w:t>
      </w:r>
      <w:r>
        <w:t xml:space="preserve">account (outside of criminal</w:t>
      </w:r>
      <w:r>
        <w:t xml:space="preserve"> </w:t>
      </w:r>
      <w:r>
        <w:t xml:space="preserve">sanctions, if applicable)</w:t>
      </w:r>
    </w:p>
    <w:p>
      <w:pPr>
        <w:pStyle w:val="BodyText"/>
      </w:pPr>
      <w:r>
        <w:t xml:space="preserve">DAC 4</w:t>
      </w:r>
      <w:r>
        <w:br/>
      </w:r>
      <w:r>
        <w:t xml:space="preserve">Scope ratione materiae</w:t>
      </w:r>
      <w:r>
        <w:t xml:space="preserve"> </w:t>
      </w:r>
      <w:r>
        <w:t xml:space="preserve">1) Non-reporting of information under CbCR</w:t>
      </w:r>
    </w:p>
    <w:p>
      <w:pPr>
        <w:numPr>
          <w:ilvl w:val="0"/>
          <w:numId w:val="1033"/>
        </w:numPr>
      </w:pPr>
      <w:r>
        <w:t xml:space="preserve">Incomplete or incorrect reporting under CbCR</w:t>
      </w:r>
      <w:r>
        <w:t xml:space="preserve"> </w:t>
      </w:r>
      <w:r>
        <w:t xml:space="preserve">(applies also in case the ultimate parent company</w:t>
      </w:r>
      <w:r>
        <w:t xml:space="preserve"> </w:t>
      </w:r>
      <w:r>
        <w:t xml:space="preserve">does not provide the necessary information)</w:t>
      </w:r>
    </w:p>
    <w:p>
      <w:pPr>
        <w:numPr>
          <w:ilvl w:val="0"/>
          <w:numId w:val="1033"/>
        </w:numPr>
      </w:pPr>
      <w:r>
        <w:t xml:space="preserve">Failure of the resident constituent entity to notify</w:t>
      </w:r>
      <w:r>
        <w:t xml:space="preserve"> </w:t>
      </w:r>
      <w:r>
        <w:t xml:space="preserve">the tax administration that the ultimate parent entity</w:t>
      </w:r>
      <w:r>
        <w:t xml:space="preserve"> </w:t>
      </w:r>
      <w:r>
        <w:t xml:space="preserve">refused to provide the information</w:t>
      </w:r>
    </w:p>
    <w:p>
      <w:pPr>
        <w:numPr>
          <w:ilvl w:val="0"/>
          <w:numId w:val="1033"/>
        </w:numPr>
      </w:pPr>
      <w:r>
        <w:t xml:space="preserve">Failure of the resident constituent entity to notify</w:t>
      </w:r>
      <w:r>
        <w:t xml:space="preserve"> </w:t>
      </w:r>
      <w:r>
        <w:t xml:space="preserve">the tax administration whether it is an ultimate parent</w:t>
      </w:r>
      <w:r>
        <w:t xml:space="preserve"> </w:t>
      </w:r>
      <w:r>
        <w:t xml:space="preserve">entity, a surrogate parent entity or a constituent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Personal scope</w:t>
      </w:r>
      <w:r>
        <w:t xml:space="preserve"> </w:t>
      </w:r>
      <w:r>
        <w:t xml:space="preserve">The fines apply to constituent entities, which</w:t>
      </w:r>
      <w:r>
        <w:t xml:space="preserve"> </w:t>
      </w:r>
      <w:r>
        <w:t xml:space="preserve">are legal entities.</w:t>
      </w:r>
    </w:p>
    <w:p>
      <w:pPr>
        <w:pStyle w:val="BodyText"/>
      </w:pPr>
      <w:r>
        <w:t xml:space="preserve">Individual / Cumulative application</w:t>
      </w:r>
    </w:p>
    <w:p>
      <w:pPr>
        <w:pStyle w:val="BodyText"/>
      </w:pPr>
      <w:r>
        <w:t xml:space="preserve">EUR 50 000</w:t>
      </w:r>
      <w:r>
        <w:br/>
      </w:r>
      <w:r>
        <w:t xml:space="preserve">EUR 100 000 in repeat</w:t>
      </w:r>
      <w:r>
        <w:t xml:space="preserve"> </w:t>
      </w:r>
      <w:r>
        <w:t xml:space="preserve">violations</w:t>
      </w:r>
    </w:p>
    <w:p>
      <w:pPr>
        <w:pStyle w:val="BodyText"/>
      </w:pPr>
      <w:r>
        <w:t xml:space="preserve">EUR 25 000</w:t>
      </w:r>
      <w:r>
        <w:t xml:space="preserve"> </w:t>
      </w:r>
      <w:r>
        <w:t xml:space="preserve">EUR 50 000 in repeat</w:t>
      </w:r>
      <w:r>
        <w:t xml:space="preserve"> </w:t>
      </w:r>
      <w:r>
        <w:t xml:space="preserve">violations</w:t>
      </w:r>
    </w:p>
    <w:p>
      <w:pPr>
        <w:pStyle w:val="BodyText"/>
      </w:pPr>
      <w:r>
        <w:t xml:space="preserve">Fixed EUR 5000</w:t>
      </w:r>
      <w:r>
        <w:t xml:space="preserve"> </w:t>
      </w:r>
      <w:r>
        <w:t xml:space="preserve">Fixed EUR 7500 in</w:t>
      </w:r>
      <w:r>
        <w:t xml:space="preserve"> </w:t>
      </w:r>
      <w:r>
        <w:t xml:space="preserve">repeat violations</w:t>
      </w:r>
    </w:p>
    <w:p>
      <w:pPr>
        <w:pStyle w:val="BodyText"/>
      </w:pPr>
      <w:r>
        <w:t xml:space="preserve">EUR 25 000</w:t>
      </w:r>
      <w:r>
        <w:t xml:space="preserve"> </w:t>
      </w:r>
      <w:r>
        <w:t xml:space="preserve">EUR 50 000 in repeat</w:t>
      </w:r>
      <w:r>
        <w:t xml:space="preserve"> </w:t>
      </w:r>
      <w:r>
        <w:t xml:space="preserve">violations</w:t>
      </w:r>
    </w:p>
    <w:p>
      <w:pPr>
        <w:pStyle w:val="BodyText"/>
      </w:pPr>
      <w:r>
        <w:t xml:space="preserve">EUR 100 000</w:t>
      </w:r>
      <w:r>
        <w:br/>
      </w:r>
      <w:r>
        <w:t xml:space="preserve">EUR 150 000 in repeat</w:t>
      </w:r>
      <w:r>
        <w:t xml:space="preserve"> </w:t>
      </w:r>
      <w:r>
        <w:t xml:space="preserve">violations</w:t>
      </w:r>
    </w:p>
    <w:p>
      <w:pPr>
        <w:pStyle w:val="BodyText"/>
      </w:pPr>
      <w:r>
        <w:t xml:space="preserve">EUR 75 000</w:t>
      </w:r>
      <w:r>
        <w:t xml:space="preserve"> </w:t>
      </w:r>
      <w:r>
        <w:t xml:space="preserve">EUR 125 000 in repeat</w:t>
      </w:r>
      <w:r>
        <w:t xml:space="preserve"> </w:t>
      </w:r>
      <w:r>
        <w:t xml:space="preserve">violations</w:t>
      </w:r>
    </w:p>
    <w:p>
      <w:pPr>
        <w:pStyle w:val="BodyText"/>
      </w:pPr>
      <w:r>
        <w:t xml:space="preserve">Fixed EUR 5000</w:t>
      </w:r>
      <w:r>
        <w:t xml:space="preserve"> </w:t>
      </w:r>
      <w:r>
        <w:t xml:space="preserve">Fixed EUR 7500 in repeat</w:t>
      </w:r>
      <w:r>
        <w:t xml:space="preserve"> </w:t>
      </w:r>
      <w:r>
        <w:t xml:space="preserve">violations</w:t>
      </w:r>
    </w:p>
    <w:p>
      <w:pPr>
        <w:pStyle w:val="BodyText"/>
      </w:pPr>
      <w:r>
        <w:t xml:space="preserve">EUR 75 000</w:t>
      </w:r>
      <w:r>
        <w:t xml:space="preserve"> </w:t>
      </w:r>
      <w:r>
        <w:t xml:space="preserve">EUR 100 000 in repeat</w:t>
      </w:r>
      <w:r>
        <w:t xml:space="preserve"> </w:t>
      </w:r>
      <w:r>
        <w:t xml:space="preserve">violations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Penalties are cumulatively applicable</w:t>
      </w:r>
      <w:r>
        <w:t xml:space="preserve"> </w:t>
      </w:r>
      <w:r>
        <w:t xml:space="preserve">DAC 6</w:t>
      </w:r>
      <w:r>
        <w:br/>
      </w:r>
      <w:r>
        <w:t xml:space="preserve">Scope ratione materiae</w:t>
      </w:r>
      <w:r>
        <w:t xml:space="preserve"> </w:t>
      </w:r>
      <w:r>
        <w:t xml:space="preserve">1) Non-reporting on an arrangement by intermediary</w:t>
      </w:r>
      <w:r>
        <w:t xml:space="preserve"> </w:t>
      </w:r>
      <w:r>
        <w:t xml:space="preserve">or by relevant taxpayer</w:t>
      </w:r>
    </w:p>
    <w:p>
      <w:pPr>
        <w:numPr>
          <w:ilvl w:val="0"/>
          <w:numId w:val="1034"/>
        </w:numPr>
      </w:pPr>
      <w:r>
        <w:t xml:space="preserve">Incomplete or incorrect reporting on an</w:t>
      </w:r>
      <w:r>
        <w:t xml:space="preserve"> </w:t>
      </w:r>
      <w:r>
        <w:t xml:space="preserve">arrangement by intermediary or by relevant</w:t>
      </w:r>
      <w:r>
        <w:t xml:space="preserve"> </w:t>
      </w:r>
      <w:r>
        <w:t xml:space="preserve">taxpayer</w:t>
      </w:r>
    </w:p>
    <w:p>
      <w:pPr>
        <w:numPr>
          <w:ilvl w:val="0"/>
          <w:numId w:val="1034"/>
        </w:numPr>
      </w:pPr>
      <w:r>
        <w:t xml:space="preserve">Intermediary using the legal professional</w:t>
      </w:r>
      <w:r>
        <w:t xml:space="preserve"> </w:t>
      </w:r>
      <w:r>
        <w:t xml:space="preserve">privilege waiver and failing to notify other</w:t>
      </w:r>
      <w:r>
        <w:t xml:space="preserve"> </w:t>
      </w:r>
      <w:r>
        <w:t xml:space="preserve">intermediaries or the relevant taxpayer</w:t>
      </w:r>
    </w:p>
    <w:p>
      <w:pPr>
        <w:numPr>
          <w:ilvl w:val="0"/>
          <w:numId w:val="1034"/>
        </w:numPr>
      </w:pPr>
      <w:r>
        <w:t xml:space="preserve">Intermediary using the legal professional</w:t>
      </w:r>
      <w:r>
        <w:t xml:space="preserve"> </w:t>
      </w:r>
      <w:r>
        <w:t xml:space="preserve">privilege waiver and failing to notify the tax</w:t>
      </w:r>
      <w:r>
        <w:t xml:space="preserve"> </w:t>
      </w:r>
      <w:r>
        <w:t xml:space="preserve">administration of the details of the other</w:t>
      </w:r>
      <w:r>
        <w:t xml:space="preserve"> </w:t>
      </w:r>
      <w:r>
        <w:t xml:space="preserve">intermediaries or of the taxpayer</w:t>
      </w:r>
    </w:p>
    <w:p>
      <w:pPr>
        <w:numPr>
          <w:ilvl w:val="0"/>
          <w:numId w:val="1034"/>
        </w:numPr>
      </w:pPr>
      <w:r>
        <w:t xml:space="preserve">Intermediary failing to notify the unique ID of</w:t>
      </w:r>
      <w:r>
        <w:t xml:space="preserve"> </w:t>
      </w:r>
      <w:r>
        <w:t xml:space="preserve">the arrangement to other intermediaries or the</w:t>
      </w:r>
      <w:r>
        <w:t xml:space="preserve"> </w:t>
      </w:r>
      <w:r>
        <w:t xml:space="preserve">relevant taxpayer</w:t>
      </w:r>
    </w:p>
    <w:p>
      <w:pPr>
        <w:pStyle w:val="FirstParagraph"/>
      </w:pPr>
      <w:r>
        <w:t xml:space="preserve">Personal scope</w:t>
      </w:r>
      <w:r>
        <w:t xml:space="preserve"> </w:t>
      </w:r>
      <w:r>
        <w:t xml:space="preserve">The fines apply to both intermediaries and</w:t>
      </w:r>
      <w:r>
        <w:t xml:space="preserve"> </w:t>
      </w:r>
      <w:r>
        <w:t xml:space="preserve">relevant taxpayers, both of which can be either</w:t>
      </w:r>
      <w:r>
        <w:t xml:space="preserve"> </w:t>
      </w:r>
      <w:r>
        <w:t xml:space="preserve">a natural person or a legal entity</w:t>
      </w:r>
    </w:p>
    <w:p>
      <w:pPr>
        <w:pStyle w:val="BodyText"/>
      </w:pPr>
      <w:r>
        <w:t xml:space="preserve">Individual / Cumulative application</w:t>
      </w:r>
      <w:r>
        <w:t xml:space="preserve"> </w:t>
      </w:r>
      <w:r>
        <w:t xml:space="preserve">All Penalties 1)-5) are applicable per (individual)</w:t>
      </w:r>
      <w:r>
        <w:t xml:space="preserve"> </w:t>
      </w:r>
      <w:r>
        <w:t xml:space="preserve">infringement of the respective obligations.</w:t>
      </w:r>
    </w:p>
    <w:p>
      <w:pPr>
        <w:pStyle w:val="BodyText"/>
      </w:pPr>
      <w:r>
        <w:t xml:space="preserve">EUR 1000 (for</w:t>
      </w:r>
      <w:r>
        <w:t xml:space="preserve"> </w:t>
      </w:r>
      <w:r>
        <w:t xml:space="preserve">individuals)</w:t>
      </w:r>
      <w:r>
        <w:t xml:space="preserve"> </w:t>
      </w:r>
      <w:r>
        <w:t xml:space="preserve">EUR 2000 (for</w:t>
      </w:r>
      <w:r>
        <w:t xml:space="preserve"> </w:t>
      </w:r>
      <w:r>
        <w:t xml:space="preserve">individuals in repeat</w:t>
      </w:r>
      <w:r>
        <w:t xml:space="preserve"> </w:t>
      </w:r>
      <w:r>
        <w:t xml:space="preserve">violations)</w:t>
      </w:r>
      <w:r>
        <w:t xml:space="preserve"> </w:t>
      </w:r>
      <w:r>
        <w:t xml:space="preserve">EUR 2500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traders)</w:t>
      </w:r>
      <w:r>
        <w:t xml:space="preserve"> </w:t>
      </w:r>
      <w:r>
        <w:t xml:space="preserve">EUR 5000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EUR 500 (for</w:t>
      </w:r>
      <w:r>
        <w:t xml:space="preserve"> </w:t>
      </w:r>
      <w:r>
        <w:t xml:space="preserve">individuals)</w:t>
      </w:r>
      <w:r>
        <w:t xml:space="preserve"> </w:t>
      </w:r>
      <w:r>
        <w:t xml:space="preserve">EUR 1000 (for</w:t>
      </w:r>
      <w:r>
        <w:t xml:space="preserve"> </w:t>
      </w:r>
      <w:r>
        <w:t xml:space="preserve">individuals in repeat</w:t>
      </w:r>
      <w:r>
        <w:t xml:space="preserve"> </w:t>
      </w:r>
      <w:r>
        <w:t xml:space="preserve">violations)</w:t>
      </w:r>
      <w:r>
        <w:t xml:space="preserve"> </w:t>
      </w:r>
      <w:r>
        <w:t xml:space="preserve">EUR 1000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traders)</w:t>
      </w:r>
      <w:r>
        <w:t xml:space="preserve"> </w:t>
      </w:r>
      <w:r>
        <w:t xml:space="preserve">EUR 2000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EUR 1000 (for</w:t>
      </w:r>
      <w:r>
        <w:t xml:space="preserve"> </w:t>
      </w:r>
      <w:r>
        <w:t xml:space="preserve">individuals)</w:t>
      </w:r>
      <w:r>
        <w:t xml:space="preserve"> </w:t>
      </w:r>
      <w:r>
        <w:t xml:space="preserve">EUR 2000 (for</w:t>
      </w:r>
      <w:r>
        <w:t xml:space="preserve"> </w:t>
      </w:r>
      <w:r>
        <w:t xml:space="preserve">individuals in repeat</w:t>
      </w:r>
      <w:r>
        <w:t xml:space="preserve"> </w:t>
      </w:r>
      <w:r>
        <w:t xml:space="preserve">violations)</w:t>
      </w:r>
      <w:r>
        <w:t xml:space="preserve"> </w:t>
      </w:r>
      <w:r>
        <w:t xml:space="preserve">EUR 2500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traders)</w:t>
      </w:r>
      <w:r>
        <w:t xml:space="preserve"> </w:t>
      </w:r>
      <w:r>
        <w:t xml:space="preserve">EUR 5000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EUR 100 (for</w:t>
      </w:r>
      <w:r>
        <w:t xml:space="preserve"> </w:t>
      </w:r>
      <w:r>
        <w:t xml:space="preserve">individuals)</w:t>
      </w:r>
      <w:r>
        <w:t xml:space="preserve"> </w:t>
      </w:r>
      <w:r>
        <w:t xml:space="preserve">EUR 200 (for</w:t>
      </w:r>
      <w:r>
        <w:t xml:space="preserve"> </w:t>
      </w:r>
      <w:r>
        <w:t xml:space="preserve">individuals in repeat</w:t>
      </w:r>
      <w:r>
        <w:t xml:space="preserve"> </w:t>
      </w:r>
      <w:r>
        <w:t xml:space="preserve">violations)</w:t>
      </w:r>
      <w:r>
        <w:t xml:space="preserve"> </w:t>
      </w:r>
      <w:r>
        <w:t xml:space="preserve">EUR 250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traders)</w:t>
      </w:r>
      <w:r>
        <w:t xml:space="preserve"> </w:t>
      </w:r>
      <w:r>
        <w:t xml:space="preserve">EUR 500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EUR 100 (for</w:t>
      </w:r>
      <w:r>
        <w:t xml:space="preserve"> </w:t>
      </w:r>
      <w:r>
        <w:t xml:space="preserve">individuals)</w:t>
      </w:r>
    </w:p>
    <w:p>
      <w:pPr>
        <w:pStyle w:val="BodyText"/>
      </w:pPr>
      <w:r>
        <w:t xml:space="preserve">EUR 2500 (for individuals)</w:t>
      </w:r>
      <w:r>
        <w:t xml:space="preserve"> </w:t>
      </w:r>
      <w:r>
        <w:t xml:space="preserve">EUR 5000 (for individuals in</w:t>
      </w:r>
      <w:r>
        <w:t xml:space="preserve"> </w:t>
      </w:r>
      <w:r>
        <w:t xml:space="preserve">repeat violations)</w:t>
      </w:r>
      <w:r>
        <w:t xml:space="preserve"> </w:t>
      </w:r>
      <w:r>
        <w:t xml:space="preserve">EUR 5000 (for legal entities</w:t>
      </w:r>
      <w:r>
        <w:t xml:space="preserve"> </w:t>
      </w:r>
      <w:r>
        <w:t xml:space="preserve">and sole traders)</w:t>
      </w:r>
      <w:r>
        <w:t xml:space="preserve"> </w:t>
      </w:r>
      <w:r>
        <w:t xml:space="preserve">EUR 10000 (for legal entities</w:t>
      </w:r>
      <w:r>
        <w:t xml:space="preserve"> </w:t>
      </w:r>
      <w:r>
        <w:t xml:space="preserve">and sole 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EUR 1500 (for individuals)</w:t>
      </w:r>
      <w:r>
        <w:t xml:space="preserve"> </w:t>
      </w:r>
      <w:r>
        <w:t xml:space="preserve">EUR 3000 (for individuals in</w:t>
      </w:r>
      <w:r>
        <w:t xml:space="preserve"> </w:t>
      </w:r>
      <w:r>
        <w:t xml:space="preserve">repeat violations)</w:t>
      </w:r>
      <w:r>
        <w:t xml:space="preserve"> </w:t>
      </w:r>
      <w:r>
        <w:t xml:space="preserve">EUR 4000 (for legal entities</w:t>
      </w:r>
      <w:r>
        <w:t xml:space="preserve"> </w:t>
      </w:r>
      <w:r>
        <w:t xml:space="preserve">and sole traders)</w:t>
      </w:r>
      <w:r>
        <w:t xml:space="preserve"> </w:t>
      </w:r>
      <w:r>
        <w:t xml:space="preserve">EUR 8000 (for legal entities</w:t>
      </w:r>
      <w:r>
        <w:t xml:space="preserve"> </w:t>
      </w:r>
      <w:r>
        <w:t xml:space="preserve">and sole 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EUR 2500 (for individuals)</w:t>
      </w:r>
      <w:r>
        <w:t xml:space="preserve"> </w:t>
      </w:r>
      <w:r>
        <w:t xml:space="preserve">EUR 5000 (for individuals in</w:t>
      </w:r>
      <w:r>
        <w:t xml:space="preserve"> </w:t>
      </w:r>
      <w:r>
        <w:t xml:space="preserve">repeat violations)</w:t>
      </w:r>
      <w:r>
        <w:t xml:space="preserve"> </w:t>
      </w:r>
      <w:r>
        <w:t xml:space="preserve">EUR 5000 (for legal entities</w:t>
      </w:r>
      <w:r>
        <w:t xml:space="preserve"> </w:t>
      </w:r>
      <w:r>
        <w:t xml:space="preserve">and sole traders)</w:t>
      </w:r>
      <w:r>
        <w:t xml:space="preserve"> </w:t>
      </w:r>
      <w:r>
        <w:t xml:space="preserve">EUR 10000 (for legal entities</w:t>
      </w:r>
      <w:r>
        <w:t xml:space="preserve"> </w:t>
      </w:r>
      <w:r>
        <w:t xml:space="preserve">and sole 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EUR 400 (for individuals)</w:t>
      </w:r>
      <w:r>
        <w:t xml:space="preserve"> </w:t>
      </w:r>
      <w:r>
        <w:t xml:space="preserve">EUR 800 (for individuals in</w:t>
      </w:r>
      <w:r>
        <w:t xml:space="preserve"> </w:t>
      </w:r>
      <w:r>
        <w:t xml:space="preserve">repeat violations)</w:t>
      </w:r>
      <w:r>
        <w:t xml:space="preserve"> </w:t>
      </w:r>
      <w:r>
        <w:t xml:space="preserve">EUR 750 (for legal entities</w:t>
      </w:r>
      <w:r>
        <w:t xml:space="preserve"> </w:t>
      </w:r>
      <w:r>
        <w:t xml:space="preserve">and sole traders)</w:t>
      </w:r>
      <w:r>
        <w:t xml:space="preserve"> </w:t>
      </w:r>
      <w:r>
        <w:t xml:space="preserve">EUR 1500 (for legal entities</w:t>
      </w:r>
      <w:r>
        <w:t xml:space="preserve"> </w:t>
      </w:r>
      <w:r>
        <w:t xml:space="preserve">and sole 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EUR 400 (for individuals)</w:t>
      </w:r>
      <w:r>
        <w:t xml:space="preserve"> </w:t>
      </w:r>
      <w:r>
        <w:t xml:space="preserve">EUR 800 (for individuals in</w:t>
      </w:r>
      <w:r>
        <w:t xml:space="preserve"> </w:t>
      </w:r>
      <w:r>
        <w:t xml:space="preserve">repeat violations)</w:t>
      </w:r>
      <w:r>
        <w:t xml:space="preserve"> </w:t>
      </w:r>
      <w:r>
        <w:t xml:space="preserve">EUR 750 (for legal entities</w:t>
      </w:r>
      <w:r>
        <w:t xml:space="preserve"> </w:t>
      </w:r>
      <w:r>
        <w:t xml:space="preserve">and sole traders)</w:t>
      </w:r>
      <w:r>
        <w:t xml:space="preserve"> </w:t>
      </w:r>
      <w:r>
        <w:t xml:space="preserve">EUR 1500 (for legal entities</w:t>
      </w:r>
      <w:r>
        <w:t xml:space="preserve"> </w:t>
      </w:r>
      <w:r>
        <w:t xml:space="preserve">and sole traders in repeat</w:t>
      </w:r>
      <w:r>
        <w:t xml:space="preserve"> </w:t>
      </w:r>
      <w:r>
        <w:t xml:space="preserve">violations)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EUR 200 (for</w:t>
      </w:r>
      <w:r>
        <w:t xml:space="preserve"> </w:t>
      </w:r>
      <w:r>
        <w:t xml:space="preserve">individuals in repeat</w:t>
      </w:r>
      <w:r>
        <w:t xml:space="preserve"> </w:t>
      </w:r>
      <w:r>
        <w:t xml:space="preserve">violations)</w:t>
      </w:r>
      <w:r>
        <w:t xml:space="preserve"> </w:t>
      </w:r>
      <w:r>
        <w:t xml:space="preserve">EUR 250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traders)</w:t>
      </w:r>
      <w:r>
        <w:t xml:space="preserve"> </w:t>
      </w:r>
      <w:r>
        <w:t xml:space="preserve">EUR 500 (for legal</w:t>
      </w:r>
      <w:r>
        <w:t xml:space="preserve"> </w:t>
      </w:r>
      <w:r>
        <w:t xml:space="preserve">entities and sole</w:t>
      </w:r>
      <w:r>
        <w:t xml:space="preserve"> </w:t>
      </w:r>
      <w:r>
        <w:t xml:space="preserve">traders in repeat</w:t>
      </w:r>
      <w:r>
        <w:t xml:space="preserve"> </w:t>
      </w:r>
      <w:r>
        <w:t xml:space="preserve">violations)</w:t>
      </w:r>
      <w:r>
        <w:t xml:space="preserve"> </w:t>
      </w:r>
      <w:r>
        <w:t xml:space="preserve">CY</w:t>
      </w:r>
      <w:r>
        <w:t xml:space="preserve"> </w:t>
      </w:r>
      <w:r>
        <w:t xml:space="preserve">DAC 2</w:t>
      </w:r>
      <w:r>
        <w:br/>
      </w:r>
      <w:r>
        <w:t xml:space="preserve">Scope ratione materiae</w:t>
      </w:r>
      <w:r>
        <w:t xml:space="preserve"> </w:t>
      </w:r>
      <w:r>
        <w:t xml:space="preserve">1) Circumvention of any reporting, due diligence</w:t>
      </w:r>
      <w:r>
        <w:t xml:space="preserve"> </w:t>
      </w:r>
      <w:r>
        <w:t xml:space="preserve">or self-certification obligation.</w:t>
      </w:r>
    </w:p>
    <w:p>
      <w:pPr>
        <w:numPr>
          <w:ilvl w:val="0"/>
          <w:numId w:val="1035"/>
        </w:numPr>
      </w:pPr>
      <w:r>
        <w:t xml:space="preserve">Not keeping the records and underlying</w:t>
      </w:r>
      <w:r>
        <w:t xml:space="preserve"> </w:t>
      </w:r>
      <w:r>
        <w:t xml:space="preserve">documents for the customer due diligence</w:t>
      </w:r>
      <w:r>
        <w:t xml:space="preserve"> </w:t>
      </w:r>
      <w:r>
        <w:t xml:space="preserve">procedure</w:t>
      </w:r>
    </w:p>
    <w:p>
      <w:pPr>
        <w:numPr>
          <w:ilvl w:val="0"/>
          <w:numId w:val="1035"/>
        </w:numPr>
      </w:pPr>
      <w:r>
        <w:t xml:space="preserve">Failure to provide access to any records and</w:t>
      </w:r>
      <w:r>
        <w:t xml:space="preserve"> </w:t>
      </w:r>
      <w:r>
        <w:t xml:space="preserve">underlying documents for the customer due</w:t>
      </w:r>
      <w:r>
        <w:t xml:space="preserve"> </w:t>
      </w:r>
      <w:r>
        <w:t xml:space="preserve">diligence procedure</w:t>
      </w:r>
    </w:p>
    <w:p>
      <w:pPr>
        <w:pStyle w:val="FirstParagraph"/>
      </w:pPr>
      <w:r>
        <w:t xml:space="preserve">Personal scope</w:t>
      </w:r>
      <w:r>
        <w:t xml:space="preserve"> </w:t>
      </w:r>
      <w:r>
        <w:t xml:space="preserve">The fines apply to Reporting Financial</w:t>
      </w:r>
      <w:r>
        <w:t xml:space="preserve"> </w:t>
      </w:r>
      <w:r>
        <w:t xml:space="preserve">Institutions (legal persons).</w:t>
      </w:r>
      <w:r>
        <w:t xml:space="preserve"> </w:t>
      </w:r>
      <w:r>
        <w:t xml:space="preserve">When the fine under 1) above applies for</w:t>
      </w:r>
      <w:r>
        <w:t xml:space="preserve"> </w:t>
      </w:r>
      <w:r>
        <w:t xml:space="preserve">circumvention of self-certification, it will apply</w:t>
      </w:r>
      <w:r>
        <w:t xml:space="preserve"> </w:t>
      </w:r>
      <w:r>
        <w:t xml:space="preserve">to Account Holders (mostly natural persons)</w:t>
      </w:r>
    </w:p>
    <w:p>
      <w:pPr>
        <w:pStyle w:val="BodyText"/>
      </w:pPr>
      <w:r>
        <w:t xml:space="preserve">Individual / Cumulative application</w:t>
      </w:r>
      <w:r>
        <w:t xml:space="preserve"> </w:t>
      </w:r>
      <w:r>
        <w:t xml:space="preserve">The legislative text is inconclusive. On balance,</w:t>
      </w:r>
      <w:r>
        <w:t xml:space="preserve"> </w:t>
      </w:r>
      <w:r>
        <w:t xml:space="preserve">it is rather that penalties are cumulatively</w:t>
      </w:r>
      <w:r>
        <w:t xml:space="preserve"> </w:t>
      </w:r>
      <w:r>
        <w:t xml:space="preserve">applicable.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2000</w:t>
      </w:r>
      <w:r>
        <w:t xml:space="preserve"> </w:t>
      </w:r>
      <w:r>
        <w:t xml:space="preserve">EUR 20 000 in case of</w:t>
      </w:r>
      <w:r>
        <w:t xml:space="preserve"> </w:t>
      </w:r>
      <w:r>
        <w:t xml:space="preserve">refusal to pay</w:t>
      </w:r>
    </w:p>
    <w:p>
      <w:pPr>
        <w:pStyle w:val="BodyText"/>
      </w:pPr>
      <w:r>
        <w:t xml:space="preserve">EUR 1500</w:t>
      </w:r>
      <w:r>
        <w:t xml:space="preserve"> </w:t>
      </w:r>
      <w:r>
        <w:t xml:space="preserve">EUR 20 000 in case of</w:t>
      </w:r>
      <w:r>
        <w:t xml:space="preserve"> </w:t>
      </w:r>
      <w:r>
        <w:t xml:space="preserve">refusal to pay</w:t>
      </w:r>
      <w:r>
        <w:t xml:space="preserve"> </w:t>
      </w:r>
      <w:r>
        <w:t xml:space="preserve">EUR 500</w:t>
      </w:r>
      <w:r>
        <w:t xml:space="preserve"> </w:t>
      </w:r>
      <w:r>
        <w:t xml:space="preserve">DAC 4</w:t>
      </w:r>
      <w:r>
        <w:br/>
      </w:r>
      <w:r>
        <w:t xml:space="preserve">Scope ratione materiae</w:t>
      </w:r>
      <w:r>
        <w:t xml:space="preserve"> </w:t>
      </w:r>
      <w:r>
        <w:t xml:space="preserve">1) Failure or refusal by the Reporting Entity to</w:t>
      </w:r>
      <w:r>
        <w:t xml:space="preserve"> </w:t>
      </w:r>
      <w:r>
        <w:t xml:space="preserve">submit the CbCR</w:t>
      </w:r>
    </w:p>
    <w:p>
      <w:pPr>
        <w:numPr>
          <w:ilvl w:val="0"/>
          <w:numId w:val="1036"/>
        </w:numPr>
      </w:pPr>
      <w:r>
        <w:t xml:space="preserve">Failure by the Constituent Entity to notify the</w:t>
      </w:r>
      <w:r>
        <w:t xml:space="preserve"> </w:t>
      </w:r>
      <w:r>
        <w:t xml:space="preserve">tax administration that the Ultimate Parent</w:t>
      </w:r>
      <w:r>
        <w:t xml:space="preserve"> </w:t>
      </w:r>
      <w:r>
        <w:t xml:space="preserve">Entity has not provided the necessary</w:t>
      </w:r>
      <w:r>
        <w:t xml:space="preserve"> </w:t>
      </w:r>
      <w:r>
        <w:t xml:space="preserve">information</w:t>
      </w:r>
    </w:p>
    <w:p>
      <w:pPr>
        <w:numPr>
          <w:ilvl w:val="0"/>
          <w:numId w:val="1036"/>
        </w:numPr>
      </w:pPr>
      <w:r>
        <w:t xml:space="preserve">Failure to keep the underlying documents for</w:t>
      </w:r>
      <w:r>
        <w:t xml:space="preserve"> </w:t>
      </w:r>
      <w:r>
        <w:t xml:space="preserve">the CbC Report</w:t>
      </w:r>
    </w:p>
    <w:p>
      <w:pPr>
        <w:numPr>
          <w:ilvl w:val="0"/>
          <w:numId w:val="1036"/>
        </w:numPr>
      </w:pPr>
      <w:r>
        <w:t xml:space="preserve">Failure to provide further information for the</w:t>
      </w:r>
      <w:r>
        <w:t xml:space="preserve"> </w:t>
      </w:r>
      <w:r>
        <w:t xml:space="preserve">purposes of checking its correctness and</w:t>
      </w:r>
      <w:r>
        <w:t xml:space="preserve"> </w:t>
      </w:r>
      <w:r>
        <w:t xml:space="preserve">completeness in the context of CbCR obligations</w:t>
      </w:r>
    </w:p>
    <w:p>
      <w:pPr>
        <w:pStyle w:val="FirstParagraph"/>
      </w:pPr>
      <w:r>
        <w:t xml:space="preserve">Personal scope</w:t>
      </w:r>
      <w:r>
        <w:t xml:space="preserve"> </w:t>
      </w:r>
      <w:r>
        <w:t xml:space="preserve">Constituent entities and reporting entities can</w:t>
      </w:r>
      <w:r>
        <w:t xml:space="preserve"> </w:t>
      </w:r>
      <w:r>
        <w:t xml:space="preserve">only be legal persons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cumulatively applicable.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10 000</w:t>
      </w:r>
      <w:r>
        <w:t xml:space="preserve"> </w:t>
      </w:r>
      <w:r>
        <w:t xml:space="preserve">EUR 20 000 in case of</w:t>
      </w:r>
      <w:r>
        <w:t xml:space="preserve"> </w:t>
      </w:r>
      <w:r>
        <w:t xml:space="preserve">refusal to pay</w:t>
      </w:r>
      <w:r>
        <w:t xml:space="preserve"> </w:t>
      </w:r>
      <w:r>
        <w:t xml:space="preserve">EUR 5000</w:t>
      </w:r>
      <w:r>
        <w:t xml:space="preserve"> </w:t>
      </w:r>
      <w:r>
        <w:t xml:space="preserve">EUR 20 000 in case of</w:t>
      </w:r>
      <w:r>
        <w:t xml:space="preserve"> </w:t>
      </w:r>
      <w:r>
        <w:t xml:space="preserve">refusal to pay</w:t>
      </w:r>
    </w:p>
    <w:p>
      <w:pPr>
        <w:pStyle w:val="BodyText"/>
      </w:pPr>
      <w:r>
        <w:t xml:space="preserve">EUR 1500</w:t>
      </w:r>
      <w:r>
        <w:t xml:space="preserve"> </w:t>
      </w:r>
      <w:r>
        <w:t xml:space="preserve">EUR 20 000 in case of</w:t>
      </w:r>
      <w:r>
        <w:t xml:space="preserve"> </w:t>
      </w:r>
      <w:r>
        <w:t xml:space="preserve">refusal to pay</w:t>
      </w:r>
      <w:r>
        <w:t xml:space="preserve"> </w:t>
      </w:r>
      <w:r>
        <w:t xml:space="preserve">EUR 500</w:t>
      </w:r>
      <w:r>
        <w:t xml:space="preserve"> </w:t>
      </w:r>
      <w:r>
        <w:t xml:space="preserve">EUR 20 000 in case of</w:t>
      </w:r>
      <w:r>
        <w:t xml:space="preserve"> </w:t>
      </w:r>
      <w:r>
        <w:t xml:space="preserve">refusal to pay</w:t>
      </w:r>
      <w:r>
        <w:t xml:space="preserve"> </w:t>
      </w:r>
      <w:r>
        <w:t xml:space="preserve">DAC 6</w:t>
      </w:r>
      <w:r>
        <w:br/>
      </w:r>
      <w:r>
        <w:t xml:space="preserve">Scope ratione materiae</w:t>
      </w:r>
      <w:r>
        <w:t xml:space="preserve"> </w:t>
      </w:r>
      <w:r>
        <w:t xml:space="preserve">1) Failure by the intermediary or the relevant</w:t>
      </w:r>
      <w:r>
        <w:t xml:space="preserve"> </w:t>
      </w:r>
      <w:r>
        <w:t xml:space="preserve">taxpayer to report a cross-border arrangement</w:t>
      </w:r>
    </w:p>
    <w:p>
      <w:pPr>
        <w:pStyle w:val="BodyText"/>
      </w:pPr>
      <w:r>
        <w:t xml:space="preserve">EUR 10 000</w:t>
      </w:r>
      <w:r>
        <w:t xml:space="preserve"> </w:t>
      </w:r>
      <w:r>
        <w:t xml:space="preserve">EUR 1000</w:t>
      </w:r>
    </w:p>
    <w:p>
      <w:pPr>
        <w:pStyle w:val="BodyText"/>
      </w:pPr>
      <w:r>
        <w:t xml:space="preserve">EUR 20 000</w:t>
      </w:r>
      <w:r>
        <w:t xml:space="preserve"> </w:t>
      </w:r>
      <w:r>
        <w:t xml:space="preserve">EUR 5000</w:t>
      </w:r>
    </w:p>
    <w:p>
      <w:pPr>
        <w:pStyle w:val="BodyText"/>
      </w:pPr>
      <w:r>
        <w:t xml:space="preserve">85</w:t>
      </w:r>
    </w:p>
    <w:p>
      <w:pPr>
        <w:pStyle w:val="Compact"/>
        <w:numPr>
          <w:ilvl w:val="0"/>
          <w:numId w:val="1037"/>
        </w:numPr>
      </w:pPr>
      <w:r>
        <w:t xml:space="preserve">Late reporting (&lt;90 days overdue)</w:t>
      </w:r>
    </w:p>
    <w:p>
      <w:pPr>
        <w:pStyle w:val="Compact"/>
        <w:numPr>
          <w:ilvl w:val="0"/>
          <w:numId w:val="1037"/>
        </w:numPr>
      </w:pPr>
      <w:r>
        <w:t xml:space="preserve">Late reporting (&gt;90 days overdue)</w:t>
      </w:r>
    </w:p>
    <w:p>
      <w:pPr>
        <w:pStyle w:val="Compact"/>
        <w:numPr>
          <w:ilvl w:val="0"/>
          <w:numId w:val="1037"/>
        </w:numPr>
      </w:pPr>
      <w:r>
        <w:t xml:space="preserve">In case of using the legal professional</w:t>
      </w:r>
      <w:r>
        <w:t xml:space="preserve"> </w:t>
      </w:r>
      <w:r>
        <w:t xml:space="preserve">privilege waiver, failure to notify other</w:t>
      </w:r>
      <w:r>
        <w:t xml:space="preserve"> </w:t>
      </w:r>
      <w:r>
        <w:t xml:space="preserve">intermediaries or the relevant taxpayer</w:t>
      </w:r>
    </w:p>
    <w:p>
      <w:pPr>
        <w:pStyle w:val="Compact"/>
        <w:numPr>
          <w:ilvl w:val="0"/>
          <w:numId w:val="1037"/>
        </w:numPr>
      </w:pPr>
      <w:r>
        <w:t xml:space="preserve">Late notification of other intermediaries or</w:t>
      </w:r>
      <w:r>
        <w:t xml:space="preserve"> </w:t>
      </w:r>
      <w:r>
        <w:t xml:space="preserve">the relevant taxpayer (&lt;90 days overdue)</w:t>
      </w:r>
    </w:p>
    <w:p>
      <w:pPr>
        <w:pStyle w:val="Compact"/>
        <w:numPr>
          <w:ilvl w:val="0"/>
          <w:numId w:val="1037"/>
        </w:numPr>
      </w:pPr>
      <w:r>
        <w:t xml:space="preserve">Late notification of other intermediaries or</w:t>
      </w:r>
      <w:r>
        <w:t xml:space="preserve"> </w:t>
      </w:r>
      <w:r>
        <w:t xml:space="preserve">the relevant taxpayer (&gt;90 days overdue)</w:t>
      </w:r>
    </w:p>
    <w:p>
      <w:pPr>
        <w:pStyle w:val="FirstParagraph"/>
      </w:pPr>
      <w:r>
        <w:t xml:space="preserve">Personal scope</w:t>
      </w:r>
      <w:r>
        <w:t xml:space="preserve"> </w:t>
      </w:r>
      <w:r>
        <w:t xml:space="preserve">Any natural person or any legal entity that has</w:t>
      </w:r>
      <w:r>
        <w:t xml:space="preserve"> </w:t>
      </w:r>
      <w:r>
        <w:t xml:space="preserve">an obligation to report or notify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applicable per (individual)</w:t>
      </w:r>
      <w:r>
        <w:t xml:space="preserve"> </w:t>
      </w:r>
      <w:r>
        <w:t xml:space="preserve">infringement or late fulfilment of the</w:t>
      </w:r>
      <w:r>
        <w:t xml:space="preserve"> </w:t>
      </w:r>
      <w:r>
        <w:t xml:space="preserve">abovementioned obligations</w:t>
      </w:r>
      <w:r>
        <w:t xml:space="preserve"> </w:t>
      </w:r>
      <w:r>
        <w:t xml:space="preserve">EUR 5000</w:t>
      </w:r>
    </w:p>
    <w:p>
      <w:pPr>
        <w:pStyle w:val="BodyText"/>
      </w:pPr>
      <w:r>
        <w:t xml:space="preserve">EUR 10 000</w:t>
      </w:r>
      <w:r>
        <w:t xml:space="preserve"> </w:t>
      </w:r>
      <w:r>
        <w:t xml:space="preserve">EUR 1000</w:t>
      </w:r>
    </w:p>
    <w:p>
      <w:pPr>
        <w:pStyle w:val="BodyText"/>
      </w:pPr>
      <w:r>
        <w:t xml:space="preserve">EUR 5000</w:t>
      </w:r>
      <w:r>
        <w:t xml:space="preserve"> </w:t>
      </w:r>
      <w:r>
        <w:t xml:space="preserve">EUR 20 000</w:t>
      </w:r>
    </w:p>
    <w:p>
      <w:pPr>
        <w:pStyle w:val="BodyText"/>
      </w:pPr>
      <w:r>
        <w:t xml:space="preserve">EUR 20 000</w:t>
      </w:r>
      <w:r>
        <w:t xml:space="preserve"> </w:t>
      </w:r>
      <w:r>
        <w:t xml:space="preserve">EUR 5000</w:t>
      </w:r>
    </w:p>
    <w:p>
      <w:pPr>
        <w:pStyle w:val="BodyText"/>
      </w:pPr>
      <w:r>
        <w:t xml:space="preserve">EUR 20 000</w:t>
      </w:r>
      <w:r>
        <w:t xml:space="preserve"> </w:t>
      </w:r>
      <w:r>
        <w:t xml:space="preserve">CZ</w:t>
      </w:r>
      <w:r>
        <w:t xml:space="preserve"> </w:t>
      </w:r>
      <w:r>
        <w:t xml:space="preserve">DAC 2</w:t>
      </w:r>
    </w:p>
    <w:p>
      <w:pPr>
        <w:pStyle w:val="BodyText"/>
      </w:pPr>
      <w:r>
        <w:t xml:space="preserve">DAC 4</w:t>
      </w:r>
      <w:r>
        <w:br/>
      </w:r>
      <w:r>
        <w:t xml:space="preserve">1.</w:t>
      </w:r>
      <w:r>
        <w:t xml:space="preserve"> </w:t>
      </w:r>
      <w:r>
        <w:t xml:space="preserve">Not providing notification (= no</w:t>
      </w:r>
      <w:r>
        <w:t xml:space="preserve"> </w:t>
      </w:r>
      <w:r>
        <w:t xml:space="preserve">reporting): penalty up to CZK 500,000</w:t>
      </w:r>
      <w:r>
        <w:t xml:space="preserve"> </w:t>
      </w:r>
      <w:r>
        <w:t xml:space="preserve">= general penalties</w:t>
      </w:r>
    </w:p>
    <w:p>
      <w:pPr>
        <w:pStyle w:val="Compact"/>
        <w:numPr>
          <w:ilvl w:val="0"/>
          <w:numId w:val="1038"/>
        </w:numPr>
      </w:pPr>
      <w:r>
        <w:t xml:space="preserve">Not filing or incorrect filing (= wrong</w:t>
      </w:r>
      <w:r>
        <w:t xml:space="preserve"> </w:t>
      </w:r>
      <w:r>
        <w:t xml:space="preserve">reporting): penalty up to CZK 1.5</w:t>
      </w:r>
      <w:r>
        <w:t xml:space="preserve"> </w:t>
      </w:r>
      <w:r>
        <w:t xml:space="preserve">million = 57.000 EUR</w:t>
      </w:r>
    </w:p>
    <w:p>
      <w:pPr>
        <w:pStyle w:val="FirstParagraph"/>
      </w:pPr>
      <w:r>
        <w:t xml:space="preserve">By any reporting entity</w:t>
      </w:r>
      <w:r>
        <w:t xml:space="preserve"> </w:t>
      </w:r>
      <w:r>
        <w:t xml:space="preserve">No minimum</w:t>
      </w:r>
      <w:r>
        <w:t xml:space="preserve"> </w:t>
      </w:r>
      <w:r>
        <w:t xml:space="preserve">amount</w:t>
      </w:r>
      <w:r>
        <w:t xml:space="preserve"> </w:t>
      </w:r>
      <w:r>
        <w:t xml:space="preserve">1.</w:t>
      </w:r>
      <w:r>
        <w:t xml:space="preserve"> </w:t>
      </w:r>
      <w:r>
        <w:t xml:space="preserve">penalty up to</w:t>
      </w:r>
      <w:r>
        <w:t xml:space="preserve"> </w:t>
      </w:r>
      <w:r>
        <w:t xml:space="preserve">CZK 500,000</w:t>
      </w:r>
      <w:r>
        <w:t xml:space="preserve"> </w:t>
      </w:r>
      <w:r>
        <w:t xml:space="preserve">(EUR 20,000) =</w:t>
      </w:r>
      <w:r>
        <w:t xml:space="preserve"> </w:t>
      </w:r>
      <w:r>
        <w:t xml:space="preserve">general</w:t>
      </w:r>
      <w:r>
        <w:t xml:space="preserve"> </w:t>
      </w:r>
      <w:r>
        <w:t xml:space="preserve">penalties (no</w:t>
      </w:r>
      <w:r>
        <w:t xml:space="preserve"> </w:t>
      </w:r>
      <w:r>
        <w:t xml:space="preserve">specific</w:t>
      </w:r>
      <w:r>
        <w:t xml:space="preserve"> </w:t>
      </w:r>
      <w:r>
        <w:t xml:space="preserve">penalties for</w:t>
      </w:r>
      <w:r>
        <w:t xml:space="preserve"> </w:t>
      </w:r>
      <w:r>
        <w:t xml:space="preserve">DAC4)</w:t>
      </w:r>
    </w:p>
    <w:p>
      <w:pPr>
        <w:pStyle w:val="Compact"/>
        <w:numPr>
          <w:ilvl w:val="0"/>
          <w:numId w:val="1039"/>
        </w:numPr>
      </w:pPr>
      <w:r>
        <w:t xml:space="preserve">penalty up to</w:t>
      </w:r>
      <w:r>
        <w:t xml:space="preserve"> </w:t>
      </w:r>
      <w:r>
        <w:t xml:space="preserve">CZK 1.5 million</w:t>
      </w:r>
      <w:r>
        <w:t xml:space="preserve"> </w:t>
      </w:r>
      <w:r>
        <w:t xml:space="preserve">(EUR 60.000) =</w:t>
      </w:r>
      <w:r>
        <w:t xml:space="preserve"> </w:t>
      </w:r>
      <w:r>
        <w:t xml:space="preserve">general</w:t>
      </w:r>
      <w:r>
        <w:t xml:space="preserve"> </w:t>
      </w:r>
      <w:r>
        <w:t xml:space="preserve">penalties (no</w:t>
      </w:r>
      <w:r>
        <w:t xml:space="preserve"> </w:t>
      </w:r>
      <w:r>
        <w:t xml:space="preserve">specific</w:t>
      </w:r>
      <w:r>
        <w:t xml:space="preserve"> </w:t>
      </w:r>
      <w:r>
        <w:t xml:space="preserve">penalties for</w:t>
      </w:r>
      <w:r>
        <w:t xml:space="preserve"> </w:t>
      </w:r>
      <w:r>
        <w:t xml:space="preserve">DAC4)</w:t>
      </w:r>
    </w:p>
    <w:p>
      <w:pPr>
        <w:pStyle w:val="FirstParagraph"/>
      </w:pPr>
      <w:r>
        <w:t xml:space="preserve">DAC 6</w:t>
      </w:r>
      <w:r>
        <w:br/>
      </w:r>
      <w:r>
        <w:t xml:space="preserve">All infractions (absence of reporting, late</w:t>
      </w:r>
      <w:r>
        <w:t xml:space="preserve"> </w:t>
      </w:r>
      <w:r>
        <w:t xml:space="preserve">reporting, wrong reporting)</w:t>
      </w:r>
      <w:r>
        <w:t xml:space="preserve"> </w:t>
      </w:r>
      <w:r>
        <w:t xml:space="preserve">By any intermediary (natural/legal)</w:t>
      </w:r>
    </w:p>
    <w:p>
      <w:pPr>
        <w:pStyle w:val="BodyText"/>
      </w:pPr>
      <w:r>
        <w:t xml:space="preserve">No minimum</w:t>
      </w:r>
      <w:r>
        <w:t xml:space="preserve"> </w:t>
      </w:r>
      <w:r>
        <w:t xml:space="preserve">amount</w:t>
      </w:r>
      <w:r>
        <w:t xml:space="preserve"> </w:t>
      </w:r>
      <w:r>
        <w:t xml:space="preserve">Up to CZK 500,000 (EUR</w:t>
      </w:r>
      <w:r>
        <w:t xml:space="preserve"> </w:t>
      </w:r>
      <w:r>
        <w:t xml:space="preserve">20,000] = general</w:t>
      </w:r>
      <w:r>
        <w:t xml:space="preserve"> </w:t>
      </w:r>
      <w:r>
        <w:t xml:space="preserve">penalties (no specific</w:t>
      </w:r>
      <w:r>
        <w:t xml:space="preserve"> </w:t>
      </w:r>
      <w:r>
        <w:t xml:space="preserve">penalties for DAC6)</w:t>
      </w:r>
    </w:p>
    <w:p>
      <w:pPr>
        <w:pStyle w:val="BodyText"/>
      </w:pPr>
      <w:r>
        <w:t xml:space="preserve">DE</w:t>
      </w:r>
      <w:r>
        <w:t xml:space="preserve"> </w:t>
      </w:r>
      <w:r>
        <w:t xml:space="preserve">DAC 2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br/>
      </w:r>
      <w:r>
        <w:t xml:space="preserve">Scenario 2: No differentiation in fines for different</w:t>
      </w:r>
      <w:r>
        <w:t xml:space="preserve"> </w:t>
      </w:r>
      <w:r>
        <w:t xml:space="preserve">reporting categories.</w:t>
      </w:r>
      <w:r>
        <w:t xml:space="preserve"> </w:t>
      </w:r>
      <w:r>
        <w:t xml:space="preserve"></w:t>
      </w:r>
      <w:r>
        <w:t xml:space="preserve"> </w:t>
      </w:r>
      <w:r>
        <w:t xml:space="preserve">Personal scope: Natural persons / legal</w:t>
      </w:r>
      <w:r>
        <w:t xml:space="preserve"> </w:t>
      </w:r>
      <w:r>
        <w:t xml:space="preserve">persons</w:t>
      </w:r>
      <w:r>
        <w:t xml:space="preserve"> </w:t>
      </w:r>
      <w:r>
        <w:t xml:space="preserve"></w:t>
      </w:r>
      <w:r>
        <w:t xml:space="preserve"> </w:t>
      </w:r>
      <w:r>
        <w:t xml:space="preserve">Individual / Cumulative application:</w:t>
      </w:r>
      <w:r>
        <w:t xml:space="preserve"> </w:t>
      </w:r>
      <w:r>
        <w:t xml:space="preserve">Penalties are applied per person and per</w:t>
      </w:r>
      <w:r>
        <w:t xml:space="preserve"> </w:t>
      </w:r>
      <w:r>
        <w:t xml:space="preserve">infringement.</w:t>
      </w:r>
      <w:r>
        <w:t xml:space="preserve"> </w:t>
      </w:r>
      <w:r>
        <w:t xml:space="preserve">Not determined</w:t>
      </w:r>
      <w:r>
        <w:br/>
      </w:r>
      <w:r>
        <w:t xml:space="preserve">Up to 50 000 EUR</w:t>
      </w:r>
      <w:r>
        <w:t xml:space="preserve"> </w:t>
      </w:r>
      <w:r>
        <w:t xml:space="preserve">DAC 4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br/>
      </w:r>
      <w:r>
        <w:t xml:space="preserve">Scenario 2: No differentiation in fines for different</w:t>
      </w:r>
      <w:r>
        <w:t xml:space="preserve"> </w:t>
      </w:r>
      <w:r>
        <w:t xml:space="preserve">reporting categories.</w:t>
      </w:r>
      <w:r>
        <w:t xml:space="preserve"> </w:t>
      </w:r>
      <w:r>
        <w:t xml:space="preserve"></w:t>
      </w:r>
      <w:r>
        <w:t xml:space="preserve"> </w:t>
      </w:r>
      <w:r>
        <w:t xml:space="preserve">Personal scope</w:t>
      </w:r>
      <w:r>
        <w:br/>
      </w:r>
      <w:r>
        <w:t xml:space="preserve">Not determined</w:t>
      </w:r>
      <w:r>
        <w:t xml:space="preserve"> </w:t>
      </w:r>
      <w:r>
        <w:t xml:space="preserve">Up to 10 000 EUR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Fines for infringement to DAC4 only refers to legal</w:t>
      </w:r>
      <w:r>
        <w:t xml:space="preserve"> </w:t>
      </w:r>
      <w:r>
        <w:t xml:space="preserve">persons</w:t>
      </w:r>
      <w:r>
        <w:t xml:space="preserve"> </w:t>
      </w:r>
      <w:r>
        <w:t xml:space="preserve"></w:t>
      </w:r>
      <w:r>
        <w:t xml:space="preserve"> </w:t>
      </w:r>
      <w:r>
        <w:t xml:space="preserve">Individual/Cumulative application:</w:t>
      </w:r>
      <w:r>
        <w:t xml:space="preserve"> </w:t>
      </w:r>
      <w:r>
        <w:t xml:space="preserve">Penalties are applied per person and per</w:t>
      </w:r>
      <w:r>
        <w:t xml:space="preserve"> </w:t>
      </w:r>
      <w:r>
        <w:t xml:space="preserve">infringement</w:t>
      </w:r>
      <w:r>
        <w:t xml:space="preserve"> </w:t>
      </w:r>
      <w:r>
        <w:t xml:space="preserve">DAC 6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br/>
      </w:r>
      <w:r>
        <w:t xml:space="preserve">Scenario 2: No differentiation in fines for different</w:t>
      </w:r>
      <w:r>
        <w:t xml:space="preserve"> </w:t>
      </w:r>
      <w:r>
        <w:t xml:space="preserve">reporting categories.</w:t>
      </w:r>
      <w:r>
        <w:br/>
      </w:r>
      <w:r>
        <w:t xml:space="preserve">Incomplete, late or non-filing of a cross-border</w:t>
      </w:r>
      <w:r>
        <w:t xml:space="preserve"> </w:t>
      </w:r>
      <w:r>
        <w:t xml:space="preserve">arrangement</w:t>
      </w:r>
      <w:r>
        <w:t xml:space="preserve"> </w:t>
      </w:r>
      <w:r>
        <w:t xml:space="preserve"></w:t>
      </w:r>
      <w:r>
        <w:t xml:space="preserve"> </w:t>
      </w:r>
      <w:r>
        <w:t xml:space="preserve">Personal scope natural persons / legal</w:t>
      </w:r>
      <w:r>
        <w:t xml:space="preserve"> </w:t>
      </w:r>
      <w:r>
        <w:t xml:space="preserve">persons</w:t>
      </w:r>
      <w:r>
        <w:br/>
      </w:r>
      <w:r>
        <w:t xml:space="preserve">“379 Abs. 2 Nr. 1e bis 1g AO « An administrative</w:t>
      </w:r>
      <w:r>
        <w:t xml:space="preserve"> </w:t>
      </w:r>
      <w:r>
        <w:t xml:space="preserve">offence shall be deemed to be committed by any</w:t>
      </w:r>
      <w:r>
        <w:t xml:space="preserve"> </w:t>
      </w:r>
      <w:r>
        <w:t xml:space="preserve">person who intentionally or recklessly (…)”</w:t>
      </w:r>
      <w:r>
        <w:t xml:space="preserve"> </w:t>
      </w:r>
      <w:r>
        <w:t xml:space="preserve"></w:t>
      </w:r>
      <w:r>
        <w:t xml:space="preserve"> </w:t>
      </w:r>
      <w:r>
        <w:t xml:space="preserve">Individual/Cumulative application</w:t>
      </w:r>
      <w:r>
        <w:t xml:space="preserve"> </w:t>
      </w:r>
      <w:r>
        <w:t xml:space="preserve">Penalties are applicable per individual infringement of</w:t>
      </w:r>
      <w:r>
        <w:t xml:space="preserve"> </w:t>
      </w:r>
      <w:r>
        <w:t xml:space="preserve">obligations under DAC6</w:t>
      </w:r>
      <w:r>
        <w:t xml:space="preserve"> </w:t>
      </w:r>
      <w:r>
        <w:t xml:space="preserve">Not determined</w:t>
      </w:r>
      <w:r>
        <w:br/>
      </w:r>
      <w:r>
        <w:t xml:space="preserve">Up to 25 000 EUR</w:t>
      </w:r>
      <w:r>
        <w:br/>
      </w:r>
      <w:r>
        <w:t xml:space="preserve">Sanctions may be reduced or</w:t>
      </w:r>
      <w:r>
        <w:t xml:space="preserve"> </w:t>
      </w:r>
      <w:r>
        <w:t xml:space="preserve">avoided if the responsible</w:t>
      </w:r>
      <w:r>
        <w:t xml:space="preserve"> </w:t>
      </w:r>
      <w:r>
        <w:t xml:space="preserve">intermediary or user can</w:t>
      </w:r>
      <w:r>
        <w:t xml:space="preserve"> </w:t>
      </w:r>
      <w:r>
        <w:t xml:space="preserve">provide evidence that she/he</w:t>
      </w:r>
      <w:r>
        <w:t xml:space="preserve"> </w:t>
      </w:r>
      <w:r>
        <w:t xml:space="preserve">has implemented procedures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DAC</w:t>
      </w:r>
      <w:r>
        <w:t xml:space="preserve"> </w:t>
      </w:r>
      <w:r>
        <w:t xml:space="preserve">6</w:t>
      </w:r>
      <w:r>
        <w:t xml:space="preserve"> </w:t>
      </w:r>
      <w:r>
        <w:t xml:space="preserve">reporting obligations.</w:t>
      </w:r>
      <w:r>
        <w:t xml:space="preserve"> </w:t>
      </w:r>
      <w:r>
        <w:t xml:space="preserve">During the retrospective</w:t>
      </w:r>
      <w:r>
        <w:t xml:space="preserve"> </w:t>
      </w:r>
      <w:r>
        <w:t xml:space="preserve">period (25 June 2018 to 1 July</w:t>
      </w:r>
      <w:r>
        <w:t xml:space="preserve"> </w:t>
      </w:r>
      <w:r>
        <w:t xml:space="preserve">2020) no penalties apply</w:t>
      </w:r>
      <w:r>
        <w:t xml:space="preserve"> </w:t>
      </w:r>
      <w:r>
        <w:t xml:space="preserve">DK</w:t>
      </w:r>
      <w:r>
        <w:t xml:space="preserve"> </w:t>
      </w:r>
      <w:r>
        <w:t xml:space="preserve">DAC 2</w:t>
      </w:r>
      <w:r>
        <w:br/>
      </w:r>
      <w:r>
        <w:t xml:space="preserve">No reporting, late reporting, on purpose wrong</w:t>
      </w:r>
      <w:r>
        <w:t xml:space="preserve"> </w:t>
      </w:r>
      <w:r>
        <w:t xml:space="preserve">reporting and partial reporting are all explicitly</w:t>
      </w:r>
      <w:r>
        <w:t xml:space="preserve"> </w:t>
      </w:r>
      <w:r>
        <w:t xml:space="preserve">mentioned as punishable.</w:t>
      </w:r>
      <w:r>
        <w:br/>
      </w:r>
      <w:r>
        <w:t xml:space="preserve">No difference is made between legal and natural</w:t>
      </w:r>
      <w:r>
        <w:t xml:space="preserve"> </w:t>
      </w:r>
      <w:r>
        <w:t xml:space="preserve">persons for the purpose of application of penalties.</w:t>
      </w:r>
      <w:r>
        <w:t xml:space="preserve"> </w:t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No minimum</w:t>
      </w:r>
    </w:p>
    <w:p>
      <w:pPr>
        <w:pStyle w:val="BodyText"/>
      </w:pPr>
      <w:r>
        <w:t xml:space="preserve">No maximum</w:t>
      </w:r>
      <w:r>
        <w:t xml:space="preserve"> </w:t>
      </w:r>
      <w:r>
        <w:t xml:space="preserve">DAC 4</w:t>
      </w:r>
      <w:r>
        <w:br/>
      </w:r>
      <w:r>
        <w:t xml:space="preserve">No reporting, late reporting, on purpose wrong</w:t>
      </w:r>
      <w:r>
        <w:t xml:space="preserve"> </w:t>
      </w:r>
      <w:r>
        <w:t xml:space="preserve">reporting and partial reporting are all explicitly</w:t>
      </w:r>
      <w:r>
        <w:t xml:space="preserve"> </w:t>
      </w:r>
      <w:r>
        <w:t xml:space="preserve">mentioned as punishable.</w:t>
      </w:r>
      <w:r>
        <w:br/>
      </w:r>
      <w:r>
        <w:t xml:space="preserve">No difference is made between legal and natural</w:t>
      </w:r>
      <w:r>
        <w:t xml:space="preserve"> </w:t>
      </w:r>
      <w:r>
        <w:t xml:space="preserve">persons for the purpose of application of penalties.</w:t>
      </w:r>
      <w:r>
        <w:t xml:space="preserve"> </w:t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No minimum</w:t>
      </w:r>
      <w:r>
        <w:t xml:space="preserve"> </w:t>
      </w:r>
      <w:r>
        <w:t xml:space="preserve">No maximum</w:t>
      </w:r>
      <w:r>
        <w:t xml:space="preserve"> </w:t>
      </w:r>
      <w:r>
        <w:t xml:space="preserve">DAC 6</w:t>
      </w:r>
      <w:r>
        <w:br/>
      </w:r>
      <w:r>
        <w:t xml:space="preserve">No reporting, late reporting, on purpose wrong</w:t>
      </w:r>
      <w:r>
        <w:t xml:space="preserve"> </w:t>
      </w:r>
      <w:r>
        <w:t xml:space="preserve">reporting and partial reporting are all explicitly</w:t>
      </w:r>
      <w:r>
        <w:t xml:space="preserve"> </w:t>
      </w:r>
      <w:r>
        <w:t xml:space="preserve">mentioned as punishable.</w:t>
      </w:r>
      <w:r>
        <w:br/>
      </w:r>
      <w:r>
        <w:t xml:space="preserve">The fines are based on the financial circumstances of</w:t>
      </w:r>
      <w:r>
        <w:t xml:space="preserve"> </w:t>
      </w:r>
      <w:r>
        <w:t xml:space="preserve">the perpetrator, in case he is a natural person. In the</w:t>
      </w:r>
      <w:r>
        <w:t xml:space="preserve"> </w:t>
      </w:r>
      <w:r>
        <w:t xml:space="preserve">case of companies the fines are based on the net</w:t>
      </w:r>
      <w:r>
        <w:t xml:space="preserve"> </w:t>
      </w:r>
      <w:r>
        <w:t xml:space="preserve">turnover of the company.</w:t>
      </w:r>
      <w:r>
        <w:t xml:space="preserve"> </w:t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No minimum</w:t>
      </w:r>
      <w:r>
        <w:t xml:space="preserve"> </w:t>
      </w:r>
      <w:r>
        <w:t xml:space="preserve">No maximum</w:t>
      </w:r>
      <w:r>
        <w:t xml:space="preserve"> </w:t>
      </w:r>
      <w:r>
        <w:t xml:space="preserve">EE</w:t>
      </w:r>
      <w:r>
        <w:t xml:space="preserve"> </w:t>
      </w:r>
      <w:r>
        <w:t xml:space="preserve">DAC 2</w:t>
      </w:r>
      <w:r>
        <w:br/>
      </w:r>
      <w:r>
        <w:t xml:space="preserve">Scope ratione materiae</w:t>
      </w:r>
      <w:r>
        <w:t xml:space="preserve"> </w:t>
      </w:r>
      <w:r>
        <w:t xml:space="preserve">Any violation of reporting, self-certification or</w:t>
      </w:r>
      <w:r>
        <w:t xml:space="preserve"> </w:t>
      </w:r>
      <w:r>
        <w:t xml:space="preserve">notification obligation</w:t>
      </w:r>
    </w:p>
    <w:p>
      <w:pPr>
        <w:pStyle w:val="BodyText"/>
      </w:pPr>
      <w:r>
        <w:t xml:space="preserve">Personal scope</w:t>
      </w:r>
      <w:r>
        <w:t xml:space="preserve"> </w:t>
      </w:r>
      <w:r>
        <w:t xml:space="preserve">Any natural person or any legal entity that has</w:t>
      </w:r>
      <w:r>
        <w:t xml:space="preserve"> </w:t>
      </w:r>
      <w:r>
        <w:t xml:space="preserve">reporting, self-certification or notification</w:t>
      </w:r>
      <w:r>
        <w:t xml:space="preserve"> </w:t>
      </w:r>
      <w:r>
        <w:t xml:space="preserve">obligation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cumulatively applicable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1300 (first violation)</w:t>
      </w:r>
      <w:r>
        <w:t xml:space="preserve"> </w:t>
      </w:r>
      <w:r>
        <w:t xml:space="preserve">EUR 2000 (second</w:t>
      </w:r>
      <w:r>
        <w:t xml:space="preserve"> </w:t>
      </w:r>
      <w:r>
        <w:t xml:space="preserve">violation)</w:t>
      </w:r>
      <w:r>
        <w:t xml:space="preserve"> </w:t>
      </w:r>
      <w:r>
        <w:t xml:space="preserve">EUR 3300 (3+ violations)</w:t>
      </w:r>
      <w:r>
        <w:t xml:space="preserve"> </w:t>
      </w:r>
      <w:r>
        <w:t xml:space="preserve">DAC 4</w:t>
      </w:r>
      <w:r>
        <w:br/>
      </w:r>
      <w:r>
        <w:t xml:space="preserve">Scope ratione materiae</w:t>
      </w:r>
      <w:r>
        <w:t xml:space="preserve"> </w:t>
      </w:r>
      <w:r>
        <w:t xml:space="preserve">Any violation of reporting or notification</w:t>
      </w:r>
      <w:r>
        <w:t xml:space="preserve"> </w:t>
      </w:r>
      <w:r>
        <w:t xml:space="preserve">obligation</w:t>
      </w:r>
    </w:p>
    <w:p>
      <w:pPr>
        <w:pStyle w:val="BodyText"/>
      </w:pPr>
      <w:r>
        <w:t xml:space="preserve">Personal scope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1300 (first violation)</w:t>
      </w:r>
      <w:r>
        <w:t xml:space="preserve"> </w:t>
      </w:r>
      <w:r>
        <w:t xml:space="preserve">EUR 2000 (second</w:t>
      </w:r>
      <w:r>
        <w:t xml:space="preserve"> </w:t>
      </w:r>
      <w:r>
        <w:t xml:space="preserve">violation)</w:t>
      </w:r>
      <w:r>
        <w:t xml:space="preserve"> </w:t>
      </w:r>
      <w:r>
        <w:t xml:space="preserve">EUR 3300 (3+ violations)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Any legal entity that has reporting or</w:t>
      </w:r>
      <w:r>
        <w:t xml:space="preserve"> </w:t>
      </w:r>
      <w:r>
        <w:t xml:space="preserve">notification obligation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cumulatively applicable</w:t>
      </w:r>
      <w:r>
        <w:t xml:space="preserve"> </w:t>
      </w:r>
      <w:r>
        <w:t xml:space="preserve">DAC 6</w:t>
      </w:r>
      <w:r>
        <w:br/>
      </w:r>
      <w:r>
        <w:t xml:space="preserve">Scope ratione materiae</w:t>
      </w:r>
      <w:r>
        <w:t xml:space="preserve"> </w:t>
      </w:r>
      <w:r>
        <w:t xml:space="preserve">Any violation of reporting or notification</w:t>
      </w:r>
      <w:r>
        <w:t xml:space="preserve"> </w:t>
      </w:r>
      <w:r>
        <w:t xml:space="preserve">obligation</w:t>
      </w:r>
    </w:p>
    <w:p>
      <w:pPr>
        <w:pStyle w:val="BodyText"/>
      </w:pPr>
      <w:r>
        <w:t xml:space="preserve">Personal scope</w:t>
      </w:r>
      <w:r>
        <w:t xml:space="preserve"> </w:t>
      </w:r>
      <w:r>
        <w:t xml:space="preserve">Any natural person or any legal entity that has</w:t>
      </w:r>
      <w:r>
        <w:t xml:space="preserve"> </w:t>
      </w:r>
      <w:r>
        <w:t xml:space="preserve">reporting or notification obligation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cumulatively applicable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1300 (first violation)</w:t>
      </w:r>
      <w:r>
        <w:t xml:space="preserve"> </w:t>
      </w:r>
      <w:r>
        <w:t xml:space="preserve">EUR 2000 (second</w:t>
      </w:r>
      <w:r>
        <w:t xml:space="preserve"> </w:t>
      </w:r>
      <w:r>
        <w:t xml:space="preserve">violation)</w:t>
      </w:r>
      <w:r>
        <w:t xml:space="preserve"> </w:t>
      </w:r>
      <w:r>
        <w:t xml:space="preserve">EUR 3300 (3+ violations)</w:t>
      </w:r>
      <w:r>
        <w:t xml:space="preserve"> </w:t>
      </w:r>
      <w:r>
        <w:t xml:space="preserve">EL</w:t>
      </w:r>
      <w:r>
        <w:br/>
      </w:r>
      <w:r>
        <w:t xml:space="preserve">DAC 2</w:t>
      </w:r>
      <w:r>
        <w:br/>
      </w:r>
      <w:r>
        <w:t xml:space="preserve">Art. 54c of the Greek Code of Tax Procedures -</w:t>
      </w:r>
      <w:r>
        <w:t xml:space="preserve"> </w:t>
      </w:r>
      <w:r>
        <w:t xml:space="preserve">sanctions on the financial institutions (no</w:t>
      </w:r>
      <w:r>
        <w:t xml:space="preserve"> </w:t>
      </w:r>
      <w:r>
        <w:t xml:space="preserve">personal distinctions) for:</w:t>
      </w:r>
      <w:r>
        <w:br/>
      </w:r>
      <w:r>
        <w:t xml:space="preserve">a) Late reporting of information on each</w:t>
      </w:r>
      <w:r>
        <w:t xml:space="preserve"> </w:t>
      </w:r>
      <w:r>
        <w:t xml:space="preserve">reportable account.</w:t>
      </w:r>
      <w:r>
        <w:t xml:space="preserve"> </w:t>
      </w:r>
      <w:r>
        <w:t xml:space="preserve">b) A failure to report information on each</w:t>
      </w:r>
      <w:r>
        <w:t xml:space="preserve"> </w:t>
      </w:r>
      <w:r>
        <w:t xml:space="preserve">reportable account.</w:t>
      </w:r>
    </w:p>
    <w:p>
      <w:pPr>
        <w:numPr>
          <w:ilvl w:val="0"/>
          <w:numId w:val="1040"/>
        </w:numPr>
      </w:pPr>
      <w:r>
        <w:t xml:space="preserve">A filing of inaccurate or incomplete</w:t>
      </w:r>
      <w:r>
        <w:t xml:space="preserve"> </w:t>
      </w:r>
      <w:r>
        <w:t xml:space="preserve">information on each reportable account.</w:t>
      </w:r>
      <w:r>
        <w:br/>
      </w:r>
    </w:p>
    <w:p>
      <w:pPr>
        <w:numPr>
          <w:ilvl w:val="0"/>
          <w:numId w:val="1040"/>
        </w:numPr>
      </w:pPr>
      <w:r>
        <w:t xml:space="preserve">A failure to respond to a request from the Tax</w:t>
      </w:r>
      <w:r>
        <w:t xml:space="preserve"> </w:t>
      </w:r>
      <w:r>
        <w:t xml:space="preserve">Administration either to provide information or</w:t>
      </w:r>
      <w:r>
        <w:t xml:space="preserve"> </w:t>
      </w:r>
      <w:r>
        <w:t xml:space="preserve">data or to complete or correct information or</w:t>
      </w:r>
      <w:r>
        <w:t xml:space="preserve"> </w:t>
      </w:r>
      <w:r>
        <w:t xml:space="preserve">data relating to each reportable account within</w:t>
      </w:r>
      <w:r>
        <w:t xml:space="preserve"> </w:t>
      </w:r>
      <w:r>
        <w:t xml:space="preserve">the time limit.</w:t>
      </w:r>
      <w:r>
        <w:br/>
      </w:r>
    </w:p>
    <w:p>
      <w:pPr>
        <w:numPr>
          <w:ilvl w:val="0"/>
          <w:numId w:val="1040"/>
        </w:numPr>
      </w:pPr>
      <w:r>
        <w:t xml:space="preserve">Each failure to cooperate during the audit to</w:t>
      </w:r>
      <w:r>
        <w:t xml:space="preserve"> </w:t>
      </w:r>
      <w:r>
        <w:t xml:space="preserve">comply with the rules on reporting and due</w:t>
      </w:r>
      <w:r>
        <w:t xml:space="preserve"> </w:t>
      </w:r>
      <w:r>
        <w:t xml:space="preserve">diligence.</w:t>
      </w:r>
    </w:p>
    <w:p>
      <w:pPr>
        <w:numPr>
          <w:ilvl w:val="0"/>
          <w:numId w:val="1040"/>
        </w:numPr>
      </w:pPr>
      <w:r>
        <w:t xml:space="preserve">Each failure to comply with the obligations to</w:t>
      </w:r>
      <w:r>
        <w:t xml:space="preserve"> </w:t>
      </w:r>
      <w:r>
        <w:t xml:space="preserve">submit information on each reportable account</w:t>
      </w:r>
      <w:r>
        <w:t xml:space="preserve"> </w:t>
      </w:r>
      <w:r>
        <w:t xml:space="preserve">in accordance with the reporting and due</w:t>
      </w:r>
      <w:r>
        <w:t xml:space="preserve"> </w:t>
      </w:r>
      <w:r>
        <w:t xml:space="preserve">diligence rules within the time limit following a</w:t>
      </w:r>
      <w:r>
        <w:t xml:space="preserve"> </w:t>
      </w:r>
      <w:r>
        <w:t xml:space="preserve">tax audit.</w:t>
      </w:r>
    </w:p>
    <w:p>
      <w:pPr>
        <w:numPr>
          <w:ilvl w:val="0"/>
          <w:numId w:val="1040"/>
        </w:numPr>
      </w:pPr>
      <w:r>
        <w:t xml:space="preserve">EUR 100 per</w:t>
      </w:r>
      <w:r>
        <w:t xml:space="preserve"> </w:t>
      </w:r>
      <w:r>
        <w:t xml:space="preserve">reportable account</w:t>
      </w:r>
    </w:p>
    <w:p>
      <w:pPr>
        <w:numPr>
          <w:ilvl w:val="0"/>
          <w:numId w:val="1040"/>
        </w:numPr>
      </w:pPr>
      <w:r>
        <w:t xml:space="preserve">EUR 300 per</w:t>
      </w:r>
      <w:r>
        <w:t xml:space="preserve"> </w:t>
      </w:r>
      <w:r>
        <w:t xml:space="preserve">reportable account</w:t>
      </w:r>
      <w:r>
        <w:br/>
      </w:r>
    </w:p>
    <w:p>
      <w:pPr>
        <w:numPr>
          <w:ilvl w:val="0"/>
          <w:numId w:val="1040"/>
        </w:numPr>
      </w:pPr>
      <w:r>
        <w:t xml:space="preserve">EUR 300 per</w:t>
      </w:r>
      <w:r>
        <w:t xml:space="preserve"> </w:t>
      </w:r>
      <w:r>
        <w:t xml:space="preserve">reportable account</w:t>
      </w:r>
    </w:p>
    <w:p>
      <w:pPr>
        <w:numPr>
          <w:ilvl w:val="0"/>
          <w:numId w:val="1040"/>
        </w:numPr>
      </w:pPr>
      <w:r>
        <w:t xml:space="preserve">EUR 1,000 per</w:t>
      </w:r>
      <w:r>
        <w:t xml:space="preserve"> </w:t>
      </w:r>
      <w:r>
        <w:t xml:space="preserve">reportable account</w:t>
      </w:r>
      <w:r>
        <w:br/>
      </w:r>
    </w:p>
    <w:p>
      <w:pPr>
        <w:numPr>
          <w:ilvl w:val="0"/>
          <w:numId w:val="1040"/>
        </w:numPr>
      </w:pPr>
      <w:r>
        <w:t xml:space="preserve">EUR 2,500</w:t>
      </w:r>
    </w:p>
    <w:p>
      <w:pPr>
        <w:numPr>
          <w:ilvl w:val="0"/>
          <w:numId w:val="1040"/>
        </w:numPr>
      </w:pPr>
      <w:r>
        <w:t xml:space="preserve">EUR 5,000.</w:t>
      </w:r>
    </w:p>
    <w:p>
      <w:pPr>
        <w:pStyle w:val="FirstParagraph"/>
      </w:pPr>
      <w:r>
        <w:t xml:space="preserve">If the Reporting</w:t>
      </w:r>
      <w:r>
        <w:t xml:space="preserve"> </w:t>
      </w:r>
      <w:r>
        <w:t xml:space="preserve">Greek Financial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voluntarily and</w:t>
      </w:r>
      <w:r>
        <w:t xml:space="preserve"> </w:t>
      </w:r>
      <w:r>
        <w:t xml:space="preserve">within a period of 3</w:t>
      </w:r>
      <w:r>
        <w:t xml:space="preserve"> </w:t>
      </w:r>
      <w:r>
        <w:t xml:space="preserve">months, starting</w:t>
      </w:r>
      <w:r>
        <w:t xml:space="preserve"> </w:t>
      </w:r>
      <w:r>
        <w:t xml:space="preserve">from the expiration</w:t>
      </w:r>
      <w:r>
        <w:t xml:space="preserve"> </w:t>
      </w:r>
      <w:r>
        <w:t xml:space="preserve">of the deadline for</w:t>
      </w:r>
      <w:r>
        <w:t xml:space="preserve"> </w:t>
      </w:r>
      <w:r>
        <w:t xml:space="preserve">submitting such</w:t>
      </w:r>
      <w:r>
        <w:t xml:space="preserve"> </w:t>
      </w:r>
      <w:r>
        <w:t xml:space="preserve">information to the</w:t>
      </w:r>
      <w:r>
        <w:t xml:space="preserve"> </w:t>
      </w:r>
      <w:r>
        <w:t xml:space="preserve">competent Tax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Service, correctly</w:t>
      </w:r>
      <w:r>
        <w:t xml:space="preserve"> </w:t>
      </w:r>
      <w:r>
        <w:t xml:space="preserve">amend or complete</w:t>
      </w:r>
      <w:r>
        <w:t xml:space="preserve"> </w:t>
      </w:r>
      <w:r>
        <w:t xml:space="preserve">the information on</w:t>
      </w:r>
      <w:r>
        <w:t xml:space="preserve"> </w:t>
      </w:r>
      <w:r>
        <w:t xml:space="preserve">each reportable</w:t>
      </w:r>
      <w:r>
        <w:t xml:space="preserve"> </w:t>
      </w:r>
      <w:r>
        <w:t xml:space="preserve">account covering the</w:t>
      </w:r>
      <w:r>
        <w:t xml:space="preserve"> </w:t>
      </w:r>
      <w:r>
        <w:t xml:space="preserve">cases provided</w:t>
      </w:r>
      <w:r>
        <w:t xml:space="preserve"> </w:t>
      </w:r>
      <w:r>
        <w:t xml:space="preserve">under a), b), c), they</w:t>
      </w:r>
      <w:r>
        <w:t xml:space="preserve"> </w:t>
      </w:r>
      <w:r>
        <w:t xml:space="preserve">shall be treated as</w:t>
      </w:r>
      <w:r>
        <w:t xml:space="preserve"> </w:t>
      </w:r>
      <w:r>
        <w:t xml:space="preserve">not having</w:t>
      </w:r>
      <w:r>
        <w:t xml:space="preserve"> </w:t>
      </w:r>
      <w:r>
        <w:t xml:space="preserve">committed a</w:t>
      </w:r>
      <w:r>
        <w:t xml:space="preserve"> </w:t>
      </w:r>
      <w:r>
        <w:t xml:space="preserve">violation and no fine</w:t>
      </w:r>
      <w:r>
        <w:t xml:space="preserve"> </w:t>
      </w:r>
      <w:r>
        <w:t xml:space="preserve">shall be imposed.</w:t>
      </w:r>
      <w:r>
        <w:t xml:space="preserve"> </w:t>
      </w:r>
      <w:r>
        <w:t xml:space="preserve">If the Reporting</w:t>
      </w:r>
      <w:r>
        <w:t xml:space="preserve"> </w:t>
      </w:r>
      <w:r>
        <w:t xml:space="preserve">Greek Financial</w:t>
      </w:r>
      <w:r>
        <w:t xml:space="preserve"> </w:t>
      </w:r>
      <w:r>
        <w:t xml:space="preserve">Institutions -</w:t>
      </w:r>
      <w:r>
        <w:t xml:space="preserve"> </w:t>
      </w:r>
      <w:r>
        <w:t xml:space="preserve">following an audit or</w:t>
      </w:r>
      <w:r>
        <w:t xml:space="preserve"> </w:t>
      </w:r>
      <w:r>
        <w:t xml:space="preserve">upon notification of</w:t>
      </w:r>
    </w:p>
    <w:p>
      <w:pPr>
        <w:numPr>
          <w:ilvl w:val="0"/>
          <w:numId w:val="1041"/>
        </w:numPr>
      </w:pPr>
      <w:r>
        <w:t xml:space="preserve">as minimum (fixed)</w:t>
      </w:r>
    </w:p>
    <w:p>
      <w:pPr>
        <w:numPr>
          <w:ilvl w:val="0"/>
          <w:numId w:val="1041"/>
        </w:numPr>
      </w:pPr>
      <w:r>
        <w:t xml:space="preserve">as minimum (fixed)</w:t>
      </w:r>
    </w:p>
    <w:p>
      <w:pPr>
        <w:numPr>
          <w:ilvl w:val="0"/>
          <w:numId w:val="1041"/>
        </w:numPr>
      </w:pPr>
      <w:r>
        <w:t xml:space="preserve">as minimum (fixed)</w:t>
      </w:r>
    </w:p>
    <w:p>
      <w:pPr>
        <w:numPr>
          <w:ilvl w:val="0"/>
          <w:numId w:val="1041"/>
        </w:numPr>
      </w:pPr>
      <w:r>
        <w:t xml:space="preserve">as minimum (fixed)</w:t>
      </w:r>
    </w:p>
    <w:p>
      <w:pPr>
        <w:numPr>
          <w:ilvl w:val="0"/>
          <w:numId w:val="1041"/>
        </w:numPr>
      </w:pPr>
      <w:r>
        <w:t xml:space="preserve">as minimum (fixed)</w:t>
      </w:r>
    </w:p>
    <w:p>
      <w:pPr>
        <w:numPr>
          <w:ilvl w:val="0"/>
          <w:numId w:val="1041"/>
        </w:numPr>
      </w:pPr>
      <w:r>
        <w:t xml:space="preserve">as minimum (fixed)</w:t>
      </w:r>
    </w:p>
    <w:p>
      <w:pPr>
        <w:pStyle w:val="FirstParagraph"/>
      </w:pPr>
      <w:r>
        <w:t xml:space="preserve">If the Greek Reporting</w:t>
      </w:r>
      <w:r>
        <w:t xml:space="preserve"> </w:t>
      </w:r>
      <w:r>
        <w:t xml:space="preserve">Financial Institutions</w:t>
      </w:r>
      <w:r>
        <w:t xml:space="preserve"> </w:t>
      </w:r>
      <w:r>
        <w:t xml:space="preserve">commit the same</w:t>
      </w:r>
      <w:r>
        <w:t xml:space="preserve"> </w:t>
      </w:r>
      <w:r>
        <w:t xml:space="preserve">infringement within five</w:t>
      </w:r>
      <w:r>
        <w:t xml:space="preserve"> </w:t>
      </w:r>
      <w:r>
        <w:t xml:space="preserve">years from the discovery</w:t>
      </w:r>
      <w:r>
        <w:t xml:space="preserve"> </w:t>
      </w:r>
      <w:r>
        <w:t xml:space="preserve">of the first infringement,</w:t>
      </w:r>
      <w:r>
        <w:t xml:space="preserve"> </w:t>
      </w:r>
      <w:r>
        <w:t xml:space="preserve">the aforesaid penalties</w:t>
      </w:r>
      <w:r>
        <w:t xml:space="preserve"> </w:t>
      </w:r>
      <w:r>
        <w:t xml:space="preserve">(provided under a)-f))</w:t>
      </w:r>
      <w:r>
        <w:t xml:space="preserve"> </w:t>
      </w:r>
      <w:r>
        <w:t xml:space="preserve">shall be doubled. In case</w:t>
      </w:r>
      <w:r>
        <w:t xml:space="preserve"> </w:t>
      </w:r>
      <w:r>
        <w:t xml:space="preserve">the same infringement is</w:t>
      </w:r>
      <w:r>
        <w:t xml:space="preserve"> </w:t>
      </w:r>
      <w:r>
        <w:t xml:space="preserve">repeated, for each</w:t>
      </w:r>
      <w:r>
        <w:t xml:space="preserve"> </w:t>
      </w:r>
      <w:r>
        <w:t xml:space="preserve">subsequent infringement</w:t>
      </w:r>
      <w:r>
        <w:t xml:space="preserve"> </w:t>
      </w:r>
      <w:r>
        <w:t xml:space="preserve">the said penalties shall be</w:t>
      </w:r>
      <w:r>
        <w:t xml:space="preserve"> </w:t>
      </w:r>
      <w:r>
        <w:t xml:space="preserve">quadrupled.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the competent</w:t>
      </w:r>
      <w:r>
        <w:t xml:space="preserve"> </w:t>
      </w:r>
      <w:r>
        <w:t xml:space="preserve">foreign authority-</w:t>
      </w:r>
      <w:r>
        <w:t xml:space="preserve"> </w:t>
      </w:r>
      <w:r>
        <w:t xml:space="preserve">correctly amend or</w:t>
      </w:r>
      <w:r>
        <w:t xml:space="preserve"> </w:t>
      </w:r>
      <w:r>
        <w:t xml:space="preserve">complete the</w:t>
      </w:r>
      <w:r>
        <w:t xml:space="preserve"> </w:t>
      </w:r>
      <w:r>
        <w:t xml:space="preserve">information for each</w:t>
      </w:r>
      <w:r>
        <w:t xml:space="preserve"> </w:t>
      </w:r>
      <w:r>
        <w:t xml:space="preserve">reportable account</w:t>
      </w:r>
      <w:r>
        <w:t xml:space="preserve"> </w:t>
      </w:r>
      <w:r>
        <w:t xml:space="preserve">concerning the cases</w:t>
      </w:r>
      <w:r>
        <w:t xml:space="preserve"> </w:t>
      </w:r>
      <w:r>
        <w:t xml:space="preserve">provided under a),</w:t>
      </w:r>
      <w:r>
        <w:t xml:space="preserve"> </w:t>
      </w:r>
      <w:r>
        <w:t xml:space="preserve">b), c), within the</w:t>
      </w:r>
      <w:r>
        <w:t xml:space="preserve"> </w:t>
      </w:r>
      <w:r>
        <w:t xml:space="preserve">deadline, the</w:t>
      </w:r>
      <w:r>
        <w:t xml:space="preserve"> </w:t>
      </w:r>
      <w:r>
        <w:t xml:space="preserve">corresponding fines</w:t>
      </w:r>
      <w:r>
        <w:t xml:space="preserve"> </w:t>
      </w:r>
      <w:r>
        <w:t xml:space="preserve">shall be halved, but</w:t>
      </w:r>
      <w:r>
        <w:t xml:space="preserve"> </w:t>
      </w:r>
      <w:r>
        <w:t xml:space="preserve">only if the</w:t>
      </w:r>
      <w:r>
        <w:t xml:space="preserve"> </w:t>
      </w:r>
      <w:r>
        <w:t xml:space="preserve">infringement is</w:t>
      </w:r>
      <w:r>
        <w:t xml:space="preserve"> </w:t>
      </w:r>
      <w:r>
        <w:t xml:space="preserve">related to the years</w:t>
      </w:r>
      <w:r>
        <w:t xml:space="preserve"> </w:t>
      </w:r>
      <w:r>
        <w:t xml:space="preserve">2017 and 2018.</w:t>
      </w:r>
    </w:p>
    <w:p>
      <w:pPr>
        <w:pStyle w:val="BodyText"/>
      </w:pPr>
      <w:r>
        <w:t xml:space="preserve">DAC 4</w:t>
      </w:r>
      <w:r>
        <w:br/>
      </w:r>
      <w:r>
        <w:t xml:space="preserve">Art. 56A of L. 4174/2013 (Greek Code of Tax</w:t>
      </w:r>
      <w:r>
        <w:t xml:space="preserve"> </w:t>
      </w:r>
      <w:r>
        <w:t xml:space="preserve">Procedures) - sanctions for CbC reporting (no</w:t>
      </w:r>
      <w:r>
        <w:t xml:space="preserve"> </w:t>
      </w:r>
      <w:r>
        <w:t xml:space="preserve">personal distinctions):</w:t>
      </w:r>
      <w:r>
        <w:br/>
      </w:r>
      <w:r>
        <w:t xml:space="preserve">A) A filing of an inaccurate report or a belated</w:t>
      </w:r>
      <w:r>
        <w:t xml:space="preserve"> </w:t>
      </w:r>
      <w:r>
        <w:t xml:space="preserve">filing of the report.</w:t>
      </w:r>
      <w:r>
        <w:t xml:space="preserve"> </w:t>
      </w:r>
      <w:r>
        <w:t xml:space="preserve">B) A failure to submit a country report.</w:t>
      </w:r>
    </w:p>
    <w:p>
      <w:pPr>
        <w:numPr>
          <w:ilvl w:val="0"/>
          <w:numId w:val="1042"/>
        </w:numPr>
      </w:pPr>
      <w:r>
        <w:t xml:space="preserve">EUR 10,000</w:t>
      </w:r>
    </w:p>
    <w:p>
      <w:pPr>
        <w:numPr>
          <w:ilvl w:val="0"/>
          <w:numId w:val="1042"/>
        </w:numPr>
      </w:pPr>
      <w:r>
        <w:t xml:space="preserve">EUR 20,000</w:t>
      </w:r>
    </w:p>
    <w:p>
      <w:pPr>
        <w:numPr>
          <w:ilvl w:val="0"/>
          <w:numId w:val="1042"/>
        </w:numPr>
      </w:pPr>
      <w:r>
        <w:t xml:space="preserve">as the minimum (fixed)</w:t>
      </w:r>
    </w:p>
    <w:p>
      <w:pPr>
        <w:numPr>
          <w:ilvl w:val="0"/>
          <w:numId w:val="1042"/>
        </w:numPr>
      </w:pPr>
      <w:r>
        <w:t xml:space="preserve">as the minimum (fixed)</w:t>
      </w:r>
      <w:r>
        <w:t xml:space="preserve"> </w:t>
      </w:r>
      <w:r>
        <w:t xml:space="preserve">DAC 6</w:t>
      </w:r>
      <w:r>
        <w:br/>
      </w:r>
      <w:r>
        <w:t xml:space="preserve">Art. 56A of L. 4174/2013 (Greek Code of Tax</w:t>
      </w:r>
      <w:r>
        <w:t xml:space="preserve"> </w:t>
      </w:r>
      <w:r>
        <w:t xml:space="preserve">Procedures) - sanctions for MDR violation (no</w:t>
      </w:r>
      <w:r>
        <w:t xml:space="preserve"> </w:t>
      </w:r>
      <w:r>
        <w:t xml:space="preserve">personal distinctions):</w:t>
      </w:r>
      <w:r>
        <w:br/>
      </w:r>
    </w:p>
    <w:p>
      <w:pPr>
        <w:numPr>
          <w:ilvl w:val="0"/>
          <w:numId w:val="1042"/>
        </w:numPr>
      </w:pPr>
      <w:r>
        <w:t xml:space="preserve">A failure to report information regarding a</w:t>
      </w:r>
      <w:r>
        <w:t xml:space="preserve"> </w:t>
      </w:r>
      <w:r>
        <w:t xml:space="preserve">reportable cross-border arrangement.</w:t>
      </w:r>
    </w:p>
    <w:p>
      <w:pPr>
        <w:numPr>
          <w:ilvl w:val="0"/>
          <w:numId w:val="1042"/>
        </w:numPr>
      </w:pPr>
      <w:r>
        <w:t xml:space="preserve">A filing of inaccurate or incomplete</w:t>
      </w:r>
      <w:r>
        <w:t xml:space="preserve"> </w:t>
      </w:r>
      <w:r>
        <w:t xml:space="preserve">information in respect of a reportable cross-</w:t>
      </w:r>
      <w:r>
        <w:t xml:space="preserve"> </w:t>
      </w:r>
      <w:r>
        <w:t xml:space="preserve">border arrangement.</w:t>
      </w:r>
    </w:p>
    <w:p>
      <w:pPr>
        <w:numPr>
          <w:ilvl w:val="0"/>
          <w:numId w:val="1042"/>
        </w:numPr>
      </w:pPr>
      <w:r>
        <w:t xml:space="preserve">Late reporting regarding a reportable cross-</w:t>
      </w:r>
      <w:r>
        <w:t xml:space="preserve"> </w:t>
      </w:r>
      <w:r>
        <w:t xml:space="preserve">border arrangement.</w:t>
      </w:r>
    </w:p>
    <w:bookmarkEnd w:id="9"/>
    <w:bookmarkStart w:id="10" w:name="specific-sanction-on-intermediaries"/>
    <w:p>
      <w:pPr>
        <w:pStyle w:val="Heading2"/>
      </w:pPr>
      <w:r>
        <w:t xml:space="preserve">Specific sanction on intermediaries:</w:t>
      </w:r>
    </w:p>
    <w:p>
      <w:pPr>
        <w:pStyle w:val="FirstParagraph"/>
      </w:pPr>
      <w:r>
        <w:t xml:space="preserve">If the intermediary fails to notify</w:t>
      </w:r>
      <w:r>
        <w:t xml:space="preserve"> </w:t>
      </w:r>
      <w:r>
        <w:t xml:space="preserve">another intermediary or the taxpayer</w:t>
      </w:r>
      <w:r>
        <w:t xml:space="preserve"> </w:t>
      </w:r>
      <w:r>
        <w:t xml:space="preserve">for the duty of filing information</w:t>
      </w:r>
    </w:p>
    <w:p>
      <w:pPr>
        <w:numPr>
          <w:ilvl w:val="0"/>
          <w:numId w:val="1043"/>
        </w:numPr>
      </w:pPr>
      <w:r>
        <w:t xml:space="preserve">EUR 10,000</w:t>
      </w:r>
    </w:p>
    <w:p>
      <w:pPr>
        <w:numPr>
          <w:ilvl w:val="0"/>
          <w:numId w:val="1043"/>
        </w:numPr>
      </w:pPr>
      <w:r>
        <w:t xml:space="preserve">EUR 5,000</w:t>
      </w:r>
    </w:p>
    <w:p>
      <w:pPr>
        <w:numPr>
          <w:ilvl w:val="0"/>
          <w:numId w:val="1043"/>
        </w:numPr>
      </w:pPr>
      <w:r>
        <w:t xml:space="preserve">EUR 500 per</w:t>
      </w:r>
      <w:r>
        <w:t xml:space="preserve"> </w:t>
      </w:r>
      <w:r>
        <w:t xml:space="preserve">month of delay up to</w:t>
      </w:r>
      <w:r>
        <w:t xml:space="preserve"> </w:t>
      </w:r>
      <w:r>
        <w:t xml:space="preserve">three months. Once</w:t>
      </w:r>
      <w:r>
        <w:t xml:space="preserve"> </w:t>
      </w:r>
      <w:r>
        <w:t xml:space="preserve">the three month-</w:t>
      </w:r>
      <w:r>
        <w:t xml:space="preserve"> </w:t>
      </w:r>
      <w:r>
        <w:t xml:space="preserve">period expires, a</w:t>
      </w:r>
      <w:r>
        <w:t xml:space="preserve"> </w:t>
      </w:r>
      <w:r>
        <w:t xml:space="preserve">penalty is EUR 5,000</w:t>
      </w:r>
      <w:r>
        <w:t xml:space="preserve"> </w:t>
      </w:r>
      <w:r>
        <w:t xml:space="preserve">per reportable cross-</w:t>
      </w:r>
      <w:r>
        <w:t xml:space="preserve"> </w:t>
      </w:r>
      <w:r>
        <w:t xml:space="preserve">border arrangement.</w:t>
      </w:r>
    </w:p>
    <w:p>
      <w:pPr>
        <w:pStyle w:val="FirstParagraph"/>
      </w:pPr>
      <w:r>
        <w:t xml:space="preserve">EUR 10,000</w:t>
      </w:r>
    </w:p>
    <w:p>
      <w:pPr>
        <w:numPr>
          <w:ilvl w:val="0"/>
          <w:numId w:val="1044"/>
        </w:numPr>
      </w:pPr>
      <w:r>
        <w:t xml:space="preserve">The sum of penalties</w:t>
      </w:r>
      <w:r>
        <w:t xml:space="preserve"> </w:t>
      </w:r>
      <w:r>
        <w:t xml:space="preserve">shall not exceed the</w:t>
      </w:r>
      <w:r>
        <w:t xml:space="preserve"> </w:t>
      </w:r>
      <w:r>
        <w:t xml:space="preserve">amount of EUR 100,000</w:t>
      </w:r>
      <w:r>
        <w:t xml:space="preserve"> </w:t>
      </w:r>
      <w:r>
        <w:t xml:space="preserve">per tax audit for each</w:t>
      </w:r>
      <w:r>
        <w:t xml:space="preserve"> </w:t>
      </w:r>
      <w:r>
        <w:t xml:space="preserve">reportable cross-border</w:t>
      </w:r>
      <w:r>
        <w:t xml:space="preserve"> </w:t>
      </w:r>
      <w:r>
        <w:t xml:space="preserve">arrangement.</w:t>
      </w:r>
    </w:p>
    <w:p>
      <w:pPr>
        <w:numPr>
          <w:ilvl w:val="0"/>
          <w:numId w:val="1044"/>
        </w:numPr>
      </w:pPr>
      <w:r>
        <w:t xml:space="preserve">The sum of penalties</w:t>
      </w:r>
      <w:r>
        <w:t xml:space="preserve"> </w:t>
      </w:r>
      <w:r>
        <w:t xml:space="preserve">shall not exceed the</w:t>
      </w:r>
      <w:r>
        <w:t xml:space="preserve"> </w:t>
      </w:r>
      <w:r>
        <w:t xml:space="preserve">amount of EUR 50,000 per</w:t>
      </w:r>
      <w:r>
        <w:t xml:space="preserve"> </w:t>
      </w:r>
      <w:r>
        <w:t xml:space="preserve">tax audit for each</w:t>
      </w:r>
      <w:r>
        <w:t xml:space="preserve"> </w:t>
      </w:r>
      <w:r>
        <w:t xml:space="preserve">reportable cross-border</w:t>
      </w:r>
      <w:r>
        <w:t xml:space="preserve"> </w:t>
      </w:r>
      <w:r>
        <w:t xml:space="preserve">arrangement.</w:t>
      </w:r>
    </w:p>
    <w:p>
      <w:pPr>
        <w:numPr>
          <w:ilvl w:val="0"/>
          <w:numId w:val="1044"/>
        </w:numPr>
      </w:pPr>
      <w:r>
        <w:t xml:space="preserve">The sum of penalties</w:t>
      </w:r>
      <w:r>
        <w:t xml:space="preserve"> </w:t>
      </w:r>
      <w:r>
        <w:t xml:space="preserve">shall not exceed the</w:t>
      </w:r>
      <w:r>
        <w:t xml:space="preserve"> </w:t>
      </w:r>
      <w:r>
        <w:t xml:space="preserve">amount of EUR 10,000 per</w:t>
      </w:r>
      <w:r>
        <w:t xml:space="preserve"> </w:t>
      </w:r>
      <w:r>
        <w:t xml:space="preserve">year for each reportable</w:t>
      </w:r>
      <w:r>
        <w:t xml:space="preserve"> </w:t>
      </w:r>
      <w:r>
        <w:t xml:space="preserve">cross-border</w:t>
      </w:r>
      <w:r>
        <w:t xml:space="preserve"> </w:t>
      </w:r>
      <w:r>
        <w:t xml:space="preserve">arrangement.</w:t>
      </w:r>
    </w:p>
    <w:p>
      <w:pPr>
        <w:pStyle w:val="FirstParagraph"/>
      </w:pPr>
      <w:r>
        <w:t xml:space="preserve">EUR 100,000 per tax audit</w:t>
      </w:r>
      <w:r>
        <w:t xml:space="preserve"> </w:t>
      </w:r>
      <w:r>
        <w:t xml:space="preserve">for each reportable cross-</w:t>
      </w:r>
      <w:r>
        <w:t xml:space="preserve"> </w:t>
      </w:r>
      <w:r>
        <w:t xml:space="preserve">border arrangement</w:t>
      </w:r>
      <w:r>
        <w:t xml:space="preserve"> </w:t>
      </w:r>
      <w:r>
        <w:t xml:space="preserve">ES</w:t>
      </w:r>
      <w:r>
        <w:t xml:space="preserve"> </w:t>
      </w:r>
      <w:r>
        <w:t xml:space="preserve">DAC 2</w:t>
      </w:r>
      <w:r>
        <w:br/>
      </w:r>
      <w:r>
        <w:t xml:space="preserve">Infractions by the financial institutions</w:t>
      </w:r>
    </w:p>
    <w:p>
      <w:pPr>
        <w:pStyle w:val="Compact"/>
        <w:numPr>
          <w:ilvl w:val="0"/>
          <w:numId w:val="1045"/>
        </w:numPr>
      </w:pPr>
      <w:r>
        <w:t xml:space="preserve">No reporting (LGT 198.1)</w:t>
      </w:r>
      <w:r>
        <w:t xml:space="preserve"> </w:t>
      </w:r>
      <w:r>
        <w:t xml:space="preserve">Sanctions are per</w:t>
      </w:r>
      <w:r>
        <w:t xml:space="preserve"> </w:t>
      </w:r>
      <w:r>
        <w:t xml:space="preserve">single infringement</w:t>
      </w:r>
      <w:r>
        <w:t xml:space="preserve"> </w:t>
      </w:r>
      <w:r>
        <w:t xml:space="preserve">and calculated per</w:t>
      </w:r>
      <w:r>
        <w:t xml:space="preserve"> </w:t>
      </w:r>
      <w:r>
        <w:t xml:space="preserve">missing/erroneous/f</w:t>
      </w:r>
    </w:p>
    <w:p>
      <w:pPr>
        <w:pStyle w:val="FirstParagraph"/>
      </w:pPr>
      <w:r>
        <w:t xml:space="preserve">Infractions by the financial</w:t>
      </w:r>
      <w:r>
        <w:t xml:space="preserve"> </w:t>
      </w:r>
      <w:r>
        <w:t xml:space="preserve">institutions</w:t>
      </w:r>
    </w:p>
    <w:p>
      <w:pPr>
        <w:pStyle w:val="BodyText"/>
      </w:pPr>
      <w:r>
        <w:t xml:space="preserve">89</w:t>
      </w:r>
    </w:p>
    <w:p>
      <w:pPr>
        <w:numPr>
          <w:ilvl w:val="0"/>
          <w:numId w:val="1046"/>
        </w:numPr>
      </w:pPr>
      <w:r>
        <w:t xml:space="preserve">Late reporting (LGT 198.2)</w:t>
      </w:r>
    </w:p>
    <w:p>
      <w:pPr>
        <w:numPr>
          <w:ilvl w:val="0"/>
          <w:numId w:val="1046"/>
        </w:numPr>
      </w:pPr>
      <w:r>
        <w:t xml:space="preserve">Wrong reporting (LGT 199.4 y 5)</w:t>
      </w:r>
    </w:p>
    <w:p>
      <w:pPr>
        <w:numPr>
          <w:ilvl w:val="0"/>
          <w:numId w:val="1046"/>
        </w:numPr>
      </w:pPr>
      <w:r>
        <w:t xml:space="preserve">No identification of the residence of</w:t>
      </w:r>
      <w:r>
        <w:t xml:space="preserve"> </w:t>
      </w:r>
      <w:r>
        <w:t xml:space="preserve">the account holder (LGT AD 22.3)</w:t>
      </w:r>
      <w:r>
        <w:t xml:space="preserve"> </w:t>
      </w:r>
      <w:r>
        <w:t xml:space="preserve">Infractions by account holders</w:t>
      </w:r>
    </w:p>
    <w:p>
      <w:pPr>
        <w:numPr>
          <w:ilvl w:val="0"/>
          <w:numId w:val="1046"/>
        </w:numPr>
      </w:pPr>
      <w:r>
        <w:t xml:space="preserve">Wrong reporting to the financial</w:t>
      </w:r>
      <w:r>
        <w:t xml:space="preserve"> </w:t>
      </w:r>
      <w:r>
        <w:t xml:space="preserve">institution (LGT AD 22.3)</w:t>
      </w:r>
      <w:r>
        <w:t xml:space="preserve"> </w:t>
      </w:r>
      <w:r>
        <w:t xml:space="preserve">ake data in the same</w:t>
      </w:r>
      <w:r>
        <w:t xml:space="preserve"> </w:t>
      </w:r>
      <w:r>
        <w:t xml:space="preserve">infringement</w:t>
      </w:r>
      <w:r>
        <w:t xml:space="preserve"> </w:t>
      </w:r>
      <w:r>
        <w:t xml:space="preserve">Infraction by</w:t>
      </w:r>
      <w:r>
        <w:t xml:space="preserve"> </w:t>
      </w:r>
      <w:r>
        <w:t xml:space="preserve">financial institutions</w:t>
      </w:r>
    </w:p>
    <w:p>
      <w:pPr>
        <w:numPr>
          <w:ilvl w:val="0"/>
          <w:numId w:val="1046"/>
        </w:numPr>
      </w:pPr>
      <w:r>
        <w:t xml:space="preserve">20€ per</w:t>
      </w:r>
      <w:r>
        <w:t xml:space="preserve"> </w:t>
      </w:r>
      <w:r>
        <w:t xml:space="preserve">data per</w:t>
      </w:r>
      <w:r>
        <w:t xml:space="preserve"> </w:t>
      </w:r>
      <w:r>
        <w:t xml:space="preserve">person,</w:t>
      </w:r>
      <w:r>
        <w:t xml:space="preserve"> </w:t>
      </w:r>
      <w:r>
        <w:t xml:space="preserve">minimum</w:t>
      </w:r>
      <w:r>
        <w:t xml:space="preserve"> </w:t>
      </w:r>
      <w:r>
        <w:t xml:space="preserve">300€</w:t>
      </w:r>
    </w:p>
    <w:p>
      <w:pPr>
        <w:numPr>
          <w:ilvl w:val="0"/>
          <w:numId w:val="1046"/>
        </w:numPr>
      </w:pPr>
      <w:r>
        <w:t xml:space="preserve">10€ per</w:t>
      </w:r>
      <w:r>
        <w:t xml:space="preserve"> </w:t>
      </w:r>
      <w:r>
        <w:t xml:space="preserve">data per</w:t>
      </w:r>
      <w:r>
        <w:t xml:space="preserve"> </w:t>
      </w:r>
      <w:r>
        <w:t xml:space="preserve">person,</w:t>
      </w:r>
      <w:r>
        <w:t xml:space="preserve"> </w:t>
      </w:r>
      <w:r>
        <w:t xml:space="preserve">minimum</w:t>
      </w:r>
      <w:r>
        <w:t xml:space="preserve"> </w:t>
      </w:r>
      <w:r>
        <w:t xml:space="preserve">150€</w:t>
      </w:r>
    </w:p>
    <w:p>
      <w:pPr>
        <w:numPr>
          <w:ilvl w:val="0"/>
          <w:numId w:val="1046"/>
        </w:numPr>
      </w:pPr>
      <w:r>
        <w:t xml:space="preserve">Non-</w:t>
      </w:r>
      <w:r>
        <w:t xml:space="preserve"> </w:t>
      </w:r>
      <w:r>
        <w:t xml:space="preserve">monetary</w:t>
      </w:r>
      <w:r>
        <w:t xml:space="preserve"> </w:t>
      </w:r>
      <w:r>
        <w:t xml:space="preserve">magnitude</w:t>
      </w:r>
    </w:p>
    <w:p>
      <w:pPr>
        <w:pStyle w:val="FirstParagraph"/>
      </w:pPr>
      <w:r>
        <w:t xml:space="preserve">: 200€ per</w:t>
      </w:r>
      <w:r>
        <w:t xml:space="preserve"> </w:t>
      </w:r>
      <w:r>
        <w:t xml:space="preserve">data per</w:t>
      </w:r>
      <w:r>
        <w:t xml:space="preserve"> </w:t>
      </w:r>
      <w:r>
        <w:t xml:space="preserve">person;</w:t>
      </w:r>
      <w:r>
        <w:t xml:space="preserve"> </w:t>
      </w:r>
      <w:r>
        <w:t xml:space="preserve">monetary</w:t>
      </w:r>
      <w:r>
        <w:t xml:space="preserve"> </w:t>
      </w:r>
      <w:r>
        <w:t xml:space="preserve">magnitude</w:t>
      </w:r>
      <w:r>
        <w:t xml:space="preserve"> </w:t>
      </w:r>
      <w:r>
        <w:t xml:space="preserve">: 0,5%</w:t>
      </w:r>
      <w:r>
        <w:t xml:space="preserve"> </w:t>
      </w:r>
      <w:r>
        <w:t xml:space="preserve">magnitude</w:t>
      </w:r>
      <w:r>
        <w:t xml:space="preserve"> </w:t>
      </w:r>
      <w:r>
        <w:t xml:space="preserve">, minimum</w:t>
      </w:r>
      <w:r>
        <w:t xml:space="preserve"> </w:t>
      </w:r>
      <w:r>
        <w:t xml:space="preserve">€500</w:t>
      </w:r>
      <w:r>
        <w:t xml:space="preserve"> </w:t>
      </w:r>
      <w:r>
        <w:t xml:space="preserve">4.</w:t>
      </w:r>
      <w:r>
        <w:t xml:space="preserve"> </w:t>
      </w:r>
      <w:r>
        <w:t xml:space="preserve">200€ per</w:t>
      </w:r>
      <w:r>
        <w:t xml:space="preserve"> </w:t>
      </w:r>
      <w:r>
        <w:t xml:space="preserve">person</w:t>
      </w:r>
    </w:p>
    <w:p>
      <w:pPr>
        <w:pStyle w:val="BodyText"/>
      </w:pPr>
      <w:r>
        <w:t xml:space="preserve">Infractions by</w:t>
      </w:r>
      <w:r>
        <w:t xml:space="preserve"> </w:t>
      </w:r>
      <w:r>
        <w:t xml:space="preserve">account holder</w:t>
      </w:r>
      <w:r>
        <w:t xml:space="preserve"> </w:t>
      </w:r>
      <w:r>
        <w:t xml:space="preserve">1.</w:t>
      </w:r>
      <w:r>
        <w:t xml:space="preserve"> </w:t>
      </w:r>
      <w:r>
        <w:t xml:space="preserve">300€</w:t>
      </w:r>
    </w:p>
    <w:p>
      <w:pPr>
        <w:numPr>
          <w:ilvl w:val="0"/>
          <w:numId w:val="1047"/>
        </w:numPr>
      </w:pPr>
      <w:r>
        <w:t xml:space="preserve">20 000€</w:t>
      </w:r>
    </w:p>
    <w:p>
      <w:pPr>
        <w:numPr>
          <w:ilvl w:val="0"/>
          <w:numId w:val="1047"/>
        </w:numPr>
      </w:pPr>
      <w:r>
        <w:t xml:space="preserve">10 000€</w:t>
      </w:r>
    </w:p>
    <w:p>
      <w:pPr>
        <w:numPr>
          <w:ilvl w:val="0"/>
          <w:numId w:val="1047"/>
        </w:numPr>
      </w:pPr>
      <w:r>
        <w:t xml:space="preserve">Non-monetary</w:t>
      </w:r>
      <w:r>
        <w:t xml:space="preserve"> </w:t>
      </w:r>
      <w:r>
        <w:t xml:space="preserve">magnitude:</w:t>
      </w:r>
      <w:r>
        <w:t xml:space="preserve"> </w:t>
      </w:r>
      <w:r>
        <w:t xml:space="preserve">200€ per data</w:t>
      </w:r>
      <w:r>
        <w:t xml:space="preserve"> </w:t>
      </w:r>
      <w:r>
        <w:t xml:space="preserve">per person;</w:t>
      </w:r>
      <w:r>
        <w:t xml:space="preserve"> </w:t>
      </w:r>
      <w:r>
        <w:t xml:space="preserve">monetary</w:t>
      </w:r>
      <w:r>
        <w:t xml:space="preserve"> </w:t>
      </w:r>
      <w:r>
        <w:t xml:space="preserve">magnitude: 2%</w:t>
      </w:r>
      <w:r>
        <w:t xml:space="preserve"> </w:t>
      </w:r>
      <w:r>
        <w:t xml:space="preserve">magnitude</w:t>
      </w:r>
    </w:p>
    <w:p>
      <w:pPr>
        <w:numPr>
          <w:ilvl w:val="0"/>
          <w:numId w:val="1047"/>
        </w:numPr>
      </w:pPr>
      <w:r>
        <w:t xml:space="preserve">200€ per person</w:t>
      </w:r>
    </w:p>
    <w:p>
      <w:pPr>
        <w:pStyle w:val="FirstParagraph"/>
      </w:pPr>
      <w:r>
        <w:t xml:space="preserve">Infractions by account</w:t>
      </w:r>
      <w:r>
        <w:t xml:space="preserve"> </w:t>
      </w:r>
      <w:r>
        <w:t xml:space="preserve">holder</w:t>
      </w:r>
      <w:r>
        <w:t xml:space="preserve"> </w:t>
      </w:r>
      <w:r>
        <w:t xml:space="preserve">1.</w:t>
      </w:r>
      <w:r>
        <w:t xml:space="preserve"> </w:t>
      </w:r>
      <w:r>
        <w:t xml:space="preserve">300€</w:t>
      </w:r>
      <w:r>
        <w:t xml:space="preserve"> </w:t>
      </w:r>
      <w:r>
        <w:t xml:space="preserve">DAC 4</w:t>
      </w:r>
    </w:p>
    <w:p>
      <w:pPr>
        <w:pStyle w:val="BodyText"/>
      </w:pPr>
      <w:r>
        <w:t xml:space="preserve">Infractions by reporting entity</w:t>
      </w:r>
      <w:r>
        <w:t xml:space="preserve"> </w:t>
      </w:r>
      <w:r>
        <w:t xml:space="preserve">1.</w:t>
      </w:r>
      <w:r>
        <w:t xml:space="preserve"> </w:t>
      </w:r>
      <w:r>
        <w:t xml:space="preserve">No reporting (LGT 198.1)</w:t>
      </w:r>
    </w:p>
    <w:p>
      <w:pPr>
        <w:numPr>
          <w:ilvl w:val="0"/>
          <w:numId w:val="1048"/>
        </w:numPr>
      </w:pPr>
      <w:r>
        <w:t xml:space="preserve">Late reporting (LGT 198.2)</w:t>
      </w:r>
    </w:p>
    <w:p>
      <w:pPr>
        <w:numPr>
          <w:ilvl w:val="0"/>
          <w:numId w:val="1048"/>
        </w:numPr>
      </w:pPr>
      <w:r>
        <w:t xml:space="preserve">Wrong reporting (LGT 199.4 y 5)</w:t>
      </w:r>
      <w:r>
        <w:t xml:space="preserve"> </w:t>
      </w:r>
      <w:r>
        <w:t xml:space="preserve">Sanctions are per</w:t>
      </w:r>
      <w:r>
        <w:t xml:space="preserve"> </w:t>
      </w:r>
      <w:r>
        <w:t xml:space="preserve">single infringement</w:t>
      </w:r>
      <w:r>
        <w:t xml:space="preserve"> </w:t>
      </w:r>
      <w:r>
        <w:t xml:space="preserve">and calculated per</w:t>
      </w:r>
      <w:r>
        <w:t xml:space="preserve"> </w:t>
      </w:r>
      <w:r>
        <w:t xml:space="preserve">missing/erroneous/f</w:t>
      </w:r>
      <w:r>
        <w:t xml:space="preserve"> </w:t>
      </w:r>
      <w:r>
        <w:t xml:space="preserve">ake data in the same</w:t>
      </w:r>
      <w:r>
        <w:t xml:space="preserve"> </w:t>
      </w:r>
      <w:r>
        <w:t xml:space="preserve">infringement</w:t>
      </w:r>
    </w:p>
    <w:p>
      <w:pPr>
        <w:pStyle w:val="FirstParagraph"/>
      </w:pPr>
      <w:r>
        <w:t xml:space="preserve">Infraction by</w:t>
      </w:r>
      <w:r>
        <w:t xml:space="preserve"> </w:t>
      </w:r>
      <w:r>
        <w:t xml:space="preserve">reporting entity</w:t>
      </w:r>
      <w:r>
        <w:t xml:space="preserve"> </w:t>
      </w:r>
      <w:r>
        <w:t xml:space="preserve">1.</w:t>
      </w:r>
      <w:r>
        <w:t xml:space="preserve"> </w:t>
      </w:r>
      <w:r>
        <w:t xml:space="preserve">20€ per</w:t>
      </w:r>
      <w:r>
        <w:t xml:space="preserve"> </w:t>
      </w:r>
      <w:r>
        <w:t xml:space="preserve">data per</w:t>
      </w:r>
      <w:r>
        <w:t xml:space="preserve"> </w:t>
      </w:r>
      <w:r>
        <w:t xml:space="preserve">person,</w:t>
      </w:r>
      <w:r>
        <w:t xml:space="preserve"> </w:t>
      </w:r>
      <w:r>
        <w:t xml:space="preserve">minimum</w:t>
      </w:r>
      <w:r>
        <w:t xml:space="preserve"> </w:t>
      </w:r>
      <w:r>
        <w:t xml:space="preserve">300€</w:t>
      </w:r>
      <w:r>
        <w:t xml:space="preserve"> </w:t>
      </w:r>
      <w:r>
        <w:t xml:space="preserve">2.</w:t>
      </w:r>
      <w:r>
        <w:t xml:space="preserve"> </w:t>
      </w:r>
      <w:r>
        <w:t xml:space="preserve">10€ per</w:t>
      </w:r>
      <w:r>
        <w:t xml:space="preserve"> </w:t>
      </w:r>
      <w:r>
        <w:t xml:space="preserve">data per</w:t>
      </w:r>
      <w:r>
        <w:t xml:space="preserve"> </w:t>
      </w:r>
      <w:r>
        <w:t xml:space="preserve">person,</w:t>
      </w:r>
      <w:r>
        <w:t xml:space="preserve"> </w:t>
      </w:r>
      <w:r>
        <w:t xml:space="preserve">minimum</w:t>
      </w:r>
      <w:r>
        <w:t xml:space="preserve"> </w:t>
      </w:r>
      <w:r>
        <w:t xml:space="preserve">150€</w:t>
      </w:r>
      <w:r>
        <w:t xml:space="preserve"> </w:t>
      </w:r>
      <w:r>
        <w:t xml:space="preserve">3.</w:t>
      </w:r>
      <w:r>
        <w:t xml:space="preserve"> </w:t>
      </w:r>
      <w:r>
        <w:t xml:space="preserve">Non-</w:t>
      </w:r>
      <w:r>
        <w:t xml:space="preserve"> </w:t>
      </w:r>
      <w:r>
        <w:t xml:space="preserve">monetary</w:t>
      </w:r>
      <w:r>
        <w:t xml:space="preserve"> </w:t>
      </w:r>
      <w:r>
        <w:t xml:space="preserve">magnitude</w:t>
      </w:r>
      <w:r>
        <w:t xml:space="preserve"> </w:t>
      </w:r>
      <w:r>
        <w:t xml:space="preserve">: 200€ per</w:t>
      </w:r>
      <w:r>
        <w:t xml:space="preserve"> </w:t>
      </w:r>
      <w:r>
        <w:t xml:space="preserve">data per</w:t>
      </w:r>
    </w:p>
    <w:p>
      <w:pPr>
        <w:pStyle w:val="BodyText"/>
      </w:pPr>
      <w:r>
        <w:t xml:space="preserve">Infraction by reporting</w:t>
      </w:r>
      <w:r>
        <w:t xml:space="preserve"> </w:t>
      </w:r>
      <w:r>
        <w:t xml:space="preserve">entity</w:t>
      </w:r>
      <w:r>
        <w:t xml:space="preserve"> </w:t>
      </w:r>
      <w:r>
        <w:t xml:space="preserve">1.</w:t>
      </w:r>
      <w:r>
        <w:t xml:space="preserve"> </w:t>
      </w:r>
      <w:r>
        <w:t xml:space="preserve">20 000€</w:t>
      </w:r>
    </w:p>
    <w:p>
      <w:pPr>
        <w:numPr>
          <w:ilvl w:val="0"/>
          <w:numId w:val="1049"/>
        </w:numPr>
      </w:pPr>
      <w:r>
        <w:t xml:space="preserve">10 000€</w:t>
      </w:r>
    </w:p>
    <w:p>
      <w:pPr>
        <w:numPr>
          <w:ilvl w:val="0"/>
          <w:numId w:val="1049"/>
        </w:numPr>
      </w:pPr>
      <w:r>
        <w:t xml:space="preserve">Non-monetary</w:t>
      </w:r>
      <w:r>
        <w:t xml:space="preserve"> </w:t>
      </w:r>
      <w:r>
        <w:t xml:space="preserve">magnitude:</w:t>
      </w:r>
      <w:r>
        <w:t xml:space="preserve"> </w:t>
      </w:r>
      <w:r>
        <w:t xml:space="preserve">200€ per data</w:t>
      </w:r>
      <w:r>
        <w:t xml:space="preserve"> </w:t>
      </w:r>
      <w:r>
        <w:t xml:space="preserve">per person;</w:t>
      </w:r>
      <w:r>
        <w:t xml:space="preserve"> </w:t>
      </w:r>
      <w:r>
        <w:t xml:space="preserve">monetary</w:t>
      </w:r>
      <w:r>
        <w:t xml:space="preserve"> </w:t>
      </w:r>
      <w:r>
        <w:t xml:space="preserve">magnitude: 2%</w:t>
      </w:r>
      <w:r>
        <w:t xml:space="preserve"> </w:t>
      </w:r>
      <w:r>
        <w:t xml:space="preserve">magnitude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person;</w:t>
      </w:r>
      <w:r>
        <w:t xml:space="preserve"> </w:t>
      </w:r>
      <w:r>
        <w:t xml:space="preserve">monetary</w:t>
      </w:r>
      <w:r>
        <w:t xml:space="preserve"> </w:t>
      </w:r>
      <w:r>
        <w:t xml:space="preserve">magnitude</w:t>
      </w:r>
      <w:r>
        <w:t xml:space="preserve"> </w:t>
      </w:r>
      <w:r>
        <w:t xml:space="preserve">: 0,5%</w:t>
      </w:r>
      <w:r>
        <w:t xml:space="preserve"> </w:t>
      </w:r>
      <w:r>
        <w:t xml:space="preserve">magnitude</w:t>
      </w:r>
      <w:r>
        <w:t xml:space="preserve"> </w:t>
      </w:r>
      <w:r>
        <w:t xml:space="preserve">, minimum</w:t>
      </w:r>
      <w:r>
        <w:t xml:space="preserve"> </w:t>
      </w:r>
      <w:r>
        <w:t xml:space="preserve">€500</w:t>
      </w:r>
    </w:p>
    <w:p>
      <w:pPr>
        <w:pStyle w:val="BodyText"/>
      </w:pPr>
      <w:r>
        <w:t xml:space="preserve">DAC 6</w:t>
      </w:r>
    </w:p>
    <w:p>
      <w:pPr>
        <w:pStyle w:val="BodyText"/>
      </w:pPr>
      <w:r>
        <w:t xml:space="preserve">Infractions by intermediary or relevant taxpayer</w:t>
      </w:r>
      <w:r>
        <w:t xml:space="preserve"> </w:t>
      </w:r>
      <w:r>
        <w:t xml:space="preserve">1.</w:t>
      </w:r>
      <w:r>
        <w:t xml:space="preserve"> </w:t>
      </w:r>
      <w:r>
        <w:t xml:space="preserve">No reporting (LGT AD 23.4 a)</w:t>
      </w:r>
      <w:r>
        <w:t xml:space="preserve"> </w:t>
      </w:r>
      <w:r>
        <w:t xml:space="preserve">2.</w:t>
      </w:r>
      <w:r>
        <w:t xml:space="preserve"> </w:t>
      </w:r>
      <w:r>
        <w:t xml:space="preserve">Late reporting (LGT AD 23.4 a)</w:t>
      </w:r>
      <w:r>
        <w:t xml:space="preserve"> </w:t>
      </w:r>
      <w:r>
        <w:t xml:space="preserve">3.</w:t>
      </w:r>
      <w:r>
        <w:t xml:space="preserve"> </w:t>
      </w:r>
      <w:r>
        <w:t xml:space="preserve">Wrong reporting (LGT AD 23.4 B)</w:t>
      </w:r>
    </w:p>
    <w:p>
      <w:pPr>
        <w:numPr>
          <w:ilvl w:val="0"/>
          <w:numId w:val="1050"/>
        </w:numPr>
      </w:pPr>
      <w:r>
        <w:t xml:space="preserve">Non-reporting by electronic means</w:t>
      </w:r>
      <w:r>
        <w:t xml:space="preserve"> </w:t>
      </w:r>
      <w:r>
        <w:t xml:space="preserve">(LGT AD 23.4 c)</w:t>
      </w:r>
    </w:p>
    <w:p>
      <w:pPr>
        <w:numPr>
          <w:ilvl w:val="0"/>
          <w:numId w:val="1050"/>
        </w:numPr>
      </w:pPr>
      <w:r>
        <w:t xml:space="preserve">Non-communication to other</w:t>
      </w:r>
      <w:r>
        <w:t xml:space="preserve"> </w:t>
      </w:r>
      <w:r>
        <w:t xml:space="preserve">intermediaries or taxpayers of the</w:t>
      </w:r>
      <w:r>
        <w:t xml:space="preserve"> </w:t>
      </w:r>
      <w:r>
        <w:t xml:space="preserve">submission of the declaration (LGT AD</w:t>
      </w:r>
      <w:r>
        <w:t xml:space="preserve"> </w:t>
      </w:r>
      <w:r>
        <w:t xml:space="preserve">24.3 b)</w:t>
      </w:r>
    </w:p>
    <w:p>
      <w:pPr>
        <w:pStyle w:val="FirstParagraph"/>
      </w:pPr>
      <w:r>
        <w:t xml:space="preserve">Infractions by intermediaries</w:t>
      </w:r>
      <w:r>
        <w:t xml:space="preserve"> </w:t>
      </w:r>
      <w:r>
        <w:t xml:space="preserve">1.</w:t>
      </w:r>
      <w:r>
        <w:t xml:space="preserve"> </w:t>
      </w:r>
      <w:r>
        <w:t xml:space="preserve">Non-communication of professional</w:t>
      </w:r>
      <w:r>
        <w:t xml:space="preserve"> </w:t>
      </w:r>
      <w:r>
        <w:t xml:space="preserve">waiver (LGT AD 24.3 a)</w:t>
      </w:r>
      <w:r>
        <w:t xml:space="preserve"> </w:t>
      </w:r>
      <w:r>
        <w:t xml:space="preserve">Sanctions are per</w:t>
      </w:r>
      <w:r>
        <w:t xml:space="preserve"> </w:t>
      </w:r>
      <w:r>
        <w:t xml:space="preserve">single infringement</w:t>
      </w:r>
      <w:r>
        <w:t xml:space="preserve"> </w:t>
      </w:r>
      <w:r>
        <w:t xml:space="preserve">and calculated per</w:t>
      </w:r>
      <w:r>
        <w:t xml:space="preserve"> </w:t>
      </w:r>
      <w:r>
        <w:t xml:space="preserve">missing/erroneous/</w:t>
      </w:r>
      <w:r>
        <w:t xml:space="preserve"> </w:t>
      </w:r>
      <w:r>
        <w:t xml:space="preserve">fake data in the</w:t>
      </w:r>
      <w:r>
        <w:t xml:space="preserve"> </w:t>
      </w:r>
      <w:r>
        <w:t xml:space="preserve">same infringement</w:t>
      </w:r>
      <w:r>
        <w:t xml:space="preserve"> </w:t>
      </w:r>
      <w:r>
        <w:t xml:space="preserve">Infractions by</w:t>
      </w:r>
      <w:r>
        <w:t xml:space="preserve"> </w:t>
      </w:r>
      <w:r>
        <w:t xml:space="preserve">intermediary or</w:t>
      </w:r>
      <w:r>
        <w:t xml:space="preserve"> </w:t>
      </w:r>
      <w:r>
        <w:t xml:space="preserve">relevant taxpayer</w:t>
      </w:r>
      <w:r>
        <w:t xml:space="preserve"> </w:t>
      </w:r>
      <w:r>
        <w:t xml:space="preserve">1.</w:t>
      </w:r>
      <w:r>
        <w:t xml:space="preserve"> </w:t>
      </w:r>
      <w:r>
        <w:t xml:space="preserve">2 000€ per</w:t>
      </w:r>
      <w:r>
        <w:t xml:space="preserve"> </w:t>
      </w:r>
      <w:r>
        <w:t xml:space="preserve">data,</w:t>
      </w:r>
      <w:r>
        <w:t xml:space="preserve"> </w:t>
      </w:r>
      <w:r>
        <w:t xml:space="preserve">minimum</w:t>
      </w:r>
      <w:r>
        <w:t xml:space="preserve"> </w:t>
      </w:r>
      <w:r>
        <w:t xml:space="preserve">4 000€</w:t>
      </w:r>
      <w:r>
        <w:t xml:space="preserve"> </w:t>
      </w:r>
      <w:r>
        <w:t xml:space="preserve">2.</w:t>
      </w:r>
      <w:r>
        <w:t xml:space="preserve"> </w:t>
      </w:r>
      <w:r>
        <w:t xml:space="preserve">1 000€ per</w:t>
      </w:r>
      <w:r>
        <w:t xml:space="preserve"> </w:t>
      </w:r>
      <w:r>
        <w:t xml:space="preserve">data,</w:t>
      </w:r>
      <w:r>
        <w:t xml:space="preserve"> </w:t>
      </w:r>
      <w:r>
        <w:t xml:space="preserve">minimum</w:t>
      </w:r>
      <w:r>
        <w:t xml:space="preserve"> </w:t>
      </w:r>
      <w:r>
        <w:t xml:space="preserve">2 000€</w:t>
      </w:r>
      <w:r>
        <w:t xml:space="preserve"> </w:t>
      </w:r>
      <w:r>
        <w:t xml:space="preserve">3.</w:t>
      </w:r>
      <w:r>
        <w:t xml:space="preserve"> </w:t>
      </w:r>
      <w:r>
        <w:t xml:space="preserve">2 000€ per</w:t>
      </w:r>
      <w:r>
        <w:t xml:space="preserve"> </w:t>
      </w:r>
      <w:r>
        <w:t xml:space="preserve">data,</w:t>
      </w:r>
      <w:r>
        <w:t xml:space="preserve"> </w:t>
      </w:r>
      <w:r>
        <w:t xml:space="preserve">minimum</w:t>
      </w:r>
      <w:r>
        <w:t xml:space="preserve"> </w:t>
      </w:r>
      <w:r>
        <w:t xml:space="preserve">4 000€</w:t>
      </w:r>
      <w:r>
        <w:t xml:space="preserve"> </w:t>
      </w:r>
      <w:r>
        <w:t xml:space="preserve">4.</w:t>
      </w:r>
      <w:r>
        <w:t xml:space="preserve"> </w:t>
      </w:r>
      <w:r>
        <w:t xml:space="preserve">250€ per</w:t>
      </w:r>
      <w:r>
        <w:t xml:space="preserve"> </w:t>
      </w:r>
      <w:r>
        <w:t xml:space="preserve">data,</w:t>
      </w:r>
      <w:r>
        <w:t xml:space="preserve"> </w:t>
      </w:r>
      <w:r>
        <w:t xml:space="preserve">minimum</w:t>
      </w:r>
      <w:r>
        <w:t xml:space="preserve"> </w:t>
      </w:r>
      <w:r>
        <w:t xml:space="preserve">750€</w:t>
      </w:r>
    </w:p>
    <w:p>
      <w:pPr>
        <w:pStyle w:val="Compact"/>
        <w:numPr>
          <w:ilvl w:val="0"/>
          <w:numId w:val="1051"/>
        </w:numPr>
      </w:pPr>
      <w:r>
        <w:t xml:space="preserve">600€ (If as</w:t>
      </w:r>
      <w:r>
        <w:t xml:space="preserve"> </w:t>
      </w:r>
      <w:r>
        <w:t xml:space="preserve">result</w:t>
      </w:r>
      <w:r>
        <w:t xml:space="preserve"> </w:t>
      </w:r>
      <w:r>
        <w:t xml:space="preserve">there is no</w:t>
      </w:r>
      <w:r>
        <w:t xml:space="preserve"> </w:t>
      </w:r>
      <w:r>
        <w:t xml:space="preserve">declaratio</w:t>
      </w:r>
      <w:r>
        <w:t xml:space="preserve"> </w:t>
      </w:r>
      <w:r>
        <w:t xml:space="preserve">n, see</w:t>
      </w:r>
      <w:r>
        <w:t xml:space="preserve"> </w:t>
      </w:r>
      <w:r>
        <w:t xml:space="preserve">above 1)</w:t>
      </w:r>
      <w:r>
        <w:t xml:space="preserve"> </w:t>
      </w:r>
      <w:r>
        <w:t xml:space="preserve">Infractions by</w:t>
      </w:r>
      <w:r>
        <w:t xml:space="preserve"> </w:t>
      </w:r>
      <w:r>
        <w:t xml:space="preserve">intermediaries</w:t>
      </w:r>
    </w:p>
    <w:p>
      <w:pPr>
        <w:pStyle w:val="Compact"/>
        <w:numPr>
          <w:ilvl w:val="0"/>
          <w:numId w:val="1051"/>
        </w:numPr>
      </w:pPr>
      <w:r>
        <w:t xml:space="preserve">600€</w:t>
      </w:r>
    </w:p>
    <w:p>
      <w:pPr>
        <w:pStyle w:val="FirstParagraph"/>
      </w:pPr>
      <w:r>
        <w:t xml:space="preserve">Infractions by</w:t>
      </w:r>
      <w:r>
        <w:t xml:space="preserve"> </w:t>
      </w:r>
      <w:r>
        <w:t xml:space="preserve">intermediary or relevant</w:t>
      </w:r>
      <w:r>
        <w:t xml:space="preserve"> </w:t>
      </w:r>
      <w:r>
        <w:t xml:space="preserve">taxpayer</w:t>
      </w:r>
      <w:r>
        <w:t xml:space="preserve"> </w:t>
      </w:r>
      <w:r>
        <w:t xml:space="preserve">1.</w:t>
      </w:r>
      <w:r>
        <w:t xml:space="preserve"> </w:t>
      </w:r>
      <w:r>
        <w:t xml:space="preserve">The highest of</w:t>
      </w:r>
      <w:r>
        <w:t xml:space="preserve"> </w:t>
      </w:r>
      <w:r>
        <w:t xml:space="preserve">professional fee</w:t>
      </w:r>
      <w:r>
        <w:t xml:space="preserve"> </w:t>
      </w:r>
      <w:r>
        <w:t xml:space="preserve">or 4 000€</w:t>
      </w:r>
      <w:r>
        <w:t xml:space="preserve"> </w:t>
      </w:r>
      <w:r>
        <w:t xml:space="preserve">2.</w:t>
      </w:r>
      <w:r>
        <w:t xml:space="preserve"> </w:t>
      </w:r>
      <w:r>
        <w:t xml:space="preserve">Half of the</w:t>
      </w:r>
      <w:r>
        <w:t xml:space="preserve"> </w:t>
      </w:r>
      <w:r>
        <w:t xml:space="preserve">highest of</w:t>
      </w:r>
      <w:r>
        <w:t xml:space="preserve"> </w:t>
      </w:r>
      <w:r>
        <w:t xml:space="preserve">professional fee</w:t>
      </w:r>
      <w:r>
        <w:t xml:space="preserve"> </w:t>
      </w:r>
      <w:r>
        <w:t xml:space="preserve">or 4 000€</w:t>
      </w:r>
      <w:r>
        <w:t xml:space="preserve"> </w:t>
      </w:r>
      <w:r>
        <w:t xml:space="preserve">3.</w:t>
      </w:r>
      <w:r>
        <w:t xml:space="preserve"> </w:t>
      </w:r>
      <w:r>
        <w:t xml:space="preserve">The highest of</w:t>
      </w:r>
      <w:r>
        <w:t xml:space="preserve"> </w:t>
      </w:r>
      <w:r>
        <w:t xml:space="preserve">professional fee</w:t>
      </w:r>
      <w:r>
        <w:t xml:space="preserve"> </w:t>
      </w:r>
      <w:r>
        <w:t xml:space="preserve">or 4 000€</w:t>
      </w:r>
      <w:r>
        <w:t xml:space="preserve"> </w:t>
      </w:r>
      <w:r>
        <w:t xml:space="preserve">4.</w:t>
      </w:r>
      <w:r>
        <w:t xml:space="preserve"> </w:t>
      </w:r>
      <w:r>
        <w:t xml:space="preserve">1 500€</w:t>
      </w:r>
    </w:p>
    <w:p>
      <w:pPr>
        <w:pStyle w:val="Compact"/>
        <w:numPr>
          <w:ilvl w:val="0"/>
          <w:numId w:val="1052"/>
        </w:numPr>
      </w:pPr>
      <w:r>
        <w:t xml:space="preserve">600€ (If as result</w:t>
      </w:r>
      <w:r>
        <w:t xml:space="preserve"> </w:t>
      </w:r>
      <w:r>
        <w:t xml:space="preserve">there is no</w:t>
      </w:r>
      <w:r>
        <w:t xml:space="preserve"> </w:t>
      </w:r>
      <w:r>
        <w:t xml:space="preserve">declaration, see</w:t>
      </w:r>
      <w:r>
        <w:t xml:space="preserve"> </w:t>
      </w:r>
      <w:r>
        <w:t xml:space="preserve">above 1)</w:t>
      </w:r>
    </w:p>
    <w:p>
      <w:pPr>
        <w:pStyle w:val="FirstParagraph"/>
      </w:pPr>
      <w:r>
        <w:t xml:space="preserve">Infractions by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1.</w:t>
      </w:r>
      <w:r>
        <w:t xml:space="preserve"> </w:t>
      </w:r>
      <w:r>
        <w:t xml:space="preserve">600€</w:t>
      </w:r>
      <w:r>
        <w:t xml:space="preserve"> </w:t>
      </w:r>
      <w:r>
        <w:t xml:space="preserve">FI</w:t>
      </w:r>
      <w:r>
        <w:t xml:space="preserve"> </w:t>
      </w:r>
      <w:r>
        <w:t xml:space="preserve">DAC 2</w:t>
      </w:r>
      <w:r>
        <w:br/>
      </w:r>
      <w:r>
        <w:t xml:space="preserve">Non-compliance/negligence penalty:</w:t>
      </w:r>
      <w:r>
        <w:t xml:space="preserve"> </w:t>
      </w:r>
      <w:r>
        <w:t xml:space="preserve">Material scope: failure to report, late reporting,</w:t>
      </w:r>
      <w:r>
        <w:t xml:space="preserve"> </w:t>
      </w:r>
      <w:r>
        <w:t xml:space="preserve">false/inaccurate reporting, failure to correct errors</w:t>
      </w:r>
      <w:r>
        <w:t xml:space="preserve"> </w:t>
      </w:r>
      <w:r>
        <w:t xml:space="preserve">despite explicit request, report/information provided</w:t>
      </w:r>
      <w:r>
        <w:t xml:space="preserve"> </w:t>
      </w:r>
      <w:r>
        <w:t xml:space="preserve">in a manner other than prescribed by law or Tax</w:t>
      </w:r>
      <w:r>
        <w:t xml:space="preserve"> </w:t>
      </w:r>
      <w:r>
        <w:t xml:space="preserve">Administration.</w:t>
      </w:r>
      <w:r>
        <w:t xml:space="preserve"> </w:t>
      </w:r>
      <w:r>
        <w:t xml:space="preserve">Personal scope: Financial institutions (liable to report</w:t>
      </w:r>
      <w:r>
        <w:t xml:space="preserve"> </w:t>
      </w:r>
      <w:r>
        <w:t xml:space="preserve">under Directive 2011/16/EU as amended by DAC2</w:t>
      </w:r>
      <w:r>
        <w:t xml:space="preserve"> </w:t>
      </w:r>
      <w:r>
        <w:t xml:space="preserve">[Directive (EU) 2015/2376]).</w:t>
      </w:r>
      <w:r>
        <w:t xml:space="preserve"> </w:t>
      </w:r>
      <w:r>
        <w:t xml:space="preserve">The legislation does not explicitly indicate if the</w:t>
      </w:r>
      <w:r>
        <w:t xml:space="preserve"> </w:t>
      </w:r>
      <w:r>
        <w:t xml:space="preserve">penalty applies per individual / cumulative</w:t>
      </w:r>
      <w:r>
        <w:t xml:space="preserve"> </w:t>
      </w:r>
      <w:r>
        <w:t xml:space="preserve">infringements (however, there is no reason to expect</w:t>
      </w:r>
      <w:r>
        <w:t xml:space="preserve"> </w:t>
      </w:r>
      <w:r>
        <w:t xml:space="preserve">that it could not be enforced breach-by-breach).</w:t>
      </w:r>
      <w:r>
        <w:t xml:space="preserve"> </w:t>
      </w:r>
      <w:r>
        <w:t xml:space="preserve">EUR 2.000 (not a</w:t>
      </w:r>
      <w:r>
        <w:t xml:space="preserve"> </w:t>
      </w:r>
      <w:r>
        <w:t xml:space="preserve">deductible expense for</w:t>
      </w:r>
      <w:r>
        <w:t xml:space="preserve"> </w:t>
      </w:r>
      <w:r>
        <w:t xml:space="preserve">tax purposes + interest</w:t>
      </w:r>
      <w:r>
        <w:t xml:space="preserve"> </w:t>
      </w:r>
      <w:r>
        <w:t xml:space="preserve">and charges in case of</w:t>
      </w:r>
      <w:r>
        <w:t xml:space="preserve"> </w:t>
      </w:r>
      <w:r>
        <w:t xml:space="preserve">late payment)</w:t>
      </w:r>
      <w:r>
        <w:t xml:space="preserve"> </w:t>
      </w:r>
      <w:r>
        <w:t xml:space="preserve">EUR 15.000 (not a deductible</w:t>
      </w:r>
      <w:r>
        <w:t xml:space="preserve"> </w:t>
      </w:r>
      <w:r>
        <w:t xml:space="preserve">expense for tax purposes +</w:t>
      </w:r>
      <w:r>
        <w:t xml:space="preserve"> </w:t>
      </w:r>
      <w:r>
        <w:t xml:space="preserve">interest and charges in case</w:t>
      </w:r>
      <w:r>
        <w:t xml:space="preserve"> </w:t>
      </w:r>
      <w:r>
        <w:t xml:space="preserve">of late payment)</w:t>
      </w:r>
      <w:r>
        <w:t xml:space="preserve"> </w:t>
      </w:r>
      <w:r>
        <w:t xml:space="preserve">DAC 4</w:t>
      </w:r>
      <w:r>
        <w:br/>
      </w:r>
      <w:r>
        <w:t xml:space="preserve">Non-compliance/negligence penalty:</w:t>
      </w:r>
      <w:r>
        <w:t xml:space="preserve"> </w:t>
      </w:r>
      <w:r>
        <w:t xml:space="preserve">Material scope: failure to report, late reporting,</w:t>
      </w:r>
      <w:r>
        <w:t xml:space="preserve"> </w:t>
      </w:r>
      <w:r>
        <w:t xml:space="preserve">false/inaccurate reporting, failure to correct errors</w:t>
      </w:r>
      <w:r>
        <w:t xml:space="preserve"> </w:t>
      </w:r>
      <w:r>
        <w:t xml:space="preserve">EUR 2.000 (not a</w:t>
      </w:r>
      <w:r>
        <w:t xml:space="preserve"> </w:t>
      </w:r>
      <w:r>
        <w:t xml:space="preserve">deductible expense for</w:t>
      </w:r>
      <w:r>
        <w:t xml:space="preserve"> </w:t>
      </w:r>
      <w:r>
        <w:t xml:space="preserve">tax purposes + interest</w:t>
      </w:r>
      <w:r>
        <w:t xml:space="preserve"> </w:t>
      </w:r>
      <w:r>
        <w:t xml:space="preserve">EUR 15.000 (not a deductible</w:t>
      </w:r>
      <w:r>
        <w:t xml:space="preserve"> </w:t>
      </w:r>
      <w:r>
        <w:t xml:space="preserve">expense for tax purposes +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despite explicit request, report/information provided</w:t>
      </w:r>
      <w:r>
        <w:t xml:space="preserve"> </w:t>
      </w:r>
      <w:r>
        <w:t xml:space="preserve">in a manner other than prescribed by law or Tax</w:t>
      </w:r>
      <w:r>
        <w:t xml:space="preserve"> </w:t>
      </w:r>
      <w:r>
        <w:t xml:space="preserve">Administration.</w:t>
      </w:r>
      <w:r>
        <w:t xml:space="preserve"> </w:t>
      </w:r>
      <w:r>
        <w:t xml:space="preserve">Personal scope: Reporting entities (as defined in</w:t>
      </w:r>
      <w:r>
        <w:t xml:space="preserve"> </w:t>
      </w:r>
      <w:r>
        <w:t xml:space="preserve">Directive 2011/16/EU as amended by DAC4 [Directive</w:t>
      </w:r>
      <w:r>
        <w:t xml:space="preserve"> </w:t>
      </w:r>
      <w:r>
        <w:t xml:space="preserve">(EU) 2016/881])</w:t>
      </w:r>
      <w:r>
        <w:t xml:space="preserve"> </w:t>
      </w:r>
      <w:r>
        <w:t xml:space="preserve">The legislation does not explicitly indicate if the</w:t>
      </w:r>
      <w:r>
        <w:t xml:space="preserve"> </w:t>
      </w:r>
      <w:r>
        <w:t xml:space="preserve">penalty applies per individual / cumulative</w:t>
      </w:r>
      <w:r>
        <w:t xml:space="preserve"> </w:t>
      </w:r>
      <w:r>
        <w:t xml:space="preserve">infringements (this however suggest that there is no</w:t>
      </w:r>
      <w:r>
        <w:t xml:space="preserve"> </w:t>
      </w:r>
      <w:r>
        <w:t xml:space="preserve">reason to expect that it could not be enforced breach-</w:t>
      </w:r>
      <w:r>
        <w:t xml:space="preserve"> </w:t>
      </w:r>
      <w:r>
        <w:t xml:space="preserve">by-breach).</w:t>
      </w:r>
      <w:r>
        <w:t xml:space="preserve"> </w:t>
      </w:r>
      <w:r>
        <w:t xml:space="preserve">Tax increase (in addition to the above penalty):</w:t>
      </w:r>
      <w:r>
        <w:t xml:space="preserve"> </w:t>
      </w:r>
      <w:r>
        <w:t xml:space="preserve">Material scope: the issuer of the declaration or the</w:t>
      </w:r>
      <w:r>
        <w:t xml:space="preserve"> </w:t>
      </w:r>
      <w:r>
        <w:t xml:space="preserve">country-by-country report has failed to fulfil its</w:t>
      </w:r>
      <w:r>
        <w:t xml:space="preserve"> </w:t>
      </w:r>
      <w:r>
        <w:t xml:space="preserve">obligation within the prescribed time limit or has</w:t>
      </w:r>
      <w:r>
        <w:t xml:space="preserve"> </w:t>
      </w:r>
      <w:r>
        <w:t xml:space="preserve">fulfilled it as materially incomplete or incorrect. Tax</w:t>
      </w:r>
      <w:r>
        <w:t xml:space="preserve"> </w:t>
      </w:r>
      <w:r>
        <w:t xml:space="preserve">increase shall not be imposed if the non-compliance is</w:t>
      </w:r>
      <w:r>
        <w:t xml:space="preserve"> </w:t>
      </w:r>
      <w:r>
        <w:t xml:space="preserve">minor or where there is a valid reason for it or if, the</w:t>
      </w:r>
      <w:r>
        <w:t xml:space="preserve"> </w:t>
      </w:r>
      <w:r>
        <w:t xml:space="preserve">matter is open to interpretation or ambiguous and</w:t>
      </w:r>
      <w:r>
        <w:t xml:space="preserve"> </w:t>
      </w:r>
      <w:r>
        <w:t xml:space="preserve">imposition of the tax increase would therefore be</w:t>
      </w:r>
      <w:r>
        <w:t xml:space="preserve"> </w:t>
      </w:r>
      <w:r>
        <w:t xml:space="preserve">disproportionate.</w:t>
      </w:r>
      <w:r>
        <w:t xml:space="preserve"> </w:t>
      </w:r>
      <w:r>
        <w:t xml:space="preserve">Personal scope: Reporting entities (as defined in</w:t>
      </w:r>
      <w:r>
        <w:t xml:space="preserve"> </w:t>
      </w:r>
      <w:r>
        <w:t xml:space="preserve">Directive 2011/16/EU as amended by DAC4 [Directive</w:t>
      </w:r>
      <w:r>
        <w:t xml:space="preserve"> </w:t>
      </w:r>
      <w:r>
        <w:t xml:space="preserve">(EU) 2016/881])</w:t>
      </w:r>
      <w:r>
        <w:t xml:space="preserve"> </w:t>
      </w:r>
      <w:r>
        <w:t xml:space="preserve">The legislation does not explicitly indicate if the tax</w:t>
      </w:r>
      <w:r>
        <w:t xml:space="preserve"> </w:t>
      </w:r>
      <w:r>
        <w:t xml:space="preserve">increase applies per individual / cumulative</w:t>
      </w:r>
      <w:r>
        <w:t xml:space="preserve"> </w:t>
      </w:r>
      <w:r>
        <w:t xml:space="preserve">infringements. This however suggest that there is no</w:t>
      </w:r>
      <w:r>
        <w:t xml:space="preserve"> </w:t>
      </w:r>
      <w:r>
        <w:t xml:space="preserve">reason to expect that it could not be enforced breach-</w:t>
      </w:r>
      <w:r>
        <w:t xml:space="preserve"> </w:t>
      </w:r>
      <w:r>
        <w:t xml:space="preserve">by-breach, notably because repeat offenses are taken</w:t>
      </w:r>
      <w:r>
        <w:t xml:space="preserve"> </w:t>
      </w:r>
      <w:r>
        <w:t xml:space="preserve">into account in determining minimum amount of tax</w:t>
      </w:r>
      <w:r>
        <w:t xml:space="preserve"> </w:t>
      </w:r>
      <w:r>
        <w:t xml:space="preserve">increase.</w:t>
      </w:r>
      <w:r>
        <w:t xml:space="preserve"> </w:t>
      </w:r>
      <w:r>
        <w:t xml:space="preserve">and charges in case of</w:t>
      </w:r>
      <w:r>
        <w:t xml:space="preserve"> </w:t>
      </w:r>
      <w:r>
        <w:t xml:space="preserve">late payment)</w:t>
      </w:r>
    </w:p>
    <w:p>
      <w:pPr>
        <w:pStyle w:val="BodyText"/>
      </w:pPr>
      <w:r>
        <w:t xml:space="preserve">(0.5% - 3%)</w:t>
      </w:r>
      <w:r>
        <w:t xml:space="preserve"> </w:t>
      </w:r>
      <w:r>
        <w:t xml:space="preserve">commonly 2% of the</w:t>
      </w:r>
      <w:r>
        <w:t xml:space="preserve"> </w:t>
      </w:r>
      <w:r>
        <w:t xml:space="preserve">increased income</w:t>
      </w:r>
      <w:r>
        <w:t xml:space="preserve"> </w:t>
      </w:r>
      <w:r>
        <w:t xml:space="preserve">depending on</w:t>
      </w:r>
      <w:r>
        <w:t xml:space="preserve"> </w:t>
      </w:r>
      <w:r>
        <w:t xml:space="preserve">gravity of</w:t>
      </w:r>
      <w:r>
        <w:t xml:space="preserve"> </w:t>
      </w:r>
      <w:r>
        <w:t xml:space="preserve">offense/negligence,</w:t>
      </w:r>
      <w:r>
        <w:t xml:space="preserve"> </w:t>
      </w:r>
      <w:r>
        <w:t xml:space="preserve">whether it is</w:t>
      </w:r>
      <w:r>
        <w:t xml:space="preserve"> </w:t>
      </w:r>
      <w:r>
        <w:t xml:space="preserve">repeated and on</w:t>
      </w:r>
      <w:r>
        <w:t xml:space="preserve"> </w:t>
      </w:r>
      <w:r>
        <w:t xml:space="preserve">whose initiative</w:t>
      </w:r>
      <w:r>
        <w:t xml:space="preserve"> </w:t>
      </w:r>
      <w:r>
        <w:t xml:space="preserve">correction is made.</w:t>
      </w:r>
      <w:r>
        <w:t xml:space="preserve"> </w:t>
      </w:r>
      <w:r>
        <w:t xml:space="preserve">interest and charges in case</w:t>
      </w:r>
      <w:r>
        <w:t xml:space="preserve"> </w:t>
      </w:r>
      <w:r>
        <w:t xml:space="preserve">of late payment)</w:t>
      </w:r>
    </w:p>
    <w:p>
      <w:pPr>
        <w:pStyle w:val="BodyText"/>
      </w:pPr>
      <w:r>
        <w:t xml:space="preserve">10% of the increased</w:t>
      </w:r>
      <w:r>
        <w:t xml:space="preserve"> </w:t>
      </w:r>
      <w:r>
        <w:t xml:space="preserve">income, capped at EUR</w:t>
      </w:r>
      <w:r>
        <w:t xml:space="preserve"> </w:t>
      </w:r>
      <w:r>
        <w:t xml:space="preserve">25.000.</w:t>
      </w:r>
    </w:p>
    <w:p>
      <w:pPr>
        <w:pStyle w:val="BodyText"/>
      </w:pPr>
      <w:r>
        <w:t xml:space="preserve">DAC 6</w:t>
      </w:r>
      <w:r>
        <w:br/>
      </w:r>
      <w:r>
        <w:t xml:space="preserve">Non-compliance/negligence penalty:</w:t>
      </w:r>
      <w:r>
        <w:t xml:space="preserve"> </w:t>
      </w:r>
      <w:r>
        <w:t xml:space="preserve">Material scope: failure to report, late reporting,</w:t>
      </w:r>
      <w:r>
        <w:t xml:space="preserve"> </w:t>
      </w:r>
      <w:r>
        <w:t xml:space="preserve">false/inaccurate reporting, failure to correct errors</w:t>
      </w:r>
      <w:r>
        <w:t xml:space="preserve"> </w:t>
      </w:r>
      <w:r>
        <w:t xml:space="preserve">despite explicit request, report/information provided</w:t>
      </w:r>
      <w:r>
        <w:t xml:space="preserve"> </w:t>
      </w:r>
      <w:r>
        <w:t xml:space="preserve">in a manner other than prescribed by law or Tax</w:t>
      </w:r>
      <w:r>
        <w:t xml:space="preserve"> </w:t>
      </w:r>
      <w:r>
        <w:t xml:space="preserve">Administration.</w:t>
      </w:r>
      <w:r>
        <w:t xml:space="preserve"> </w:t>
      </w:r>
      <w:r>
        <w:t xml:space="preserve">Personal scope: Intermediaries (advisers); relevant</w:t>
      </w:r>
      <w:r>
        <w:t xml:space="preserve"> </w:t>
      </w:r>
      <w:r>
        <w:t xml:space="preserve">taxpayers (users of the reportable arrangements)</w:t>
      </w:r>
      <w:r>
        <w:t xml:space="preserve"> </w:t>
      </w:r>
      <w:r>
        <w:t xml:space="preserve">The legislation does not explicitly indicate if the</w:t>
      </w:r>
      <w:r>
        <w:t xml:space="preserve"> </w:t>
      </w:r>
      <w:r>
        <w:t xml:space="preserve">penalty applies per individual / cumulative</w:t>
      </w:r>
      <w:r>
        <w:t xml:space="preserve"> </w:t>
      </w:r>
      <w:r>
        <w:t xml:space="preserve">infringements (this however suggest that there is no</w:t>
      </w:r>
      <w:r>
        <w:t xml:space="preserve"> </w:t>
      </w:r>
      <w:r>
        <w:t xml:space="preserve">reason to expect that it could not be enforced breach-</w:t>
      </w:r>
      <w:r>
        <w:t xml:space="preserve"> </w:t>
      </w:r>
      <w:r>
        <w:t xml:space="preserve">by-breach).</w:t>
      </w:r>
      <w:r>
        <w:t xml:space="preserve"> </w:t>
      </w:r>
      <w:r>
        <w:t xml:space="preserve">Tax increase (in addition to the above penalty):</w:t>
      </w:r>
      <w:r>
        <w:t xml:space="preserve"> </w:t>
      </w:r>
      <w:r>
        <w:t xml:space="preserve">Material scope: failure to report, late reporting,</w:t>
      </w:r>
      <w:r>
        <w:t xml:space="preserve"> </w:t>
      </w:r>
      <w:r>
        <w:t xml:space="preserve">false/inaccurate reporting, failure to correct errors</w:t>
      </w:r>
      <w:r>
        <w:t xml:space="preserve"> </w:t>
      </w:r>
      <w:r>
        <w:t xml:space="preserve">despite explicit request, report/information provided</w:t>
      </w:r>
      <w:r>
        <w:t xml:space="preserve"> </w:t>
      </w:r>
      <w:r>
        <w:t xml:space="preserve">in a manner other than prescribed by law or Tax</w:t>
      </w:r>
      <w:r>
        <w:t xml:space="preserve"> </w:t>
      </w:r>
      <w:r>
        <w:t xml:space="preserve">Administration. Tax increase shall not be imposed if</w:t>
      </w:r>
      <w:r>
        <w:t xml:space="preserve"> </w:t>
      </w:r>
      <w:r>
        <w:t xml:space="preserve">the non-compliance is minor or where there is a valid</w:t>
      </w:r>
      <w:r>
        <w:t xml:space="preserve"> </w:t>
      </w:r>
      <w:r>
        <w:t xml:space="preserve">reason for it or if, the matter is open to interpretation</w:t>
      </w:r>
      <w:r>
        <w:t xml:space="preserve"> </w:t>
      </w:r>
      <w:r>
        <w:t xml:space="preserve">or ambiguous and imposition of the tax increase</w:t>
      </w:r>
      <w:r>
        <w:t xml:space="preserve"> </w:t>
      </w:r>
      <w:r>
        <w:t xml:space="preserve">would therefore be disproportionate.</w:t>
      </w:r>
      <w:r>
        <w:t xml:space="preserve"> </w:t>
      </w:r>
      <w:r>
        <w:t xml:space="preserve">Personal scope: Relevant taxpayers (end users of the</w:t>
      </w:r>
      <w:r>
        <w:t xml:space="preserve"> </w:t>
      </w:r>
      <w:r>
        <w:t xml:space="preserve">reportable arrangements)</w:t>
      </w:r>
      <w:r>
        <w:t xml:space="preserve"> </w:t>
      </w:r>
      <w:r>
        <w:t xml:space="preserve">The legislation does not explicitly indicate if the tax</w:t>
      </w:r>
      <w:r>
        <w:t xml:space="preserve"> </w:t>
      </w:r>
      <w:r>
        <w:t xml:space="preserve">increase applies per individual / cumulative</w:t>
      </w:r>
      <w:r>
        <w:t xml:space="preserve"> </w:t>
      </w:r>
      <w:r>
        <w:t xml:space="preserve">infringements. This however suggest that there is no</w:t>
      </w:r>
      <w:r>
        <w:t xml:space="preserve"> </w:t>
      </w:r>
      <w:r>
        <w:t xml:space="preserve">reason to expect that it could not be enforced breach-</w:t>
      </w:r>
      <w:r>
        <w:t xml:space="preserve"> </w:t>
      </w:r>
      <w:r>
        <w:t xml:space="preserve">by-breach, notably because repeat offenses are taken</w:t>
      </w:r>
      <w:r>
        <w:t xml:space="preserve"> </w:t>
      </w:r>
      <w:r>
        <w:t xml:space="preserve">into account in determining minimum amount of tax</w:t>
      </w:r>
      <w:r>
        <w:t xml:space="preserve"> </w:t>
      </w:r>
      <w:r>
        <w:t xml:space="preserve">increase.</w:t>
      </w:r>
      <w:r>
        <w:t xml:space="preserve"> </w:t>
      </w:r>
      <w:r>
        <w:t xml:space="preserve">EUR 2.000 (not a</w:t>
      </w:r>
      <w:r>
        <w:t xml:space="preserve"> </w:t>
      </w:r>
      <w:r>
        <w:t xml:space="preserve">deductible expense for</w:t>
      </w:r>
      <w:r>
        <w:t xml:space="preserve"> </w:t>
      </w:r>
      <w:r>
        <w:t xml:space="preserve">tax purposes + interest</w:t>
      </w:r>
      <w:r>
        <w:t xml:space="preserve"> </w:t>
      </w:r>
      <w:r>
        <w:t xml:space="preserve">and charges in case of</w:t>
      </w:r>
      <w:r>
        <w:t xml:space="preserve"> </w:t>
      </w:r>
      <w:r>
        <w:t xml:space="preserve">late payment)</w:t>
      </w:r>
    </w:p>
    <w:p>
      <w:pPr>
        <w:pStyle w:val="BodyText"/>
      </w:pPr>
      <w:r>
        <w:t xml:space="preserve">(0.5% - 3%) commonly</w:t>
      </w:r>
      <w:r>
        <w:t xml:space="preserve"> </w:t>
      </w:r>
      <w:r>
        <w:t xml:space="preserve">2% of the increased</w:t>
      </w:r>
      <w:r>
        <w:t xml:space="preserve"> </w:t>
      </w:r>
      <w:r>
        <w:t xml:space="preserve">income depending on</w:t>
      </w:r>
      <w:r>
        <w:t xml:space="preserve"> </w:t>
      </w:r>
      <w:r>
        <w:t xml:space="preserve">gravity of</w:t>
      </w:r>
      <w:r>
        <w:t xml:space="preserve"> </w:t>
      </w:r>
      <w:r>
        <w:t xml:space="preserve">offense/negligence,</w:t>
      </w:r>
      <w:r>
        <w:t xml:space="preserve"> </w:t>
      </w:r>
      <w:r>
        <w:t xml:space="preserve">whether it is repeated</w:t>
      </w:r>
      <w:r>
        <w:t xml:space="preserve"> </w:t>
      </w:r>
      <w:r>
        <w:t xml:space="preserve">and on whose initiative</w:t>
      </w:r>
      <w:r>
        <w:t xml:space="preserve"> </w:t>
      </w:r>
      <w:r>
        <w:t xml:space="preserve">correction is made.</w:t>
      </w:r>
      <w:r>
        <w:t xml:space="preserve"> </w:t>
      </w:r>
      <w:r>
        <w:t xml:space="preserve">EUR 15.000 (not a deductible</w:t>
      </w:r>
      <w:r>
        <w:t xml:space="preserve"> </w:t>
      </w:r>
      <w:r>
        <w:t xml:space="preserve">expense for tax purposes +</w:t>
      </w:r>
      <w:r>
        <w:t xml:space="preserve"> </w:t>
      </w:r>
      <w:r>
        <w:t xml:space="preserve">interest and charges in case</w:t>
      </w:r>
      <w:r>
        <w:t xml:space="preserve"> </w:t>
      </w:r>
      <w:r>
        <w:t xml:space="preserve">of late payment)</w:t>
      </w:r>
    </w:p>
    <w:p>
      <w:pPr>
        <w:pStyle w:val="BodyText"/>
      </w:pPr>
      <w:r>
        <w:t xml:space="preserve">10% of the increased</w:t>
      </w:r>
      <w:r>
        <w:t xml:space="preserve"> </w:t>
      </w:r>
      <w:r>
        <w:t xml:space="preserve">income, capped at EUR</w:t>
      </w:r>
      <w:r>
        <w:t xml:space="preserve"> </w:t>
      </w:r>
      <w:r>
        <w:t xml:space="preserve">25.000.</w:t>
      </w:r>
    </w:p>
    <w:p>
      <w:pPr>
        <w:pStyle w:val="BodyText"/>
      </w:pPr>
      <w:r>
        <w:t xml:space="preserve">FR</w:t>
      </w:r>
      <w:r>
        <w:t xml:space="preserve"> </w:t>
      </w:r>
      <w:r>
        <w:t xml:space="preserve">DAC 2</w:t>
      </w:r>
      <w:r>
        <w:br/>
      </w:r>
      <w:r>
        <w:t xml:space="preserve"></w:t>
      </w:r>
      <w:r>
        <w:t xml:space="preserve"> </w:t>
      </w:r>
      <w:r>
        <w:t xml:space="preserve">Scope ratione materiae (article 1649 AC of</w:t>
      </w:r>
      <w:r>
        <w:t xml:space="preserve"> </w:t>
      </w:r>
      <w:r>
        <w:t xml:space="preserve">Code général des impôts)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Failure to report / Late Reporting / Omitted or</w:t>
      </w:r>
      <w:r>
        <w:t xml:space="preserve"> </w:t>
      </w:r>
      <w:r>
        <w:t xml:space="preserve">Erroneous information</w:t>
      </w:r>
      <w:r>
        <w:t xml:space="preserve"> </w:t>
      </w:r>
      <w:r>
        <w:t xml:space="preserve">-</w:t>
      </w:r>
      <w:r>
        <w:t xml:space="preserve"> </w:t>
      </w:r>
      <w:r>
        <w:t xml:space="preserve">Failure to report / Late report</w:t>
      </w:r>
      <w:r>
        <w:br/>
      </w:r>
      <w:r>
        <w:t xml:space="preserve">-</w:t>
      </w:r>
      <w:r>
        <w:t xml:space="preserve"> </w:t>
      </w:r>
      <w:r>
        <w:t xml:space="preserve">Omitted information / Erroneous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Personal scope: Financial institutions</w:t>
      </w:r>
      <w:r>
        <w:t xml:space="preserve"> </w:t>
      </w:r>
      <w:r>
        <w:t xml:space="preserve">Penalties are not applicable to financial institutions if</w:t>
      </w:r>
      <w:r>
        <w:t xml:space="preserve"> </w:t>
      </w:r>
      <w:r>
        <w:t xml:space="preserve">they can prove that the infringement results from the</w:t>
      </w:r>
      <w:r>
        <w:t xml:space="preserve"> </w:t>
      </w:r>
      <w:r>
        <w:t xml:space="preserve">client’s refusal to provide the requested information.</w:t>
      </w:r>
      <w:r>
        <w:br/>
      </w:r>
      <w:r>
        <w:t xml:space="preserve">Financial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should</w:t>
      </w:r>
      <w:r>
        <w:t xml:space="preserve"> </w:t>
      </w:r>
      <w:r>
        <w:t xml:space="preserve">inform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 about such refusal.</w:t>
      </w:r>
      <w:r>
        <w:br/>
      </w:r>
      <w:r>
        <w:t xml:space="preserve"></w:t>
      </w:r>
      <w:r>
        <w:t xml:space="preserve"> </w:t>
      </w:r>
      <w:r>
        <w:t xml:space="preserve">Individual / Cumulative</w:t>
      </w:r>
      <w:r>
        <w:br/>
      </w:r>
      <w:r>
        <w:t xml:space="preserve">Sanctions are cumulative and applicable per reportable</w:t>
      </w:r>
      <w:r>
        <w:t xml:space="preserve"> </w:t>
      </w:r>
      <w:r>
        <w:t xml:space="preserve">account</w:t>
      </w:r>
      <w:r>
        <w:br/>
      </w:r>
      <w:r>
        <w:t xml:space="preserve">-</w:t>
      </w:r>
      <w:r>
        <w:t xml:space="preserve"> </w:t>
      </w:r>
      <w:r>
        <w:t xml:space="preserve">EUR 150</w:t>
      </w:r>
      <w:r>
        <w:br/>
      </w:r>
      <w:r>
        <w:t xml:space="preserve">-</w:t>
      </w:r>
      <w:r>
        <w:t xml:space="preserve"> </w:t>
      </w:r>
      <w:r>
        <w:t xml:space="preserve">EUR 200</w:t>
      </w:r>
    </w:p>
    <w:p>
      <w:pPr>
        <w:pStyle w:val="BodyText"/>
      </w:pPr>
      <w:r>
        <w:t xml:space="preserve">DAC 4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t xml:space="preserve"> </w:t>
      </w:r>
      <w:r>
        <w:t xml:space="preserve">1.</w:t>
      </w:r>
      <w:r>
        <w:t xml:space="preserve"> </w:t>
      </w:r>
      <w:r>
        <w:t xml:space="preserve">Not filing CbC report (no reporting)</w:t>
      </w:r>
      <w:r>
        <w:t xml:space="preserve"> </w:t>
      </w:r>
      <w:r>
        <w:t xml:space="preserve">2.</w:t>
      </w:r>
      <w:r>
        <w:t xml:space="preserve"> </w:t>
      </w:r>
      <w:r>
        <w:t xml:space="preserve">Wrong or late reporting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Personal scope:</w:t>
      </w:r>
      <w:r>
        <w:br/>
      </w:r>
      <w:r>
        <w:t xml:space="preserve">By any reporting entity falling into the scope</w:t>
      </w:r>
      <w:r>
        <w:t xml:space="preserve"> </w:t>
      </w:r>
      <w:r>
        <w:t xml:space="preserve"></w:t>
      </w:r>
      <w:r>
        <w:t xml:space="preserve"> </w:t>
      </w:r>
      <w:r>
        <w:t xml:space="preserve">Individual / Cumulative:</w:t>
      </w:r>
      <w:r>
        <w:br/>
      </w:r>
      <w:r>
        <w:t xml:space="preserve">National legislation only mentions that penalties are</w:t>
      </w:r>
      <w:r>
        <w:t xml:space="preserve"> </w:t>
      </w:r>
      <w:r>
        <w:t xml:space="preserve">applicable per each declaration/per each fiscal year.</w:t>
      </w:r>
      <w:r>
        <w:br/>
      </w:r>
      <w:r>
        <w:t xml:space="preserve">No minimum</w:t>
      </w:r>
      <w:r>
        <w:t xml:space="preserve"> </w:t>
      </w:r>
      <w:r>
        <w:t xml:space="preserve">amount</w:t>
      </w:r>
    </w:p>
    <w:p>
      <w:pPr>
        <w:pStyle w:val="Compact"/>
        <w:numPr>
          <w:ilvl w:val="0"/>
          <w:numId w:val="1053"/>
        </w:numPr>
      </w:pPr>
      <w:r>
        <w:t xml:space="preserve">penalty Up to EUR</w:t>
      </w:r>
      <w:r>
        <w:t xml:space="preserve"> </w:t>
      </w:r>
      <w:r>
        <w:t xml:space="preserve">100,000</w:t>
      </w:r>
    </w:p>
    <w:p>
      <w:pPr>
        <w:pStyle w:val="Compact"/>
        <w:numPr>
          <w:ilvl w:val="0"/>
          <w:numId w:val="1053"/>
        </w:numPr>
      </w:pPr>
      <w:r>
        <w:t xml:space="preserve">no penalty</w:t>
      </w:r>
    </w:p>
    <w:p>
      <w:pPr>
        <w:pStyle w:val="FirstParagraph"/>
      </w:pPr>
      <w:r>
        <w:t xml:space="preserve">DAC 6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t xml:space="preserve"> </w:t>
      </w:r>
      <w:r>
        <w:t xml:space="preserve">All infractions (absence of reporting, late reporting,</w:t>
      </w:r>
      <w:r>
        <w:t xml:space="preserve"> </w:t>
      </w:r>
      <w:r>
        <w:t xml:space="preserve">wrong reporting)</w:t>
      </w:r>
      <w:r>
        <w:t xml:space="preserve"> </w:t>
      </w:r>
      <w:r>
        <w:t xml:space="preserve">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By any intermediary (natural/legal)</w:t>
      </w:r>
      <w:r>
        <w:t xml:space="preserve"> </w:t>
      </w:r>
      <w:r>
        <w:t xml:space="preserve"></w:t>
      </w:r>
      <w:r>
        <w:t xml:space="preserve"> </w:t>
      </w:r>
      <w:r>
        <w:t xml:space="preserve">Individual / Cumulative</w:t>
      </w:r>
      <w:r>
        <w:t xml:space="preserve"> </w:t>
      </w:r>
      <w:r>
        <w:t xml:space="preserve">For the same intermediary /taxpayer, penalties are</w:t>
      </w:r>
      <w:r>
        <w:t xml:space="preserve"> </w:t>
      </w:r>
      <w:r>
        <w:t xml:space="preserve">cumulatively applicable within the limit of EUR</w:t>
      </w:r>
      <w:r>
        <w:t xml:space="preserve"> </w:t>
      </w:r>
      <w:r>
        <w:t xml:space="preserve">100,000 per calendar year.</w:t>
      </w:r>
      <w:r>
        <w:t xml:space="preserve"> </w:t>
      </w:r>
      <w:r>
        <w:t xml:space="preserve">No minimum</w:t>
      </w:r>
      <w:r>
        <w:t xml:space="preserve"> </w:t>
      </w:r>
      <w:r>
        <w:t xml:space="preserve">amount</w:t>
      </w:r>
      <w:r>
        <w:t xml:space="preserve"> </w:t>
      </w:r>
      <w:r>
        <w:t xml:space="preserve">Up to EUR 10,000 by</w:t>
      </w:r>
      <w:r>
        <w:t xml:space="preserve"> </w:t>
      </w:r>
      <w:r>
        <w:t xml:space="preserve">infraction.</w:t>
      </w:r>
      <w:r>
        <w:t xml:space="preserve"> </w:t>
      </w:r>
      <w:r>
        <w:t xml:space="preserve">The amount of the fine</w:t>
      </w:r>
      <w:r>
        <w:t xml:space="preserve"> </w:t>
      </w:r>
      <w:r>
        <w:t xml:space="preserve">cannot exceed EUR 5,000 for</w:t>
      </w:r>
      <w:r>
        <w:t xml:space="preserve"> </w:t>
      </w:r>
      <w:r>
        <w:t xml:space="preserve">the first offense in the</w:t>
      </w:r>
      <w:r>
        <w:t xml:space="preserve"> </w:t>
      </w:r>
      <w:r>
        <w:t xml:space="preserve">current calendar year and in</w:t>
      </w:r>
      <w:r>
        <w:t xml:space="preserve"> </w:t>
      </w:r>
      <w:r>
        <w:t xml:space="preserve">the three preceding years.</w:t>
      </w:r>
    </w:p>
    <w:p>
      <w:pPr>
        <w:pStyle w:val="BodyText"/>
      </w:pPr>
      <w:r>
        <w:t xml:space="preserve">HR</w:t>
      </w:r>
      <w:r>
        <w:t xml:space="preserve"> </w:t>
      </w:r>
      <w:r>
        <w:t xml:space="preserve">DAC 2</w:t>
      </w:r>
      <w:r>
        <w:br/>
      </w:r>
      <w:r>
        <w:t xml:space="preserve"></w:t>
      </w:r>
      <w:r>
        <w:t xml:space="preserve"> </w:t>
      </w:r>
      <w:r>
        <w:t xml:space="preserve">Rationae personae: a legal person</w:t>
      </w:r>
      <w:r>
        <w:br/>
      </w:r>
      <w:r>
        <w:t xml:space="preserve">Rationae materiae: Penalties are applied to a legal</w:t>
      </w:r>
      <w:r>
        <w:t xml:space="preserve"> </w:t>
      </w:r>
      <w:r>
        <w:t xml:space="preserve">person if it fails to comply with the obligations as</w:t>
      </w:r>
      <w:r>
        <w:t xml:space="preserve"> </w:t>
      </w:r>
      <w:r>
        <w:t xml:space="preserve">transposed into Croatian law from DAC2 (does not</w:t>
      </w:r>
      <w:r>
        <w:t xml:space="preserve"> </w:t>
      </w:r>
      <w:r>
        <w:t xml:space="preserve">collect the info that is subject to the reporting</w:t>
      </w:r>
      <w:r>
        <w:t xml:space="preserve"> </w:t>
      </w:r>
      <w:r>
        <w:t xml:space="preserve">requirements, does not provide for in depth analysis,</w:t>
      </w:r>
      <w:r>
        <w:t xml:space="preserve"> </w:t>
      </w:r>
      <w:r>
        <w:t xml:space="preserve">does not provide info to the competent authority with</w:t>
      </w:r>
      <w:r>
        <w:t xml:space="preserve"> </w:t>
      </w:r>
      <w:r>
        <w:t xml:space="preserve">regard to reportable accounts, does not provide info</w:t>
      </w:r>
      <w:r>
        <w:t xml:space="preserve"> </w:t>
      </w:r>
      <w:r>
        <w:t xml:space="preserve">in a timely manner,…).</w:t>
      </w:r>
      <w:r>
        <w:t xml:space="preserve"> </w:t>
      </w:r>
      <w:r>
        <w:t xml:space="preserve"></w:t>
      </w:r>
      <w:r>
        <w:t xml:space="preserve"> </w:t>
      </w:r>
      <w:r>
        <w:t xml:space="preserve">Rationae personae: penalty is provided</w:t>
      </w:r>
      <w:r>
        <w:t xml:space="preserve"> </w:t>
      </w:r>
      <w:r>
        <w:t xml:space="preserve">also for the responsible person (individual)</w:t>
      </w:r>
      <w:r>
        <w:t xml:space="preserve"> </w:t>
      </w:r>
      <w:r>
        <w:t xml:space="preserve">in the financial institution, which is in</w:t>
      </w:r>
      <w:r>
        <w:t xml:space="preserve"> </w:t>
      </w:r>
      <w:r>
        <w:t xml:space="preserve">breach of the above</w:t>
      </w:r>
      <w:r>
        <w:br/>
      </w:r>
      <w:r>
        <w:t xml:space="preserve">Nothing is stated in the Croation legislation as to the</w:t>
      </w:r>
      <w:r>
        <w:t xml:space="preserve"> </w:t>
      </w:r>
      <w:r>
        <w:t xml:space="preserve">application of penalties per individual infringement or</w:t>
      </w:r>
      <w:r>
        <w:t xml:space="preserve"> </w:t>
      </w:r>
      <w:r>
        <w:t xml:space="preserve">cumulative for a number of infringements. When</w:t>
      </w:r>
      <w:r>
        <w:t xml:space="preserve"> </w:t>
      </w:r>
      <w:r>
        <w:t xml:space="preserve">reading the legislation I would tend to think it is a</w:t>
      </w:r>
      <w:r>
        <w:t xml:space="preserve"> </w:t>
      </w:r>
      <w:r>
        <w:t xml:space="preserve">cumulative penalty (and then depending on the</w:t>
      </w:r>
      <w:r>
        <w:t xml:space="preserve"> </w:t>
      </w:r>
      <w:r>
        <w:t xml:space="preserve">severity, number of inf. adjusted accordingly).</w:t>
      </w:r>
      <w:r>
        <w:t xml:space="preserve"> </w:t>
      </w:r>
      <w:r>
        <w:t xml:space="preserve">From HRK 2000</w:t>
      </w:r>
      <w:r>
        <w:t xml:space="preserve"> </w:t>
      </w:r>
      <w:r>
        <w:t xml:space="preserve">(EUR 266)</w:t>
      </w:r>
    </w:p>
    <w:p>
      <w:pPr>
        <w:pStyle w:val="BodyText"/>
      </w:pPr>
      <w:r>
        <w:t xml:space="preserve">HRK 2000 (EUR 266)</w:t>
      </w:r>
      <w:r>
        <w:t xml:space="preserve"> </w:t>
      </w:r>
      <w:r>
        <w:t xml:space="preserve">TO HRK 200.000</w:t>
      </w:r>
      <w:r>
        <w:t xml:space="preserve"> </w:t>
      </w:r>
      <w:r>
        <w:t xml:space="preserve">(EUR26.638)</w:t>
      </w:r>
    </w:p>
    <w:p>
      <w:pPr>
        <w:pStyle w:val="BodyText"/>
      </w:pPr>
      <w:r>
        <w:t xml:space="preserve">To HRK 20.000</w:t>
      </w:r>
      <w:r>
        <w:t xml:space="preserve"> </w:t>
      </w:r>
      <w:r>
        <w:t xml:space="preserve">DAC 4</w:t>
      </w:r>
      <w:r>
        <w:br/>
      </w:r>
      <w:r>
        <w:t xml:space="preserve">Rationae personae:</w:t>
      </w:r>
      <w:r>
        <w:br/>
      </w:r>
      <w:r>
        <w:t xml:space="preserve"></w:t>
      </w:r>
      <w:r>
        <w:t xml:space="preserve"> </w:t>
      </w:r>
      <w:r>
        <w:t xml:space="preserve">Penalty for a legal person</w:t>
      </w:r>
      <w:r>
        <w:br/>
      </w:r>
      <w:r>
        <w:t xml:space="preserve">Rationae materiae: Penalties are applied to a legal</w:t>
      </w:r>
      <w:r>
        <w:t xml:space="preserve"> </w:t>
      </w:r>
      <w:r>
        <w:t xml:space="preserve">person if it fails to comply with the obligations as</w:t>
      </w:r>
      <w:r>
        <w:t xml:space="preserve"> </w:t>
      </w:r>
      <w:r>
        <w:t xml:space="preserve">transposed from DAC4 into the Croatian law.</w:t>
      </w:r>
      <w:r>
        <w:t xml:space="preserve"> </w:t>
      </w:r>
      <w:r>
        <w:t xml:space="preserve">Nothing is stated in the Croatian legislation as to</w:t>
      </w:r>
      <w:r>
        <w:t xml:space="preserve"> </w:t>
      </w:r>
      <w:r>
        <w:t xml:space="preserve">individual or cumulative application of penalties.</w:t>
      </w:r>
      <w:r>
        <w:t xml:space="preserve"> </w:t>
      </w:r>
      <w:r>
        <w:t xml:space="preserve">When reading the legislation I would tend to think it is</w:t>
      </w:r>
      <w:r>
        <w:t xml:space="preserve"> </w:t>
      </w:r>
      <w:r>
        <w:t xml:space="preserve">From HRK 2000 (EUR</w:t>
      </w:r>
      <w:r>
        <w:t xml:space="preserve"> </w:t>
      </w:r>
      <w:r>
        <w:t xml:space="preserve">266)</w:t>
      </w:r>
      <w:r>
        <w:t xml:space="preserve"> </w:t>
      </w:r>
      <w:r>
        <w:t xml:space="preserve">To HRK 200.000</w:t>
      </w:r>
      <w:r>
        <w:t xml:space="preserve"> </w:t>
      </w:r>
      <w:r>
        <w:t xml:space="preserve">(EUR26.638)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 cumulative penalty (and then depending on the</w:t>
      </w:r>
      <w:r>
        <w:t xml:space="preserve"> </w:t>
      </w:r>
      <w:r>
        <w:t xml:space="preserve">severity, number of inf. adjusted accordingly).</w:t>
      </w:r>
      <w:r>
        <w:t xml:space="preserve"> </w:t>
      </w:r>
      <w:r>
        <w:t xml:space="preserve">DAC 6</w:t>
      </w:r>
      <w:r>
        <w:br/>
      </w:r>
      <w:r>
        <w:t xml:space="preserve">Material scope:</w:t>
      </w:r>
      <w:r>
        <w:t xml:space="preserve"> </w:t>
      </w:r>
      <w:r>
        <w:t xml:space="preserve">Penalties are applied when failure to comply with the</w:t>
      </w:r>
      <w:r>
        <w:t xml:space="preserve"> </w:t>
      </w:r>
      <w:r>
        <w:t xml:space="preserve">obligations as transposed from DAC6</w:t>
      </w:r>
      <w:r>
        <w:br/>
      </w:r>
      <w:r>
        <w:t xml:space="preserve">Personal scope:</w:t>
      </w:r>
      <w:r>
        <w:br/>
      </w:r>
      <w:r>
        <w:t xml:space="preserve"></w:t>
      </w:r>
      <w:r>
        <w:t xml:space="preserve"> </w:t>
      </w:r>
      <w:r>
        <w:t xml:space="preserve">Penalty for a legal person</w:t>
      </w:r>
      <w:r>
        <w:br/>
      </w:r>
      <w:r>
        <w:t xml:space="preserve"></w:t>
      </w:r>
      <w:r>
        <w:t xml:space="preserve"> </w:t>
      </w:r>
      <w:r>
        <w:t xml:space="preserve">Penalty for a responsible person</w:t>
      </w:r>
      <w:r>
        <w:t xml:space="preserve"> </w:t>
      </w:r>
      <w:r>
        <w:t xml:space="preserve">(individual) in the legal entity</w:t>
      </w:r>
      <w:r>
        <w:t xml:space="preserve"> </w:t>
      </w:r>
      <w:r>
        <w:t xml:space="preserve"></w:t>
      </w:r>
      <w:r>
        <w:t xml:space="preserve"> </w:t>
      </w:r>
      <w:r>
        <w:t xml:space="preserve">Penalty for a natural person</w:t>
      </w:r>
    </w:p>
    <w:p>
      <w:pPr>
        <w:pStyle w:val="BodyText"/>
      </w:pPr>
      <w:r>
        <w:t xml:space="preserve">Nothing is stated in the Croatian legislation as to</w:t>
      </w:r>
      <w:r>
        <w:t xml:space="preserve"> </w:t>
      </w:r>
      <w:r>
        <w:t xml:space="preserve">individual or cumulative application of penalties.</w:t>
      </w:r>
      <w:r>
        <w:t xml:space="preserve"> </w:t>
      </w:r>
      <w:r>
        <w:t xml:space="preserve">When reading the legislation I would tend to think it is</w:t>
      </w:r>
      <w:r>
        <w:t xml:space="preserve"> </w:t>
      </w:r>
      <w:r>
        <w:t xml:space="preserve">a cumulative penalty (and then depending on the</w:t>
      </w:r>
      <w:r>
        <w:t xml:space="preserve"> </w:t>
      </w:r>
      <w:r>
        <w:t xml:space="preserve">severity, number of inf. adjusted accordingly). But this</w:t>
      </w:r>
      <w:r>
        <w:t xml:space="preserve"> </w:t>
      </w:r>
      <w:r>
        <w:t xml:space="preserve">I understand to be enforced within a certain time</w:t>
      </w:r>
      <w:r>
        <w:t xml:space="preserve"> </w:t>
      </w:r>
      <w:r>
        <w:t xml:space="preserve">frame, and then can be of course repeated.</w:t>
      </w:r>
    </w:p>
    <w:p>
      <w:pPr>
        <w:pStyle w:val="BodyText"/>
      </w:pPr>
      <w:r>
        <w:t xml:space="preserve">From HRK 2000 (EUR</w:t>
      </w:r>
      <w:r>
        <w:t xml:space="preserve"> </w:t>
      </w:r>
      <w:r>
        <w:t xml:space="preserve">266)</w:t>
      </w:r>
      <w:r>
        <w:br/>
      </w:r>
      <w:r>
        <w:t xml:space="preserve">2000 (EUR 266)</w:t>
      </w:r>
      <w:r>
        <w:t xml:space="preserve"> </w:t>
      </w:r>
      <w:r>
        <w:t xml:space="preserve">HRK 1000 (EUR 133)</w:t>
      </w:r>
    </w:p>
    <w:p>
      <w:pPr>
        <w:pStyle w:val="BodyText"/>
      </w:pPr>
      <w:r>
        <w:t xml:space="preserve">To HRK 200.000</w:t>
      </w:r>
      <w:r>
        <w:t xml:space="preserve"> </w:t>
      </w:r>
      <w:r>
        <w:t xml:space="preserve">(EUR26.638)</w:t>
      </w:r>
      <w:r>
        <w:t xml:space="preserve"> </w:t>
      </w:r>
      <w:r>
        <w:t xml:space="preserve">To HRK 20.000</w:t>
      </w:r>
      <w:r>
        <w:br/>
      </w:r>
      <w:r>
        <w:t xml:space="preserve">HRK 100.000 (EUR 13.300)</w:t>
      </w:r>
      <w:r>
        <w:t xml:space="preserve"> </w:t>
      </w:r>
      <w:r>
        <w:t xml:space="preserve">HU</w:t>
      </w:r>
      <w:r>
        <w:t xml:space="preserve"> </w:t>
      </w:r>
      <w:r>
        <w:t xml:space="preserve">DAC 2</w:t>
      </w:r>
      <w:r>
        <w:t xml:space="preserve"> </w:t>
      </w:r>
      <w:r>
        <w:t xml:space="preserve">Scope ratione materiae</w:t>
      </w:r>
      <w:r>
        <w:t xml:space="preserve"> </w:t>
      </w:r>
      <w:r>
        <w:t xml:space="preserve">Failure of the Financial Institution to notify its</w:t>
      </w:r>
      <w:r>
        <w:t xml:space="preserve"> </w:t>
      </w:r>
      <w:r>
        <w:t xml:space="preserve">status as a financial institution to the tax</w:t>
      </w:r>
      <w:r>
        <w:t xml:space="preserve"> </w:t>
      </w:r>
      <w:r>
        <w:t xml:space="preserve">authority; failure of the financial institution to</w:t>
      </w:r>
      <w:r>
        <w:t xml:space="preserve"> </w:t>
      </w:r>
      <w:r>
        <w:t xml:space="preserve">report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Only Reporting Financial Institutions, which are</w:t>
      </w:r>
      <w:r>
        <w:t xml:space="preserve"> </w:t>
      </w:r>
      <w:r>
        <w:t xml:space="preserve">legal persons is their vast majority. No fines are</w:t>
      </w:r>
      <w:r>
        <w:t xml:space="preserve"> </w:t>
      </w:r>
      <w:r>
        <w:t xml:space="preserve">present in the notified legislation for failure by</w:t>
      </w:r>
      <w:r>
        <w:t xml:space="preserve"> </w:t>
      </w:r>
      <w:r>
        <w:t xml:space="preserve">the account holder or the Passive Non-Financial</w:t>
      </w:r>
      <w:r>
        <w:t xml:space="preserve"> </w:t>
      </w:r>
      <w:r>
        <w:t xml:space="preserve">Entity to provide valid self-certifications.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cumulatively applicable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5450</w:t>
      </w:r>
      <w:r>
        <w:t xml:space="preserve"> </w:t>
      </w:r>
      <w:r>
        <w:t xml:space="preserve">DAC 4</w:t>
      </w:r>
      <w:r>
        <w:t xml:space="preserve"> </w:t>
      </w:r>
      <w:r>
        <w:t xml:space="preserve">Scope ratione materiae</w:t>
      </w:r>
      <w:r>
        <w:t xml:space="preserve"> </w:t>
      </w:r>
      <w:r>
        <w:t xml:space="preserve">Failure to submit the CbC Report; failure to</w:t>
      </w:r>
      <w:r>
        <w:t xml:space="preserve"> </w:t>
      </w:r>
      <w:r>
        <w:t xml:space="preserve">notify the tax administration of the designation</w:t>
      </w:r>
      <w:r>
        <w:t xml:space="preserve"> </w:t>
      </w:r>
      <w:r>
        <w:t xml:space="preserve">of the reporting entity of the MNE Group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Constituent entities and reporting entities can</w:t>
      </w:r>
      <w:r>
        <w:t xml:space="preserve"> </w:t>
      </w:r>
      <w:r>
        <w:t xml:space="preserve">only be legal persons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cumulatively applicable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54.500</w:t>
      </w:r>
      <w:r>
        <w:t xml:space="preserve"> </w:t>
      </w:r>
      <w:r>
        <w:t xml:space="preserve">DAC 6</w:t>
      </w:r>
      <w:r>
        <w:t xml:space="preserve"> </w:t>
      </w:r>
      <w:r>
        <w:t xml:space="preserve">Scope ratione materiae</w:t>
      </w:r>
      <w:r>
        <w:t xml:space="preserve"> </w:t>
      </w:r>
      <w:r>
        <w:t xml:space="preserve">Failure to report; failure to notify other</w:t>
      </w:r>
      <w:r>
        <w:t xml:space="preserve"> </w:t>
      </w:r>
      <w:r>
        <w:t xml:space="preserve">intermediaries or the relevant taxpayer; late,</w:t>
      </w:r>
      <w:r>
        <w:t xml:space="preserve"> </w:t>
      </w:r>
      <w:r>
        <w:t xml:space="preserve">incorrect, false or incomplete reporting.</w:t>
      </w:r>
    </w:p>
    <w:p>
      <w:pPr>
        <w:pStyle w:val="BodyText"/>
      </w:pPr>
      <w:r>
        <w:t xml:space="preserve">Personal scope</w:t>
      </w:r>
      <w:r>
        <w:t xml:space="preserve"> </w:t>
      </w:r>
      <w:r>
        <w:t xml:space="preserve">Any natural person or any legal entity that has</w:t>
      </w:r>
      <w:r>
        <w:t xml:space="preserve"> </w:t>
      </w:r>
      <w:r>
        <w:t xml:space="preserve">an obligation to report or notify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are cumulatively applicable</w:t>
      </w:r>
    </w:p>
    <w:p>
      <w:pPr>
        <w:pStyle w:val="BodyText"/>
      </w:pPr>
      <w:r>
        <w:t xml:space="preserve">Not determined</w:t>
      </w:r>
    </w:p>
    <w:p>
      <w:pPr>
        <w:pStyle w:val="BodyText"/>
      </w:pPr>
      <w:r>
        <w:t xml:space="preserve">EUR 1360 + invitation to</w:t>
      </w:r>
      <w:r>
        <w:t xml:space="preserve"> </w:t>
      </w:r>
      <w:r>
        <w:t xml:space="preserve">comply</w:t>
      </w:r>
      <w:r>
        <w:t xml:space="preserve"> </w:t>
      </w:r>
      <w:r>
        <w:t xml:space="preserve">EUR 13600 in case of no</w:t>
      </w:r>
      <w:r>
        <w:t xml:space="preserve"> </w:t>
      </w:r>
      <w:r>
        <w:t xml:space="preserve">compliance after the</w:t>
      </w:r>
      <w:r>
        <w:t xml:space="preserve"> </w:t>
      </w:r>
      <w:r>
        <w:t xml:space="preserve">invitation to comply</w:t>
      </w:r>
      <w:r>
        <w:t xml:space="preserve"> </w:t>
      </w:r>
      <w:r>
        <w:t xml:space="preserve">IE</w:t>
      </w:r>
      <w:r>
        <w:t xml:space="preserve"> </w:t>
      </w:r>
      <w:r>
        <w:t xml:space="preserve">DAC 2</w:t>
      </w:r>
      <w:r>
        <w:br/>
      </w:r>
      <w:r>
        <w:t xml:space="preserve">No reporting, wrong reporting and partial reporting</w:t>
      </w:r>
      <w:r>
        <w:t xml:space="preserve"> </w:t>
      </w:r>
      <w:r>
        <w:t xml:space="preserve">are explicitly mentioned as punishable. What is</w:t>
      </w:r>
      <w:r>
        <w:t xml:space="preserve"> </w:t>
      </w:r>
      <w:r>
        <w:t xml:space="preserve">punishable also is the “failure to comply with any of</w:t>
      </w:r>
      <w:r>
        <w:t xml:space="preserve"> </w:t>
      </w:r>
      <w:r>
        <w:t xml:space="preserve">the obligations” concerning the provision of</w:t>
      </w:r>
      <w:r>
        <w:t xml:space="preserve"> </w:t>
      </w:r>
      <w:r>
        <w:t xml:space="preserve">information. This would appear to cover also late</w:t>
      </w:r>
      <w:r>
        <w:t xml:space="preserve"> </w:t>
      </w:r>
      <w:r>
        <w:t xml:space="preserve">reporting and on purpose wrong reporting.</w:t>
      </w:r>
      <w:r>
        <w:br/>
      </w:r>
      <w:r>
        <w:t xml:space="preserve">Fixed penalty for</w:t>
      </w:r>
      <w:r>
        <w:t xml:space="preserve"> </w:t>
      </w:r>
      <w:r>
        <w:t xml:space="preserve">failure to fulfil an</w:t>
      </w:r>
      <w:r>
        <w:t xml:space="preserve"> </w:t>
      </w:r>
      <w:r>
        <w:t xml:space="preserve">obligation under</w:t>
      </w:r>
      <w:r>
        <w:t xml:space="preserve"> </w:t>
      </w:r>
      <w:r>
        <w:t xml:space="preserve">DAC2 is EUR 19,045,</w:t>
      </w:r>
      <w:r>
        <w:t xml:space="preserve"> </w:t>
      </w:r>
      <w:r>
        <w:t xml:space="preserve">plus EUR 2,535 for</w:t>
      </w:r>
      <w:r>
        <w:t xml:space="preserve"> </w:t>
      </w:r>
      <w:r>
        <w:t xml:space="preserve">Fixed penalty for failure to</w:t>
      </w:r>
      <w:r>
        <w:t xml:space="preserve"> </w:t>
      </w:r>
      <w:r>
        <w:t xml:space="preserve">fulfil an obligation under</w:t>
      </w:r>
      <w:r>
        <w:t xml:space="preserve"> </w:t>
      </w:r>
      <w:r>
        <w:t xml:space="preserve">DAC2 is EUR 19,045, plus</w:t>
      </w:r>
      <w:r>
        <w:t xml:space="preserve"> </w:t>
      </w:r>
      <w:r>
        <w:t xml:space="preserve">EUR 2,535 for each day</w:t>
      </w:r>
      <w:r>
        <w:t xml:space="preserve"> </w:t>
      </w:r>
      <w:r>
        <w:t xml:space="preserve">the failure continues.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No difference is made between legal and natural</w:t>
      </w:r>
      <w:r>
        <w:t xml:space="preserve"> </w:t>
      </w:r>
      <w:r>
        <w:t xml:space="preserve">persons for the purpose of application of penalties.</w:t>
      </w:r>
      <w:r>
        <w:br/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each day the failure</w:t>
      </w:r>
      <w:r>
        <w:t xml:space="preserve"> </w:t>
      </w:r>
      <w:r>
        <w:t xml:space="preserve">continues.</w:t>
      </w:r>
      <w:r>
        <w:br/>
      </w:r>
      <w:r>
        <w:t xml:space="preserve">DAC 4</w:t>
      </w:r>
      <w:r>
        <w:br/>
      </w:r>
      <w:r>
        <w:t xml:space="preserve">No reporting, late reporting, wrong reporting and</w:t>
      </w:r>
      <w:r>
        <w:t xml:space="preserve"> </w:t>
      </w:r>
      <w:r>
        <w:t xml:space="preserve">partial reporting are covered. No distinction is made</w:t>
      </w:r>
      <w:r>
        <w:t xml:space="preserve"> </w:t>
      </w:r>
      <w:r>
        <w:t xml:space="preserve">between on purpose wrong reporting and wrong</w:t>
      </w:r>
      <w:r>
        <w:t xml:space="preserve"> </w:t>
      </w:r>
      <w:r>
        <w:t xml:space="preserve">reporting.</w:t>
      </w:r>
      <w:r>
        <w:t xml:space="preserve"> </w:t>
      </w:r>
      <w:r>
        <w:t xml:space="preserve">No difference is made between legal and natural</w:t>
      </w:r>
      <w:r>
        <w:t xml:space="preserve"> </w:t>
      </w:r>
      <w:r>
        <w:t xml:space="preserve">persons for the purpose of application of penalties.</w:t>
      </w:r>
      <w:r>
        <w:t xml:space="preserve"> </w:t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Fixed penalty for</w:t>
      </w:r>
      <w:r>
        <w:t xml:space="preserve"> </w:t>
      </w:r>
      <w:r>
        <w:t xml:space="preserve">failure to file a CbC</w:t>
      </w:r>
      <w:r>
        <w:t xml:space="preserve"> </w:t>
      </w:r>
      <w:r>
        <w:t xml:space="preserve">Report / Equivalent</w:t>
      </w:r>
      <w:r>
        <w:t xml:space="preserve"> </w:t>
      </w:r>
      <w:r>
        <w:t xml:space="preserve">CbC Report is EUR</w:t>
      </w:r>
      <w:r>
        <w:t xml:space="preserve"> </w:t>
      </w:r>
      <w:r>
        <w:t xml:space="preserve">19,045, plus EUR 2,535</w:t>
      </w:r>
      <w:r>
        <w:t xml:space="preserve"> </w:t>
      </w:r>
      <w:r>
        <w:t xml:space="preserve">for each day the failure</w:t>
      </w:r>
      <w:r>
        <w:t xml:space="preserve"> </w:t>
      </w:r>
      <w:r>
        <w:t xml:space="preserve">continues. The penalty</w:t>
      </w:r>
      <w:r>
        <w:t xml:space="preserve"> </w:t>
      </w:r>
      <w:r>
        <w:t xml:space="preserve">for filing an incomplete</w:t>
      </w:r>
      <w:r>
        <w:t xml:space="preserve"> </w:t>
      </w:r>
      <w:r>
        <w:t xml:space="preserve">or incorrect CbC Report</w:t>
      </w:r>
      <w:r>
        <w:t xml:space="preserve"> </w:t>
      </w:r>
      <w:r>
        <w:t xml:space="preserve">/ Equivalent CbC</w:t>
      </w:r>
      <w:r>
        <w:t xml:space="preserve"> </w:t>
      </w:r>
      <w:r>
        <w:t xml:space="preserve">Report is EUR 19,045.</w:t>
      </w:r>
      <w:r>
        <w:t xml:space="preserve"> </w:t>
      </w:r>
      <w:r>
        <w:t xml:space="preserve">Fixed penalty for failure to file</w:t>
      </w:r>
      <w:r>
        <w:t xml:space="preserve"> </w:t>
      </w:r>
      <w:r>
        <w:t xml:space="preserve">a CbC Report / Equivalent CbC</w:t>
      </w:r>
      <w:r>
        <w:t xml:space="preserve"> </w:t>
      </w:r>
      <w:r>
        <w:t xml:space="preserve">Report is EUR 19,045, plus</w:t>
      </w:r>
      <w:r>
        <w:t xml:space="preserve"> </w:t>
      </w:r>
      <w:r>
        <w:t xml:space="preserve">EUR 2,535 for each day the</w:t>
      </w:r>
      <w:r>
        <w:t xml:space="preserve"> </w:t>
      </w:r>
      <w:r>
        <w:t xml:space="preserve">failure continues. The penalty</w:t>
      </w:r>
      <w:r>
        <w:t xml:space="preserve"> </w:t>
      </w:r>
      <w:r>
        <w:t xml:space="preserve">for filing an incomplete or</w:t>
      </w:r>
      <w:r>
        <w:t xml:space="preserve"> </w:t>
      </w:r>
      <w:r>
        <w:t xml:space="preserve">incorrect CbC Report /</w:t>
      </w:r>
      <w:r>
        <w:t xml:space="preserve"> </w:t>
      </w:r>
      <w:r>
        <w:t xml:space="preserve">Equivalent CbC Report is EUR</w:t>
      </w:r>
      <w:r>
        <w:t xml:space="preserve"> </w:t>
      </w:r>
      <w:r>
        <w:t xml:space="preserve">19,045.</w:t>
      </w:r>
      <w:r>
        <w:t xml:space="preserve"> </w:t>
      </w:r>
      <w:r>
        <w:t xml:space="preserve">DAC 6</w:t>
      </w:r>
      <w:r>
        <w:br/>
      </w:r>
      <w:r>
        <w:t xml:space="preserve">No reporting, late reporting, on purpose wrong</w:t>
      </w:r>
      <w:r>
        <w:t xml:space="preserve"> </w:t>
      </w:r>
      <w:r>
        <w:t xml:space="preserve">reporting and partial reporting are not explicitly</w:t>
      </w:r>
      <w:r>
        <w:t xml:space="preserve"> </w:t>
      </w:r>
      <w:r>
        <w:t xml:space="preserve">mentioned as punishable. What is punishable is the</w:t>
      </w:r>
      <w:r>
        <w:t xml:space="preserve"> </w:t>
      </w:r>
      <w:r>
        <w:t xml:space="preserve">“failure to comply with any of the obligations”</w:t>
      </w:r>
      <w:r>
        <w:t xml:space="preserve"> </w:t>
      </w:r>
      <w:r>
        <w:t xml:space="preserve">concerning the provision of information. This would</w:t>
      </w:r>
      <w:r>
        <w:t xml:space="preserve"> </w:t>
      </w:r>
      <w:r>
        <w:t xml:space="preserve">appear to cover no reporting, late reporting, on</w:t>
      </w:r>
      <w:r>
        <w:t xml:space="preserve"> </w:t>
      </w:r>
      <w:r>
        <w:t xml:space="preserve">purpose wrong reporting and partial reporting.</w:t>
      </w:r>
      <w:r>
        <w:br/>
      </w:r>
      <w:r>
        <w:t xml:space="preserve">No difference is made between legal and natural</w:t>
      </w:r>
      <w:r>
        <w:t xml:space="preserve"> </w:t>
      </w:r>
      <w:r>
        <w:t xml:space="preserve">persons for the purpose of application of penalties.</w:t>
      </w:r>
      <w:r>
        <w:t xml:space="preserve"> </w:t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No minimum for the</w:t>
      </w:r>
      <w:r>
        <w:t xml:space="preserve"> </w:t>
      </w:r>
      <w:r>
        <w:t xml:space="preserve">initial breach of</w:t>
      </w:r>
      <w:r>
        <w:t xml:space="preserve"> </w:t>
      </w:r>
      <w:r>
        <w:t xml:space="preserve">obligations.</w:t>
      </w:r>
      <w:r>
        <w:t xml:space="preserve"> </w:t>
      </w:r>
      <w:r>
        <w:t xml:space="preserve">The penalties are EUR</w:t>
      </w:r>
      <w:r>
        <w:t xml:space="preserve"> </w:t>
      </w:r>
      <w:r>
        <w:t xml:space="preserve">4.000/5.000 for the initial</w:t>
      </w:r>
      <w:r>
        <w:t xml:space="preserve"> </w:t>
      </w:r>
      <w:r>
        <w:t xml:space="preserve">breach of obligations and EUR</w:t>
      </w:r>
      <w:r>
        <w:t xml:space="preserve"> </w:t>
      </w:r>
      <w:r>
        <w:t xml:space="preserve">100/500 per day as long as</w:t>
      </w:r>
      <w:r>
        <w:t xml:space="preserve"> </w:t>
      </w:r>
      <w:r>
        <w:t xml:space="preserve">the breach continues after</w:t>
      </w:r>
      <w:r>
        <w:t xml:space="preserve"> </w:t>
      </w:r>
      <w:r>
        <w:t xml:space="preserve">the initial penalty (PS: it</w:t>
      </w:r>
      <w:r>
        <w:t xml:space="preserve"> </w:t>
      </w:r>
      <w:r>
        <w:t xml:space="preserve">would seem a good idea that</w:t>
      </w:r>
      <w:r>
        <w:t xml:space="preserve"> </w:t>
      </w:r>
      <w:r>
        <w:t xml:space="preserve">DAC8 would introduce per</w:t>
      </w:r>
      <w:r>
        <w:t xml:space="preserve"> </w:t>
      </w:r>
      <w:r>
        <w:t xml:space="preserve">diem penalties as well).</w:t>
      </w:r>
      <w:r>
        <w:t xml:space="preserve"> </w:t>
      </w:r>
      <w:r>
        <w:t xml:space="preserve">IT</w:t>
      </w:r>
      <w:r>
        <w:t xml:space="preserve"> </w:t>
      </w:r>
      <w:r>
        <w:t xml:space="preserve">DAC Art. 9</w:t>
      </w:r>
      <w:r>
        <w:t xml:space="preserve"> </w:t>
      </w:r>
      <w:r>
        <w:t xml:space="preserve">as</w:t>
      </w:r>
      <w:r>
        <w:t xml:space="preserve"> </w:t>
      </w:r>
      <w:r>
        <w:t xml:space="preserve">implement</w:t>
      </w:r>
      <w:r>
        <w:t xml:space="preserve"> </w:t>
      </w:r>
      <w:r>
        <w:t xml:space="preserve">ed by</w:t>
      </w:r>
      <w:r>
        <w:t xml:space="preserve"> </w:t>
      </w:r>
      <w:r>
        <w:t xml:space="preserve">Article 9 of</w:t>
      </w:r>
      <w:r>
        <w:t xml:space="preserve"> </w:t>
      </w:r>
      <w:r>
        <w:t xml:space="preserve">Law</w:t>
      </w:r>
      <w:r>
        <w:t xml:space="preserve"> </w:t>
      </w:r>
      <w:r>
        <w:t xml:space="preserve">n.95/2015</w:t>
      </w:r>
      <w:r>
        <w:t xml:space="preserve"> </w:t>
      </w:r>
      <w:r>
        <w:t xml:space="preserve">(FATCA)</w:t>
      </w:r>
      <w:r>
        <w:br/>
      </w:r>
      <w:r>
        <w:t xml:space="preserve">Material: Violations (omission, incomplete, false) of</w:t>
      </w:r>
      <w:r>
        <w:t xml:space="preserve"> </w:t>
      </w:r>
      <w:r>
        <w:t xml:space="preserve">reporting obligations.</w:t>
      </w:r>
      <w:r>
        <w:br/>
      </w:r>
      <w:r>
        <w:t xml:space="preserve">Personal: financial intermediaries (Article 10,1 of</w:t>
      </w:r>
      <w:r>
        <w:t xml:space="preserve"> </w:t>
      </w:r>
      <w:r>
        <w:t xml:space="preserve">Legislative Decree n. 471/1997)</w:t>
      </w:r>
      <w:r>
        <w:t xml:space="preserve"> </w:t>
      </w:r>
      <w:r>
        <w:t xml:space="preserve">Individual/cumulative</w:t>
      </w:r>
      <w:r>
        <w:t xml:space="preserve"> </w:t>
      </w:r>
      <w:r>
        <w:t xml:space="preserve">application: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Italian</w:t>
      </w:r>
      <w:r>
        <w:t xml:space="preserve"> </w:t>
      </w:r>
      <w:r>
        <w:t xml:space="preserve">legislation does not provide details on whether</w:t>
      </w:r>
      <w:r>
        <w:t xml:space="preserve"> </w:t>
      </w:r>
      <w:r>
        <w:t xml:space="preserve">penalties apply per individual infringement or</w:t>
      </w:r>
      <w:r>
        <w:t xml:space="preserve"> </w:t>
      </w:r>
      <w:r>
        <w:t xml:space="preserve">cumulative for a number of breaches together.</w:t>
      </w:r>
      <w:r>
        <w:br/>
      </w:r>
      <w:r>
        <w:t xml:space="preserve">From 2,000 EUR</w:t>
      </w:r>
      <w:r>
        <w:t xml:space="preserve"> </w:t>
      </w:r>
      <w:r>
        <w:t xml:space="preserve">21,000 EUR</w:t>
      </w:r>
      <w:r>
        <w:t xml:space="preserve"> </w:t>
      </w:r>
      <w:r>
        <w:t xml:space="preserve">DAC 4 as</w:t>
      </w:r>
      <w:r>
        <w:t xml:space="preserve"> </w:t>
      </w:r>
      <w:r>
        <w:t xml:space="preserve">implemente</w:t>
      </w:r>
      <w:r>
        <w:t xml:space="preserve"> </w:t>
      </w:r>
      <w:r>
        <w:t xml:space="preserve">d by Article</w:t>
      </w:r>
      <w:r>
        <w:t xml:space="preserve"> </w:t>
      </w:r>
      <w:r>
        <w:t xml:space="preserve">145 of Law</w:t>
      </w:r>
      <w:r>
        <w:t xml:space="preserve"> </w:t>
      </w:r>
      <w:r>
        <w:t xml:space="preserve">208/2015</w:t>
      </w:r>
      <w:r>
        <w:t xml:space="preserve"> </w:t>
      </w:r>
      <w:r>
        <w:t xml:space="preserve">Material: Violations (omission, incomplete and false)</w:t>
      </w:r>
      <w:r>
        <w:t xml:space="preserve"> </w:t>
      </w:r>
      <w:r>
        <w:t xml:space="preserve">reporting obligations</w:t>
      </w:r>
      <w:r>
        <w:br/>
      </w:r>
      <w:r>
        <w:t xml:space="preserve">Personal: the controlling company of the MNE in Italy</w:t>
      </w:r>
      <w:r>
        <w:t xml:space="preserve"> </w:t>
      </w:r>
      <w:r>
        <w:t xml:space="preserve">Individual/cumulative application: the Italian</w:t>
      </w:r>
      <w:r>
        <w:t xml:space="preserve"> </w:t>
      </w:r>
      <w:r>
        <w:t xml:space="preserve">legislation does not provide details on whether</w:t>
      </w:r>
      <w:r>
        <w:t xml:space="preserve"> </w:t>
      </w:r>
      <w:r>
        <w:t xml:space="preserve">penalties apply per individual infringement or</w:t>
      </w:r>
      <w:r>
        <w:t xml:space="preserve"> </w:t>
      </w:r>
      <w:r>
        <w:t xml:space="preserve">cumulative for a number of breaches together.</w:t>
      </w:r>
      <w:r>
        <w:br/>
      </w:r>
      <w:r>
        <w:t xml:space="preserve">From 10,000 EUR</w:t>
      </w:r>
      <w:r>
        <w:br/>
      </w:r>
      <w:r>
        <w:t xml:space="preserve">50,000 EUR</w:t>
      </w:r>
      <w:r>
        <w:t xml:space="preserve"> </w:t>
      </w:r>
      <w:r>
        <w:t xml:space="preserve">DAC 6 as</w:t>
      </w:r>
      <w:r>
        <w:t xml:space="preserve"> </w:t>
      </w:r>
      <w:r>
        <w:t xml:space="preserve">implement</w:t>
      </w:r>
      <w:r>
        <w:t xml:space="preserve"> </w:t>
      </w:r>
      <w:r>
        <w:t xml:space="preserve">ed by</w:t>
      </w:r>
      <w:r>
        <w:t xml:space="preserve"> </w:t>
      </w:r>
      <w:r>
        <w:t xml:space="preserve">Article 12</w:t>
      </w:r>
      <w:r>
        <w:t xml:space="preserve"> </w:t>
      </w:r>
      <w:r>
        <w:t xml:space="preserve">of</w:t>
      </w:r>
      <w:r>
        <w:t xml:space="preserve"> </w:t>
      </w:r>
      <w:r>
        <w:t xml:space="preserve">Legislative</w:t>
      </w:r>
      <w:r>
        <w:t xml:space="preserve"> </w:t>
      </w:r>
      <w:r>
        <w:t xml:space="preserve">Decree. n. </w:t>
      </w:r>
      <w:r>
        <w:t xml:space="preserve"> </w:t>
      </w:r>
      <w:r>
        <w:t xml:space="preserve">100/2020</w:t>
      </w:r>
      <w:r>
        <w:t xml:space="preserve"> </w:t>
      </w:r>
      <w:r>
        <w:t xml:space="preserve">Material scope:</w:t>
      </w:r>
      <w:r>
        <w:br/>
      </w:r>
      <w:r>
        <w:t xml:space="preserve">1.</w:t>
      </w:r>
      <w:r>
        <w:t xml:space="preserve"> </w:t>
      </w:r>
      <w:r>
        <w:t xml:space="preserve">Failure to report</w:t>
      </w:r>
      <w:r>
        <w:br/>
      </w:r>
      <w:r>
        <w:t xml:space="preserve">2.</w:t>
      </w:r>
      <w:r>
        <w:t xml:space="preserve"> </w:t>
      </w:r>
      <w:r>
        <w:t xml:space="preserve">Incomplete reporting (with a reduction to</w:t>
      </w:r>
      <w:r>
        <w:t xml:space="preserve"> </w:t>
      </w:r>
      <w:r>
        <w:t xml:space="preserve">50% if the reporting of the cross-border</w:t>
      </w:r>
      <w:r>
        <w:t xml:space="preserve"> </w:t>
      </w:r>
      <w:r>
        <w:t xml:space="preserve">arrangement is filed within 15 days of the</w:t>
      </w:r>
      <w:r>
        <w:t xml:space="preserve"> </w:t>
      </w:r>
      <w:r>
        <w:t xml:space="preserve">deadline)</w:t>
      </w:r>
      <w:r>
        <w:t xml:space="preserve"> </w:t>
      </w:r>
      <w:r>
        <w:t xml:space="preserve">3.</w:t>
      </w:r>
      <w:r>
        <w:t xml:space="preserve"> </w:t>
      </w:r>
      <w:r>
        <w:t xml:space="preserve">Multiple violations (Article 12 of Legislative</w:t>
      </w:r>
      <w:r>
        <w:t xml:space="preserve"> </w:t>
      </w:r>
      <w:r>
        <w:t xml:space="preserve">Decree no. 472/1997) the sanction to be</w:t>
      </w:r>
      <w:r>
        <w:t xml:space="preserve"> </w:t>
      </w:r>
      <w:r>
        <w:t xml:space="preserve">imposed for the most serious infringement</w:t>
      </w:r>
      <w:r>
        <w:t xml:space="preserve"> </w:t>
      </w:r>
      <w:r>
        <w:t xml:space="preserve">is increased by between</w:t>
      </w:r>
      <w:r>
        <w:br/>
      </w:r>
      <w:r>
        <w:t xml:space="preserve">4.</w:t>
      </w:r>
      <w:r>
        <w:t xml:space="preserve"> </w:t>
      </w:r>
      <w:r>
        <w:t xml:space="preserve">In case of Voluntary amendment, a</w:t>
      </w:r>
      <w:r>
        <w:t xml:space="preserve"> </w:t>
      </w:r>
      <w:r>
        <w:t xml:space="preserve">reduction is provided for.</w:t>
      </w:r>
      <w:r>
        <w:t xml:space="preserve"> </w:t>
      </w:r>
      <w:r>
        <w:t xml:space="preserve">Personal scope: by intermediary or taxpayer. Where</w:t>
      </w:r>
      <w:r>
        <w:t xml:space="preserve"> </w:t>
      </w:r>
      <w:r>
        <w:t xml:space="preserve">the intermediary is a company or entity with legal</w:t>
      </w:r>
      <w:r>
        <w:t xml:space="preserve"> </w:t>
      </w:r>
      <w:r>
        <w:t xml:space="preserve">personality, the penalties are imposed on the legal</w:t>
      </w:r>
      <w:r>
        <w:t xml:space="preserve"> </w:t>
      </w:r>
      <w:r>
        <w:t xml:space="preserve">entity, itself. If the infringement is made by an entity</w:t>
      </w:r>
      <w:r>
        <w:t xml:space="preserve"> </w:t>
      </w:r>
      <w:r>
        <w:t xml:space="preserve">without legal personality, the penalties are imposed on</w:t>
      </w:r>
      <w:r>
        <w:t xml:space="preserve"> </w:t>
      </w:r>
      <w:r>
        <w:t xml:space="preserve">the individual who is required to report. That person is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in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professional</w:t>
      </w:r>
    </w:p>
    <w:p>
      <w:pPr>
        <w:numPr>
          <w:ilvl w:val="0"/>
          <w:numId w:val="1054"/>
        </w:numPr>
      </w:pPr>
      <w:r>
        <w:t xml:space="preserve">From 3,000</w:t>
      </w:r>
      <w:r>
        <w:t xml:space="preserve"> </w:t>
      </w:r>
      <w:r>
        <w:t xml:space="preserve">EUR</w:t>
      </w:r>
    </w:p>
    <w:p>
      <w:pPr>
        <w:numPr>
          <w:ilvl w:val="0"/>
          <w:numId w:val="1054"/>
        </w:numPr>
      </w:pPr>
      <w:r>
        <w:t xml:space="preserve">From 1,000</w:t>
      </w:r>
      <w:r>
        <w:t xml:space="preserve"> </w:t>
      </w:r>
      <w:r>
        <w:t xml:space="preserve">EUR</w:t>
      </w:r>
    </w:p>
    <w:p>
      <w:pPr>
        <w:numPr>
          <w:ilvl w:val="0"/>
          <w:numId w:val="1054"/>
        </w:numPr>
      </w:pPr>
      <w:r>
        <w:t xml:space="preserve">Heavier</w:t>
      </w:r>
      <w:r>
        <w:t xml:space="preserve"> </w:t>
      </w:r>
      <w:r>
        <w:t xml:space="preserve">sanction</w:t>
      </w:r>
      <w:r>
        <w:t xml:space="preserve"> </w:t>
      </w:r>
      <w:r>
        <w:t xml:space="preserve">increased of</w:t>
      </w:r>
      <w:r>
        <w:t xml:space="preserve"> </w:t>
      </w:r>
      <w:r>
        <w:t xml:space="preserve">a quarter</w:t>
      </w:r>
    </w:p>
    <w:p>
      <w:pPr>
        <w:numPr>
          <w:ilvl w:val="0"/>
          <w:numId w:val="1054"/>
        </w:numPr>
      </w:pPr>
      <w:r>
        <w:t xml:space="preserve">Not defined</w:t>
      </w:r>
    </w:p>
    <w:p>
      <w:pPr>
        <w:numPr>
          <w:ilvl w:val="0"/>
          <w:numId w:val="1054"/>
        </w:numPr>
      </w:pPr>
      <w:r>
        <w:t xml:space="preserve">31,5000 EUR</w:t>
      </w:r>
    </w:p>
    <w:p>
      <w:pPr>
        <w:numPr>
          <w:ilvl w:val="0"/>
          <w:numId w:val="1054"/>
        </w:numPr>
      </w:pPr>
      <w:r>
        <w:t xml:space="preserve">10,500 EUR</w:t>
      </w:r>
    </w:p>
    <w:p>
      <w:pPr>
        <w:numPr>
          <w:ilvl w:val="0"/>
          <w:numId w:val="1054"/>
        </w:numPr>
      </w:pPr>
      <w:r>
        <w:t xml:space="preserve">Heavier sanction</w:t>
      </w:r>
      <w:r>
        <w:t xml:space="preserve"> </w:t>
      </w:r>
      <w:r>
        <w:t xml:space="preserve">increased of</w:t>
      </w:r>
      <w:r>
        <w:t xml:space="preserve"> </w:t>
      </w:r>
      <w:r>
        <w:t xml:space="preserve">double</w:t>
      </w:r>
    </w:p>
    <w:p>
      <w:pPr>
        <w:numPr>
          <w:ilvl w:val="0"/>
          <w:numId w:val="1054"/>
        </w:numPr>
      </w:pPr>
      <w:r>
        <w:t xml:space="preserve">Not defined</w:t>
      </w:r>
    </w:p>
    <w:p>
      <w:pPr>
        <w:pStyle w:val="FirstParagraph"/>
      </w:pPr>
      <w:r>
        <w:t xml:space="preserve">95</w:t>
      </w:r>
    </w:p>
    <w:p>
      <w:pPr>
        <w:pStyle w:val="BodyText"/>
      </w:pPr>
      <w:r>
        <w:t xml:space="preserve">engagement relating to the reportable cross-border</w:t>
      </w:r>
      <w:r>
        <w:t xml:space="preserve"> </w:t>
      </w:r>
      <w:r>
        <w:t xml:space="preserve">arrangement.</w:t>
      </w:r>
      <w:r>
        <w:t xml:space="preserve"> </w:t>
      </w:r>
      <w:r>
        <w:t xml:space="preserve">Individual/cumulative</w:t>
      </w:r>
      <w:r>
        <w:t xml:space="preserve"> </w:t>
      </w:r>
      <w:r>
        <w:t xml:space="preserve">application: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Italian</w:t>
      </w:r>
      <w:r>
        <w:t xml:space="preserve"> </w:t>
      </w:r>
      <w:r>
        <w:t xml:space="preserve">legislation does not provide details on whether</w:t>
      </w:r>
      <w:r>
        <w:t xml:space="preserve"> </w:t>
      </w:r>
      <w:r>
        <w:t xml:space="preserve">penalties apply per individual infringement or</w:t>
      </w:r>
      <w:r>
        <w:t xml:space="preserve"> </w:t>
      </w:r>
      <w:r>
        <w:t xml:space="preserve">cumulative for a number of breaches together.</w:t>
      </w:r>
      <w:r>
        <w:br/>
      </w:r>
      <w:r>
        <w:t xml:space="preserve">LT</w:t>
      </w:r>
      <w:r>
        <w:t xml:space="preserve"> </w:t>
      </w:r>
      <w:r>
        <w:t xml:space="preserve">DAC 2</w:t>
      </w:r>
      <w:r>
        <w:br/>
      </w:r>
      <w:r>
        <w:t xml:space="preserve">Scope ratione materiae</w:t>
      </w:r>
      <w:r>
        <w:t xml:space="preserve"> </w:t>
      </w:r>
      <w:r>
        <w:t xml:space="preserve">Failure to provide information or provision of</w:t>
      </w:r>
      <w:r>
        <w:t xml:space="preserve"> </w:t>
      </w:r>
      <w:r>
        <w:t xml:space="preserve">incorrect information to the financial institutions</w:t>
      </w:r>
      <w:r>
        <w:t xml:space="preserve"> </w:t>
      </w:r>
      <w:r>
        <w:t xml:space="preserve">Late submission of information to the tax authorities</w:t>
      </w:r>
      <w:r>
        <w:t xml:space="preserve"> </w:t>
      </w:r>
      <w:r>
        <w:t xml:space="preserve">by the financial institution</w:t>
      </w:r>
      <w:r>
        <w:t xml:space="preserve"> </w:t>
      </w:r>
      <w:r>
        <w:t xml:space="preserve">Failure to provide information to the tax authorities</w:t>
      </w:r>
      <w:r>
        <w:t xml:space="preserve"> </w:t>
      </w:r>
      <w:r>
        <w:t xml:space="preserve">by the financial institution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No differentiation between legal entities or natural</w:t>
      </w:r>
      <w:r>
        <w:t xml:space="preserve"> </w:t>
      </w:r>
      <w:r>
        <w:t xml:space="preserve">persons for application of penalties, except the above</w:t>
      </w:r>
      <w:r>
        <w:t xml:space="preserve"> </w:t>
      </w:r>
      <w:r>
        <w:t xml:space="preserve">penalties for financial institutions (legal entities)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per individual infringement and person</w:t>
      </w:r>
    </w:p>
    <w:p>
      <w:pPr>
        <w:pStyle w:val="BodyText"/>
      </w:pPr>
      <w:r>
        <w:t xml:space="preserve">500 EUR</w:t>
      </w:r>
    </w:p>
    <w:p>
      <w:pPr>
        <w:pStyle w:val="BodyText"/>
      </w:pPr>
      <w:r>
        <w:t xml:space="preserve">390 EUR</w:t>
      </w:r>
      <w:r>
        <w:t xml:space="preserve"> </w:t>
      </w:r>
      <w:r>
        <w:t xml:space="preserve">780 EUR</w:t>
      </w:r>
    </w:p>
    <w:p>
      <w:pPr>
        <w:pStyle w:val="BodyText"/>
      </w:pPr>
      <w:r>
        <w:t xml:space="preserve">2400 EUR</w:t>
      </w:r>
    </w:p>
    <w:p>
      <w:pPr>
        <w:pStyle w:val="BodyText"/>
      </w:pPr>
      <w:r>
        <w:t xml:space="preserve">730 EUR</w:t>
      </w:r>
      <w:r>
        <w:t xml:space="preserve"> </w:t>
      </w:r>
      <w:r>
        <w:t xml:space="preserve">1950 EUR</w:t>
      </w:r>
      <w:r>
        <w:t xml:space="preserve"> </w:t>
      </w:r>
      <w:r>
        <w:t xml:space="preserve">DAC 4</w:t>
      </w:r>
      <w:r>
        <w:br/>
      </w:r>
      <w:r>
        <w:t xml:space="preserve">Scope ratione materiae</w:t>
      </w:r>
      <w:r>
        <w:t xml:space="preserve"> </w:t>
      </w:r>
      <w:r>
        <w:t xml:space="preserve">Failure to provide information, provision of late or</w:t>
      </w:r>
      <w:r>
        <w:t xml:space="preserve"> </w:t>
      </w:r>
      <w:r>
        <w:t xml:space="preserve">incorrect information</w:t>
      </w:r>
      <w:r>
        <w:t xml:space="preserve"> </w:t>
      </w:r>
      <w:r>
        <w:t xml:space="preserve">If the above violations committed with intention to</w:t>
      </w:r>
      <w:r>
        <w:t xml:space="preserve"> </w:t>
      </w:r>
      <w:r>
        <w:t xml:space="preserve">avoid taxes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The wording of the article is general, without</w:t>
      </w:r>
      <w:r>
        <w:t xml:space="preserve"> </w:t>
      </w:r>
      <w:r>
        <w:t xml:space="preserve">differentiation between legal entities or natural</w:t>
      </w:r>
      <w:r>
        <w:t xml:space="preserve"> </w:t>
      </w:r>
      <w:r>
        <w:t xml:space="preserve">persons for application of these penalties, but in</w:t>
      </w:r>
      <w:r>
        <w:t xml:space="preserve"> </w:t>
      </w:r>
      <w:r>
        <w:t xml:space="preserve">practice it applies only to legal persons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per individual infringement and person.</w:t>
      </w:r>
    </w:p>
    <w:p>
      <w:pPr>
        <w:pStyle w:val="BodyText"/>
      </w:pPr>
      <w:r>
        <w:t xml:space="preserve">Warning or 200 EUR</w:t>
      </w:r>
      <w:r>
        <w:t xml:space="preserve"> </w:t>
      </w:r>
      <w:r>
        <w:t xml:space="preserve">200 EUR</w:t>
      </w:r>
    </w:p>
    <w:p>
      <w:pPr>
        <w:pStyle w:val="BodyText"/>
      </w:pPr>
      <w:r>
        <w:t xml:space="preserve">300 EUR</w:t>
      </w:r>
      <w:r>
        <w:t xml:space="preserve"> </w:t>
      </w:r>
      <w:r>
        <w:t xml:space="preserve">6000 EUR</w:t>
      </w:r>
      <w:r>
        <w:t xml:space="preserve"> </w:t>
      </w:r>
      <w:r>
        <w:t xml:space="preserve">DAC 6</w:t>
      </w:r>
      <w:r>
        <w:br/>
      </w:r>
      <w:r>
        <w:t xml:space="preserve">Scope ratione materiae</w:t>
      </w:r>
      <w:r>
        <w:t xml:space="preserve"> </w:t>
      </w:r>
      <w:r>
        <w:t xml:space="preserve">Failure to provide information, provision of late or</w:t>
      </w:r>
      <w:r>
        <w:t xml:space="preserve"> </w:t>
      </w:r>
      <w:r>
        <w:t xml:space="preserve">incorrect information</w:t>
      </w:r>
      <w:r>
        <w:t xml:space="preserve"> </w:t>
      </w:r>
      <w:r>
        <w:t xml:space="preserve">If the above violations committed repeatedly</w:t>
      </w:r>
      <w:r>
        <w:br/>
      </w:r>
      <w:r>
        <w:t xml:space="preserve">Personal scope</w:t>
      </w:r>
      <w:r>
        <w:t xml:space="preserve"> </w:t>
      </w:r>
      <w:r>
        <w:t xml:space="preserve">No differentiation between legal entities or natural</w:t>
      </w:r>
      <w:r>
        <w:t xml:space="preserve"> </w:t>
      </w:r>
      <w:r>
        <w:t xml:space="preserve">persons for application of penalties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per individual infringement and person.</w:t>
      </w:r>
    </w:p>
    <w:p>
      <w:pPr>
        <w:pStyle w:val="BodyText"/>
      </w:pPr>
      <w:r>
        <w:t xml:space="preserve">1820 EUR</w:t>
      </w:r>
      <w:r>
        <w:t xml:space="preserve"> </w:t>
      </w:r>
      <w:r>
        <w:t xml:space="preserve">3770 EUR</w:t>
      </w:r>
    </w:p>
    <w:p>
      <w:pPr>
        <w:pStyle w:val="BodyText"/>
      </w:pPr>
      <w:r>
        <w:t xml:space="preserve">5590 EUR</w:t>
      </w:r>
      <w:r>
        <w:t xml:space="preserve"> </w:t>
      </w:r>
      <w:r>
        <w:t xml:space="preserve">6000 EUR</w:t>
      </w:r>
      <w:r>
        <w:t xml:space="preserve"> </w:t>
      </w:r>
      <w:r>
        <w:t xml:space="preserve">LU</w:t>
      </w:r>
      <w:r>
        <w:t xml:space="preserve"> </w:t>
      </w:r>
      <w:r>
        <w:t xml:space="preserve">DAC 2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br/>
      </w:r>
      <w:r>
        <w:t xml:space="preserve">From 01/01/2016 to 31/12/2020 - article 3 here</w:t>
      </w:r>
    </w:p>
    <w:p>
      <w:pPr>
        <w:numPr>
          <w:ilvl w:val="0"/>
          <w:numId w:val="1055"/>
        </w:numPr>
      </w:pPr>
      <w:r>
        <w:t xml:space="preserve">Omitting to file the required report or if it</w:t>
      </w:r>
      <w:r>
        <w:t xml:space="preserve"> </w:t>
      </w:r>
      <w:r>
        <w:t xml:space="preserve">files a late, incomplete or inaccurate report</w:t>
      </w:r>
    </w:p>
    <w:p>
      <w:pPr>
        <w:numPr>
          <w:ilvl w:val="0"/>
          <w:numId w:val="1055"/>
        </w:numPr>
      </w:pPr>
      <w:r>
        <w:t xml:space="preserve">Omitting to comply with due diligence</w:t>
      </w:r>
      <w:r>
        <w:t xml:space="preserve"> </w:t>
      </w:r>
      <w:r>
        <w:t xml:space="preserve">rules or to introduce procedures in view of</w:t>
      </w:r>
      <w:r>
        <w:t xml:space="preserve"> </w:t>
      </w:r>
      <w:r>
        <w:t xml:space="preserve">reporting</w:t>
      </w:r>
    </w:p>
    <w:bookmarkEnd w:id="10"/>
    <w:bookmarkStart w:id="11" w:name="after-01012021---here"/>
    <w:p>
      <w:pPr>
        <w:pStyle w:val="Heading2"/>
      </w:pPr>
      <w:r>
        <w:t xml:space="preserve">After 01/01/2021 - here</w:t>
      </w:r>
    </w:p>
    <w:p>
      <w:pPr>
        <w:pStyle w:val="FirstParagraph"/>
      </w:pPr>
      <w:r>
        <w:t xml:space="preserve">Failure to submit a file within the legal</w:t>
      </w:r>
      <w:r>
        <w:t xml:space="preserve"> </w:t>
      </w:r>
      <w:r>
        <w:t xml:space="preserve">deadline</w:t>
      </w:r>
    </w:p>
    <w:p>
      <w:pPr>
        <w:pStyle w:val="Compact"/>
        <w:numPr>
          <w:ilvl w:val="0"/>
          <w:numId w:val="1056"/>
        </w:numPr>
      </w:pPr>
      <w:r>
        <w:t xml:space="preserve">Omitting to file the required report or if it</w:t>
      </w:r>
      <w:r>
        <w:t xml:space="preserve"> </w:t>
      </w:r>
      <w:r>
        <w:t xml:space="preserve">files a late, incomplete or inaccurate report</w:t>
      </w:r>
    </w:p>
    <w:p>
      <w:pPr>
        <w:pStyle w:val="FirstParagraph"/>
      </w:pPr>
      <w:r>
        <w:t xml:space="preserve"></w:t>
      </w:r>
      <w:r>
        <w:t xml:space="preserve"> </w:t>
      </w:r>
      <w:r>
        <w:t xml:space="preserve">Personal scope: Financial institutions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Individual / Cumulative: Not explicit - it</w:t>
      </w:r>
      <w:r>
        <w:t xml:space="preserve"> </w:t>
      </w:r>
      <w:r>
        <w:t xml:space="preserve">appears applicable per infringement / per</w:t>
      </w:r>
      <w:r>
        <w:t xml:space="preserve"> </w:t>
      </w:r>
      <w:r>
        <w:t xml:space="preserve">person</w:t>
      </w:r>
    </w:p>
    <w:p>
      <w:pPr>
        <w:pStyle w:val="BodyText"/>
      </w:pPr>
      <w:r>
        <w:t xml:space="preserve">From 01/01/2016 to</w:t>
      </w:r>
      <w:r>
        <w:t xml:space="preserve"> </w:t>
      </w:r>
      <w:r>
        <w:t xml:space="preserve">31/12/2020</w:t>
      </w:r>
    </w:p>
    <w:p>
      <w:pPr>
        <w:pStyle w:val="BodyText"/>
      </w:pPr>
      <w:r>
        <w:t xml:space="preserve">EUR 1 500</w:t>
      </w:r>
    </w:p>
    <w:p>
      <w:pPr>
        <w:pStyle w:val="BodyText"/>
      </w:pPr>
      <w:r>
        <w:t xml:space="preserve">From 01/01/2021</w:t>
      </w:r>
      <w:r>
        <w:br/>
      </w:r>
      <w:r>
        <w:t xml:space="preserve">No minimum amount</w:t>
      </w:r>
      <w:r>
        <w:br/>
      </w:r>
      <w:r>
        <w:t xml:space="preserve">From 01/01/2016 to</w:t>
      </w:r>
      <w:r>
        <w:t xml:space="preserve"> </w:t>
      </w:r>
      <w:r>
        <w:t xml:space="preserve">31/12/2020</w:t>
      </w:r>
    </w:p>
    <w:p>
      <w:pPr>
        <w:pStyle w:val="BodyText"/>
      </w:pPr>
      <w:r>
        <w:t xml:space="preserve">Up to 0,5 % of the amount</w:t>
      </w:r>
      <w:r>
        <w:t xml:space="preserve"> </w:t>
      </w:r>
      <w:r>
        <w:t xml:space="preserve">that should have been</w:t>
      </w:r>
      <w:r>
        <w:t xml:space="preserve"> </w:t>
      </w:r>
      <w:r>
        <w:t xml:space="preserve">reported</w:t>
      </w:r>
    </w:p>
    <w:p>
      <w:pPr>
        <w:pStyle w:val="BodyText"/>
      </w:pPr>
      <w:r>
        <w:t xml:space="preserve">Up to EUR 250,000.</w:t>
      </w:r>
    </w:p>
    <w:p>
      <w:pPr>
        <w:pStyle w:val="BodyText"/>
      </w:pPr>
      <w:r>
        <w:t xml:space="preserve">From 01/01/2021</w:t>
      </w:r>
      <w:r>
        <w:t xml:space="preserve"> </w:t>
      </w:r>
      <w:r>
        <w:t xml:space="preserve">10 000 EUR</w:t>
      </w:r>
    </w:p>
    <w:p>
      <w:pPr>
        <w:pStyle w:val="BodyText"/>
      </w:pPr>
      <w:r>
        <w:t xml:space="preserve">Up to 250 000 EUR + 0,5 % of</w:t>
      </w:r>
      <w:r>
        <w:t xml:space="preserve"> </w:t>
      </w:r>
      <w:r>
        <w:t xml:space="preserve">the amount that should have</w:t>
      </w:r>
      <w:r>
        <w:t xml:space="preserve"> </w:t>
      </w:r>
      <w:r>
        <w:t xml:space="preserve">been reported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DAC 4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br/>
      </w:r>
      <w:r>
        <w:t xml:space="preserve">All infractions (absence of reporting, late reporting,</w:t>
      </w:r>
      <w:r>
        <w:t xml:space="preserve"> </w:t>
      </w:r>
      <w:r>
        <w:t xml:space="preserve">wrong reporting)</w:t>
      </w:r>
      <w:r>
        <w:t xml:space="preserve"> </w:t>
      </w:r>
      <w:r>
        <w:t xml:space="preserve"></w:t>
      </w:r>
      <w:r>
        <w:t xml:space="preserve"> </w:t>
      </w:r>
      <w:r>
        <w:t xml:space="preserve">Personal scope: By any reporting entity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Individual / Cumulative: Not explicit in the</w:t>
      </w:r>
      <w:r>
        <w:t xml:space="preserve"> </w:t>
      </w:r>
      <w:r>
        <w:t xml:space="preserve">national legislation, it appears applicable</w:t>
      </w:r>
      <w:r>
        <w:t xml:space="preserve"> </w:t>
      </w:r>
      <w:r>
        <w:t xml:space="preserve">per infringement / per person</w:t>
      </w:r>
    </w:p>
    <w:p>
      <w:pPr>
        <w:pStyle w:val="BodyText"/>
      </w:pPr>
      <w:r>
        <w:t xml:space="preserve">No minimum amount</w:t>
      </w:r>
      <w:r>
        <w:t xml:space="preserve"> </w:t>
      </w:r>
      <w:r>
        <w:t xml:space="preserve">Maximum of EUR 250,000 by</w:t>
      </w:r>
      <w:r>
        <w:t xml:space="preserve"> </w:t>
      </w:r>
      <w:r>
        <w:t xml:space="preserve">infraction.</w:t>
      </w:r>
      <w:r>
        <w:t xml:space="preserve"> </w:t>
      </w:r>
      <w:r>
        <w:t xml:space="preserve">No cumulative maximum in</w:t>
      </w:r>
      <w:r>
        <w:t xml:space="preserve"> </w:t>
      </w:r>
      <w:r>
        <w:t xml:space="preserve">case of multiple infractions</w:t>
      </w:r>
      <w:r>
        <w:t xml:space="preserve"> </w:t>
      </w:r>
      <w:r>
        <w:t xml:space="preserve">DAC 6</w:t>
      </w:r>
      <w:r>
        <w:br/>
      </w:r>
      <w:r>
        <w:t xml:space="preserve"></w:t>
      </w:r>
      <w:r>
        <w:t xml:space="preserve"> </w:t>
      </w:r>
      <w:r>
        <w:t xml:space="preserve">Scope ratione materiae</w:t>
      </w:r>
      <w:r>
        <w:br/>
      </w:r>
      <w:r>
        <w:t xml:space="preserve">All infractions (absence of reporting, late reporting,</w:t>
      </w:r>
      <w:r>
        <w:t xml:space="preserve"> </w:t>
      </w:r>
      <w:r>
        <w:t xml:space="preserve">wrong reporting)</w:t>
      </w:r>
      <w:r>
        <w:t xml:space="preserve"> </w:t>
      </w:r>
      <w:r>
        <w:t xml:space="preserve"></w:t>
      </w:r>
      <w:r>
        <w:t xml:space="preserve"> </w:t>
      </w:r>
      <w:r>
        <w:t xml:space="preserve">Personal scope: By any intermediary</w:t>
      </w:r>
      <w:r>
        <w:t xml:space="preserve"> </w:t>
      </w:r>
      <w:r>
        <w:t xml:space="preserve">(natural/legal)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Individual / Cumulative: Not explicit in the</w:t>
      </w:r>
      <w:r>
        <w:t xml:space="preserve"> </w:t>
      </w:r>
      <w:r>
        <w:t xml:space="preserve">national legislation – it appears applicable</w:t>
      </w:r>
      <w:r>
        <w:t xml:space="preserve"> </w:t>
      </w:r>
      <w:r>
        <w:t xml:space="preserve">per infringement / per person</w:t>
      </w:r>
    </w:p>
    <w:p>
      <w:pPr>
        <w:pStyle w:val="BodyText"/>
      </w:pPr>
      <w:r>
        <w:t xml:space="preserve">No minimum amount</w:t>
      </w:r>
      <w:r>
        <w:t xml:space="preserve"> </w:t>
      </w:r>
      <w:r>
        <w:t xml:space="preserve">Maximum of EUR 250,000 by</w:t>
      </w:r>
      <w:r>
        <w:t xml:space="preserve"> </w:t>
      </w:r>
      <w:r>
        <w:t xml:space="preserve">infraction.</w:t>
      </w:r>
    </w:p>
    <w:p>
      <w:pPr>
        <w:pStyle w:val="BodyText"/>
      </w:pPr>
      <w:r>
        <w:t xml:space="preserve">Legislative work states that</w:t>
      </w:r>
      <w:r>
        <w:t xml:space="preserve"> </w:t>
      </w:r>
      <w:r>
        <w:t xml:space="preserve">the level of the penalty</w:t>
      </w:r>
      <w:r>
        <w:t xml:space="preserve"> </w:t>
      </w:r>
      <w:r>
        <w:t xml:space="preserve">imposed will depend on the</w:t>
      </w:r>
      <w:r>
        <w:t xml:space="preserve"> </w:t>
      </w:r>
      <w:r>
        <w:t xml:space="preserve">facts and circumstances of</w:t>
      </w:r>
      <w:r>
        <w:t xml:space="preserve"> </w:t>
      </w:r>
      <w:r>
        <w:t xml:space="preserve">the case (i.e. Intentional</w:t>
      </w:r>
      <w:r>
        <w:t xml:space="preserve"> </w:t>
      </w:r>
      <w:r>
        <w:t xml:space="preserve">breach, page 26 here).</w:t>
      </w:r>
      <w:r>
        <w:br/>
      </w:r>
      <w:r>
        <w:t xml:space="preserve">LV</w:t>
      </w:r>
      <w:r>
        <w:t xml:space="preserve"> </w:t>
      </w:r>
      <w:r>
        <w:t xml:space="preserve">DAC 2</w:t>
      </w:r>
      <w:r>
        <w:br/>
      </w:r>
      <w:r>
        <w:t xml:space="preserve">Scope ratione materiae</w:t>
      </w:r>
      <w:r>
        <w:t xml:space="preserve"> </w:t>
      </w:r>
      <w:r>
        <w:t xml:space="preserve">Violation of reporting obligations by reporting entity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Financial establishments</w:t>
      </w:r>
      <w:r>
        <w:br/>
      </w:r>
      <w:r>
        <w:t xml:space="preserve">Individual / Cumulative application</w:t>
      </w:r>
      <w:r>
        <w:t xml:space="preserve"> </w:t>
      </w:r>
      <w:r>
        <w:t xml:space="preserve">Unclear, but seems that the penalty is applied per</w:t>
      </w:r>
      <w:r>
        <w:t xml:space="preserve"> </w:t>
      </w:r>
      <w:r>
        <w:t xml:space="preserve">individual infringement and person</w:t>
      </w:r>
    </w:p>
    <w:p>
      <w:pPr>
        <w:pStyle w:val="BodyText"/>
      </w:pPr>
      <w:r>
        <w:t xml:space="preserve">Fine of up to 1% of annual</w:t>
      </w:r>
      <w:r>
        <w:t xml:space="preserve"> </w:t>
      </w:r>
      <w:r>
        <w:t xml:space="preserve">turnover, but not exceeding</w:t>
      </w:r>
      <w:r>
        <w:t xml:space="preserve"> </w:t>
      </w:r>
      <w:r>
        <w:t xml:space="preserve">14 000 EUR</w:t>
      </w:r>
    </w:p>
    <w:p>
      <w:pPr>
        <w:pStyle w:val="BodyText"/>
      </w:pPr>
      <w:r>
        <w:t xml:space="preserve">DAC 4</w:t>
      </w:r>
      <w:r>
        <w:br/>
      </w:r>
      <w:r>
        <w:t xml:space="preserve">Scope ratione materiae</w:t>
      </w:r>
      <w:r>
        <w:t xml:space="preserve"> </w:t>
      </w:r>
      <w:r>
        <w:t xml:space="preserve">Violation of reporting obligations by reporting entity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Legal entities</w:t>
      </w:r>
      <w:r>
        <w:br/>
      </w:r>
      <w:r>
        <w:t xml:space="preserve">Individual / Cumulative application</w:t>
      </w:r>
      <w:r>
        <w:t xml:space="preserve"> </w:t>
      </w:r>
      <w:r>
        <w:t xml:space="preserve">Penalties per individual infringement and person</w:t>
      </w:r>
    </w:p>
    <w:p>
      <w:pPr>
        <w:pStyle w:val="BodyText"/>
      </w:pPr>
      <w:r>
        <w:t xml:space="preserve">Fine up to 3200 EUR</w:t>
      </w:r>
      <w:r>
        <w:t xml:space="preserve"> </w:t>
      </w:r>
      <w:r>
        <w:t xml:space="preserve">DAC 6</w:t>
      </w:r>
      <w:r>
        <w:br/>
      </w:r>
      <w:r>
        <w:t xml:space="preserve">Scope ratione materiae</w:t>
      </w:r>
      <w:r>
        <w:t xml:space="preserve"> </w:t>
      </w:r>
      <w:r>
        <w:t xml:space="preserve">Violation of reporting obligations by reporting person</w:t>
      </w:r>
      <w:r>
        <w:t xml:space="preserve"> </w:t>
      </w:r>
      <w:r>
        <w:t xml:space="preserve">or entity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No differentiation between legal entities or natural</w:t>
      </w:r>
      <w:r>
        <w:t xml:space="preserve"> </w:t>
      </w:r>
      <w:r>
        <w:t xml:space="preserve">persons for application of penalties</w:t>
      </w:r>
      <w:r>
        <w:t xml:space="preserve"> </w:t>
      </w:r>
      <w:r>
        <w:t xml:space="preserve">Individual / Cumulative application</w:t>
      </w:r>
      <w:r>
        <w:t xml:space="preserve"> </w:t>
      </w:r>
      <w:r>
        <w:t xml:space="preserve">Penalties per individual infringement and person</w:t>
      </w:r>
    </w:p>
    <w:p>
      <w:pPr>
        <w:pStyle w:val="BodyText"/>
      </w:pPr>
      <w:r>
        <w:t xml:space="preserve">Fine up to 3200 EUR</w:t>
      </w:r>
    </w:p>
    <w:p>
      <w:pPr>
        <w:pStyle w:val="BodyText"/>
      </w:pPr>
      <w:r>
        <w:t xml:space="preserve">MT</w:t>
      </w:r>
      <w:r>
        <w:t xml:space="preserve"> </w:t>
      </w:r>
      <w:r>
        <w:t xml:space="preserve">DAC 2</w:t>
      </w:r>
      <w:r>
        <w:br/>
      </w:r>
      <w:r>
        <w:t xml:space="preserve">Personal scope: Financial Institution (FI) only</w:t>
      </w:r>
      <w:r>
        <w:t xml:space="preserve"> </w:t>
      </w:r>
      <w:r>
        <w:t xml:space="preserve">Material scope:</w:t>
      </w:r>
      <w:r>
        <w:br/>
      </w:r>
      <w:r>
        <w:t xml:space="preserve">1) non-submission, inaccurate submission:</w:t>
      </w:r>
    </w:p>
    <w:p>
      <w:pPr>
        <w:pStyle w:val="Compact"/>
        <w:numPr>
          <w:ilvl w:val="0"/>
          <w:numId w:val="1057"/>
        </w:numPr>
      </w:pPr>
    </w:p>
    <w:p>
      <w:pPr>
        <w:pStyle w:val="Compact"/>
        <w:numPr>
          <w:ilvl w:val="1"/>
          <w:numId w:val="1058"/>
        </w:numPr>
      </w:pPr>
      <w:r>
        <w:t xml:space="preserve">a failure to report in a complete and</w:t>
      </w:r>
      <w:r>
        <w:t xml:space="preserve"> </w:t>
      </w:r>
      <w:r>
        <w:t xml:space="preserve">accurate manner: if minor error</w:t>
      </w:r>
    </w:p>
    <w:p>
      <w:pPr>
        <w:numPr>
          <w:ilvl w:val="0"/>
          <w:numId w:val="1057"/>
        </w:numPr>
      </w:pPr>
      <w:r>
        <w:t xml:space="preserve">b) If continual and repeated administrative or</w:t>
      </w:r>
      <w:r>
        <w:t xml:space="preserve"> </w:t>
      </w:r>
      <w:r>
        <w:t xml:space="preserve">minor errors then they will be considered as</w:t>
      </w:r>
      <w:r>
        <w:t xml:space="preserve"> </w:t>
      </w:r>
      <w:r>
        <w:t xml:space="preserve">non-compliance</w:t>
      </w:r>
    </w:p>
    <w:p>
      <w:pPr>
        <w:numPr>
          <w:ilvl w:val="0"/>
          <w:numId w:val="1057"/>
        </w:numPr>
      </w:pPr>
      <w:r>
        <w:t xml:space="preserve">significant non-compliance (e.g. repeated</w:t>
      </w:r>
      <w:r>
        <w:t xml:space="preserve"> </w:t>
      </w:r>
      <w:r>
        <w:t xml:space="preserve">failure to file a return or repeated late filing,</w:t>
      </w:r>
      <w:r>
        <w:t xml:space="preserve"> </w:t>
      </w:r>
      <w:r>
        <w:t xml:space="preserve">ongoing or repeated failure to register, supply</w:t>
      </w:r>
      <w:r>
        <w:t xml:space="preserve"> </w:t>
      </w:r>
      <w:r>
        <w:t xml:space="preserve">accurate information or established appropriate</w:t>
      </w:r>
      <w:r>
        <w:t xml:space="preserve"> </w:t>
      </w:r>
      <w:r>
        <w:t xml:space="preserve">governance or due diligence processes, the</w:t>
      </w:r>
    </w:p>
    <w:p>
      <w:pPr>
        <w:numPr>
          <w:ilvl w:val="0"/>
          <w:numId w:val="1057"/>
        </w:numPr>
      </w:pPr>
      <w:r>
        <w:t xml:space="preserve">EUR 2500 and</w:t>
      </w:r>
      <w:r>
        <w:t xml:space="preserve"> </w:t>
      </w:r>
      <w:r>
        <w:t xml:space="preserve">EUR 100 for every</w:t>
      </w:r>
      <w:r>
        <w:t xml:space="preserve"> </w:t>
      </w:r>
      <w:r>
        <w:t xml:space="preserve">day during which the</w:t>
      </w:r>
      <w:r>
        <w:t xml:space="preserve"> </w:t>
      </w:r>
      <w:r>
        <w:t xml:space="preserve">default existed,</w:t>
      </w:r>
      <w:r>
        <w:t xml:space="preserve"> </w:t>
      </w:r>
      <w:r>
        <w:t xml:space="preserve">provided that this</w:t>
      </w:r>
      <w:r>
        <w:t xml:space="preserve"> </w:t>
      </w:r>
      <w:r>
        <w:t xml:space="preserve">penalty shall not</w:t>
      </w:r>
      <w:r>
        <w:t xml:space="preserve"> </w:t>
      </w:r>
      <w:r>
        <w:t xml:space="preserve">exceed in total EUR</w:t>
      </w:r>
      <w:r>
        <w:t xml:space="preserve"> </w:t>
      </w:r>
      <w:r>
        <w:t xml:space="preserve">20000</w:t>
      </w:r>
    </w:p>
    <w:p>
      <w:pPr>
        <w:pStyle w:val="FirstParagraph"/>
      </w:pPr>
      <w:r>
        <w:t xml:space="preserve">2)a) EUR 200 and</w:t>
      </w:r>
      <w:r>
        <w:t xml:space="preserve"> </w:t>
      </w:r>
      <w:r>
        <w:t xml:space="preserve">EUR 50 for every day</w:t>
      </w:r>
      <w:r>
        <w:t xml:space="preserve"> </w:t>
      </w:r>
      <w:r>
        <w:t xml:space="preserve">during which the</w:t>
      </w:r>
      <w:r>
        <w:t xml:space="preserve"> </w:t>
      </w:r>
      <w:r>
        <w:t xml:space="preserve">default existed,</w:t>
      </w:r>
      <w:r>
        <w:t xml:space="preserve"> </w:t>
      </w:r>
      <w:r>
        <w:t xml:space="preserve">provided that this</w:t>
      </w:r>
      <w:r>
        <w:t xml:space="preserve"> </w:t>
      </w:r>
      <w:r>
        <w:t xml:space="preserve">penalty shall not</w:t>
      </w:r>
      <w:r>
        <w:t xml:space="preserve"> </w:t>
      </w:r>
      <w:r>
        <w:t xml:space="preserve">exceed in total EUR</w:t>
      </w:r>
      <w:r>
        <w:t xml:space="preserve"> </w:t>
      </w:r>
      <w:r>
        <w:t xml:space="preserve">5000</w:t>
      </w:r>
    </w:p>
    <w:p>
      <w:pPr>
        <w:pStyle w:val="BodyText"/>
      </w:pPr>
      <w:r>
        <w:t xml:space="preserve">Max EUR 20.000</w:t>
      </w:r>
    </w:p>
    <w:p>
      <w:pPr>
        <w:pStyle w:val="BodyText"/>
      </w:pPr>
      <w:r>
        <w:t xml:space="preserve">Max EUR 5.000</w:t>
      </w:r>
    </w:p>
    <w:p>
      <w:pPr>
        <w:pStyle w:val="BodyText"/>
      </w:pPr>
      <w:r>
        <w:t xml:space="preserve">Max 50.000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intentional provision of substantially incorrect</w:t>
      </w:r>
      <w:r>
        <w:t xml:space="preserve"> </w:t>
      </w:r>
      <w:r>
        <w:t xml:space="preserve">information, the deliberate or negligent</w:t>
      </w:r>
      <w:r>
        <w:t xml:space="preserve"> </w:t>
      </w:r>
      <w:r>
        <w:t xml:space="preserve">omission of required information</w:t>
      </w:r>
      <w:r>
        <w:t xml:space="preserve"> </w:t>
      </w:r>
      <w:r>
        <w:t xml:space="preserve">The way legislation is drafted I would conclude</w:t>
      </w:r>
      <w:r>
        <w:t xml:space="preserve"> </w:t>
      </w:r>
      <w:r>
        <w:t xml:space="preserve">it is a cumulative penalty (e.g. having a special</w:t>
      </w:r>
      <w:r>
        <w:t xml:space="preserve"> </w:t>
      </w:r>
      <w:r>
        <w:t xml:space="preserve">provision for significant non-compliance-</w:t>
      </w:r>
      <w:r>
        <w:t xml:space="preserve"> </w:t>
      </w:r>
      <w:r>
        <w:t xml:space="preserve">repeated failure to file a return).</w:t>
      </w:r>
      <w:r>
        <w:t xml:space="preserve"> </w:t>
      </w:r>
      <w:r>
        <w:t xml:space="preserve">2)b) as under 1)</w:t>
      </w:r>
    </w:p>
    <w:p>
      <w:pPr>
        <w:pStyle w:val="Compact"/>
        <w:numPr>
          <w:ilvl w:val="0"/>
          <w:numId w:val="1059"/>
        </w:numPr>
      </w:pPr>
      <w:r>
        <w:t xml:space="preserve">EUR 50.000</w:t>
      </w:r>
      <w:r>
        <w:t xml:space="preserve"> </w:t>
      </w:r>
      <w:r>
        <w:t xml:space="preserve">DAC 4</w:t>
      </w:r>
      <w:r>
        <w:br/>
      </w:r>
      <w:r>
        <w:t xml:space="preserve">Personal scope: Maltese constituent entity only</w:t>
      </w:r>
      <w:r>
        <w:t xml:space="preserve"> </w:t>
      </w:r>
      <w:r>
        <w:t xml:space="preserve">Material scope: Failure to comply with any of</w:t>
      </w:r>
      <w:r>
        <w:t xml:space="preserve"> </w:t>
      </w:r>
      <w:r>
        <w:t xml:space="preserve">the obligations under DAC4:</w:t>
      </w:r>
    </w:p>
    <w:p>
      <w:pPr>
        <w:numPr>
          <w:ilvl w:val="0"/>
          <w:numId w:val="1060"/>
        </w:numPr>
      </w:pPr>
      <w:r>
        <w:t xml:space="preserve">failure to retain documentation and</w:t>
      </w:r>
      <w:r>
        <w:t xml:space="preserve"> </w:t>
      </w:r>
      <w:r>
        <w:t xml:space="preserve">information collected when meeting its</w:t>
      </w:r>
      <w:r>
        <w:t xml:space="preserve"> </w:t>
      </w:r>
      <w:r>
        <w:t xml:space="preserve">reporting obligations</w:t>
      </w:r>
    </w:p>
    <w:p>
      <w:pPr>
        <w:numPr>
          <w:ilvl w:val="0"/>
          <w:numId w:val="1060"/>
        </w:numPr>
      </w:pPr>
      <w:r>
        <w:t xml:space="preserve">failure to report within deadline</w:t>
      </w:r>
    </w:p>
    <w:p>
      <w:pPr>
        <w:numPr>
          <w:ilvl w:val="0"/>
          <w:numId w:val="1060"/>
        </w:numPr>
      </w:pPr>
      <w:r>
        <w:t xml:space="preserve">incomplete or inaccurate reporting:</w:t>
      </w:r>
      <w:r>
        <w:t xml:space="preserve"> </w:t>
      </w:r>
      <w:r>
        <w:t xml:space="preserve"></w:t>
      </w:r>
      <w:r>
        <w:t xml:space="preserve"> </w:t>
      </w:r>
      <w:r>
        <w:t xml:space="preserve">If minor errors</w:t>
      </w:r>
    </w:p>
    <w:p>
      <w:pPr>
        <w:pStyle w:val="FirstParagraph"/>
      </w:pPr>
      <w:r>
        <w:t xml:space="preserve"></w:t>
      </w:r>
      <w:r>
        <w:t xml:space="preserve"> </w:t>
      </w:r>
      <w:r>
        <w:t xml:space="preserve">If significant non-compliance</w:t>
      </w:r>
    </w:p>
    <w:p>
      <w:pPr>
        <w:pStyle w:val="Compact"/>
        <w:numPr>
          <w:ilvl w:val="0"/>
          <w:numId w:val="1061"/>
        </w:numPr>
      </w:pPr>
      <w:r>
        <w:t xml:space="preserve">when not complying with a request for</w:t>
      </w:r>
      <w:r>
        <w:t xml:space="preserve"> </w:t>
      </w:r>
      <w:r>
        <w:t xml:space="preserve">information by the Maltese tax administration</w:t>
      </w:r>
    </w:p>
    <w:p>
      <w:pPr>
        <w:pStyle w:val="FirstParagraph"/>
      </w:pPr>
      <w:r>
        <w:t xml:space="preserve">Recent amendments (Legal Notice 213/2021),</w:t>
      </w:r>
      <w:r>
        <w:t xml:space="preserve"> </w:t>
      </w:r>
      <w:r>
        <w:t xml:space="preserve">which were not part of the NIM added</w:t>
      </w:r>
      <w:r>
        <w:t xml:space="preserve"> </w:t>
      </w:r>
      <w:r>
        <w:t xml:space="preserve">additional penalties for failure to submit a</w:t>
      </w:r>
      <w:r>
        <w:t xml:space="preserve"> </w:t>
      </w:r>
      <w:r>
        <w:t xml:space="preserve">notification letter in accordance with Maltese</w:t>
      </w:r>
      <w:r>
        <w:t xml:space="preserve"> </w:t>
      </w:r>
      <w:r>
        <w:t xml:space="preserve">rules implementing CbC Reporting:</w:t>
      </w:r>
      <w:r>
        <w:t xml:space="preserve"> </w:t>
      </w:r>
      <w:r>
        <w:t xml:space="preserve"></w:t>
      </w:r>
      <w:r>
        <w:t xml:space="preserve"> </w:t>
      </w:r>
      <w:r>
        <w:t xml:space="preserve">failure to notify the identity and tax</w:t>
      </w:r>
      <w:r>
        <w:t xml:space="preserve"> </w:t>
      </w:r>
      <w:r>
        <w:t xml:space="preserve">residence of the reporting entity</w:t>
      </w:r>
      <w:r>
        <w:t xml:space="preserve"> </w:t>
      </w:r>
      <w:r>
        <w:t xml:space="preserve">obliged to file CbC report</w:t>
      </w:r>
      <w:r>
        <w:t xml:space="preserve"> </w:t>
      </w:r>
      <w:r>
        <w:t xml:space="preserve"></w:t>
      </w:r>
      <w:r>
        <w:t xml:space="preserve"> </w:t>
      </w:r>
      <w:r>
        <w:t xml:space="preserve">Failure to notify if it is the Ultimate</w:t>
      </w:r>
      <w:r>
        <w:t xml:space="preserve"> </w:t>
      </w:r>
      <w:r>
        <w:t xml:space="preserve">Parent Entity of the Surrogate Parent</w:t>
      </w:r>
      <w:r>
        <w:t xml:space="preserve"> </w:t>
      </w:r>
      <w:r>
        <w:t xml:space="preserve">Entity or the Constituent Entity</w:t>
      </w:r>
    </w:p>
    <w:p>
      <w:pPr>
        <w:pStyle w:val="BodyText"/>
      </w:pPr>
      <w:r>
        <w:t xml:space="preserve">The way legislation is drafted I would conclude</w:t>
      </w:r>
      <w:r>
        <w:t xml:space="preserve"> </w:t>
      </w:r>
      <w:r>
        <w:t xml:space="preserve">it is a cumulative penalty (e.g. having a special</w:t>
      </w:r>
      <w:r>
        <w:t xml:space="preserve"> </w:t>
      </w:r>
      <w:r>
        <w:t xml:space="preserve">provision for significant non-compliance).</w:t>
      </w:r>
    </w:p>
    <w:p>
      <w:pPr>
        <w:pStyle w:val="BodyText"/>
      </w:pPr>
      <w:r>
        <w:t xml:space="preserve">EUR 2.500</w:t>
      </w:r>
    </w:p>
    <w:p>
      <w:pPr>
        <w:pStyle w:val="BodyText"/>
      </w:pPr>
      <w:r>
        <w:t xml:space="preserve">EUR 200 and EUR</w:t>
      </w:r>
      <w:r>
        <w:t xml:space="preserve"> </w:t>
      </w:r>
      <w:r>
        <w:t xml:space="preserve">100 for every day</w:t>
      </w:r>
      <w:r>
        <w:t xml:space="preserve"> </w:t>
      </w:r>
      <w:r>
        <w:t xml:space="preserve">during which the</w:t>
      </w:r>
      <w:r>
        <w:t xml:space="preserve"> </w:t>
      </w:r>
      <w:r>
        <w:t xml:space="preserve">default existed, up</w:t>
      </w:r>
      <w:r>
        <w:t xml:space="preserve"> </w:t>
      </w:r>
      <w:r>
        <w:t xml:space="preserve">to a max. of EUR</w:t>
      </w:r>
      <w:r>
        <w:t xml:space="preserve"> </w:t>
      </w:r>
      <w:r>
        <w:t xml:space="preserve">20.000</w:t>
      </w:r>
      <w:r>
        <w:t xml:space="preserve"> </w:t>
      </w:r>
      <w:r>
        <w:t xml:space="preserve">EUR 200 and EUR 50</w:t>
      </w:r>
      <w:r>
        <w:t xml:space="preserve"> </w:t>
      </w:r>
      <w:r>
        <w:t xml:space="preserve">per day during which</w:t>
      </w:r>
      <w:r>
        <w:t xml:space="preserve"> </w:t>
      </w:r>
      <w:r>
        <w:t xml:space="preserve">the default existed,</w:t>
      </w:r>
      <w:r>
        <w:t xml:space="preserve"> </w:t>
      </w:r>
      <w:r>
        <w:t xml:space="preserve">but up to max EUR</w:t>
      </w:r>
      <w:r>
        <w:t xml:space="preserve"> </w:t>
      </w:r>
      <w:r>
        <w:t xml:space="preserve">5000</w:t>
      </w:r>
    </w:p>
    <w:p>
      <w:pPr>
        <w:pStyle w:val="BodyText"/>
      </w:pPr>
      <w:r>
        <w:t xml:space="preserve">EUR 50.000</w:t>
      </w:r>
    </w:p>
    <w:p>
      <w:pPr>
        <w:pStyle w:val="BodyText"/>
      </w:pPr>
      <w:r>
        <w:t xml:space="preserve">EUR 1000 and EUR</w:t>
      </w:r>
      <w:r>
        <w:t xml:space="preserve"> </w:t>
      </w:r>
      <w:r>
        <w:t xml:space="preserve">100 for every day</w:t>
      </w:r>
      <w:r>
        <w:t xml:space="preserve"> </w:t>
      </w:r>
      <w:r>
        <w:t xml:space="preserve">during which default</w:t>
      </w:r>
      <w:r>
        <w:t xml:space="preserve"> </w:t>
      </w:r>
      <w:r>
        <w:t xml:space="preserve">existed but up to</w:t>
      </w:r>
      <w:r>
        <w:t xml:space="preserve"> </w:t>
      </w:r>
      <w:r>
        <w:t xml:space="preserve">EUR 30.000</w:t>
      </w:r>
    </w:p>
    <w:p>
      <w:pPr>
        <w:pStyle w:val="BodyText"/>
      </w:pPr>
      <w:r>
        <w:t xml:space="preserve">EUR 200 and EUR 50</w:t>
      </w:r>
      <w:r>
        <w:t xml:space="preserve"> </w:t>
      </w:r>
      <w:r>
        <w:t xml:space="preserve">for every day during</w:t>
      </w:r>
      <w:r>
        <w:t xml:space="preserve"> </w:t>
      </w:r>
      <w:r>
        <w:t xml:space="preserve">which the default</w:t>
      </w:r>
      <w:r>
        <w:t xml:space="preserve"> </w:t>
      </w:r>
      <w:r>
        <w:t xml:space="preserve">existed, up to a</w:t>
      </w:r>
      <w:r>
        <w:t xml:space="preserve"> </w:t>
      </w:r>
      <w:r>
        <w:t xml:space="preserve">maximum of EUR</w:t>
      </w:r>
      <w:r>
        <w:t xml:space="preserve"> </w:t>
      </w:r>
      <w:r>
        <w:t xml:space="preserve">5.000</w:t>
      </w:r>
    </w:p>
    <w:p>
      <w:pPr>
        <w:pStyle w:val="BodyText"/>
      </w:pPr>
      <w:r>
        <w:t xml:space="preserve">EUR 20.000</w:t>
      </w:r>
    </w:p>
    <w:p>
      <w:pPr>
        <w:pStyle w:val="BodyText"/>
      </w:pPr>
      <w:r>
        <w:t xml:space="preserve">EUR 5000</w:t>
      </w:r>
    </w:p>
    <w:p>
      <w:pPr>
        <w:pStyle w:val="BodyText"/>
      </w:pPr>
      <w:r>
        <w:t xml:space="preserve">EUR 50.000</w:t>
      </w:r>
    </w:p>
    <w:p>
      <w:pPr>
        <w:pStyle w:val="BodyText"/>
      </w:pPr>
      <w:r>
        <w:t xml:space="preserve">EUR 30.000</w:t>
      </w:r>
    </w:p>
    <w:p>
      <w:pPr>
        <w:pStyle w:val="BodyText"/>
      </w:pPr>
      <w:r>
        <w:t xml:space="preserve">Max EUR 5000</w:t>
      </w:r>
      <w:r>
        <w:t xml:space="preserve"> </w:t>
      </w:r>
      <w:r>
        <w:t xml:space="preserve">DAC 6</w:t>
      </w:r>
      <w:r>
        <w:br/>
      </w:r>
      <w:r>
        <w:t xml:space="preserve">Personal scope: an intermediary or a relevant</w:t>
      </w:r>
      <w:r>
        <w:t xml:space="preserve"> </w:t>
      </w:r>
      <w:r>
        <w:t xml:space="preserve">taxpayer (this can be either natural or legal</w:t>
      </w:r>
      <w:r>
        <w:t xml:space="preserve"> </w:t>
      </w:r>
      <w:r>
        <w:t xml:space="preserve">person)</w:t>
      </w:r>
      <w:r>
        <w:t xml:space="preserve"> </w:t>
      </w:r>
      <w:r>
        <w:t xml:space="preserve">Material scope: failure to comply with their</w:t>
      </w:r>
      <w:r>
        <w:t xml:space="preserve"> </w:t>
      </w:r>
      <w:r>
        <w:t xml:space="preserve">obligations under the mandatory automatic</w:t>
      </w:r>
      <w:r>
        <w:t xml:space="preserve"> </w:t>
      </w:r>
      <w:r>
        <w:t xml:space="preserve">exchange of information regime in relation to</w:t>
      </w:r>
      <w:r>
        <w:t xml:space="preserve"> </w:t>
      </w:r>
      <w:r>
        <w:t xml:space="preserve">cross-border arrangements:</w:t>
      </w:r>
      <w:r>
        <w:t xml:space="preserve"> </w:t>
      </w:r>
      <w:r>
        <w:t xml:space="preserve">Different levels of penalties are applicable with</w:t>
      </w:r>
      <w:r>
        <w:t xml:space="preserve"> </w:t>
      </w:r>
      <w:r>
        <w:t xml:space="preserve">respect to the below failures:</w:t>
      </w:r>
      <w:r>
        <w:t xml:space="preserve"> </w:t>
      </w:r>
      <w:r>
        <w:t xml:space="preserve">• failure to collect and retain documentation</w:t>
      </w:r>
      <w:r>
        <w:t xml:space="preserve"> </w:t>
      </w:r>
      <w:r>
        <w:t xml:space="preserve">for a period of five years;</w:t>
      </w:r>
    </w:p>
    <w:p>
      <w:pPr>
        <w:pStyle w:val="BodyText"/>
      </w:pPr>
      <w:r>
        <w:t xml:space="preserve">• failure to report information on a timely basis</w:t>
      </w:r>
    </w:p>
    <w:p>
      <w:pPr>
        <w:pStyle w:val="BodyText"/>
      </w:pPr>
      <w:r>
        <w:t xml:space="preserve">• penalty of EUR</w:t>
      </w:r>
      <w:r>
        <w:t xml:space="preserve"> </w:t>
      </w:r>
      <w:r>
        <w:t xml:space="preserve">2,500</w:t>
      </w:r>
    </w:p>
    <w:p>
      <w:pPr>
        <w:pStyle w:val="BodyText"/>
      </w:pPr>
      <w:r>
        <w:t xml:space="preserve">• a penalty of EUR</w:t>
      </w:r>
      <w:r>
        <w:t xml:space="preserve"> </w:t>
      </w:r>
      <w:r>
        <w:t xml:space="preserve">200; and EUR 100</w:t>
      </w:r>
      <w:r>
        <w:t xml:space="preserve"> </w:t>
      </w:r>
      <w:r>
        <w:t xml:space="preserve">for every day during</w:t>
      </w:r>
      <w:r>
        <w:t xml:space="preserve"> </w:t>
      </w:r>
      <w:r>
        <w:t xml:space="preserve">which the default</w:t>
      </w:r>
      <w:r>
        <w:t xml:space="preserve"> </w:t>
      </w:r>
      <w:r>
        <w:t xml:space="preserve">existed: provided</w:t>
      </w:r>
      <w:r>
        <w:t xml:space="preserve"> </w:t>
      </w:r>
      <w:r>
        <w:t xml:space="preserve">that this penalty</w:t>
      </w:r>
    </w:p>
    <w:p>
      <w:pPr>
        <w:pStyle w:val="BodyText"/>
      </w:pPr>
      <w:r>
        <w:t xml:space="preserve">Max EUR 20 000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• failure to report information in a complete</w:t>
      </w:r>
      <w:r>
        <w:t xml:space="preserve"> </w:t>
      </w:r>
      <w:r>
        <w:t xml:space="preserve">and accurate manner;</w:t>
      </w:r>
    </w:p>
    <w:p>
      <w:pPr>
        <w:pStyle w:val="BodyText"/>
      </w:pPr>
      <w:r>
        <w:t xml:space="preserve">• failure to comply with a request made by the</w:t>
      </w:r>
      <w:r>
        <w:t xml:space="preserve"> </w:t>
      </w:r>
      <w:r>
        <w:t xml:space="preserve">Maltese tax authorities</w:t>
      </w:r>
    </w:p>
    <w:p>
      <w:pPr>
        <w:pStyle w:val="BodyText"/>
      </w:pPr>
      <w:r>
        <w:t xml:space="preserve">Not stated whether individual or cumulative</w:t>
      </w:r>
      <w:r>
        <w:t xml:space="preserve"> </w:t>
      </w:r>
      <w:r>
        <w:t xml:space="preserve">nature of penalty.</w:t>
      </w:r>
      <w:r>
        <w:t xml:space="preserve"> </w:t>
      </w:r>
      <w:r>
        <w:t xml:space="preserve">shall not exceed in</w:t>
      </w:r>
      <w:r>
        <w:t xml:space="preserve"> </w:t>
      </w:r>
      <w:r>
        <w:t xml:space="preserve">total EUR 20,000.</w:t>
      </w:r>
    </w:p>
    <w:p>
      <w:pPr>
        <w:pStyle w:val="BodyText"/>
      </w:pPr>
      <w:r>
        <w:t xml:space="preserve">• EUR 200 and</w:t>
      </w:r>
      <w:r>
        <w:t xml:space="preserve"> </w:t>
      </w:r>
      <w:r>
        <w:t xml:space="preserve">EUR 100 for every</w:t>
      </w:r>
      <w:r>
        <w:t xml:space="preserve"> </w:t>
      </w:r>
      <w:r>
        <w:t xml:space="preserve">day during which the</w:t>
      </w:r>
      <w:r>
        <w:t xml:space="preserve"> </w:t>
      </w:r>
      <w:r>
        <w:t xml:space="preserve">default existed:</w:t>
      </w:r>
      <w:r>
        <w:t xml:space="preserve"> </w:t>
      </w:r>
      <w:r>
        <w:t xml:space="preserve">provided that this</w:t>
      </w:r>
      <w:r>
        <w:t xml:space="preserve"> </w:t>
      </w:r>
      <w:r>
        <w:t xml:space="preserve">penalty shall not</w:t>
      </w:r>
      <w:r>
        <w:t xml:space="preserve"> </w:t>
      </w:r>
      <w:r>
        <w:t xml:space="preserve">exceed in total EUR</w:t>
      </w:r>
      <w:r>
        <w:t xml:space="preserve"> </w:t>
      </w:r>
      <w:r>
        <w:t xml:space="preserve">20,000.</w:t>
      </w:r>
    </w:p>
    <w:p>
      <w:pPr>
        <w:pStyle w:val="BodyText"/>
      </w:pPr>
      <w:r>
        <w:t xml:space="preserve">• EUR 1,000 and</w:t>
      </w:r>
      <w:r>
        <w:t xml:space="preserve"> </w:t>
      </w:r>
      <w:r>
        <w:t xml:space="preserve">EUR 100 for every</w:t>
      </w:r>
      <w:r>
        <w:t xml:space="preserve"> </w:t>
      </w:r>
      <w:r>
        <w:t xml:space="preserve">day during which the</w:t>
      </w:r>
      <w:r>
        <w:t xml:space="preserve"> </w:t>
      </w:r>
      <w:r>
        <w:t xml:space="preserve">default existed,</w:t>
      </w:r>
      <w:r>
        <w:t xml:space="preserve"> </w:t>
      </w:r>
      <w:r>
        <w:t xml:space="preserve">provided that this</w:t>
      </w:r>
      <w:r>
        <w:t xml:space="preserve"> </w:t>
      </w:r>
      <w:r>
        <w:t xml:space="preserve">penalty shall not</w:t>
      </w:r>
      <w:r>
        <w:t xml:space="preserve"> </w:t>
      </w:r>
      <w:r>
        <w:t xml:space="preserve">exceed in total EUR</w:t>
      </w:r>
      <w:r>
        <w:t xml:space="preserve"> </w:t>
      </w:r>
      <w:r>
        <w:t xml:space="preserve">30,000.</w:t>
      </w:r>
    </w:p>
    <w:p>
      <w:pPr>
        <w:pStyle w:val="BodyText"/>
      </w:pPr>
      <w:r>
        <w:t xml:space="preserve">Ib</w:t>
      </w:r>
    </w:p>
    <w:p>
      <w:pPr>
        <w:pStyle w:val="BodyText"/>
      </w:pPr>
      <w:r>
        <w:t xml:space="preserve">Max EUR 30.000</w:t>
      </w:r>
      <w:r>
        <w:t xml:space="preserve"> </w:t>
      </w:r>
      <w:r>
        <w:t xml:space="preserve">NL</w:t>
      </w:r>
      <w:r>
        <w:t xml:space="preserve"> </w:t>
      </w:r>
      <w:r>
        <w:t xml:space="preserve">DAC 2</w:t>
      </w:r>
      <w:r>
        <w:br/>
      </w:r>
      <w:r>
        <w:t xml:space="preserve">No reporting, late reporting, on purpose wrong</w:t>
      </w:r>
      <w:r>
        <w:t xml:space="preserve"> </w:t>
      </w:r>
      <w:r>
        <w:t xml:space="preserve">reporting and partial reporting are all explicitly</w:t>
      </w:r>
      <w:r>
        <w:t xml:space="preserve"> </w:t>
      </w:r>
      <w:r>
        <w:t xml:space="preserve">mentioned as punishable.</w:t>
      </w:r>
      <w:r>
        <w:br/>
      </w:r>
      <w:r>
        <w:t xml:space="preserve">No difference is made between legal and natural</w:t>
      </w:r>
      <w:r>
        <w:t xml:space="preserve"> </w:t>
      </w:r>
      <w:r>
        <w:t xml:space="preserve">persons for the purpose of application of penalties</w:t>
      </w:r>
      <w:r>
        <w:br/>
      </w:r>
      <w:r>
        <w:t xml:space="preserve">The fine must be proportionate to the seriousness of</w:t>
      </w:r>
      <w:r>
        <w:t xml:space="preserve"> </w:t>
      </w:r>
      <w:r>
        <w:t xml:space="preserve">the offence.</w:t>
      </w:r>
      <w:r>
        <w:t xml:space="preserve"> </w:t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No minimum</w:t>
      </w:r>
      <w:r>
        <w:t xml:space="preserve"> </w:t>
      </w:r>
      <w:r>
        <w:t xml:space="preserve">Maximum EUR 21.750</w:t>
      </w:r>
    </w:p>
    <w:p>
      <w:pPr>
        <w:pStyle w:val="BodyText"/>
      </w:pPr>
      <w:r>
        <w:t xml:space="preserve">DAC 4</w:t>
      </w:r>
      <w:r>
        <w:br/>
      </w:r>
      <w:r>
        <w:t xml:space="preserve">No reporting, late reporting, on purpose wrong</w:t>
      </w:r>
      <w:r>
        <w:t xml:space="preserve"> </w:t>
      </w:r>
      <w:r>
        <w:t xml:space="preserve">reporting and partial reporting are all explicitly</w:t>
      </w:r>
      <w:r>
        <w:t xml:space="preserve"> </w:t>
      </w:r>
      <w:r>
        <w:t xml:space="preserve">mentioned as punishable.</w:t>
      </w:r>
      <w:r>
        <w:br/>
      </w:r>
      <w:r>
        <w:t xml:space="preserve">No difference is made between legal and natural</w:t>
      </w:r>
      <w:r>
        <w:t xml:space="preserve"> </w:t>
      </w:r>
      <w:r>
        <w:t xml:space="preserve">persons for the purpose of application of penalties</w:t>
      </w:r>
      <w:r>
        <w:br/>
      </w:r>
      <w:r>
        <w:t xml:space="preserve">The fine must be proportionate to the seriousness of</w:t>
      </w:r>
      <w:r>
        <w:t xml:space="preserve"> </w:t>
      </w:r>
      <w:r>
        <w:t xml:space="preserve">the offence.</w:t>
      </w:r>
      <w:r>
        <w:t xml:space="preserve"> </w:t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No minimum</w:t>
      </w:r>
      <w:r>
        <w:t xml:space="preserve"> </w:t>
      </w:r>
      <w:r>
        <w:t xml:space="preserve">Maximum EUR 870.000</w:t>
      </w:r>
      <w:r>
        <w:t xml:space="preserve"> </w:t>
      </w:r>
      <w:r>
        <w:t xml:space="preserve">DAC 6</w:t>
      </w:r>
      <w:r>
        <w:br/>
      </w:r>
      <w:r>
        <w:t xml:space="preserve">No reporting, late reporting, on purpose wrong</w:t>
      </w:r>
      <w:r>
        <w:t xml:space="preserve"> </w:t>
      </w:r>
      <w:r>
        <w:t xml:space="preserve">reporting and partial reporting are all explicitly</w:t>
      </w:r>
      <w:r>
        <w:t xml:space="preserve"> </w:t>
      </w:r>
      <w:r>
        <w:t xml:space="preserve">mentioned as punishable.</w:t>
      </w:r>
      <w:r>
        <w:br/>
      </w:r>
      <w:r>
        <w:t xml:space="preserve">No difference is made between legal and natural</w:t>
      </w:r>
      <w:r>
        <w:t xml:space="preserve"> </w:t>
      </w:r>
      <w:r>
        <w:t xml:space="preserve">persons for the purpose of application of penalties</w:t>
      </w:r>
      <w:r>
        <w:br/>
      </w:r>
      <w:r>
        <w:t xml:space="preserve">The fine must be proportionate to the seriousness of</w:t>
      </w:r>
      <w:r>
        <w:t xml:space="preserve"> </w:t>
      </w:r>
      <w:r>
        <w:t xml:space="preserve">the offence.</w:t>
      </w:r>
      <w:r>
        <w:t xml:space="preserve"> </w:t>
      </w:r>
      <w:r>
        <w:t xml:space="preserve">The law does not say whether the penalties are per</w:t>
      </w:r>
      <w:r>
        <w:t xml:space="preserve"> </w:t>
      </w:r>
      <w:r>
        <w:t xml:space="preserve">individual infringement or for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No minimum</w:t>
      </w:r>
      <w:r>
        <w:t xml:space="preserve"> </w:t>
      </w:r>
      <w:r>
        <w:t xml:space="preserve">Maximum EUR 870.000</w:t>
      </w:r>
      <w:r>
        <w:t xml:space="preserve"> </w:t>
      </w:r>
      <w:r>
        <w:t xml:space="preserve">PL</w:t>
      </w:r>
      <w:r>
        <w:t xml:space="preserve"> </w:t>
      </w:r>
      <w:r>
        <w:t xml:space="preserve">DAC 2</w:t>
      </w:r>
      <w:r>
        <w:br/>
      </w:r>
      <w:r>
        <w:t xml:space="preserve">Incorrectness of reporting by the obliged</w:t>
      </w:r>
      <w:r>
        <w:t xml:space="preserve"> </w:t>
      </w:r>
      <w:r>
        <w:t xml:space="preserve">financial institution:</w:t>
      </w:r>
      <w:r>
        <w:br/>
      </w:r>
      <w:r>
        <w:t xml:space="preserve"></w:t>
      </w:r>
      <w:r>
        <w:t xml:space="preserve"> </w:t>
      </w:r>
      <w:r>
        <w:t xml:space="preserve">no strict differentiation between</w:t>
      </w:r>
      <w:r>
        <w:t xml:space="preserve"> </w:t>
      </w:r>
      <w:r>
        <w:t xml:space="preserve">various types of incorrectness, but</w:t>
      </w:r>
      <w:r>
        <w:t xml:space="preserve"> </w:t>
      </w:r>
      <w:r>
        <w:t xml:space="preserve"></w:t>
      </w:r>
      <w:r>
        <w:t xml:space="preserve"> </w:t>
      </w:r>
      <w:r>
        <w:t xml:space="preserve">the gravity of incorrectness should be</w:t>
      </w:r>
      <w:r>
        <w:t xml:space="preserve"> </w:t>
      </w:r>
      <w:r>
        <w:t xml:space="preserve">considered in determination of the</w:t>
      </w:r>
      <w:r>
        <w:t xml:space="preserve"> </w:t>
      </w:r>
      <w:r>
        <w:t xml:space="preserve">penalty</w:t>
      </w:r>
      <w:r>
        <w:t xml:space="preserve"> </w:t>
      </w:r>
      <w:r>
        <w:t xml:space="preserve">No minimum</w:t>
      </w:r>
      <w:r>
        <w:t xml:space="preserve"> </w:t>
      </w:r>
      <w:r>
        <w:t xml:space="preserve">amount</w:t>
      </w:r>
      <w:r>
        <w:t xml:space="preserve"> </w:t>
      </w:r>
      <w:r>
        <w:t xml:space="preserve">Administrative penalty up</w:t>
      </w:r>
      <w:r>
        <w:t xml:space="preserve"> </w:t>
      </w:r>
      <w:r>
        <w:t xml:space="preserve">to PLN 1,000,000 (EUR</w:t>
      </w:r>
      <w:r>
        <w:t xml:space="preserve"> </w:t>
      </w:r>
      <w:r>
        <w:t xml:space="preserve">217,850)</w:t>
      </w:r>
      <w:r>
        <w:t xml:space="preserve"> </w:t>
      </w:r>
      <w:r>
        <w:t xml:space="preserve">DAC 4</w:t>
      </w:r>
      <w:r>
        <w:br/>
      </w:r>
      <w:r>
        <w:t xml:space="preserve">Incorrectness of reporting by the obliged</w:t>
      </w:r>
      <w:r>
        <w:t xml:space="preserve"> </w:t>
      </w:r>
      <w:r>
        <w:t xml:space="preserve">taxpayer:</w:t>
      </w:r>
      <w:r>
        <w:br/>
      </w:r>
      <w:r>
        <w:t xml:space="preserve"></w:t>
      </w:r>
      <w:r>
        <w:t xml:space="preserve"> </w:t>
      </w:r>
      <w:r>
        <w:t xml:space="preserve">no strict differentiation between</w:t>
      </w:r>
      <w:r>
        <w:t xml:space="preserve"> </w:t>
      </w:r>
      <w:r>
        <w:t xml:space="preserve">various types of incorrectness, but</w:t>
      </w:r>
      <w:r>
        <w:t xml:space="preserve"> </w:t>
      </w:r>
      <w:r>
        <w:t xml:space="preserve">No minimum</w:t>
      </w:r>
      <w:r>
        <w:t xml:space="preserve"> </w:t>
      </w:r>
      <w:r>
        <w:t xml:space="preserve">amount</w:t>
      </w:r>
      <w:r>
        <w:t xml:space="preserve"> </w:t>
      </w:r>
      <w:r>
        <w:t xml:space="preserve">Administrative penalty up</w:t>
      </w:r>
      <w:r>
        <w:t xml:space="preserve"> </w:t>
      </w:r>
      <w:r>
        <w:t xml:space="preserve">to PLN 1,000,000 (EUR</w:t>
      </w:r>
      <w:r>
        <w:t xml:space="preserve"> </w:t>
      </w:r>
      <w:r>
        <w:t xml:space="preserve">217,850)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gravity of incorrectness should be</w:t>
      </w:r>
      <w:r>
        <w:t xml:space="preserve"> </w:t>
      </w:r>
      <w:r>
        <w:t xml:space="preserve">considered in determination of the</w:t>
      </w:r>
      <w:r>
        <w:t xml:space="preserve"> </w:t>
      </w:r>
      <w:r>
        <w:t xml:space="preserve">penalty</w:t>
      </w:r>
    </w:p>
    <w:p>
      <w:pPr>
        <w:pStyle w:val="BodyText"/>
      </w:pPr>
      <w:r>
        <w:t xml:space="preserve">DAC 6</w:t>
      </w:r>
      <w:r>
        <w:br/>
      </w:r>
      <w:r>
        <w:t xml:space="preserve">Two types of incorrectness:</w:t>
      </w:r>
      <w:r>
        <w:t xml:space="preserve"> </w:t>
      </w:r>
      <w:r>
        <w:t xml:space="preserve">1) “Qualified form” for promotors (advisers) of</w:t>
      </w:r>
      <w:r>
        <w:t xml:space="preserve"> </w:t>
      </w:r>
      <w:r>
        <w:t xml:space="preserve">the schemes who have more than PLN</w:t>
      </w:r>
      <w:r>
        <w:t xml:space="preserve"> </w:t>
      </w:r>
      <w:r>
        <w:t xml:space="preserve">8,000,000 revenue from tax advisory services</w:t>
      </w:r>
      <w:r>
        <w:t xml:space="preserve"> </w:t>
      </w:r>
      <w:r>
        <w:t xml:space="preserve">(EUR 1,740,000) - who are obliged to establish</w:t>
      </w:r>
      <w:r>
        <w:t xml:space="preserve"> </w:t>
      </w:r>
      <w:r>
        <w:t xml:space="preserve">internal procedure ensuring correct</w:t>
      </w:r>
      <w:r>
        <w:t xml:space="preserve"> </w:t>
      </w:r>
      <w:r>
        <w:t xml:space="preserve">implementation of MDR and failed to do so,</w:t>
      </w:r>
    </w:p>
    <w:p>
      <w:pPr>
        <w:pStyle w:val="Compact"/>
        <w:numPr>
          <w:ilvl w:val="0"/>
          <w:numId w:val="1062"/>
        </w:numPr>
      </w:pPr>
      <w:r>
        <w:t xml:space="preserve">Any other incorrectness in reporting (no</w:t>
      </w:r>
      <w:r>
        <w:t xml:space="preserve"> </w:t>
      </w:r>
      <w:r>
        <w:t xml:space="preserve">personal distinctions)</w:t>
      </w:r>
    </w:p>
    <w:p>
      <w:pPr>
        <w:pStyle w:val="FirstParagraph"/>
      </w:pPr>
      <w:r>
        <w:t xml:space="preserve">No minimum</w:t>
      </w:r>
      <w:r>
        <w:t xml:space="preserve"> </w:t>
      </w:r>
      <w:r>
        <w:t xml:space="preserve">amount</w:t>
      </w:r>
    </w:p>
    <w:p>
      <w:pPr>
        <w:pStyle w:val="BodyText"/>
      </w:pPr>
      <w:r>
        <w:t xml:space="preserve">No minimum</w:t>
      </w:r>
      <w:r>
        <w:t xml:space="preserve"> </w:t>
      </w:r>
      <w:r>
        <w:t xml:space="preserve">penalty (but see</w:t>
      </w:r>
      <w:r>
        <w:t xml:space="preserve"> </w:t>
      </w:r>
      <w:r>
        <w:t xml:space="preserve">calculation of daily</w:t>
      </w:r>
      <w:r>
        <w:t xml:space="preserve"> </w:t>
      </w:r>
      <w:r>
        <w:t xml:space="preserve">rates)</w:t>
      </w:r>
    </w:p>
    <w:p>
      <w:pPr>
        <w:numPr>
          <w:ilvl w:val="0"/>
          <w:numId w:val="1063"/>
        </w:numPr>
      </w:pPr>
      <w:r>
        <w:t xml:space="preserve">Administrative penalty</w:t>
      </w:r>
      <w:r>
        <w:t xml:space="preserve"> </w:t>
      </w:r>
      <w:r>
        <w:t xml:space="preserve">up to PLN 2,000,000 (EUR</w:t>
      </w:r>
      <w:r>
        <w:t xml:space="preserve"> </w:t>
      </w:r>
      <w:r>
        <w:t xml:space="preserve">435,000)</w:t>
      </w:r>
      <w:r>
        <w:t xml:space="preserve"> </w:t>
      </w:r>
      <w:r>
        <w:t xml:space="preserve">The maximum amount</w:t>
      </w:r>
      <w:r>
        <w:t xml:space="preserve"> </w:t>
      </w:r>
      <w:r>
        <w:t xml:space="preserve">may be increased to PLN</w:t>
      </w:r>
      <w:r>
        <w:t xml:space="preserve"> </w:t>
      </w:r>
      <w:r>
        <w:t xml:space="preserve">10,000,000 (EUR</w:t>
      </w:r>
      <w:r>
        <w:t xml:space="preserve"> </w:t>
      </w:r>
      <w:r>
        <w:t xml:space="preserve">2,175,000) if the</w:t>
      </w:r>
      <w:r>
        <w:t xml:space="preserve"> </w:t>
      </w:r>
      <w:r>
        <w:t xml:space="preserve">employee was sentenced</w:t>
      </w:r>
      <w:r>
        <w:t xml:space="preserve"> </w:t>
      </w:r>
      <w:r>
        <w:t xml:space="preserve">in a tax criminal case for</w:t>
      </w:r>
      <w:r>
        <w:t xml:space="preserve"> </w:t>
      </w:r>
      <w:r>
        <w:t xml:space="preserve">promoting tax fraud</w:t>
      </w:r>
      <w:r>
        <w:t xml:space="preserve"> </w:t>
      </w:r>
      <w:r>
        <w:t xml:space="preserve">(evasion)</w:t>
      </w:r>
    </w:p>
    <w:p>
      <w:pPr>
        <w:numPr>
          <w:ilvl w:val="0"/>
          <w:numId w:val="1063"/>
        </w:numPr>
      </w:pPr>
      <w:r>
        <w:t xml:space="preserve">Criminal penalty - fine</w:t>
      </w:r>
      <w:r>
        <w:t xml:space="preserve"> </w:t>
      </w:r>
      <w:r>
        <w:t xml:space="preserve">up to 720 daily rates (1</w:t>
      </w:r>
      <w:r>
        <w:t xml:space="preserve"> </w:t>
      </w:r>
      <w:r>
        <w:t xml:space="preserve">rate shall be in the</w:t>
      </w:r>
      <w:r>
        <w:t xml:space="preserve"> </w:t>
      </w:r>
      <w:r>
        <w:t xml:space="preserve">brackets: from 1/30</w:t>
      </w:r>
      <w:r>
        <w:t xml:space="preserve"> </w:t>
      </w:r>
      <w:r>
        <w:t xml:space="preserve">average wages to 400x</w:t>
      </w:r>
      <w:r>
        <w:t xml:space="preserve"> </w:t>
      </w:r>
      <w:r>
        <w:t xml:space="preserve">average brackets)</w:t>
      </w:r>
    </w:p>
    <w:p>
      <w:pPr>
        <w:pStyle w:val="Compact"/>
        <w:numPr>
          <w:ilvl w:val="0"/>
          <w:numId w:val="1064"/>
        </w:numPr>
      </w:pPr>
      <w:r>
        <w:t xml:space="preserve">The average</w:t>
      </w:r>
      <w:r>
        <w:t xml:space="preserve"> </w:t>
      </w:r>
      <w:r>
        <w:t xml:space="preserve">salary in 2021 is</w:t>
      </w:r>
      <w:r>
        <w:t xml:space="preserve"> </w:t>
      </w:r>
      <w:r>
        <w:t xml:space="preserve">PLN 5800 (EUR</w:t>
      </w:r>
      <w:r>
        <w:t xml:space="preserve"> </w:t>
      </w:r>
      <w:r>
        <w:t xml:space="preserve">1,300).</w:t>
      </w:r>
      <w:r>
        <w:t xml:space="preserve"> </w:t>
      </w:r>
      <w:r>
        <w:t xml:space="preserve">PT</w:t>
      </w:r>
      <w:r>
        <w:t xml:space="preserve"> </w:t>
      </w:r>
      <w:r>
        <w:t xml:space="preserve">DAC 2</w:t>
      </w:r>
    </w:p>
    <w:p>
      <w:pPr>
        <w:pStyle w:val="FirstParagraph"/>
      </w:pPr>
      <w:r>
        <w:t xml:space="preserve">Infractions by the financial institutions</w:t>
      </w:r>
    </w:p>
    <w:p>
      <w:pPr>
        <w:numPr>
          <w:ilvl w:val="0"/>
          <w:numId w:val="1065"/>
        </w:numPr>
      </w:pPr>
      <w:r>
        <w:t xml:space="preserve">No reporting</w:t>
      </w:r>
    </w:p>
    <w:p>
      <w:pPr>
        <w:numPr>
          <w:ilvl w:val="0"/>
          <w:numId w:val="1065"/>
        </w:numPr>
      </w:pPr>
      <w:r>
        <w:t xml:space="preserve">Late reporting</w:t>
      </w:r>
    </w:p>
    <w:p>
      <w:pPr>
        <w:numPr>
          <w:ilvl w:val="0"/>
          <w:numId w:val="1065"/>
        </w:numPr>
      </w:pPr>
      <w:r>
        <w:t xml:space="preserve">Wrong reporting</w:t>
      </w:r>
    </w:p>
    <w:p>
      <w:pPr>
        <w:numPr>
          <w:ilvl w:val="0"/>
          <w:numId w:val="1065"/>
        </w:numPr>
      </w:pPr>
      <w:r>
        <w:t xml:space="preserve">Non-compliance with due diligence</w:t>
      </w:r>
      <w:r>
        <w:t xml:space="preserve"> </w:t>
      </w:r>
      <w:r>
        <w:t xml:space="preserve">procedures</w:t>
      </w:r>
      <w:r>
        <w:t xml:space="preserve"> </w:t>
      </w:r>
      <w:r>
        <w:t xml:space="preserve">Sanctions are per</w:t>
      </w:r>
      <w:r>
        <w:t xml:space="preserve"> </w:t>
      </w:r>
      <w:r>
        <w:t xml:space="preserve">single infringement</w:t>
      </w:r>
      <w:r>
        <w:br/>
      </w:r>
      <w:r>
        <w:t xml:space="preserve">Infractions by the</w:t>
      </w:r>
      <w:r>
        <w:t xml:space="preserve"> </w:t>
      </w:r>
      <w:r>
        <w:t xml:space="preserve">financial institutions</w:t>
      </w:r>
    </w:p>
    <w:p>
      <w:pPr>
        <w:numPr>
          <w:ilvl w:val="0"/>
          <w:numId w:val="1065"/>
        </w:numPr>
      </w:pPr>
      <w:r>
        <w:t xml:space="preserve">1 000€</w:t>
      </w:r>
    </w:p>
    <w:p>
      <w:pPr>
        <w:numPr>
          <w:ilvl w:val="0"/>
          <w:numId w:val="1065"/>
        </w:numPr>
      </w:pPr>
      <w:r>
        <w:t xml:space="preserve">1 000€</w:t>
      </w:r>
    </w:p>
    <w:p>
      <w:pPr>
        <w:numPr>
          <w:ilvl w:val="0"/>
          <w:numId w:val="1065"/>
        </w:numPr>
      </w:pPr>
      <w:r>
        <w:t xml:space="preserve">500€</w:t>
      </w:r>
    </w:p>
    <w:p>
      <w:pPr>
        <w:numPr>
          <w:ilvl w:val="0"/>
          <w:numId w:val="1065"/>
        </w:numPr>
      </w:pPr>
      <w:r>
        <w:t xml:space="preserve">500€</w:t>
      </w:r>
    </w:p>
    <w:p>
      <w:pPr>
        <w:pStyle w:val="FirstParagraph"/>
      </w:pPr>
      <w:r>
        <w:t xml:space="preserve">Infractions by the financial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1.</w:t>
      </w:r>
      <w:r>
        <w:t xml:space="preserve"> </w:t>
      </w:r>
      <w:r>
        <w:t xml:space="preserve">45 000€</w:t>
      </w:r>
    </w:p>
    <w:p>
      <w:pPr>
        <w:numPr>
          <w:ilvl w:val="0"/>
          <w:numId w:val="1066"/>
        </w:numPr>
      </w:pPr>
      <w:r>
        <w:t xml:space="preserve">45 000€</w:t>
      </w:r>
    </w:p>
    <w:p>
      <w:pPr>
        <w:numPr>
          <w:ilvl w:val="0"/>
          <w:numId w:val="1066"/>
        </w:numPr>
      </w:pPr>
      <w:r>
        <w:t xml:space="preserve">22 500€</w:t>
      </w:r>
    </w:p>
    <w:p>
      <w:pPr>
        <w:numPr>
          <w:ilvl w:val="0"/>
          <w:numId w:val="1066"/>
        </w:numPr>
      </w:pPr>
      <w:r>
        <w:t xml:space="preserve">22 500€</w:t>
      </w:r>
      <w:r>
        <w:t xml:space="preserve"> </w:t>
      </w:r>
      <w:r>
        <w:t xml:space="preserve">DAC 4</w:t>
      </w:r>
    </w:p>
    <w:p>
      <w:pPr>
        <w:pStyle w:val="FirstParagraph"/>
      </w:pPr>
      <w:r>
        <w:t xml:space="preserve">Infractions by the reporting entity</w:t>
      </w:r>
      <w:r>
        <w:t xml:space="preserve"> </w:t>
      </w:r>
      <w:r>
        <w:t xml:space="preserve">1.</w:t>
      </w:r>
      <w:r>
        <w:t xml:space="preserve"> </w:t>
      </w:r>
      <w:r>
        <w:t xml:space="preserve">No reporting</w:t>
      </w:r>
      <w:r>
        <w:t xml:space="preserve"> </w:t>
      </w:r>
      <w:r>
        <w:t xml:space="preserve">2.</w:t>
      </w:r>
      <w:r>
        <w:t xml:space="preserve"> </w:t>
      </w:r>
      <w:r>
        <w:t xml:space="preserve">Late reporting</w:t>
      </w:r>
    </w:p>
    <w:p>
      <w:pPr>
        <w:pStyle w:val="BodyText"/>
      </w:pPr>
      <w:r>
        <w:t xml:space="preserve">Sanctions are per</w:t>
      </w:r>
      <w:r>
        <w:t xml:space="preserve"> </w:t>
      </w:r>
      <w:r>
        <w:t xml:space="preserve">single infringement</w:t>
      </w:r>
      <w:r>
        <w:t xml:space="preserve"> </w:t>
      </w:r>
      <w:r>
        <w:t xml:space="preserve">Infractions by</w:t>
      </w:r>
      <w:r>
        <w:t xml:space="preserve"> </w:t>
      </w:r>
      <w:r>
        <w:t xml:space="preserve">reporting entity</w:t>
      </w:r>
      <w:r>
        <w:t xml:space="preserve"> </w:t>
      </w:r>
      <w:r>
        <w:t xml:space="preserve">1.</w:t>
      </w:r>
      <w:r>
        <w:t xml:space="preserve"> </w:t>
      </w:r>
      <w:r>
        <w:t xml:space="preserve">500€</w:t>
      </w:r>
      <w:r>
        <w:t xml:space="preserve"> </w:t>
      </w:r>
      <w:r>
        <w:t xml:space="preserve">2.</w:t>
      </w:r>
      <w:r>
        <w:t xml:space="preserve"> </w:t>
      </w:r>
      <w:r>
        <w:t xml:space="preserve">500€</w:t>
      </w:r>
    </w:p>
    <w:p>
      <w:pPr>
        <w:pStyle w:val="BodyText"/>
      </w:pPr>
      <w:r>
        <w:t xml:space="preserve">Infractions by reporting</w:t>
      </w:r>
      <w:r>
        <w:t xml:space="preserve"> </w:t>
      </w:r>
      <w:r>
        <w:t xml:space="preserve">entity</w:t>
      </w:r>
      <w:r>
        <w:t xml:space="preserve"> </w:t>
      </w:r>
      <w:r>
        <w:t xml:space="preserve">1.</w:t>
      </w:r>
      <w:r>
        <w:t xml:space="preserve"> </w:t>
      </w:r>
      <w:r>
        <w:t xml:space="preserve">500€+additional</w:t>
      </w:r>
      <w:r>
        <w:t xml:space="preserve"> </w:t>
      </w:r>
      <w:r>
        <w:t xml:space="preserve">5% for each day</w:t>
      </w:r>
      <w:r>
        <w:t xml:space="preserve"> </w:t>
      </w:r>
      <w:r>
        <w:t xml:space="preserve">of delay</w:t>
      </w:r>
      <w:r>
        <w:t xml:space="preserve"> </w:t>
      </w:r>
      <w:r>
        <w:t xml:space="preserve">2.</w:t>
      </w:r>
      <w:r>
        <w:t xml:space="preserve"> </w:t>
      </w:r>
      <w:r>
        <w:t xml:space="preserve">500€+additional</w:t>
      </w:r>
      <w:r>
        <w:t xml:space="preserve"> </w:t>
      </w:r>
      <w:r>
        <w:t xml:space="preserve">5% for each day</w:t>
      </w:r>
      <w:r>
        <w:t xml:space="preserve"> </w:t>
      </w:r>
      <w:r>
        <w:t xml:space="preserve">of delay</w:t>
      </w:r>
      <w:r>
        <w:t xml:space="preserve"> </w:t>
      </w:r>
      <w:r>
        <w:t xml:space="preserve">DAC 6</w:t>
      </w:r>
    </w:p>
    <w:p>
      <w:pPr>
        <w:pStyle w:val="BodyText"/>
      </w:pPr>
      <w:r>
        <w:t xml:space="preserve">Infractions by intermediary or relevant taxpayer</w:t>
      </w:r>
      <w:r>
        <w:t xml:space="preserve"> </w:t>
      </w:r>
      <w:r>
        <w:t xml:space="preserve">1.</w:t>
      </w:r>
      <w:r>
        <w:t xml:space="preserve"> </w:t>
      </w:r>
      <w:r>
        <w:t xml:space="preserve">No reporting</w:t>
      </w:r>
      <w:r>
        <w:t xml:space="preserve"> </w:t>
      </w:r>
      <w:r>
        <w:t xml:space="preserve">2.</w:t>
      </w:r>
      <w:r>
        <w:t xml:space="preserve"> </w:t>
      </w:r>
      <w:r>
        <w:t xml:space="preserve">Late reporting</w:t>
      </w:r>
      <w:r>
        <w:t xml:space="preserve"> </w:t>
      </w:r>
      <w:r>
        <w:t xml:space="preserve">3.</w:t>
      </w:r>
      <w:r>
        <w:t xml:space="preserve"> </w:t>
      </w:r>
      <w:r>
        <w:t xml:space="preserve">Wrong reporting</w:t>
      </w:r>
      <w:r>
        <w:t xml:space="preserve"> </w:t>
      </w:r>
      <w:r>
        <w:t xml:space="preserve">4.</w:t>
      </w:r>
      <w:r>
        <w:t xml:space="preserve"> </w:t>
      </w:r>
      <w:r>
        <w:t xml:space="preserve">No reply to request of additional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Sanctions are per</w:t>
      </w:r>
      <w:r>
        <w:t xml:space="preserve"> </w:t>
      </w:r>
      <w:r>
        <w:t xml:space="preserve">single infringement</w:t>
      </w:r>
      <w:r>
        <w:br/>
      </w:r>
      <w:r>
        <w:t xml:space="preserve">Infractions by</w:t>
      </w:r>
      <w:r>
        <w:t xml:space="preserve"> </w:t>
      </w:r>
      <w:r>
        <w:t xml:space="preserve">intermediary or</w:t>
      </w:r>
      <w:r>
        <w:t xml:space="preserve"> </w:t>
      </w:r>
      <w:r>
        <w:t xml:space="preserve">relevant taxpayer</w:t>
      </w:r>
      <w:r>
        <w:t xml:space="preserve"> </w:t>
      </w:r>
      <w:r>
        <w:t xml:space="preserve">1.</w:t>
      </w:r>
      <w:r>
        <w:t xml:space="preserve"> </w:t>
      </w:r>
      <w:r>
        <w:t xml:space="preserve">6 000€</w:t>
      </w:r>
      <w:r>
        <w:t xml:space="preserve"> </w:t>
      </w:r>
      <w:r>
        <w:t xml:space="preserve">2.</w:t>
      </w:r>
      <w:r>
        <w:t xml:space="preserve"> </w:t>
      </w:r>
      <w:r>
        <w:t xml:space="preserve">6 000€</w:t>
      </w:r>
      <w:r>
        <w:t xml:space="preserve"> </w:t>
      </w:r>
      <w:r>
        <w:t xml:space="preserve">3.</w:t>
      </w:r>
      <w:r>
        <w:t xml:space="preserve"> </w:t>
      </w:r>
      <w:r>
        <w:t xml:space="preserve">2 000€</w:t>
      </w:r>
      <w:r>
        <w:t xml:space="preserve"> </w:t>
      </w:r>
      <w:r>
        <w:t xml:space="preserve">4.</w:t>
      </w:r>
      <w:r>
        <w:t xml:space="preserve"> </w:t>
      </w:r>
      <w:r>
        <w:t xml:space="preserve">3 000€</w:t>
      </w:r>
    </w:p>
    <w:p>
      <w:pPr>
        <w:pStyle w:val="BodyText"/>
      </w:pPr>
      <w:r>
        <w:t xml:space="preserve">Infractions by</w:t>
      </w:r>
      <w:r>
        <w:t xml:space="preserve"> </w:t>
      </w:r>
      <w:r>
        <w:t xml:space="preserve">intermediary or relevant</w:t>
      </w:r>
      <w:r>
        <w:t xml:space="preserve"> </w:t>
      </w:r>
      <w:r>
        <w:t xml:space="preserve">taxpayer</w:t>
      </w:r>
      <w:r>
        <w:t xml:space="preserve"> </w:t>
      </w:r>
      <w:r>
        <w:t xml:space="preserve">1.</w:t>
      </w:r>
      <w:r>
        <w:t xml:space="preserve"> </w:t>
      </w:r>
      <w:r>
        <w:t xml:space="preserve">80 000€</w:t>
      </w:r>
      <w:r>
        <w:t xml:space="preserve"> </w:t>
      </w:r>
      <w:r>
        <w:t xml:space="preserve">2.</w:t>
      </w:r>
      <w:r>
        <w:t xml:space="preserve"> </w:t>
      </w:r>
      <w:r>
        <w:t xml:space="preserve">80 000€</w:t>
      </w:r>
      <w:r>
        <w:t xml:space="preserve"> </w:t>
      </w:r>
      <w:r>
        <w:t xml:space="preserve">3.</w:t>
      </w:r>
      <w:r>
        <w:t xml:space="preserve"> </w:t>
      </w:r>
      <w:r>
        <w:t xml:space="preserve">60 000€</w:t>
      </w:r>
    </w:p>
    <w:p>
      <w:pPr>
        <w:pStyle w:val="BodyText"/>
      </w:pPr>
      <w:r>
        <w:t xml:space="preserve">100</w:t>
      </w:r>
    </w:p>
    <w:p>
      <w:pPr>
        <w:numPr>
          <w:ilvl w:val="0"/>
          <w:numId w:val="1067"/>
        </w:numPr>
      </w:pPr>
      <w:r>
        <w:t xml:space="preserve">Late reply to request of additional</w:t>
      </w:r>
      <w:r>
        <w:t xml:space="preserve"> </w:t>
      </w:r>
      <w:r>
        <w:t xml:space="preserve">information</w:t>
      </w:r>
    </w:p>
    <w:p>
      <w:pPr>
        <w:numPr>
          <w:ilvl w:val="0"/>
          <w:numId w:val="1067"/>
        </w:numPr>
      </w:pPr>
      <w:r>
        <w:t xml:space="preserve">3 000€</w:t>
      </w:r>
    </w:p>
    <w:p>
      <w:pPr>
        <w:numPr>
          <w:ilvl w:val="0"/>
          <w:numId w:val="1067"/>
        </w:numPr>
      </w:pPr>
      <w:r>
        <w:t xml:space="preserve">80 000€</w:t>
      </w:r>
    </w:p>
    <w:p>
      <w:pPr>
        <w:numPr>
          <w:ilvl w:val="0"/>
          <w:numId w:val="1067"/>
        </w:numPr>
      </w:pPr>
      <w:r>
        <w:t xml:space="preserve">80 000€</w:t>
      </w:r>
    </w:p>
    <w:p>
      <w:pPr>
        <w:pStyle w:val="FirstParagraph"/>
      </w:pPr>
      <w:r>
        <w:t xml:space="preserve">RO</w:t>
      </w:r>
      <w:r>
        <w:t xml:space="preserve"> </w:t>
      </w:r>
      <w:r>
        <w:t xml:space="preserve">DAC 2</w:t>
      </w:r>
      <w:r>
        <w:br/>
      </w:r>
      <w:r>
        <w:t xml:space="preserve">The non-transmission, by the Financial</w:t>
      </w:r>
      <w:r>
        <w:t xml:space="preserve"> </w:t>
      </w:r>
      <w:r>
        <w:t xml:space="preserve">Institutions, at the deadline provided by law, of</w:t>
      </w:r>
      <w:r>
        <w:t xml:space="preserve"> </w:t>
      </w:r>
      <w:r>
        <w:t xml:space="preserve">the information related to the non-resident</w:t>
      </w:r>
      <w:r>
        <w:t xml:space="preserve"> </w:t>
      </w:r>
      <w:r>
        <w:t xml:space="preserve">taxpayers or the transmission of incorrect or</w:t>
      </w:r>
      <w:r>
        <w:t xml:space="preserve"> </w:t>
      </w:r>
      <w:r>
        <w:t xml:space="preserve">incomplete information</w:t>
      </w:r>
      <w:r>
        <w:t xml:space="preserve"> </w:t>
      </w:r>
      <w:r>
        <w:t xml:space="preserve">RON 500</w:t>
      </w:r>
      <w:r>
        <w:t xml:space="preserve"> </w:t>
      </w:r>
      <w:r>
        <w:t xml:space="preserve">for legal entities</w:t>
      </w:r>
      <w:r>
        <w:t xml:space="preserve"> </w:t>
      </w:r>
      <w:r>
        <w:t xml:space="preserve">classified in the</w:t>
      </w:r>
      <w:r>
        <w:t xml:space="preserve"> </w:t>
      </w:r>
      <w:r>
        <w:t xml:space="preserve">category of medium</w:t>
      </w:r>
      <w:r>
        <w:t xml:space="preserve"> </w:t>
      </w:r>
      <w:r>
        <w:t xml:space="preserve">and large taxpayers</w:t>
      </w:r>
      <w:r>
        <w:br/>
      </w:r>
      <w:r>
        <w:t xml:space="preserve">RON 1 000</w:t>
      </w:r>
      <w:r>
        <w:t xml:space="preserve"> </w:t>
      </w:r>
      <w:r>
        <w:t xml:space="preserve">RON 1 000</w:t>
      </w:r>
      <w:r>
        <w:t xml:space="preserve"> </w:t>
      </w:r>
      <w:r>
        <w:t xml:space="preserve">for legal entities classified</w:t>
      </w:r>
      <w:r>
        <w:t xml:space="preserve"> </w:t>
      </w:r>
      <w:r>
        <w:t xml:space="preserve">in the category of medium</w:t>
      </w:r>
      <w:r>
        <w:t xml:space="preserve"> </w:t>
      </w:r>
      <w:r>
        <w:t xml:space="preserve">and large taxpayers RON</w:t>
      </w:r>
      <w:r>
        <w:t xml:space="preserve"> </w:t>
      </w:r>
      <w:r>
        <w:t xml:space="preserve">5 000</w:t>
      </w:r>
      <w:r>
        <w:br/>
      </w:r>
      <w:r>
        <w:t xml:space="preserve">DAC 4</w:t>
      </w:r>
      <w:r>
        <w:br/>
      </w:r>
      <w:r>
        <w:t xml:space="preserve">1) The late submission by the reporting entities</w:t>
      </w:r>
      <w:r>
        <w:t xml:space="preserve"> </w:t>
      </w:r>
      <w:r>
        <w:t xml:space="preserve">of the report for each country or the</w:t>
      </w:r>
      <w:r>
        <w:t xml:space="preserve"> </w:t>
      </w:r>
      <w:r>
        <w:t xml:space="preserve">transmission of incorrect or incomplete</w:t>
      </w:r>
      <w:r>
        <w:t xml:space="preserve"> </w:t>
      </w:r>
      <w:r>
        <w:t xml:space="preserve">information</w:t>
      </w:r>
      <w:r>
        <w:t xml:space="preserve"> </w:t>
      </w:r>
      <w:r>
        <w:t xml:space="preserve">2) The failure of the reporting entities to submit</w:t>
      </w:r>
      <w:r>
        <w:t xml:space="preserve"> </w:t>
      </w:r>
      <w:r>
        <w:t xml:space="preserve">the report for each country</w:t>
      </w:r>
      <w:r>
        <w:t xml:space="preserve"> </w:t>
      </w:r>
      <w:r>
        <w:t xml:space="preserve">1) RON 30 000</w:t>
      </w:r>
      <w:r>
        <w:br/>
      </w:r>
      <w:r>
        <w:t xml:space="preserve">2) RON 70 000</w:t>
      </w:r>
    </w:p>
    <w:p>
      <w:pPr>
        <w:numPr>
          <w:ilvl w:val="0"/>
          <w:numId w:val="1068"/>
        </w:numPr>
      </w:pPr>
      <w:r>
        <w:t xml:space="preserve">RON 50 000</w:t>
      </w:r>
      <w:r>
        <w:br/>
      </w:r>
    </w:p>
    <w:p>
      <w:pPr>
        <w:numPr>
          <w:ilvl w:val="0"/>
          <w:numId w:val="1068"/>
        </w:numPr>
      </w:pPr>
      <w:r>
        <w:t xml:space="preserve">RON 100 000</w:t>
      </w:r>
      <w:r>
        <w:t xml:space="preserve"> </w:t>
      </w:r>
      <w:r>
        <w:t xml:space="preserve">DAC 6</w:t>
      </w:r>
      <w:r>
        <w:br/>
      </w:r>
    </w:p>
    <w:p>
      <w:pPr>
        <w:numPr>
          <w:ilvl w:val="0"/>
          <w:numId w:val="1068"/>
        </w:numPr>
      </w:pPr>
      <w:r>
        <w:t xml:space="preserve">Non-reporting or late reporting by the</w:t>
      </w:r>
      <w:r>
        <w:t xml:space="preserve"> </w:t>
      </w:r>
      <w:r>
        <w:t xml:space="preserve">relevant intermediaries or taxpayers, as the</w:t>
      </w:r>
      <w:r>
        <w:t xml:space="preserve"> </w:t>
      </w:r>
      <w:r>
        <w:t xml:space="preserve">case may be, of the cross-border arrangements</w:t>
      </w:r>
      <w:r>
        <w:t xml:space="preserve"> </w:t>
      </w:r>
      <w:r>
        <w:t xml:space="preserve">subject to reporting</w:t>
      </w:r>
    </w:p>
    <w:p>
      <w:pPr>
        <w:numPr>
          <w:ilvl w:val="0"/>
          <w:numId w:val="1068"/>
        </w:numPr>
      </w:pPr>
      <w:r>
        <w:t xml:space="preserve">Failure of the intermediary to comply with</w:t>
      </w:r>
      <w:r>
        <w:t xml:space="preserve"> </w:t>
      </w:r>
      <w:r>
        <w:t xml:space="preserve">the obligation to notify another intermediary or</w:t>
      </w:r>
      <w:r>
        <w:t xml:space="preserve"> </w:t>
      </w:r>
      <w:r>
        <w:t xml:space="preserve">the relevant taxpayer</w:t>
      </w:r>
    </w:p>
    <w:p>
      <w:pPr>
        <w:numPr>
          <w:ilvl w:val="0"/>
          <w:numId w:val="1068"/>
        </w:numPr>
      </w:pPr>
      <w:r>
        <w:t xml:space="preserve">RON 20 000</w:t>
      </w:r>
      <w:r>
        <w:br/>
      </w:r>
    </w:p>
    <w:p>
      <w:pPr>
        <w:numPr>
          <w:ilvl w:val="0"/>
          <w:numId w:val="1068"/>
        </w:numPr>
      </w:pPr>
      <w:r>
        <w:t xml:space="preserve">RON 5 000</w:t>
      </w:r>
    </w:p>
    <w:p>
      <w:pPr>
        <w:numPr>
          <w:ilvl w:val="0"/>
          <w:numId w:val="1068"/>
        </w:numPr>
      </w:pPr>
      <w:r>
        <w:t xml:space="preserve">RON 100 000</w:t>
      </w:r>
    </w:p>
    <w:p>
      <w:pPr>
        <w:numPr>
          <w:ilvl w:val="0"/>
          <w:numId w:val="1068"/>
        </w:numPr>
      </w:pPr>
      <w:r>
        <w:t xml:space="preserve">RON 30 000</w:t>
      </w:r>
      <w:r>
        <w:t xml:space="preserve"> </w:t>
      </w:r>
      <w:r>
        <w:t xml:space="preserve">SE</w:t>
      </w:r>
      <w:r>
        <w:br/>
      </w:r>
      <w:r>
        <w:t xml:space="preserve">DAC 2</w:t>
      </w:r>
      <w:r>
        <w:br/>
      </w:r>
      <w:r>
        <w:t xml:space="preserve">Documentation fee/penalty</w:t>
      </w:r>
      <w:r>
        <w:t xml:space="preserve"> </w:t>
      </w:r>
      <w:r>
        <w:t xml:space="preserve">Material scope: failure to collect and keep documents,</w:t>
      </w:r>
      <w:r>
        <w:t xml:space="preserve"> </w:t>
      </w:r>
      <w:r>
        <w:t xml:space="preserve">data and other documentation relating to a financial</w:t>
      </w:r>
      <w:r>
        <w:t xml:space="preserve"> </w:t>
      </w:r>
      <w:r>
        <w:t xml:space="preserve">account (in the manner specified in the law 2015:911</w:t>
      </w:r>
      <w:r>
        <w:t xml:space="preserve"> </w:t>
      </w:r>
      <w:r>
        <w:t xml:space="preserve">on the identification of reportable accounts in the</w:t>
      </w:r>
      <w:r>
        <w:t xml:space="preserve"> </w:t>
      </w:r>
      <w:r>
        <w:t xml:space="preserve">event of automatic exchange of financial account</w:t>
      </w:r>
      <w:r>
        <w:t xml:space="preserve"> </w:t>
      </w:r>
      <w:r>
        <w:t xml:space="preserve">information)</w:t>
      </w:r>
      <w:r>
        <w:t xml:space="preserve"> </w:t>
      </w:r>
      <w:r>
        <w:t xml:space="preserve">Personal scope: Financial institutions (liable to report</w:t>
      </w:r>
      <w:r>
        <w:t xml:space="preserve"> </w:t>
      </w:r>
      <w:r>
        <w:t xml:space="preserve">under DAC2)</w:t>
      </w:r>
      <w:r>
        <w:t xml:space="preserve"> </w:t>
      </w:r>
      <w:r>
        <w:t xml:space="preserve">The legislation explicitly indicates that the fee/penalty</w:t>
      </w:r>
      <w:r>
        <w:t xml:space="preserve"> </w:t>
      </w:r>
      <w:r>
        <w:t xml:space="preserve">applies per each account in respect of which a breach</w:t>
      </w:r>
      <w:r>
        <w:t xml:space="preserve"> </w:t>
      </w:r>
      <w:r>
        <w:t xml:space="preserve">is committed.</w:t>
      </w:r>
      <w:r>
        <w:br/>
      </w:r>
      <w:r>
        <w:t xml:space="preserve">Penal code sanctions</w:t>
      </w:r>
      <w:r>
        <w:t xml:space="preserve"> </w:t>
      </w:r>
      <w:r>
        <w:t xml:space="preserve">Material scope: false / inaccurate reporting.</w:t>
      </w:r>
      <w:r>
        <w:br/>
      </w:r>
      <w:r>
        <w:t xml:space="preserve">NB! Under ordinance (2015:921) a certification for</w:t>
      </w:r>
      <w:r>
        <w:t xml:space="preserve"> </w:t>
      </w:r>
      <w:r>
        <w:t xml:space="preserve">identification of reportable accounts shall be made on</w:t>
      </w:r>
      <w:r>
        <w:t xml:space="preserve"> </w:t>
      </w:r>
      <w:r>
        <w:t xml:space="preserve">honour. Provision of false information (on honour and</w:t>
      </w:r>
      <w:r>
        <w:t xml:space="preserve"> </w:t>
      </w:r>
      <w:r>
        <w:t xml:space="preserve">when it undermines evidence) is sanctioned in the</w:t>
      </w:r>
      <w:r>
        <w:t xml:space="preserve"> </w:t>
      </w:r>
      <w:r>
        <w:t xml:space="preserve">penal code 1962:700 by a fine or imprisonment</w:t>
      </w:r>
      <w:r>
        <w:t xml:space="preserve"> </w:t>
      </w:r>
      <w:r>
        <w:t xml:space="preserve">(unlikely to be applied in this context save in very</w:t>
      </w:r>
      <w:r>
        <w:t xml:space="preserve"> </w:t>
      </w:r>
      <w:r>
        <w:t xml:space="preserve">exceptional situations).</w:t>
      </w:r>
      <w:r>
        <w:t xml:space="preserve"> </w:t>
      </w:r>
      <w:r>
        <w:t xml:space="preserve">Personal scope: Financial institutions (liable to report</w:t>
      </w:r>
      <w:r>
        <w:t xml:space="preserve"> </w:t>
      </w:r>
      <w:r>
        <w:t xml:space="preserve">under DAC2) and their representatives in charge</w:t>
      </w:r>
      <w:r>
        <w:t xml:space="preserve"> </w:t>
      </w:r>
      <w:r>
        <w:t xml:space="preserve">(individuals).</w:t>
      </w:r>
      <w:r>
        <w:t xml:space="preserve"> </w:t>
      </w:r>
      <w:r>
        <w:t xml:space="preserve">Legislation does not explicitly indicate if these</w:t>
      </w:r>
      <w:r>
        <w:t xml:space="preserve"> </w:t>
      </w:r>
      <w:r>
        <w:t xml:space="preserve">penalties apply per individual /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SEK 7.500 (EUR 731)</w:t>
      </w:r>
    </w:p>
    <w:p>
      <w:pPr>
        <w:pStyle w:val="FirstParagraph"/>
      </w:pPr>
      <w:r>
        <w:t xml:space="preserve">SEK 5.000 (EUR 487)</w:t>
      </w:r>
      <w:r>
        <w:t xml:space="preserve"> </w:t>
      </w:r>
      <w:r>
        <w:t xml:space="preserve">legal persons</w:t>
      </w:r>
      <w:r>
        <w:t xml:space="preserve"> </w:t>
      </w:r>
      <w:r>
        <w:t xml:space="preserve">Fines for individuals</w:t>
      </w:r>
      <w:r>
        <w:t xml:space="preserve"> </w:t>
      </w:r>
      <w:r>
        <w:t xml:space="preserve">depend on income</w:t>
      </w:r>
      <w:r>
        <w:t xml:space="preserve"> </w:t>
      </w:r>
      <w:r>
        <w:t xml:space="preserve">level (unspecified).</w:t>
      </w:r>
    </w:p>
    <w:p>
      <w:pPr>
        <w:pStyle w:val="BodyText"/>
      </w:pPr>
      <w:r>
        <w:t xml:space="preserve">SEK 7.500 (EUR 731)</w:t>
      </w:r>
    </w:p>
    <w:p>
      <w:pPr>
        <w:pStyle w:val="BodyText"/>
      </w:pPr>
      <w:r>
        <w:t xml:space="preserve">SEK 10.000.000 (EUR</w:t>
      </w:r>
      <w:r>
        <w:t xml:space="preserve"> </w:t>
      </w:r>
      <w:r>
        <w:t xml:space="preserve">975.000) legal persons</w:t>
      </w:r>
      <w:r>
        <w:t xml:space="preserve"> </w:t>
      </w:r>
      <w:r>
        <w:t xml:space="preserve">Fines for individuals depend</w:t>
      </w:r>
      <w:r>
        <w:t xml:space="preserve"> </w:t>
      </w:r>
      <w:r>
        <w:t xml:space="preserve">on income level (unspecified).</w:t>
      </w:r>
      <w:r>
        <w:t xml:space="preserve"> </w:t>
      </w:r>
      <w:r>
        <w:t xml:space="preserve">Individuals also risk (in</w:t>
      </w:r>
      <w:r>
        <w:t xml:space="preserve"> </w:t>
      </w:r>
      <w:r>
        <w:t xml:space="preserve">theory) imprisonment up to 2</w:t>
      </w:r>
      <w:r>
        <w:t xml:space="preserve"> </w:t>
      </w:r>
      <w:r>
        <w:t xml:space="preserve">years.</w:t>
      </w:r>
      <w:r>
        <w:t xml:space="preserve"> </w:t>
      </w:r>
      <w:r>
        <w:t xml:space="preserve">DAC 4</w:t>
      </w:r>
      <w:r>
        <w:br/>
      </w:r>
      <w:r>
        <w:t xml:space="preserve">Injunction with fixed/periodic penalty</w:t>
      </w:r>
      <w:r>
        <w:t xml:space="preserve"> </w:t>
      </w:r>
      <w:r>
        <w:t xml:space="preserve">Material scope: Failure to report. Injunctions and,</w:t>
      </w:r>
      <w:r>
        <w:t xml:space="preserve"> </w:t>
      </w:r>
      <w:r>
        <w:t xml:space="preserve">fixed or periodic penalties attached to them, shall</w:t>
      </w:r>
      <w:r>
        <w:t xml:space="preserve"> </w:t>
      </w:r>
      <w:r>
        <w:t xml:space="preserve">apply if a country-by-country report is not submitted.</w:t>
      </w:r>
      <w:r>
        <w:t xml:space="preserve"> </w:t>
      </w:r>
      <w:r>
        <w:t xml:space="preserve">Personal scope: Reporting entities (as defined in</w:t>
      </w:r>
      <w:r>
        <w:t xml:space="preserve"> </w:t>
      </w:r>
      <w:r>
        <w:t xml:space="preserve">Directive 2011/16/EU as amended by DAC4 [Directive</w:t>
      </w:r>
      <w:r>
        <w:t xml:space="preserve"> </w:t>
      </w:r>
      <w:r>
        <w:t xml:space="preserve">(EU) 2016/881]).</w:t>
      </w:r>
      <w:r>
        <w:t xml:space="preserve"> </w:t>
      </w:r>
      <w:r>
        <w:t xml:space="preserve">The legislation does not explicitly indicate if the fixed</w:t>
      </w:r>
      <w:r>
        <w:t xml:space="preserve"> </w:t>
      </w:r>
      <w:r>
        <w:t xml:space="preserve">penalty applies per individual / cumulative</w:t>
      </w:r>
      <w:r>
        <w:t xml:space="preserve"> </w:t>
      </w:r>
      <w:r>
        <w:t xml:space="preserve">infringements. However, there is no reason to expect</w:t>
      </w:r>
      <w:r>
        <w:t xml:space="preserve"> </w:t>
      </w:r>
      <w:r>
        <w:t xml:space="preserve">that it could not be enforced breach-by-breach.</w:t>
      </w:r>
      <w:r>
        <w:t xml:space="preserve"> </w:t>
      </w:r>
      <w:r>
        <w:t xml:space="preserve">Moreover, repeat offenses can be taken into account</w:t>
      </w:r>
      <w:r>
        <w:t xml:space="preserve"> </w:t>
      </w:r>
      <w:r>
        <w:t xml:space="preserve">Unspecified. The</w:t>
      </w:r>
      <w:r>
        <w:t xml:space="preserve"> </w:t>
      </w:r>
      <w:r>
        <w:t xml:space="preserve">fixed/periodic penalty</w:t>
      </w:r>
      <w:r>
        <w:t xml:space="preserve"> </w:t>
      </w:r>
      <w:r>
        <w:t xml:space="preserve">shall be set at an</w:t>
      </w:r>
      <w:r>
        <w:t xml:space="preserve"> </w:t>
      </w:r>
      <w:r>
        <w:t xml:space="preserve">amount which, in view</w:t>
      </w:r>
      <w:r>
        <w:t xml:space="preserve"> </w:t>
      </w:r>
      <w:r>
        <w:t xml:space="preserve">of addressee’s</w:t>
      </w:r>
      <w:r>
        <w:t xml:space="preserve"> </w:t>
      </w:r>
      <w:r>
        <w:t xml:space="preserve">economic situation and</w:t>
      </w:r>
      <w:r>
        <w:t xml:space="preserve"> </w:t>
      </w:r>
      <w:r>
        <w:t xml:space="preserve">other circumstances, is</w:t>
      </w:r>
      <w:r>
        <w:t xml:space="preserve"> </w:t>
      </w:r>
      <w:r>
        <w:t xml:space="preserve">likely to induce</w:t>
      </w:r>
      <w:r>
        <w:t xml:space="preserve"> </w:t>
      </w:r>
      <w:r>
        <w:t xml:space="preserve">compliance with the</w:t>
      </w:r>
      <w:r>
        <w:t xml:space="preserve"> </w:t>
      </w:r>
      <w:r>
        <w:t xml:space="preserve">injunction.</w:t>
      </w:r>
    </w:p>
    <w:p>
      <w:pPr>
        <w:pStyle w:val="BodyText"/>
      </w:pPr>
      <w:r>
        <w:t xml:space="preserve">Unspecified. The</w:t>
      </w:r>
      <w:r>
        <w:t xml:space="preserve"> </w:t>
      </w:r>
      <w:r>
        <w:t xml:space="preserve">fixed/periodic penalty shall</w:t>
      </w:r>
      <w:r>
        <w:t xml:space="preserve"> </w:t>
      </w:r>
      <w:r>
        <w:t xml:space="preserve">be set at an amount which, in</w:t>
      </w:r>
      <w:r>
        <w:t xml:space="preserve"> </w:t>
      </w:r>
      <w:r>
        <w:t xml:space="preserve">view of addressee’s economic</w:t>
      </w:r>
      <w:r>
        <w:t xml:space="preserve"> </w:t>
      </w:r>
      <w:r>
        <w:t xml:space="preserve">situation and other</w:t>
      </w:r>
      <w:r>
        <w:t xml:space="preserve"> </w:t>
      </w:r>
      <w:r>
        <w:t xml:space="preserve">circumstances, is likely to</w:t>
      </w:r>
      <w:r>
        <w:t xml:space="preserve"> </w:t>
      </w:r>
      <w:r>
        <w:t xml:space="preserve">induce compliance with the</w:t>
      </w:r>
      <w:r>
        <w:t xml:space="preserve"> </w:t>
      </w:r>
      <w:r>
        <w:t xml:space="preserve">injunction.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in determining the amount of the penalty or to</w:t>
      </w:r>
      <w:r>
        <w:t xml:space="preserve"> </w:t>
      </w:r>
      <w:r>
        <w:t xml:space="preserve">impose a periodic penalty attached to the injunction.</w:t>
      </w:r>
      <w:r>
        <w:t xml:space="preserve"> </w:t>
      </w:r>
      <w:r>
        <w:t xml:space="preserve">Tax increase (in addition to the above penalty):</w:t>
      </w:r>
      <w:r>
        <w:t xml:space="preserve"> </w:t>
      </w:r>
      <w:r>
        <w:t xml:space="preserve">Material scope: materially incomplete or incorrect</w:t>
      </w:r>
      <w:r>
        <w:t xml:space="preserve"> </w:t>
      </w:r>
      <w:r>
        <w:t xml:space="preserve">country-by-country report.</w:t>
      </w:r>
      <w:r>
        <w:t xml:space="preserve"> </w:t>
      </w:r>
      <w:r>
        <w:t xml:space="preserve">Personal scope: Reporting entities (as defined in</w:t>
      </w:r>
      <w:r>
        <w:t xml:space="preserve"> </w:t>
      </w:r>
      <w:r>
        <w:t xml:space="preserve">Directive 2011/16/EU as amended by DAC4 [Directive</w:t>
      </w:r>
      <w:r>
        <w:t xml:space="preserve"> </w:t>
      </w:r>
      <w:r>
        <w:t xml:space="preserve">(EU) 2016/881])</w:t>
      </w:r>
    </w:p>
    <w:p>
      <w:pPr>
        <w:pStyle w:val="BodyText"/>
      </w:pPr>
      <w:r>
        <w:t xml:space="preserve">Unspecified. Tax</w:t>
      </w:r>
      <w:r>
        <w:t xml:space="preserve"> </w:t>
      </w:r>
      <w:r>
        <w:t xml:space="preserve">administration may</w:t>
      </w:r>
      <w:r>
        <w:t xml:space="preserve"> </w:t>
      </w:r>
      <w:r>
        <w:t xml:space="preserve">reduce the amount of</w:t>
      </w:r>
      <w:r>
        <w:t xml:space="preserve"> </w:t>
      </w:r>
      <w:r>
        <w:t xml:space="preserve">tax increase (i.e. fully</w:t>
      </w:r>
      <w:r>
        <w:t xml:space="preserve"> </w:t>
      </w:r>
      <w:r>
        <w:t xml:space="preserve">or partially exempt</w:t>
      </w:r>
      <w:r>
        <w:t xml:space="preserve"> </w:t>
      </w:r>
      <w:r>
        <w:t xml:space="preserve">from the 40% main</w:t>
      </w:r>
      <w:r>
        <w:t xml:space="preserve"> </w:t>
      </w:r>
      <w:r>
        <w:t xml:space="preserve">rule) in case it would</w:t>
      </w:r>
      <w:r>
        <w:t xml:space="preserve"> </w:t>
      </w:r>
      <w:r>
        <w:t xml:space="preserve">be unreasonable to</w:t>
      </w:r>
      <w:r>
        <w:t xml:space="preserve"> </w:t>
      </w:r>
      <w:r>
        <w:t xml:space="preserve">impose it in full.</w:t>
      </w:r>
    </w:p>
    <w:p>
      <w:pPr>
        <w:pStyle w:val="BodyText"/>
      </w:pPr>
      <w:r>
        <w:t xml:space="preserve">40% of the amount of tax that</w:t>
      </w:r>
      <w:r>
        <w:t xml:space="preserve"> </w:t>
      </w:r>
      <w:r>
        <w:t xml:space="preserve">would have been left non-</w:t>
      </w:r>
      <w:r>
        <w:t xml:space="preserve"> </w:t>
      </w:r>
      <w:r>
        <w:t xml:space="preserve">imposed in case assessment</w:t>
      </w:r>
      <w:r>
        <w:t xml:space="preserve"> </w:t>
      </w:r>
      <w:r>
        <w:t xml:space="preserve">had been based on the</w:t>
      </w:r>
      <w:r>
        <w:t xml:space="preserve"> </w:t>
      </w:r>
      <w:r>
        <w:t xml:space="preserve">inaccurate information.</w:t>
      </w:r>
      <w:r>
        <w:t xml:space="preserve"> </w:t>
      </w:r>
      <w:r>
        <w:t xml:space="preserve">DAC 6</w:t>
      </w:r>
      <w:r>
        <w:br/>
      </w:r>
      <w:r>
        <w:t xml:space="preserve">Penalty fee 1</w:t>
      </w:r>
      <w:r>
        <w:t xml:space="preserve"> </w:t>
      </w:r>
      <w:r>
        <w:t xml:space="preserve">Material scope: Failure to report, incomplete or</w:t>
      </w:r>
      <w:r>
        <w:t xml:space="preserve"> </w:t>
      </w:r>
      <w:r>
        <w:t xml:space="preserve">incorrect reporting.</w:t>
      </w:r>
      <w:r>
        <w:t xml:space="preserve"> </w:t>
      </w:r>
      <w:r>
        <w:t xml:space="preserve">Personal scope: Intermediaries (advisers); relevant</w:t>
      </w:r>
      <w:r>
        <w:t xml:space="preserve"> </w:t>
      </w:r>
      <w:r>
        <w:t xml:space="preserve">taxpayers (users of the reportable arrangements)</w:t>
      </w:r>
      <w:r>
        <w:t xml:space="preserve"> </w:t>
      </w:r>
      <w:r>
        <w:t xml:space="preserve">The legislation explicitly provides that the penalty fee</w:t>
      </w:r>
      <w:r>
        <w:t xml:space="preserve"> </w:t>
      </w:r>
      <w:r>
        <w:t xml:space="preserve">(1) applies per each individual reportable</w:t>
      </w:r>
      <w:r>
        <w:t xml:space="preserve"> </w:t>
      </w:r>
      <w:r>
        <w:t xml:space="preserve">arrangement and each quarterly report required.</w:t>
      </w:r>
      <w:r>
        <w:t xml:space="preserve"> </w:t>
      </w:r>
      <w:r>
        <w:t xml:space="preserve">Penalty fee 2</w:t>
      </w:r>
      <w:r>
        <w:t xml:space="preserve"> </w:t>
      </w:r>
      <w:r>
        <w:t xml:space="preserve">Material scope: Late (over 60 days) reporting.</w:t>
      </w:r>
      <w:r>
        <w:t xml:space="preserve"> </w:t>
      </w:r>
      <w:r>
        <w:t xml:space="preserve">Personal scope: Intermediaries (advisers); relevant</w:t>
      </w:r>
      <w:r>
        <w:t xml:space="preserve"> </w:t>
      </w:r>
      <w:r>
        <w:t xml:space="preserve">taxpayers (users of the reportable arrangements)</w:t>
      </w:r>
      <w:r>
        <w:t xml:space="preserve"> </w:t>
      </w:r>
      <w:r>
        <w:t xml:space="preserve">The legislation does not explicitly indicate if the</w:t>
      </w:r>
      <w:r>
        <w:t xml:space="preserve"> </w:t>
      </w:r>
      <w:r>
        <w:t xml:space="preserve">penalty fee (2) applies per individual / cumulative</w:t>
      </w:r>
      <w:r>
        <w:t xml:space="preserve"> </w:t>
      </w:r>
      <w:r>
        <w:t xml:space="preserve">infringements. However, there is no reason to expect</w:t>
      </w:r>
      <w:r>
        <w:t xml:space="preserve"> </w:t>
      </w:r>
      <w:r>
        <w:t xml:space="preserve">that it could not be enforced breach-by-breach.</w:t>
      </w:r>
      <w:r>
        <w:t xml:space="preserve"> </w:t>
      </w:r>
      <w:r>
        <w:t xml:space="preserve">NB! The penalty (2) is fixed at SEK 20.000 (advisers)</w:t>
      </w:r>
      <w:r>
        <w:t xml:space="preserve"> </w:t>
      </w:r>
      <w:r>
        <w:t xml:space="preserve">and SEK 10.000 (users) but if the infringement is</w:t>
      </w:r>
      <w:r>
        <w:t xml:space="preserve"> </w:t>
      </w:r>
      <w:r>
        <w:t xml:space="preserve">committed in the course of the economic activity of</w:t>
      </w:r>
      <w:r>
        <w:t xml:space="preserve"> </w:t>
      </w:r>
      <w:r>
        <w:t xml:space="preserve">the adviser/user liable to report, the amount of the</w:t>
      </w:r>
      <w:r>
        <w:t xml:space="preserve"> </w:t>
      </w:r>
      <w:r>
        <w:t xml:space="preserve">penalty depends on the turnover in the previous</w:t>
      </w:r>
      <w:r>
        <w:t xml:space="preserve"> </w:t>
      </w:r>
      <w:r>
        <w:t xml:space="preserve">financial year:</w:t>
      </w:r>
      <w:r>
        <w:t xml:space="preserve"> </w:t>
      </w:r>
      <w:r>
        <w:t xml:space="preserve">Turnover at least SEK 15.000.000 (EUR 1.462.415) but</w:t>
      </w:r>
      <w:r>
        <w:t xml:space="preserve"> </w:t>
      </w:r>
      <w:r>
        <w:t xml:space="preserve">under SEK 75.000.000 (EUR 7.312.079):</w:t>
      </w:r>
      <w:r>
        <w:t xml:space="preserve"> </w:t>
      </w:r>
      <w:r>
        <w:t xml:space="preserve">SEK 30.000 (EUR 2.925) advisers</w:t>
      </w:r>
      <w:r>
        <w:t xml:space="preserve"> </w:t>
      </w:r>
      <w:r>
        <w:t xml:space="preserve">SEK 15.000 (EUR 1.462) users</w:t>
      </w:r>
      <w:r>
        <w:t xml:space="preserve"> </w:t>
      </w:r>
      <w:r>
        <w:t xml:space="preserve">Turnover at least SEK 75.000.000 (EUR 7.312.079) but</w:t>
      </w:r>
      <w:r>
        <w:t xml:space="preserve"> </w:t>
      </w:r>
      <w:r>
        <w:t xml:space="preserve">under SEK 500.000.000 (EUR 48.747.197):</w:t>
      </w:r>
      <w:r>
        <w:t xml:space="preserve"> </w:t>
      </w:r>
      <w:r>
        <w:t xml:space="preserve">SEK 60.000 (EUR 5.850) advisers</w:t>
      </w:r>
      <w:r>
        <w:t xml:space="preserve"> </w:t>
      </w:r>
      <w:r>
        <w:t xml:space="preserve">SEK 30.000 (EUR 2.925) users</w:t>
      </w:r>
      <w:r>
        <w:t xml:space="preserve"> </w:t>
      </w:r>
      <w:r>
        <w:t xml:space="preserve">Turnover at least SEK 500.000.000 (EUR 48.747.197):</w:t>
      </w:r>
      <w:r>
        <w:t xml:space="preserve"> </w:t>
      </w:r>
      <w:r>
        <w:t xml:space="preserve">SEK 150.000 (EUR 14.624) advisers</w:t>
      </w:r>
      <w:r>
        <w:t xml:space="preserve"> </w:t>
      </w:r>
      <w:r>
        <w:t xml:space="preserve">SEK 75.000 (EUR 7.312) users</w:t>
      </w:r>
      <w:r>
        <w:t xml:space="preserve"> </w:t>
      </w:r>
      <w:r>
        <w:t xml:space="preserve">Should the length of the previous financial year differ</w:t>
      </w:r>
      <w:r>
        <w:t xml:space="preserve"> </w:t>
      </w:r>
      <w:r>
        <w:t xml:space="preserve">from 12 months the amounts of the penalties are</w:t>
      </w:r>
      <w:r>
        <w:t xml:space="preserve"> </w:t>
      </w:r>
      <w:r>
        <w:t xml:space="preserve">adjusted pro-rata accordingly.</w:t>
      </w:r>
      <w:r>
        <w:t xml:space="preserve"> </w:t>
      </w:r>
      <w:r>
        <w:t xml:space="preserve">Legislation does not explicitly indicate if these</w:t>
      </w:r>
      <w:r>
        <w:t xml:space="preserve"> </w:t>
      </w:r>
      <w:r>
        <w:t xml:space="preserve">penalties apply per individual / cumulative</w:t>
      </w:r>
      <w:r>
        <w:t xml:space="preserve"> </w:t>
      </w:r>
      <w:r>
        <w:t xml:space="preserve">infringements.</w:t>
      </w:r>
      <w:r>
        <w:t xml:space="preserve"> </w:t>
      </w:r>
      <w:r>
        <w:t xml:space="preserve">Tax increase (in addition to the above penalties):</w:t>
      </w:r>
      <w:r>
        <w:t xml:space="preserve"> </w:t>
      </w:r>
      <w:r>
        <w:t xml:space="preserve">Material scope: materially incomplete or incorrect</w:t>
      </w:r>
      <w:r>
        <w:t xml:space="preserve"> </w:t>
      </w:r>
      <w:r>
        <w:t xml:space="preserve">reporting/submission of required information</w:t>
      </w:r>
      <w:r>
        <w:br/>
      </w:r>
      <w:r>
        <w:t xml:space="preserve">Personal scope: Relevant taxpayers (users of the</w:t>
      </w:r>
      <w:r>
        <w:t xml:space="preserve"> </w:t>
      </w:r>
      <w:r>
        <w:t xml:space="preserve">reportable arrangements)</w:t>
      </w:r>
      <w:r>
        <w:t xml:space="preserve"> </w:t>
      </w:r>
      <w:r>
        <w:t xml:space="preserve">SEK 15.000 (EUR 1.462)</w:t>
      </w:r>
      <w:r>
        <w:t xml:space="preserve"> </w:t>
      </w:r>
      <w:r>
        <w:t xml:space="preserve">for advisers and SEK</w:t>
      </w:r>
      <w:r>
        <w:t xml:space="preserve"> </w:t>
      </w:r>
      <w:r>
        <w:t xml:space="preserve">7.500 (EUR 731) for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SEK 20.000 (EUR 1.950)</w:t>
      </w:r>
      <w:r>
        <w:t xml:space="preserve"> </w:t>
      </w:r>
      <w:r>
        <w:t xml:space="preserve">advisers</w:t>
      </w:r>
      <w:r>
        <w:t xml:space="preserve"> </w:t>
      </w:r>
      <w:r>
        <w:t xml:space="preserve">SEK 10.000 (EUR 975)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Turnover at least SEK</w:t>
      </w:r>
      <w:r>
        <w:t xml:space="preserve"> </w:t>
      </w:r>
      <w:r>
        <w:t xml:space="preserve">15.000.000 (EUR</w:t>
      </w:r>
      <w:r>
        <w:t xml:space="preserve"> </w:t>
      </w:r>
      <w:r>
        <w:t xml:space="preserve">1.462.415):</w:t>
      </w:r>
      <w:r>
        <w:t xml:space="preserve"> </w:t>
      </w:r>
      <w:r>
        <w:t xml:space="preserve">SEK 30.000 (EUR</w:t>
      </w:r>
      <w:r>
        <w:t xml:space="preserve"> </w:t>
      </w:r>
      <w:r>
        <w:t xml:space="preserve">2.925) advisers</w:t>
      </w:r>
      <w:r>
        <w:t xml:space="preserve"> </w:t>
      </w:r>
      <w:r>
        <w:t xml:space="preserve">SEK 15.000 (EUR</w:t>
      </w:r>
      <w:r>
        <w:t xml:space="preserve"> </w:t>
      </w:r>
      <w:r>
        <w:t xml:space="preserve">1.462) users</w:t>
      </w:r>
    </w:p>
    <w:p>
      <w:pPr>
        <w:pStyle w:val="BodyText"/>
      </w:pPr>
      <w:r>
        <w:t xml:space="preserve">Unspecified. Tax</w:t>
      </w:r>
      <w:r>
        <w:t xml:space="preserve"> </w:t>
      </w:r>
      <w:r>
        <w:t xml:space="preserve">administration may</w:t>
      </w:r>
      <w:r>
        <w:t xml:space="preserve"> </w:t>
      </w:r>
      <w:r>
        <w:t xml:space="preserve">reduce the amount of</w:t>
      </w:r>
      <w:r>
        <w:t xml:space="preserve"> </w:t>
      </w:r>
      <w:r>
        <w:t xml:space="preserve">tax increase (i.e. fully</w:t>
      </w:r>
      <w:r>
        <w:t xml:space="preserve"> </w:t>
      </w:r>
      <w:r>
        <w:t xml:space="preserve">or partially exempt</w:t>
      </w:r>
      <w:r>
        <w:t xml:space="preserve"> </w:t>
      </w:r>
      <w:r>
        <w:t xml:space="preserve">from the 40% main</w:t>
      </w:r>
      <w:r>
        <w:t xml:space="preserve"> </w:t>
      </w:r>
      <w:r>
        <w:t xml:space="preserve">rule) in case it would</w:t>
      </w:r>
      <w:r>
        <w:t xml:space="preserve"> </w:t>
      </w:r>
      <w:r>
        <w:t xml:space="preserve">be unreasonable to</w:t>
      </w:r>
      <w:r>
        <w:t xml:space="preserve"> </w:t>
      </w:r>
      <w:r>
        <w:t xml:space="preserve">impose it in full.</w:t>
      </w:r>
      <w:r>
        <w:t xml:space="preserve"> </w:t>
      </w:r>
      <w:r>
        <w:t xml:space="preserve">SEK 15.000 (EUR 1.462) for</w:t>
      </w:r>
      <w:r>
        <w:t xml:space="preserve"> </w:t>
      </w:r>
      <w:r>
        <w:t xml:space="preserve">advisers and SEK 7.500 (EUR</w:t>
      </w:r>
      <w:r>
        <w:t xml:space="preserve"> </w:t>
      </w:r>
      <w:r>
        <w:t xml:space="preserve">731) for users</w:t>
      </w:r>
    </w:p>
    <w:p>
      <w:pPr>
        <w:pStyle w:val="BodyText"/>
      </w:pPr>
      <w:r>
        <w:t xml:space="preserve">SEK 20.000 (EUR 1.950)</w:t>
      </w:r>
      <w:r>
        <w:t xml:space="preserve"> </w:t>
      </w:r>
      <w:r>
        <w:t xml:space="preserve">advisers</w:t>
      </w:r>
      <w:r>
        <w:t xml:space="preserve"> </w:t>
      </w:r>
      <w:r>
        <w:t xml:space="preserve">SEK 10.000 (EUR 975) users</w:t>
      </w:r>
    </w:p>
    <w:p>
      <w:pPr>
        <w:pStyle w:val="BodyText"/>
      </w:pPr>
      <w:r>
        <w:t xml:space="preserve">Turnover at least SEK</w:t>
      </w:r>
      <w:r>
        <w:t xml:space="preserve"> </w:t>
      </w:r>
      <w:r>
        <w:t xml:space="preserve">500.000.000 (EUR</w:t>
      </w:r>
      <w:r>
        <w:t xml:space="preserve"> </w:t>
      </w:r>
      <w:r>
        <w:t xml:space="preserve">48.747.197):</w:t>
      </w:r>
      <w:r>
        <w:t xml:space="preserve"> </w:t>
      </w:r>
      <w:r>
        <w:t xml:space="preserve">SEK 150.000 (EUR 14.624)</w:t>
      </w:r>
      <w:r>
        <w:t xml:space="preserve"> </w:t>
      </w:r>
      <w:r>
        <w:t xml:space="preserve">advisers</w:t>
      </w:r>
      <w:r>
        <w:t xml:space="preserve"> </w:t>
      </w:r>
      <w:r>
        <w:t xml:space="preserve">SEK 75.000 (EUR 7.312) users</w:t>
      </w:r>
    </w:p>
    <w:p>
      <w:pPr>
        <w:pStyle w:val="BodyText"/>
      </w:pPr>
      <w:r>
        <w:t xml:space="preserve">40% of the amount of tax that</w:t>
      </w:r>
      <w:r>
        <w:t xml:space="preserve"> </w:t>
      </w:r>
      <w:r>
        <w:t xml:space="preserve">would have been left non-</w:t>
      </w:r>
      <w:r>
        <w:t xml:space="preserve"> </w:t>
      </w:r>
      <w:r>
        <w:t xml:space="preserve">imposed in case assessment</w:t>
      </w:r>
      <w:r>
        <w:t xml:space="preserve"> </w:t>
      </w:r>
      <w:r>
        <w:t xml:space="preserve">had been based on the</w:t>
      </w:r>
      <w:r>
        <w:t xml:space="preserve"> </w:t>
      </w:r>
      <w:r>
        <w:t xml:space="preserve">inaccurate information.</w:t>
      </w:r>
      <w:r>
        <w:t xml:space="preserve"> </w:t>
      </w:r>
      <w:r>
        <w:t xml:space="preserve">SI</w:t>
      </w:r>
      <w:r>
        <w:t xml:space="preserve"> </w:t>
      </w:r>
      <w:r>
        <w:t xml:space="preserve">DAC 2</w:t>
      </w:r>
      <w:r>
        <w:br/>
      </w:r>
      <w:r>
        <w:t xml:space="preserve">The scope rationae personae: reporting financial</w:t>
      </w:r>
      <w:r>
        <w:t xml:space="preserve"> </w:t>
      </w:r>
      <w:r>
        <w:t xml:space="preserve">institutions (FI)</w:t>
      </w:r>
      <w:r>
        <w:br/>
      </w:r>
      <w:r>
        <w:t xml:space="preserve">The scope rationae materiae:</w:t>
      </w:r>
      <w:r>
        <w:t xml:space="preserve"> </w:t>
      </w:r>
      <w:r>
        <w:t xml:space="preserve">1)FI does not implement due diligence procedures</w:t>
      </w:r>
      <w:r>
        <w:t xml:space="preserve"> </w:t>
      </w:r>
      <w:r>
        <w:t xml:space="preserve">and collect the info that is subject to the reporting</w:t>
      </w:r>
    </w:p>
    <w:p>
      <w:pPr>
        <w:pStyle w:val="BodyText"/>
      </w:pPr>
      <w:r>
        <w:t xml:space="preserve">From EUR 1600</w:t>
      </w:r>
    </w:p>
    <w:p>
      <w:pPr>
        <w:pStyle w:val="BodyText"/>
      </w:pPr>
      <w:r>
        <w:t xml:space="preserve">To EUR 25 000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requirements, 2) does not keep documentation</w:t>
      </w:r>
      <w:r>
        <w:t xml:space="preserve"> </w:t>
      </w:r>
      <w:r>
        <w:t xml:space="preserve">showing the procedures used to collect information,3)</w:t>
      </w:r>
      <w:r>
        <w:t xml:space="preserve"> </w:t>
      </w:r>
      <w:r>
        <w:t xml:space="preserve">does not provide info to the competent authority with</w:t>
      </w:r>
      <w:r>
        <w:t xml:space="preserve"> </w:t>
      </w:r>
      <w:r>
        <w:t xml:space="preserve">regard to reportable accounts or does not provide</w:t>
      </w:r>
      <w:r>
        <w:t xml:space="preserve"> </w:t>
      </w:r>
      <w:r>
        <w:t xml:space="preserve">info in a timely manner or 4) fails to state relevant</w:t>
      </w:r>
      <w:r>
        <w:t xml:space="preserve"> </w:t>
      </w:r>
      <w:r>
        <w:t xml:space="preserve">currencies in its report or 5) does not provide info</w:t>
      </w:r>
      <w:r>
        <w:t xml:space="preserve"> </w:t>
      </w:r>
      <w:r>
        <w:t xml:space="preserve">showing that it has not identified the reportable</w:t>
      </w:r>
      <w:r>
        <w:t xml:space="preserve"> </w:t>
      </w:r>
      <w:r>
        <w:t xml:space="preserve">accounts in the respective calendar year.</w:t>
      </w:r>
      <w:r>
        <w:t xml:space="preserve"> </w:t>
      </w:r>
      <w:r>
        <w:t xml:space="preserve"></w:t>
      </w:r>
      <w:r>
        <w:t xml:space="preserve"> </w:t>
      </w:r>
      <w:r>
        <w:t xml:space="preserve">A penalty for a responsible person</w:t>
      </w:r>
      <w:r>
        <w:br/>
      </w:r>
      <w:r>
        <w:t xml:space="preserve">(individual) of the Reporting FI for the</w:t>
      </w:r>
      <w:r>
        <w:t xml:space="preserve"> </w:t>
      </w:r>
      <w:r>
        <w:t xml:space="preserve">above stated offences: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 penalty for a responsible management</w:t>
      </w:r>
      <w:r>
        <w:t xml:space="preserve"> </w:t>
      </w:r>
      <w:r>
        <w:t xml:space="preserve">company or a manager of an investment or</w:t>
      </w:r>
      <w:r>
        <w:t xml:space="preserve"> </w:t>
      </w:r>
      <w:r>
        <w:t xml:space="preserve">pension fund without a legal entity for the</w:t>
      </w:r>
      <w:r>
        <w:t xml:space="preserve"> </w:t>
      </w:r>
      <w:r>
        <w:t xml:space="preserve">above stated offences: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 penalty for a responsible person of the</w:t>
      </w:r>
      <w:r>
        <w:t xml:space="preserve"> </w:t>
      </w:r>
      <w:r>
        <w:t xml:space="preserve">management company or manager of the</w:t>
      </w:r>
      <w:r>
        <w:t xml:space="preserve"> </w:t>
      </w:r>
      <w:r>
        <w:t xml:space="preserve">investment or pension fund without a legal</w:t>
      </w:r>
      <w:r>
        <w:t xml:space="preserve"> </w:t>
      </w:r>
      <w:r>
        <w:t xml:space="preserve">entity for the above offences:</w:t>
      </w:r>
    </w:p>
    <w:p>
      <w:pPr>
        <w:pStyle w:val="BodyText"/>
      </w:pPr>
      <w:r>
        <w:t xml:space="preserve">Legislation does not explicitly indicate if these</w:t>
      </w:r>
      <w:r>
        <w:t xml:space="preserve"> </w:t>
      </w:r>
      <w:r>
        <w:t xml:space="preserve">penalties apply per single or cumulative infringement,</w:t>
      </w:r>
      <w:r>
        <w:t xml:space="preserve"> </w:t>
      </w:r>
      <w:r>
        <w:t xml:space="preserve">but from the way it is drafted I would tend to think it</w:t>
      </w:r>
      <w:r>
        <w:t xml:space="preserve"> </w:t>
      </w:r>
      <w:r>
        <w:t xml:space="preserve">can apply to an individual infringement, but also</w:t>
      </w:r>
      <w:r>
        <w:t xml:space="preserve"> </w:t>
      </w:r>
      <w:r>
        <w:t xml:space="preserve">globally to all infringements within a certain time</w:t>
      </w:r>
      <w:r>
        <w:t xml:space="preserve"> </w:t>
      </w:r>
      <w:r>
        <w:t xml:space="preserve">period (the act uses continues tense and plural verbal</w:t>
      </w:r>
      <w:r>
        <w:t xml:space="preserve"> </w:t>
      </w:r>
      <w:r>
        <w:t xml:space="preserve">forms: e.g. the FI is not collecting information as</w:t>
      </w:r>
      <w:r>
        <w:t xml:space="preserve"> </w:t>
      </w:r>
      <w:r>
        <w:t xml:space="preserve">required, is not reporting,..) The number of inf. will</w:t>
      </w:r>
      <w:r>
        <w:t xml:space="preserve"> </w:t>
      </w:r>
      <w:r>
        <w:t xml:space="preserve">then, in my view, determine the level of penalty</w:t>
      </w:r>
      <w:r>
        <w:t xml:space="preserve"> </w:t>
      </w:r>
      <w:r>
        <w:t xml:space="preserve">(between EUR 1060 and 25.000). This is purely my</w:t>
      </w:r>
      <w:r>
        <w:t xml:space="preserve"> </w:t>
      </w:r>
      <w:r>
        <w:t xml:space="preserve">personal view.</w:t>
      </w:r>
    </w:p>
    <w:p>
      <w:pPr>
        <w:pStyle w:val="BodyText"/>
      </w:pPr>
      <w:r>
        <w:t xml:space="preserve">From EUR 400</w:t>
      </w:r>
    </w:p>
    <w:p>
      <w:pPr>
        <w:pStyle w:val="BodyText"/>
      </w:pPr>
      <w:r>
        <w:t xml:space="preserve">From EUR 1600</w:t>
      </w:r>
    </w:p>
    <w:p>
      <w:pPr>
        <w:pStyle w:val="BodyText"/>
      </w:pPr>
      <w:r>
        <w:t xml:space="preserve">From EUR 400</w:t>
      </w:r>
    </w:p>
    <w:p>
      <w:pPr>
        <w:pStyle w:val="BodyText"/>
      </w:pPr>
      <w:r>
        <w:t xml:space="preserve">To EUR 4000</w:t>
      </w:r>
    </w:p>
    <w:p>
      <w:pPr>
        <w:pStyle w:val="BodyText"/>
      </w:pPr>
      <w:r>
        <w:t xml:space="preserve">To EUR 25.000</w:t>
      </w:r>
    </w:p>
    <w:p>
      <w:pPr>
        <w:pStyle w:val="BodyText"/>
      </w:pPr>
      <w:r>
        <w:t xml:space="preserve">To EUR 4000</w:t>
      </w:r>
      <w:r>
        <w:t xml:space="preserve"> </w:t>
      </w:r>
      <w:r>
        <w:t xml:space="preserve">DAC 4</w:t>
      </w:r>
      <w:r>
        <w:br/>
      </w:r>
      <w:r>
        <w:t xml:space="preserve">Personal scope: Reporting entities (as defined under</w:t>
      </w:r>
      <w:r>
        <w:t xml:space="preserve"> </w:t>
      </w:r>
      <w:r>
        <w:t xml:space="preserve">DAC4 , I.e. legal entities</w:t>
      </w:r>
      <w:r>
        <w:br/>
      </w:r>
      <w:r>
        <w:t xml:space="preserve">Higher penalties for medium sized and big companies,</w:t>
      </w:r>
      <w:r>
        <w:t xml:space="preserve"> </w:t>
      </w:r>
      <w:r>
        <w:t xml:space="preserve">which will be the case for the entities at stake here:</w:t>
      </w:r>
      <w:r>
        <w:t xml:space="preserve"> </w:t>
      </w:r>
      <w:r>
        <w:t xml:space="preserve"></w:t>
      </w:r>
      <w:r>
        <w:t xml:space="preserve"> </w:t>
      </w:r>
      <w:r>
        <w:t xml:space="preserve">A penalty for a responsible person</w:t>
      </w:r>
      <w:r>
        <w:br/>
      </w:r>
      <w:r>
        <w:t xml:space="preserve">(individual) of the Reporting entity, which</w:t>
      </w:r>
      <w:r>
        <w:t xml:space="preserve"> </w:t>
      </w:r>
      <w:r>
        <w:t xml:space="preserve">will be considered as ‘’middle sized or big</w:t>
      </w:r>
      <w:r>
        <w:t xml:space="preserve"> </w:t>
      </w:r>
      <w:r>
        <w:t xml:space="preserve">company’’:</w:t>
      </w:r>
      <w:r>
        <w:t xml:space="preserve"> </w:t>
      </w:r>
      <w:r>
        <w:t xml:space="preserve">If the nature of the infringement is particularly</w:t>
      </w:r>
      <w:r>
        <w:br/>
      </w:r>
      <w:r>
        <w:t xml:space="preserve">serious (on purpose wrong reporting, intention to</w:t>
      </w:r>
      <w:r>
        <w:t xml:space="preserve"> </w:t>
      </w:r>
      <w:r>
        <w:t xml:space="preserve">secure financial advantage, or because of serious</w:t>
      </w:r>
      <w:r>
        <w:t xml:space="preserve"> </w:t>
      </w:r>
      <w:r>
        <w:t xml:space="preserve">damage caused to the fisc- considered as more than</w:t>
      </w:r>
      <w:r>
        <w:t xml:space="preserve"> </w:t>
      </w:r>
      <w:r>
        <w:t xml:space="preserve">EUR 25.000) for medium and big entities the penalty</w:t>
      </w:r>
      <w:r>
        <w:t xml:space="preserve"> </w:t>
      </w:r>
      <w:r>
        <w:t xml:space="preserve">is: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 penalty for a responsible person</w:t>
      </w:r>
      <w:r>
        <w:br/>
      </w:r>
      <w:r>
        <w:t xml:space="preserve">(individual) of the Reporting entity, which</w:t>
      </w:r>
      <w:r>
        <w:t xml:space="preserve"> </w:t>
      </w:r>
      <w:r>
        <w:t xml:space="preserve">will be considered as ‘’middle sized or big</w:t>
      </w:r>
      <w:r>
        <w:t xml:space="preserve"> </w:t>
      </w:r>
      <w:r>
        <w:t xml:space="preserve">company’’ in case of the above mentioned</w:t>
      </w:r>
      <w:r>
        <w:t xml:space="preserve"> </w:t>
      </w:r>
      <w:r>
        <w:t xml:space="preserve">particularly serious infringement:</w:t>
      </w:r>
    </w:p>
    <w:p>
      <w:pPr>
        <w:pStyle w:val="BodyText"/>
      </w:pPr>
      <w:r>
        <w:t xml:space="preserve">Material scope: failure to report, reporting not in line</w:t>
      </w:r>
      <w:r>
        <w:t xml:space="preserve"> </w:t>
      </w:r>
      <w:r>
        <w:t xml:space="preserve">with the required formalities or not within the</w:t>
      </w:r>
      <w:r>
        <w:t xml:space="preserve"> </w:t>
      </w:r>
      <w:r>
        <w:t xml:space="preserve">deadline.</w:t>
      </w:r>
      <w:r>
        <w:t xml:space="preserve"> </w:t>
      </w:r>
      <w:r>
        <w:t xml:space="preserve">The provision speaks about penalty when an entity</w:t>
      </w:r>
      <w:r>
        <w:t xml:space="preserve"> </w:t>
      </w:r>
      <w:r>
        <w:t xml:space="preserve">commits an infringement by not reporting,, missing</w:t>
      </w:r>
      <w:r>
        <w:t xml:space="preserve"> </w:t>
      </w:r>
      <w:r>
        <w:t xml:space="preserve">deadlines…difficult to say whether individual or</w:t>
      </w:r>
      <w:r>
        <w:t xml:space="preserve"> </w:t>
      </w:r>
      <w:r>
        <w:t xml:space="preserve">cumulative, but I would tend more towards the</w:t>
      </w:r>
    </w:p>
    <w:p>
      <w:pPr>
        <w:pStyle w:val="BodyText"/>
      </w:pPr>
      <w:r>
        <w:t xml:space="preserve">From EUR 3.200</w:t>
      </w:r>
    </w:p>
    <w:p>
      <w:pPr>
        <w:pStyle w:val="BodyText"/>
      </w:pPr>
      <w:r>
        <w:t xml:space="preserve">EUR 800</w:t>
      </w:r>
    </w:p>
    <w:p>
      <w:pPr>
        <w:pStyle w:val="BodyText"/>
      </w:pPr>
      <w:r>
        <w:t xml:space="preserve">From 10.500</w:t>
      </w:r>
    </w:p>
    <w:p>
      <w:pPr>
        <w:pStyle w:val="BodyText"/>
      </w:pPr>
      <w:r>
        <w:t xml:space="preserve">EUR 1400</w:t>
      </w:r>
    </w:p>
    <w:p>
      <w:pPr>
        <w:pStyle w:val="BodyText"/>
      </w:pPr>
      <w:r>
        <w:t xml:space="preserve">EUR 30. 000</w:t>
      </w:r>
    </w:p>
    <w:p>
      <w:pPr>
        <w:pStyle w:val="BodyText"/>
      </w:pPr>
      <w:r>
        <w:t xml:space="preserve">To EUR 4.000</w:t>
      </w:r>
    </w:p>
    <w:p>
      <w:pPr>
        <w:pStyle w:val="BodyText"/>
      </w:pPr>
      <w:r>
        <w:t xml:space="preserve">To EUR 150.000</w:t>
      </w:r>
    </w:p>
    <w:p>
      <w:pPr>
        <w:pStyle w:val="BodyText"/>
      </w:pPr>
      <w:r>
        <w:t xml:space="preserve">To EUR 20.000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cumulative nature, of course considering a certain</w:t>
      </w:r>
      <w:r>
        <w:t xml:space="preserve"> </w:t>
      </w:r>
      <w:r>
        <w:t xml:space="preserve">time frame (e.g. within a tax year).</w:t>
      </w:r>
      <w:r>
        <w:t xml:space="preserve"> </w:t>
      </w:r>
      <w:r>
        <w:t xml:space="preserve">DAC 6</w:t>
      </w:r>
      <w:r>
        <w:br/>
      </w:r>
      <w:r>
        <w:t xml:space="preserve">Article 394 of the Tax Procedure Act (TPA) for</w:t>
      </w:r>
      <w:r>
        <w:t xml:space="preserve"> </w:t>
      </w:r>
      <w:r>
        <w:t xml:space="preserve">individuals and Article 397 TPA for entrepreneurs and</w:t>
      </w:r>
      <w:r>
        <w:t xml:space="preserve"> </w:t>
      </w:r>
      <w:r>
        <w:t xml:space="preserve">companies</w:t>
      </w:r>
      <w:r>
        <w:t xml:space="preserve"> </w:t>
      </w:r>
      <w:r>
        <w:t xml:space="preserve">The scope rationae personae: individuals;</w:t>
      </w:r>
      <w:r>
        <w:t xml:space="preserve"> </w:t>
      </w:r>
      <w:r>
        <w:t xml:space="preserve">The scope rationae materiae: 1) no reporting (‘’fails to</w:t>
      </w:r>
      <w:r>
        <w:t xml:space="preserve"> </w:t>
      </w:r>
      <w:r>
        <w:t xml:space="preserve">submit data on the cross-border arrangement to be</w:t>
      </w:r>
      <w:r>
        <w:t xml:space="preserve"> </w:t>
      </w:r>
      <w:r>
        <w:t xml:space="preserve">reported’’), 2) late reporting (‘’fails to submit them</w:t>
      </w:r>
      <w:r>
        <w:t xml:space="preserve"> </w:t>
      </w:r>
      <w:r>
        <w:t xml:space="preserve">within the prescribed time limit), 3) partial reporting</w:t>
      </w:r>
      <w:r>
        <w:t xml:space="preserve"> </w:t>
      </w:r>
      <w:r>
        <w:t xml:space="preserve">(‘’fails to submit them for each year in which the</w:t>
      </w:r>
      <w:r>
        <w:t xml:space="preserve"> </w:t>
      </w:r>
      <w:r>
        <w:t xml:space="preserve">arrangement applies).</w:t>
      </w:r>
      <w:r>
        <w:t xml:space="preserve"> </w:t>
      </w:r>
      <w:r>
        <w:t xml:space="preserve">The scope rationae personae: entrepreneurs and legal</w:t>
      </w:r>
      <w:r>
        <w:t xml:space="preserve"> </w:t>
      </w:r>
      <w:r>
        <w:t xml:space="preserve">persons ; the scope rationae materiae:1) no reporting</w:t>
      </w:r>
      <w:r>
        <w:t xml:space="preserve"> </w:t>
      </w:r>
      <w:r>
        <w:t xml:space="preserve">(‘’fails to submit data on the cross-border</w:t>
      </w:r>
      <w:r>
        <w:t xml:space="preserve"> </w:t>
      </w:r>
      <w:r>
        <w:t xml:space="preserve">arrangement to be reported’’), 2) late reporting (‘’fails</w:t>
      </w:r>
      <w:r>
        <w:t xml:space="preserve"> </w:t>
      </w:r>
      <w:r>
        <w:t xml:space="preserve">to submit them within the prescribed time limit), no</w:t>
      </w:r>
      <w:r>
        <w:t xml:space="preserve"> </w:t>
      </w:r>
      <w:r>
        <w:t xml:space="preserve">regular reporting, 3) partial reporting (‘’fails to submit</w:t>
      </w:r>
      <w:r>
        <w:t xml:space="preserve"> </w:t>
      </w:r>
      <w:r>
        <w:t xml:space="preserve">them for each year in which the arrangement applies),</w:t>
      </w:r>
      <w:r>
        <w:t xml:space="preserve"> </w:t>
      </w:r>
      <w:r>
        <w:t xml:space="preserve">5) fails to inform the intermediary or a taxpayer about</w:t>
      </w:r>
      <w:r>
        <w:t xml:space="preserve"> </w:t>
      </w:r>
      <w:r>
        <w:t xml:space="preserve">the use of the professional secrecy waiver.</w:t>
      </w:r>
      <w:r>
        <w:br/>
      </w:r>
      <w:r>
        <w:t xml:space="preserve">Legislation does not explicitly indicate if these</w:t>
      </w:r>
      <w:r>
        <w:t xml:space="preserve"> </w:t>
      </w:r>
      <w:r>
        <w:t xml:space="preserve">penalties apply per individual or cumulative</w:t>
      </w:r>
      <w:r>
        <w:t xml:space="preserve"> </w:t>
      </w:r>
      <w:r>
        <w:t xml:space="preserve">infringements.</w:t>
      </w:r>
    </w:p>
    <w:p>
      <w:pPr>
        <w:pStyle w:val="BodyText"/>
      </w:pPr>
      <w:r>
        <w:t xml:space="preserve">From EUR 250</w:t>
      </w:r>
    </w:p>
    <w:p>
      <w:pPr>
        <w:pStyle w:val="BodyText"/>
      </w:pPr>
      <w:r>
        <w:t xml:space="preserve">From EUR 800</w:t>
      </w:r>
    </w:p>
    <w:p>
      <w:pPr>
        <w:pStyle w:val="BodyText"/>
      </w:pPr>
      <w:r>
        <w:t xml:space="preserve">to EUR 400</w:t>
      </w:r>
    </w:p>
    <w:p>
      <w:pPr>
        <w:pStyle w:val="BodyText"/>
      </w:pPr>
      <w:r>
        <w:t xml:space="preserve">to EUR 10.000</w:t>
      </w:r>
      <w:r>
        <w:t xml:space="preserve"> </w:t>
      </w:r>
      <w:r>
        <w:t xml:space="preserve">SK</w:t>
      </w:r>
      <w:r>
        <w:br/>
      </w:r>
      <w:r>
        <w:t xml:space="preserve">DAC 2 as</w:t>
      </w:r>
      <w:r>
        <w:t xml:space="preserve"> </w:t>
      </w:r>
      <w:r>
        <w:t xml:space="preserve">implement</w:t>
      </w:r>
      <w:r>
        <w:t xml:space="preserve"> </w:t>
      </w:r>
      <w:r>
        <w:t xml:space="preserve">ed by</w:t>
      </w:r>
      <w:r>
        <w:t xml:space="preserve"> </w:t>
      </w:r>
      <w:r>
        <w:t xml:space="preserve">Section 23</w:t>
      </w:r>
      <w:r>
        <w:t xml:space="preserve"> </w:t>
      </w:r>
      <w:r>
        <w:t xml:space="preserve">of Law</w:t>
      </w:r>
      <w:r>
        <w:t xml:space="preserve"> </w:t>
      </w:r>
      <w:r>
        <w:t xml:space="preserve">359/2015</w:t>
      </w:r>
      <w:r>
        <w:t xml:space="preserve"> </w:t>
      </w:r>
      <w:r>
        <w:t xml:space="preserve">Material scope: failure of reviewing financial</w:t>
      </w:r>
      <w:r>
        <w:t xml:space="preserve"> </w:t>
      </w:r>
      <w:r>
        <w:t xml:space="preserve">accounts, obtaining information on financial</w:t>
      </w:r>
      <w:r>
        <w:t xml:space="preserve"> </w:t>
      </w:r>
      <w:r>
        <w:t xml:space="preserve">accounts, notification obligation and FACTA</w:t>
      </w:r>
      <w:r>
        <w:t xml:space="preserve"> </w:t>
      </w:r>
      <w:r>
        <w:t xml:space="preserve">obligations</w:t>
      </w:r>
      <w:r>
        <w:t xml:space="preserve"> </w:t>
      </w:r>
      <w:r>
        <w:t xml:space="preserve">Personal scope: financial institutions</w:t>
      </w:r>
      <w:r>
        <w:t xml:space="preserve"> </w:t>
      </w:r>
      <w:r>
        <w:t xml:space="preserve">Individual/cumulative application: The law does</w:t>
      </w:r>
      <w:r>
        <w:t xml:space="preserve"> </w:t>
      </w:r>
      <w:r>
        <w:t xml:space="preserve">not say whether the penalties are per individual</w:t>
      </w:r>
      <w:r>
        <w:t xml:space="preserve"> </w:t>
      </w:r>
      <w:r>
        <w:t xml:space="preserve">infringement or for cumulative infringements,</w:t>
      </w:r>
      <w:r>
        <w:t xml:space="preserve"> </w:t>
      </w:r>
      <w:r>
        <w:t xml:space="preserve">however it specifies that sanctions could be</w:t>
      </w:r>
      <w:r>
        <w:t xml:space="preserve"> </w:t>
      </w:r>
      <w:r>
        <w:t xml:space="preserve">repeatedly applied.</w:t>
      </w:r>
      <w:r>
        <w:t xml:space="preserve"> </w:t>
      </w:r>
      <w:r>
        <w:t xml:space="preserve">n.a.</w:t>
      </w:r>
      <w:r>
        <w:t xml:space="preserve"> </w:t>
      </w:r>
      <w:r>
        <w:t xml:space="preserve">10,000 EUR, also</w:t>
      </w:r>
      <w:r>
        <w:t xml:space="preserve"> </w:t>
      </w:r>
      <w:r>
        <w:t xml:space="preserve">repeatedly.</w:t>
      </w:r>
      <w:r>
        <w:t xml:space="preserve"> </w:t>
      </w:r>
      <w:r>
        <w:t xml:space="preserve">DAC 4 as</w:t>
      </w:r>
      <w:r>
        <w:t xml:space="preserve"> </w:t>
      </w:r>
      <w:r>
        <w:t xml:space="preserve">implement</w:t>
      </w:r>
      <w:r>
        <w:t xml:space="preserve"> </w:t>
      </w:r>
      <w:r>
        <w:t xml:space="preserve">ed by Act</w:t>
      </w:r>
      <w:r>
        <w:t xml:space="preserve"> </w:t>
      </w:r>
      <w:r>
        <w:t xml:space="preserve">No. </w:t>
      </w:r>
      <w:r>
        <w:t xml:space="preserve"> </w:t>
      </w:r>
      <w:r>
        <w:t xml:space="preserve">442/2012</w:t>
      </w:r>
      <w:r>
        <w:t xml:space="preserve"> </w:t>
      </w:r>
      <w:r>
        <w:t xml:space="preserve">Coll.</w:t>
      </w:r>
      <w:r>
        <w:t xml:space="preserve"> </w:t>
      </w:r>
      <w:r>
        <w:t xml:space="preserve">Material scope: not reporting on CbCR basis or</w:t>
      </w:r>
      <w:r>
        <w:t xml:space="preserve"> </w:t>
      </w:r>
      <w:r>
        <w:t xml:space="preserve">not providing notification</w:t>
      </w:r>
      <w:r>
        <w:t xml:space="preserve"> </w:t>
      </w:r>
      <w:r>
        <w:t xml:space="preserve">Personal scope: a) the ultimate parent entity,</w:t>
      </w:r>
      <w:r>
        <w:t xml:space="preserve"> </w:t>
      </w:r>
      <w:r>
        <w:t xml:space="preserve">the surrogate parent body or the constituent</w:t>
      </w:r>
      <w:r>
        <w:t xml:space="preserve"> </w:t>
      </w:r>
      <w:r>
        <w:t xml:space="preserve">entity, if it fails to report on a CbC basis</w:t>
      </w:r>
      <w:r>
        <w:t xml:space="preserve"> </w:t>
      </w:r>
      <w:r>
        <w:t xml:space="preserve">(pursuant to Sections 22b to 22d and 22 f);</w:t>
      </w:r>
      <w:r>
        <w:br/>
      </w:r>
      <w:r>
        <w:t xml:space="preserve">b) a constituent entity referred to in Section 22c</w:t>
      </w:r>
      <w:r>
        <w:t xml:space="preserve"> </w:t>
      </w:r>
      <w:r>
        <w:t xml:space="preserve">(1) if it fails to notify (under Section 22c (2) and</w:t>
      </w:r>
      <w:r>
        <w:t xml:space="preserve"> </w:t>
      </w:r>
      <w:r>
        <w:t xml:space="preserve">(3), i.e. inform the competent authority that the</w:t>
      </w:r>
      <w:r>
        <w:t xml:space="preserve"> </w:t>
      </w:r>
      <w:r>
        <w:t xml:space="preserve">ultimate parent entity has refused to make the</w:t>
      </w:r>
      <w:r>
        <w:t xml:space="preserve"> </w:t>
      </w:r>
      <w:r>
        <w:t xml:space="preserve">necessary information available);</w:t>
      </w:r>
      <w:r>
        <w:t xml:space="preserve"> </w:t>
      </w:r>
      <w:r>
        <w:t xml:space="preserve">c) the constituent entity, if it does not submit a</w:t>
      </w:r>
      <w:r>
        <w:t xml:space="preserve"> </w:t>
      </w:r>
      <w:r>
        <w:t xml:space="preserve">notification (notify the competent authority of</w:t>
      </w:r>
      <w:r>
        <w:t xml:space="preserve"> </w:t>
      </w:r>
      <w:r>
        <w:t xml:space="preserve">the name, registered office, identification</w:t>
      </w:r>
      <w:r>
        <w:t xml:space="preserve"> </w:t>
      </w:r>
      <w:r>
        <w:t xml:space="preserve">number of the reporting entity pursuant to</w:t>
      </w:r>
      <w:r>
        <w:t xml:space="preserve"> </w:t>
      </w:r>
      <w:r>
        <w:t xml:space="preserve">Section 22e).</w:t>
      </w:r>
    </w:p>
    <w:p>
      <w:pPr>
        <w:pStyle w:val="BodyText"/>
      </w:pPr>
      <w:r>
        <w:t xml:space="preserve">Individual/cumulative application: The law does</w:t>
      </w:r>
      <w:r>
        <w:t xml:space="preserve"> </w:t>
      </w:r>
      <w:r>
        <w:t xml:space="preserve">not say whether the penalties are per individual</w:t>
      </w:r>
      <w:r>
        <w:t xml:space="preserve"> </w:t>
      </w:r>
      <w:r>
        <w:t xml:space="preserve">infringement or for cumulative infringements,</w:t>
      </w:r>
      <w:r>
        <w:t xml:space="preserve"> </w:t>
      </w:r>
      <w:r>
        <w:t xml:space="preserve">however it specifies that sanctions could be</w:t>
      </w:r>
      <w:r>
        <w:t xml:space="preserve"> </w:t>
      </w:r>
      <w:r>
        <w:t xml:space="preserve">repeatedly applied</w:t>
      </w:r>
    </w:p>
    <w:p>
      <w:pPr>
        <w:pStyle w:val="BodyText"/>
      </w:pPr>
      <w:r>
        <w:t xml:space="preserve">n.a</w:t>
      </w:r>
      <w:r>
        <w:t xml:space="preserve"> </w:t>
      </w:r>
      <w:r>
        <w:t xml:space="preserve">a) a fine of up to 10,000</w:t>
      </w:r>
      <w:r>
        <w:t xml:space="preserve"> </w:t>
      </w:r>
      <w:r>
        <w:t xml:space="preserve">EUR, including repeatedly;</w:t>
      </w:r>
      <w:r>
        <w:t xml:space="preserve"> </w:t>
      </w:r>
      <w:r>
        <w:t xml:space="preserve">(b) and (c) a fine of up to</w:t>
      </w:r>
      <w:r>
        <w:t xml:space="preserve"> </w:t>
      </w:r>
      <w:r>
        <w:t xml:space="preserve">EUR 3,000, even</w:t>
      </w:r>
      <w:r>
        <w:t xml:space="preserve"> </w:t>
      </w:r>
      <w:r>
        <w:t xml:space="preserve">repeatedly.</w:t>
      </w:r>
    </w:p>
    <w:p>
      <w:pPr>
        <w:pStyle w:val="BodyText"/>
      </w:pPr>
      <w:r>
        <w:t xml:space="preserve">DAC 6</w:t>
      </w:r>
      <w:r>
        <w:br/>
      </w:r>
      <w:r>
        <w:t xml:space="preserve">Material scope: failure to meet reporting</w:t>
      </w:r>
      <w:r>
        <w:t xml:space="preserve"> </w:t>
      </w:r>
      <w:r>
        <w:t xml:space="preserve">obligations,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confirmation</w:t>
      </w:r>
      <w:r>
        <w:t xml:space="preserve"> </w:t>
      </w:r>
      <w:r>
        <w:t xml:space="preserve">that</w:t>
      </w:r>
      <w:r>
        <w:t xml:space="preserve"> </w:t>
      </w:r>
      <w:r>
        <w:t xml:space="preserve">n.a</w:t>
      </w:r>
      <w:r>
        <w:t xml:space="preserve"> </w:t>
      </w:r>
      <w:r>
        <w:t xml:space="preserve">30,000 EUR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another</w:t>
      </w:r>
      <w:r>
        <w:t xml:space="preserve"> </w:t>
      </w:r>
      <w:r>
        <w:t xml:space="preserve">intermediary or taxpayer or failure to meet the</w:t>
      </w:r>
      <w:r>
        <w:t xml:space="preserve"> </w:t>
      </w:r>
      <w:r>
        <w:t xml:space="preserve">relevant deadlines. Fine can be applied for each</w:t>
      </w:r>
      <w:r>
        <w:t xml:space="preserve"> </w:t>
      </w:r>
      <w:r>
        <w:t xml:space="preserve">Slovak MDR reporting obligation</w:t>
      </w:r>
      <w:r>
        <w:t xml:space="preserve"> </w:t>
      </w:r>
      <w:r>
        <w:t xml:space="preserve">Personal scope: intermediaries and taxpayer</w:t>
      </w:r>
      <w:r>
        <w:t xml:space="preserve"> </w:t>
      </w:r>
      <w:r>
        <w:t xml:space="preserve">Individual/cumulative application: The law does</w:t>
      </w:r>
      <w:r>
        <w:t xml:space="preserve"> </w:t>
      </w:r>
      <w:r>
        <w:t xml:space="preserve">not say whether the penalties are per individual</w:t>
      </w:r>
      <w:r>
        <w:t xml:space="preserve"> </w:t>
      </w:r>
      <w:r>
        <w:t xml:space="preserve">infringement or for cumulative infringements.</w:t>
      </w:r>
    </w:p>
    <w:p>
      <w:pPr>
        <w:pStyle w:val="BodyText"/>
      </w:pPr>
      <w:r>
        <w:t xml:space="preserve">DAC7 was adopted in March 2021 and shall be implemented by 1 January 2023. As a consequence, there</w:t>
      </w:r>
      <w:r>
        <w:t xml:space="preserve"> </w:t>
      </w:r>
      <w:r>
        <w:t xml:space="preserve">is not yet any information available on the compliance measures applicable in Member States based on the</w:t>
      </w:r>
      <w:r>
        <w:t xml:space="preserve"> </w:t>
      </w:r>
      <w:r>
        <w:t xml:space="preserve">obligations on DAC7.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ANNEX 8: BIBLIOGRAPHY</w:t>
      </w:r>
      <w:r>
        <w:t xml:space="preserve"> </w:t>
      </w:r>
      <w:r>
        <w:t xml:space="preserve">Beer, S, Coelho, M. and Leduc, S. (2019) Hidden Treasures: the impact of automatic exchange of</w:t>
      </w:r>
      <w:r>
        <w:t xml:space="preserve"> </w:t>
      </w:r>
      <w:r>
        <w:t xml:space="preserve">information on cross-border tax evasion, IMF working paper, WP/19/286.</w:t>
      </w:r>
      <w:r>
        <w:br/>
      </w:r>
      <w:r>
        <w:t xml:space="preserve">European Commission. (2021). Proposal for a Regulation of the European Parliament and of the</w:t>
      </w:r>
      <w:r>
        <w:t xml:space="preserve"> </w:t>
      </w:r>
      <w:r>
        <w:t xml:space="preserve">Council on the prevention of the use of the financial system for the purposes of money laundering</w:t>
      </w:r>
      <w:r>
        <w:t xml:space="preserve"> </w:t>
      </w:r>
      <w:r>
        <w:t xml:space="preserve">or terrorist financing, COM/2021/420 final.</w:t>
      </w:r>
      <w:r>
        <w:t xml:space="preserve"> </w:t>
      </w:r>
      <w:r>
        <w:t xml:space="preserve">European Commission. (2020). Proposal for a Regulation of the European Parliament and of the</w:t>
      </w:r>
      <w:r>
        <w:t xml:space="preserve"> </w:t>
      </w:r>
      <w:r>
        <w:t xml:space="preserve">Council on Markets in Crypto-assets, and amending Directive (EU) 2019/1937, COM/2020/593</w:t>
      </w:r>
      <w:r>
        <w:t xml:space="preserve"> </w:t>
      </w:r>
      <w:r>
        <w:t xml:space="preserve">final.</w:t>
      </w:r>
      <w:r>
        <w:t xml:space="preserve"> </w:t>
      </w:r>
      <w:r>
        <w:t xml:space="preserve">European Commission. (2020). Communication from the Commission to the European Parliament</w:t>
      </w:r>
      <w:r>
        <w:t xml:space="preserve"> </w:t>
      </w:r>
      <w:r>
        <w:t xml:space="preserve">and the Council, An action plan for fair and simple taxation supporting the recovery strategy.</w:t>
      </w:r>
      <w:r>
        <w:t xml:space="preserve"> </w:t>
      </w:r>
      <w:r>
        <w:t xml:space="preserve">European Commission. (2020). Commission Staff Working Document – Impact assessment</w:t>
      </w:r>
      <w:r>
        <w:t xml:space="preserve"> </w:t>
      </w:r>
      <w:r>
        <w:t xml:space="preserve">accompanying the Proposal for a Council Directive amending Directive 2011/16/EU on</w:t>
      </w:r>
      <w:r>
        <w:t xml:space="preserve"> </w:t>
      </w:r>
      <w:r>
        <w:t xml:space="preserve">administrative cooperation in the field of taxation, SWD(2020) 131 final.</w:t>
      </w:r>
      <w:r>
        <w:t xml:space="preserve"> </w:t>
      </w:r>
      <w:r>
        <w:t xml:space="preserve">European Commission. (2019). Evaluation of the Council Directive 2011/16/EU on administrative</w:t>
      </w:r>
      <w:r>
        <w:t xml:space="preserve"> </w:t>
      </w:r>
      <w:r>
        <w:t xml:space="preserve">cooperation in the field of taxation and repealing Directive 77/799/EEC, SWD (2019) 327 final.</w:t>
      </w:r>
      <w:r>
        <w:t xml:space="preserve"> </w:t>
      </w:r>
      <w:r>
        <w:t xml:space="preserve">European Commission (2018). Report from the Commission to the European Parliament and the</w:t>
      </w:r>
      <w:r>
        <w:t xml:space="preserve"> </w:t>
      </w:r>
      <w:r>
        <w:t xml:space="preserve">Council on overview and assessment of the statistics and information on the automatic exchanges</w:t>
      </w:r>
      <w:r>
        <w:t xml:space="preserve"> </w:t>
      </w:r>
      <w:r>
        <w:t xml:space="preserve">in the field of direct taxation, COM/2018/844 final.</w:t>
      </w:r>
      <w:r>
        <w:t xml:space="preserve"> </w:t>
      </w:r>
      <w:r>
        <w:t xml:space="preserve">European Commission Impact assessment accompanying the document Proposal for a Council</w:t>
      </w:r>
      <w:r>
        <w:t xml:space="preserve"> </w:t>
      </w:r>
      <w:r>
        <w:t xml:space="preserve">Directive amending Directive 2011/16/EU as regards mandatory automatic exchange of</w:t>
      </w:r>
      <w:r>
        <w:t xml:space="preserve"> </w:t>
      </w:r>
      <w:r>
        <w:t xml:space="preserve">information in the field of taxation in relation to reportable cross-border arrangements,</w:t>
      </w:r>
      <w:r>
        <w:br/>
      </w:r>
      <w:r>
        <w:t xml:space="preserve">SWD(2017) 236 final.</w:t>
      </w:r>
      <w:r>
        <w:t xml:space="preserve"> </w:t>
      </w:r>
      <w:r>
        <w:t xml:space="preserve">European Court of Auditors. (2021). Exchanging tax information in the EU: solid foundation,</w:t>
      </w:r>
      <w:r>
        <w:t xml:space="preserve"> </w:t>
      </w:r>
      <w:r>
        <w:t xml:space="preserve">cracks in the implementation, Exchanges of information have increased, but some information is</w:t>
      </w:r>
      <w:r>
        <w:t xml:space="preserve"> </w:t>
      </w:r>
      <w:r>
        <w:t xml:space="preserve">still not reported.</w:t>
      </w:r>
      <w:r>
        <w:t xml:space="preserve"> </w:t>
      </w:r>
      <w:r>
        <w:t xml:space="preserve">European Parliament. (2021). European Parliament resolution of 16 September 2021 on the</w:t>
      </w:r>
      <w:r>
        <w:t xml:space="preserve"> </w:t>
      </w:r>
      <w:r>
        <w:t xml:space="preserve">implementation of the EU requirements for exchange of tax information: progress, lessons learnt</w:t>
      </w:r>
      <w:r>
        <w:t xml:space="preserve"> </w:t>
      </w:r>
      <w:r>
        <w:t xml:space="preserve">and obstacles to overcome,</w:t>
      </w:r>
    </w:p>
    <w:p>
      <w:pPr>
        <w:pStyle w:val="BodyText"/>
      </w:pPr>
      <w:r>
        <w:t xml:space="preserve">European Parliament. (2021). Report on the implementation of the EU requirements for exchange</w:t>
      </w:r>
      <w:r>
        <w:t xml:space="preserve"> </w:t>
      </w:r>
      <w:r>
        <w:t xml:space="preserve">of tax information: progress, lessons learnt and obstacles to overcome (2020/2046 (INI))</w:t>
      </w:r>
      <w:r>
        <w:t xml:space="preserve"> </w:t>
      </w:r>
      <w:r>
        <w:t xml:space="preserve">Committee on Economic and Monetary Affairs.</w:t>
      </w:r>
      <w:r>
        <w:t xml:space="preserve"> </w:t>
      </w:r>
      <w:r>
        <w:t xml:space="preserve">European Parliament. (2019). European Parliament resolution of 26 March 2019 on financial</w:t>
      </w:r>
      <w:r>
        <w:t xml:space="preserve"> </w:t>
      </w:r>
      <w:r>
        <w:t xml:space="preserve">crimes, tax evasion and tax avoidance (2018/2121(INI)).</w:t>
      </w:r>
      <w:r>
        <w:t xml:space="preserve"> </w:t>
      </w:r>
      <w:r>
        <w:t xml:space="preserve">European Parliament. (2016). Tax fraud: 75% of Europeans want EU to do more to fight it,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News,</w:t>
      </w:r>
      <w:r>
        <w:t xml:space="preserve"> </w:t>
      </w:r>
      <w:r>
        <w:t xml:space="preserve">retrieved</w:t>
      </w:r>
      <w:r>
        <w:t xml:space="preserve"> </w:t>
      </w:r>
      <w:r>
        <w:t xml:space="preserve">from: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https://www.europarl.europa.eu/news/en/headlines/economy/20160707STO36204/tax-fraud-75-</w:t>
      </w:r>
      <w:r>
        <w:t xml:space="preserve"> </w:t>
      </w:r>
      <w:r>
        <w:t xml:space="preserve">of-europeans-want-eu-to-do-more-to-fight-it</w:t>
      </w:r>
      <w:r>
        <w:t xml:space="preserve"> </w:t>
      </w:r>
      <w:r>
        <w:t xml:space="preserve">Hungerford (2010). The Redistributive Effect of Selected Federal Transfer and Tax Provisions.</w:t>
      </w:r>
      <w:r>
        <w:t xml:space="preserve"> </w:t>
      </w:r>
      <w:r>
        <w:t xml:space="preserve">OECD. (2020). Taxing Virtual Currencies: An Overview of Tax Treatments and Emerging Tax</w:t>
      </w:r>
      <w:r>
        <w:t xml:space="preserve"> </w:t>
      </w:r>
      <w:r>
        <w:t xml:space="preserve">Policy Issues, OECD.</w:t>
      </w:r>
      <w:r>
        <w:t xml:space="preserve"> </w:t>
      </w:r>
      <w:r>
        <w:t xml:space="preserve">OECD. CRS-related Frequently Asked Questions (updated February 2019) covering under Section</w:t>
      </w:r>
      <w:r>
        <w:t xml:space="preserve"> </w:t>
      </w:r>
      <w:r>
        <w:t xml:space="preserve">VIII, A, number 8 the treatment of E-money service providers, retrieved from:</w:t>
      </w:r>
      <w:r>
        <w:t xml:space="preserve"> </w:t>
      </w:r>
      <w:r>
        <w:t xml:space="preserve">https://www.oecd.org/tax/exchange-of-tax-information/CRS-related-</w:t>
      </w:r>
      <w:r>
        <w:t xml:space="preserve"> </w:t>
      </w:r>
      <w:r>
        <w:t xml:space="preserve">FAQs.pdfhttps://www.oecd.org/tax/exchange-of-tax-information/CRS-related-FAQs.pdf</w:t>
      </w:r>
      <w:r>
        <w:t xml:space="preserve"> </w:t>
      </w:r>
      <w:r>
        <w:t xml:space="preserve">Shaw, J., Slemrod, J., &amp; Whiting, J. (2010). Administration and compliance. Dimensions of Tax</w:t>
      </w:r>
      <w:r>
        <w:t xml:space="preserve"> </w:t>
      </w:r>
      <w:r>
        <w:t xml:space="preserve">Design. The Mirrlees Review. Oxford University Press, chapter 12, p. 1126.</w:t>
      </w:r>
      <w:r>
        <w:t xml:space="preserve"> </w:t>
      </w:r>
      <w:r>
        <w:t xml:space="preserve">Thiemann (2021). Cryptocurrencies: An empirical view from a tax perspective, JRC Working</w:t>
      </w:r>
      <w:r>
        <w:t xml:space="preserve"> </w:t>
      </w:r>
      <w:r>
        <w:t xml:space="preserve">Papers on Taxation and Structural Reforms, No 12.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8122">
    <w:nsid w:val="0A998122"/>
    <w:multiLevelType w:val="multilevel"/>
    <w:lvl w:ilvl="0">
      <w:start w:val="22"/>
      <w:numFmt w:val="upperLetter"/>
      <w:lvlText w:val="%1."/>
      <w:lvlJc w:val="left"/>
      <w:pPr>
        <w:ind w:left="720" w:hanging="360"/>
      </w:pPr>
    </w:lvl>
    <w:lvl w:ilvl="1">
      <w:start w:val="22"/>
      <w:numFmt w:val="upperLetter"/>
      <w:lvlText w:val="%2."/>
      <w:lvlJc w:val="left"/>
      <w:pPr>
        <w:ind w:left="1440" w:hanging="360"/>
      </w:pPr>
    </w:lvl>
    <w:lvl w:ilvl="2">
      <w:start w:val="22"/>
      <w:numFmt w:val="upperLetter"/>
      <w:lvlText w:val="%3."/>
      <w:lvlJc w:val="left"/>
      <w:pPr>
        <w:ind w:left="2160" w:hanging="360"/>
      </w:pPr>
    </w:lvl>
    <w:lvl w:ilvl="3">
      <w:start w:val="22"/>
      <w:numFmt w:val="upperLetter"/>
      <w:lvlText w:val="%4."/>
      <w:lvlJc w:val="left"/>
      <w:pPr>
        <w:ind w:left="2880" w:hanging="360"/>
      </w:pPr>
    </w:lvl>
    <w:lvl w:ilvl="4">
      <w:start w:val="22"/>
      <w:numFmt w:val="upperLetter"/>
      <w:lvlText w:val="%5."/>
      <w:lvlJc w:val="left"/>
      <w:pPr>
        <w:ind w:left="3600" w:hanging="360"/>
      </w:pPr>
    </w:lvl>
    <w:lvl w:ilvl="5">
      <w:start w:val="22"/>
      <w:numFmt w:val="upperLetter"/>
      <w:lvlText w:val="%6."/>
      <w:lvlJc w:val="left"/>
      <w:pPr>
        <w:ind w:left="4320" w:hanging="360"/>
      </w:pPr>
    </w:lvl>
    <w:lvl w:ilvl="6">
      <w:start w:val="22"/>
      <w:numFmt w:val="upperLetter"/>
      <w:lvlText w:val="%7."/>
      <w:lvlJc w:val="left"/>
      <w:pPr>
        <w:ind w:left="5040" w:hanging="360"/>
      </w:pPr>
    </w:lvl>
    <w:lvl w:ilvl="7">
      <w:start w:val="22"/>
      <w:numFmt w:val="upperLetter"/>
      <w:lvlText w:val="%8."/>
      <w:lvlJc w:val="left"/>
      <w:pPr>
        <w:ind w:left="5760" w:hanging="360"/>
      </w:pPr>
    </w:lvl>
    <w:lvl w:ilvl="8">
      <w:start w:val="22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824">
    <w:nsid w:val="00A99824"/>
    <w:multiLevelType w:val="multilevel"/>
    <w:lvl w:ilvl="0">
      <w:start w:val="4"/>
      <w:numFmt w:val="upperLetter"/>
      <w:lvlText w:val="%1)"/>
      <w:lvlJc w:val="left"/>
      <w:pPr>
        <w:ind w:left="720" w:hanging="360"/>
      </w:pPr>
    </w:lvl>
    <w:lvl w:ilvl="1">
      <w:start w:val="4"/>
      <w:numFmt w:val="upperLetter"/>
      <w:lvlText w:val="%2)"/>
      <w:lvlJc w:val="left"/>
      <w:pPr>
        <w:ind w:left="1440" w:hanging="360"/>
      </w:pPr>
    </w:lvl>
    <w:lvl w:ilvl="2">
      <w:start w:val="4"/>
      <w:numFmt w:val="upperLetter"/>
      <w:lvlText w:val="%3)"/>
      <w:lvlJc w:val="left"/>
      <w:pPr>
        <w:ind w:left="2160" w:hanging="360"/>
      </w:pPr>
    </w:lvl>
    <w:lvl w:ilvl="3">
      <w:start w:val="4"/>
      <w:numFmt w:val="upperLetter"/>
      <w:lvlText w:val="%4)"/>
      <w:lvlJc w:val="left"/>
      <w:pPr>
        <w:ind w:left="2880" w:hanging="360"/>
      </w:pPr>
    </w:lvl>
    <w:lvl w:ilvl="4">
      <w:start w:val="4"/>
      <w:numFmt w:val="upperLetter"/>
      <w:lvlText w:val="%5)"/>
      <w:lvlJc w:val="left"/>
      <w:pPr>
        <w:ind w:left="3600" w:hanging="360"/>
      </w:pPr>
    </w:lvl>
    <w:lvl w:ilvl="5">
      <w:start w:val="4"/>
      <w:numFmt w:val="upperLetter"/>
      <w:lvlText w:val="%6)"/>
      <w:lvlJc w:val="left"/>
      <w:pPr>
        <w:ind w:left="4320" w:hanging="360"/>
      </w:pPr>
    </w:lvl>
    <w:lvl w:ilvl="6">
      <w:start w:val="4"/>
      <w:numFmt w:val="upperLetter"/>
      <w:lvlText w:val="%7)"/>
      <w:lvlJc w:val="left"/>
      <w:pPr>
        <w:ind w:left="5040" w:hanging="360"/>
      </w:pPr>
    </w:lvl>
    <w:lvl w:ilvl="7">
      <w:start w:val="4"/>
      <w:numFmt w:val="upperLetter"/>
      <w:lvlText w:val="%8)"/>
      <w:lvlJc w:val="left"/>
      <w:pPr>
        <w:ind w:left="5760" w:hanging="360"/>
      </w:pPr>
    </w:lvl>
    <w:lvl w:ilvl="8">
      <w:start w:val="4"/>
      <w:numFmt w:val="upperLetter"/>
      <w:lvlText w:val="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1"/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1"/>
  </w:num>
  <w:num w:numId="103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2026-07-31T16:47:31Z</dcterms:created>
  <dcterms:modified xsi:type="dcterms:W3CDTF">2026-07-31T16:47:31Z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