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EN</w:t>
      </w:r>
    </w:p>
    <w:p>
      <w:pPr>
        <w:pStyle w:val="BodyText"/>
      </w:pPr>
      <w:r>
        <w:t xml:space="preserve">EN</w:t>
      </w:r>
    </w:p>
    <w:p>
      <w:pPr>
        <w:pStyle w:val="BodyText"/>
      </w:pPr>
      <w:r>
        <w:t xml:space="preserve">EUROPEAN</w:t>
      </w:r>
      <w:r>
        <w:t xml:space="preserve"> </w:t>
      </w:r>
      <w:r>
        <w:t xml:space="preserve">COMMISSION</w:t>
      </w:r>
      <w:r>
        <w:t xml:space="preserve"> </w:t>
      </w:r>
      <w:r>
        <w:t xml:space="preserve">Brussels, 19.12.2022</w:t>
      </w:r>
      <w:r>
        <w:br/>
      </w:r>
      <w:r>
        <w:t xml:space="preserve">SWD(2022) 435 final</w:t>
      </w:r>
      <w:r>
        <w:t xml:space="preserve"> </w:t>
      </w:r>
      <w:r>
        <w:t xml:space="preserve">PART 1/5</w:t>
      </w:r>
    </w:p>
    <w:p>
      <w:pPr>
        <w:pStyle w:val="BodyText"/>
      </w:pPr>
      <w:r>
        <w:t xml:space="preserve">COMMISSION STAFF WORKING DOCUMENT</w:t>
      </w:r>
    </w:p>
    <w:p>
      <w:pPr>
        <w:pStyle w:val="BodyText"/>
      </w:pPr>
      <w:r>
        <w:t xml:space="preserve">IMPACT ASSESSMENT REPORT</w:t>
      </w:r>
    </w:p>
    <w:p>
      <w:pPr>
        <w:pStyle w:val="BodyText"/>
      </w:pPr>
      <w:r>
        <w:t xml:space="preserve">Accompanying the document</w:t>
      </w:r>
      <w:r>
        <w:t xml:space="preserve"> </w:t>
      </w:r>
      <w:r>
        <w:t xml:space="preserve">Proposal for a Regulation of the European Parliament and of the Council</w:t>
      </w:r>
      <w:r>
        <w:t xml:space="preserve"> </w:t>
      </w:r>
      <w:r>
        <w:t xml:space="preserve">amending Regulation (EC) No 1272/2008 of the European Parliament and of the Council</w:t>
      </w:r>
      <w:r>
        <w:t xml:space="preserve"> </w:t>
      </w:r>
      <w:r>
        <w:t xml:space="preserve">on classification, labelling and packaging of substances and mixtures</w:t>
      </w:r>
      <w:r>
        <w:t xml:space="preserve"> </w:t>
      </w:r>
      <w:r>
        <w:t xml:space="preserve">{COM(2022) 748 final} - {SEC(2022) 452 final} - {SWD(2022) 434 final} -</w:t>
      </w:r>
      <w:r>
        <w:t xml:space="preserve"> </w:t>
      </w:r>
      <w:r>
        <w:t xml:space="preserve">{SWD(2022) 436 final}</w:t>
      </w:r>
    </w:p>
    <w:p>
      <w:pPr>
        <w:pStyle w:val="BodyText"/>
      </w:pPr>
      <w:r>
        <w:t xml:space="preserve">1</w:t>
      </w:r>
    </w:p>
    <w:p>
      <w:pPr>
        <w:pStyle w:val="BodyText"/>
      </w:pPr>
      <w:r>
        <w:t xml:space="preserve">Table of contents</w:t>
      </w:r>
      <w:r>
        <w:t xml:space="preserve"> </w:t>
      </w:r>
      <w:r>
        <w:t xml:space="preserve">1</w:t>
      </w:r>
      <w:r>
        <w:t xml:space="preserve"> </w:t>
      </w:r>
      <w:r>
        <w:t xml:space="preserve">INTRODUCTION ……………………………………………………………………………………………………………….. 4</w:t>
      </w:r>
      <w:r>
        <w:t xml:space="preserve"> </w:t>
      </w:r>
      <w:r>
        <w:t xml:space="preserve">1.1</w:t>
      </w:r>
      <w:r>
        <w:t xml:space="preserve"> </w:t>
      </w:r>
      <w:r>
        <w:t xml:space="preserve">Policy context ………………………………………………………………………………………. 4</w:t>
      </w:r>
      <w:r>
        <w:t xml:space="preserve"> </w:t>
      </w:r>
      <w:r>
        <w:t xml:space="preserve">1.2</w:t>
      </w:r>
      <w:r>
        <w:t xml:space="preserve"> </w:t>
      </w:r>
      <w:r>
        <w:t xml:space="preserve">Legal context (see Annex 5 for more details) …………………………………………… 5</w:t>
      </w:r>
      <w:r>
        <w:t xml:space="preserve"> </w:t>
      </w:r>
      <w:r>
        <w:t xml:space="preserve">2</w:t>
      </w:r>
      <w:r>
        <w:t xml:space="preserve"> </w:t>
      </w:r>
      <w:r>
        <w:t xml:space="preserve">PROBLEM DEFINITION …………………………………………………………………………………………………….. 7</w:t>
      </w:r>
      <w:r>
        <w:t xml:space="preserve"> </w:t>
      </w:r>
      <w:r>
        <w:t xml:space="preserve">2.1</w:t>
      </w:r>
      <w:r>
        <w:t xml:space="preserve"> </w:t>
      </w:r>
      <w:r>
        <w:t xml:space="preserve">The problem - Insufficient health and environment protection from</w:t>
      </w:r>
      <w:r>
        <w:t xml:space="preserve"> </w:t>
      </w:r>
      <w:r>
        <w:t xml:space="preserve">hazardous substances in the internal market for chemicals …………………………. 7</w:t>
      </w:r>
      <w:r>
        <w:t xml:space="preserve"> </w:t>
      </w:r>
      <w:r>
        <w:t xml:space="preserve">2.2</w:t>
      </w:r>
      <w:r>
        <w:t xml:space="preserve"> </w:t>
      </w:r>
      <w:r>
        <w:t xml:space="preserve">The problem drivers …………………………………………………………………………….. 15</w:t>
      </w:r>
      <w:r>
        <w:t xml:space="preserve"> </w:t>
      </w:r>
      <w:r>
        <w:t xml:space="preserve">2.3</w:t>
      </w:r>
      <w:r>
        <w:t xml:space="preserve"> </w:t>
      </w:r>
      <w:r>
        <w:t xml:space="preserve">How likely is the problem to persist? ……………………………………………………… 17</w:t>
      </w:r>
      <w:r>
        <w:t xml:space="preserve"> </w:t>
      </w:r>
      <w:r>
        <w:t xml:space="preserve">3</w:t>
      </w:r>
      <w:r>
        <w:t xml:space="preserve"> </w:t>
      </w:r>
      <w:r>
        <w:t xml:space="preserve">WHY SHOULD THE EU ACT? ………………………………………………………………………………………….. 19</w:t>
      </w:r>
      <w:r>
        <w:t xml:space="preserve"> </w:t>
      </w:r>
      <w:r>
        <w:t xml:space="preserve">3.1</w:t>
      </w:r>
      <w:r>
        <w:t xml:space="preserve"> </w:t>
      </w:r>
      <w:r>
        <w:t xml:space="preserve">Legal basis ………………………………………………………………………………………….. 19</w:t>
      </w:r>
      <w:r>
        <w:t xml:space="preserve"> </w:t>
      </w:r>
      <w:r>
        <w:t xml:space="preserve">3.2</w:t>
      </w:r>
      <w:r>
        <w:t xml:space="preserve"> </w:t>
      </w:r>
      <w:r>
        <w:t xml:space="preserve">Subsidiarity: Necessity of EU action ………………………………………………………. 19</w:t>
      </w:r>
      <w:r>
        <w:t xml:space="preserve"> </w:t>
      </w:r>
      <w:r>
        <w:t xml:space="preserve">3.3</w:t>
      </w:r>
      <w:r>
        <w:t xml:space="preserve"> </w:t>
      </w:r>
      <w:r>
        <w:t xml:space="preserve">Subsidiarity: Added value of EU action ………………………………………………….. 20</w:t>
      </w:r>
      <w:r>
        <w:t xml:space="preserve"> </w:t>
      </w:r>
      <w:r>
        <w:t xml:space="preserve">4</w:t>
      </w:r>
      <w:r>
        <w:t xml:space="preserve"> </w:t>
      </w:r>
      <w:r>
        <w:t xml:space="preserve">OBJECTIVES: WHAT IS TO BE ACHIEVED? ……………………………………………………………………. 20</w:t>
      </w:r>
      <w:r>
        <w:t xml:space="preserve"> </w:t>
      </w:r>
      <w:r>
        <w:t xml:space="preserve">4.1</w:t>
      </w:r>
      <w:r>
        <w:t xml:space="preserve"> </w:t>
      </w:r>
      <w:r>
        <w:t xml:space="preserve">General objectives ……………………………………………………………………………….. 20</w:t>
      </w:r>
      <w:r>
        <w:t xml:space="preserve"> </w:t>
      </w:r>
      <w:r>
        <w:t xml:space="preserve">4.2</w:t>
      </w:r>
      <w:r>
        <w:t xml:space="preserve"> </w:t>
      </w:r>
      <w:r>
        <w:t xml:space="preserve">Specific objectives ……………………………………………………………………………….. 20</w:t>
      </w:r>
      <w:r>
        <w:t xml:space="preserve"> </w:t>
      </w:r>
      <w:r>
        <w:t xml:space="preserve">5</w:t>
      </w:r>
      <w:r>
        <w:t xml:space="preserve"> </w:t>
      </w:r>
      <w:r>
        <w:t xml:space="preserve">WHAT ARE THE AVAILABLE POLICY OPTIONS? ………………………………………………………….. 21</w:t>
      </w:r>
      <w:r>
        <w:t xml:space="preserve"> </w:t>
      </w:r>
      <w:r>
        <w:t xml:space="preserve">5.1</w:t>
      </w:r>
      <w:r>
        <w:t xml:space="preserve"> </w:t>
      </w:r>
      <w:r>
        <w:t xml:space="preserve">What is the baseline from which options are assessed? …………………………….. 22</w:t>
      </w:r>
      <w:r>
        <w:t xml:space="preserve"> </w:t>
      </w:r>
      <w:r>
        <w:t xml:space="preserve">5.2</w:t>
      </w:r>
      <w:r>
        <w:t xml:space="preserve"> </w:t>
      </w:r>
      <w:r>
        <w:t xml:space="preserve">Description of the policy options …………………………………………………………… 27</w:t>
      </w:r>
      <w:r>
        <w:t xml:space="preserve"> </w:t>
      </w:r>
      <w:r>
        <w:t xml:space="preserve">5.3</w:t>
      </w:r>
      <w:r>
        <w:t xml:space="preserve"> </w:t>
      </w:r>
      <w:r>
        <w:t xml:space="preserve">Options discarded at an early stage ………………………………………………………… 34</w:t>
      </w:r>
      <w:r>
        <w:t xml:space="preserve"> </w:t>
      </w:r>
      <w:r>
        <w:t xml:space="preserve">6</w:t>
      </w:r>
      <w:r>
        <w:t xml:space="preserve"> </w:t>
      </w:r>
      <w:r>
        <w:t xml:space="preserve">WHAT ARE THE IMPACTS OF THE POLICY OPTIONS? ………………………………………………….. 35</w:t>
      </w:r>
      <w:r>
        <w:t xml:space="preserve"> </w:t>
      </w:r>
      <w:r>
        <w:t xml:space="preserve">6.1</w:t>
      </w:r>
      <w:r>
        <w:t xml:space="preserve"> </w:t>
      </w:r>
      <w:r>
        <w:t xml:space="preserve">Classification of chemical hazards (Policy Option 1) ……………………………….. 35</w:t>
      </w:r>
      <w:r>
        <w:t xml:space="preserve"> </w:t>
      </w:r>
      <w:r>
        <w:t xml:space="preserve">6.2</w:t>
      </w:r>
      <w:r>
        <w:t xml:space="preserve"> </w:t>
      </w:r>
      <w:r>
        <w:t xml:space="preserve">Communication of chemical hazards (Policy Option 2) ……………………………. 40</w:t>
      </w:r>
      <w:r>
        <w:t xml:space="preserve"> </w:t>
      </w:r>
      <w:r>
        <w:t xml:space="preserve">6.3</w:t>
      </w:r>
      <w:r>
        <w:t xml:space="preserve"> </w:t>
      </w:r>
      <w:r>
        <w:t xml:space="preserve">Addressing main legal gaps and ambiguities (Policy Option 3) …………………. 41</w:t>
      </w:r>
      <w:r>
        <w:t xml:space="preserve"> </w:t>
      </w:r>
      <w:r>
        <w:t xml:space="preserve">7</w:t>
      </w:r>
      <w:r>
        <w:t xml:space="preserve"> </w:t>
      </w:r>
      <w:r>
        <w:t xml:space="preserve">HOW DO THE OPTIONS COMPARE? ……………………………………………………………………………….. 44</w:t>
      </w:r>
      <w:r>
        <w:t xml:space="preserve"> </w:t>
      </w:r>
      <w:r>
        <w:t xml:space="preserve">7.1</w:t>
      </w:r>
      <w:r>
        <w:t xml:space="preserve"> </w:t>
      </w:r>
      <w:r>
        <w:t xml:space="preserve">Classification of chemical hazards (Policy Option 1) ……………………………….. 44</w:t>
      </w:r>
      <w:r>
        <w:t xml:space="preserve"> </w:t>
      </w:r>
      <w:r>
        <w:t xml:space="preserve">7.2</w:t>
      </w:r>
      <w:r>
        <w:t xml:space="preserve"> </w:t>
      </w:r>
      <w:r>
        <w:t xml:space="preserve">Communication of chemical hazards (Policy Option 2) ……………………………. 44</w:t>
      </w:r>
      <w:r>
        <w:t xml:space="preserve"> </w:t>
      </w:r>
      <w:r>
        <w:t xml:space="preserve">7.3</w:t>
      </w:r>
      <w:r>
        <w:t xml:space="preserve"> </w:t>
      </w:r>
      <w:r>
        <w:t xml:space="preserve">Addressing main legal gaps and ambiguities (Policy Option 3) …………………. 45</w:t>
      </w:r>
      <w:r>
        <w:t xml:space="preserve"> </w:t>
      </w:r>
      <w:r>
        <w:t xml:space="preserve">8</w:t>
      </w:r>
      <w:r>
        <w:t xml:space="preserve"> </w:t>
      </w:r>
      <w:r>
        <w:t xml:space="preserve">PREFERRED OPTION ………………………………………………………………………………………………………. 49</w:t>
      </w:r>
      <w:r>
        <w:t xml:space="preserve"> </w:t>
      </w:r>
      <w:r>
        <w:t xml:space="preserve">8.1</w:t>
      </w:r>
      <w:r>
        <w:t xml:space="preserve"> </w:t>
      </w:r>
      <w:r>
        <w:t xml:space="preserve">Description of combined preferred option ………………………………………………. 49</w:t>
      </w:r>
      <w:r>
        <w:t xml:space="preserve"> </w:t>
      </w:r>
      <w:r>
        <w:t xml:space="preserve">8.2</w:t>
      </w:r>
      <w:r>
        <w:t xml:space="preserve"> </w:t>
      </w:r>
      <w:r>
        <w:t xml:space="preserve">Potential for burden reduction and simplification …………………………………….. 51</w:t>
      </w:r>
      <w:r>
        <w:t xml:space="preserve"> </w:t>
      </w:r>
      <w:r>
        <w:t xml:space="preserve">8.3</w:t>
      </w:r>
      <w:r>
        <w:t xml:space="preserve"> </w:t>
      </w:r>
      <w:r>
        <w:t xml:space="preserve">Application of the ‘one in, one out’ approach ………………………………………….. 52</w:t>
      </w:r>
      <w:r>
        <w:t xml:space="preserve"> </w:t>
      </w:r>
      <w:r>
        <w:t xml:space="preserve">9</w:t>
      </w:r>
      <w:r>
        <w:t xml:space="preserve"> </w:t>
      </w:r>
      <w:r>
        <w:t xml:space="preserve">HOW WILL ACTUAL IMPACTS BE MONITORED AND EVALUATED? ……………………………. 52</w:t>
      </w:r>
    </w:p>
    <w:p>
      <w:pPr>
        <w:pStyle w:val="BodyText"/>
      </w:pPr>
      <w:r>
        <w:t xml:space="preserve">2</w:t>
      </w:r>
    </w:p>
    <w:p>
      <w:pPr>
        <w:pStyle w:val="BodyText"/>
      </w:pPr>
      <w:r>
        <w:t xml:space="preserve">ANNEX 1 – PROCEDURAL INFORMATION ………………………………………………………………………………… 55</w:t>
      </w:r>
      <w:r>
        <w:t xml:space="preserve"> </w:t>
      </w:r>
      <w:r>
        <w:t xml:space="preserve">ANNEX 2 – STAKEHOLDER CONSULTATION (SYNOPSIS REPORT) …………………………………………. 63</w:t>
      </w:r>
      <w:r>
        <w:t xml:space="preserve"> </w:t>
      </w:r>
      <w:r>
        <w:t xml:space="preserve">ANNEX 3 – WHO IS AFFECTED AND HOW? ………………………………………………………………………………. 83</w:t>
      </w:r>
      <w:r>
        <w:t xml:space="preserve"> </w:t>
      </w:r>
      <w:r>
        <w:t xml:space="preserve">ANNEX 4 – ANALYTICAL METHODS ………………………………………………………………………………………… 88</w:t>
      </w:r>
      <w:r>
        <w:t xml:space="preserve"> </w:t>
      </w:r>
      <w:r>
        <w:t xml:space="preserve">ANNEX 5 – THE CLP REGULATION AND OTHER PIECES OF CHEMICAL LEGISLATION ……….. 142</w:t>
      </w:r>
      <w:r>
        <w:t xml:space="preserve"> </w:t>
      </w:r>
      <w:r>
        <w:t xml:space="preserve">ANNEX 6 – SUMMARY OF THE FINDINGS OF THE FITNESS CHECK ON CHEMICAL</w:t>
      </w:r>
      <w:r>
        <w:t xml:space="preserve"> </w:t>
      </w:r>
      <w:r>
        <w:t xml:space="preserve">REGULATIONS (EXCEPT REACH) ……………………………………………………………………………………………. 147</w:t>
      </w:r>
      <w:r>
        <w:t xml:space="preserve"> </w:t>
      </w:r>
      <w:r>
        <w:t xml:space="preserve">ANNEX 7 – BASELINE, DISCARDED MEASURES AND ASSESSMENT OF POLICY MEASURES . 150</w:t>
      </w:r>
      <w:r>
        <w:t xml:space="preserve"> </w:t>
      </w:r>
      <w:r>
        <w:t xml:space="preserve">ANNEX 8 – NEW HAZARD CLASSES ………………………………………………………………………………………… 187</w:t>
      </w:r>
      <w:r>
        <w:t xml:space="preserve"> </w:t>
      </w:r>
      <w:r>
        <w:t xml:space="preserve">ANNEX 9 – HARMONISED REFERENCE VALUES ……………………………………………………………………. 242</w:t>
      </w:r>
      <w:r>
        <w:t xml:space="preserve"> </w:t>
      </w:r>
      <w:r>
        <w:t xml:space="preserve">ANNEX 10 – ALLOWING COM TO INITIATE CLH &amp; IMPROVING PRIORITISATION OF CLH ….. 262</w:t>
      </w:r>
      <w:r>
        <w:t xml:space="preserve"> </w:t>
      </w:r>
      <w:r>
        <w:t xml:space="preserve">ANNEX 11 - CONVERGENCE OF SELF-CLASSIFICATION………………………………………………………… 279</w:t>
      </w:r>
      <w:r>
        <w:t xml:space="preserve"> </w:t>
      </w:r>
      <w:r>
        <w:t xml:space="preserve">ANNEX 12 – HAZARD LABELLING ………………………………………………………………………………………….. 325</w:t>
      </w:r>
      <w:r>
        <w:t xml:space="preserve"> </w:t>
      </w:r>
      <w:r>
        <w:t xml:space="preserve">ANNEX 13 – DIGITAL LABELLING …………………………………………………………………………………………… 363</w:t>
      </w:r>
      <w:r>
        <w:t xml:space="preserve"> </w:t>
      </w:r>
      <w:r>
        <w:t xml:space="preserve">ANNEX 13A – STAKEHOLDER CONSULTATION – SYNOPSIS REPORT (DIGITAL LABELLING) 423</w:t>
      </w:r>
      <w:r>
        <w:t xml:space="preserve"> </w:t>
      </w:r>
      <w:r>
        <w:t xml:space="preserve">ANNEX 13B – FACTUAL SUMMARY OF THE RESPONSES TO THE OPEN PUBLIC</w:t>
      </w:r>
      <w:r>
        <w:t xml:space="preserve"> </w:t>
      </w:r>
      <w:r>
        <w:t xml:space="preserve">CONSULTATION (DIGITAL LABELLING) ………………………………………………………………………………… 455</w:t>
      </w:r>
      <w:r>
        <w:t xml:space="preserve"> </w:t>
      </w:r>
      <w:r>
        <w:t xml:space="preserve">ANNEX 13C – LEGAL ANALYSIS (DIGITAL LABELLING) ……………………………………………………….. 474</w:t>
      </w:r>
      <w:r>
        <w:t xml:space="preserve"> </w:t>
      </w:r>
      <w:r>
        <w:t xml:space="preserve">ANNEX 13D – OVERVIEW OF COSTS AND BENEFITS UNDER THE PREFERRED OPTION ……… 497</w:t>
      </w:r>
      <w:r>
        <w:t xml:space="preserve"> </w:t>
      </w:r>
      <w:r>
        <w:t xml:space="preserve">ANNEX 13E – DESCRIPTION OF THE ANALYTICAL METHODS USED IN PREPARING THE</w:t>
      </w:r>
      <w:r>
        <w:t xml:space="preserve"> </w:t>
      </w:r>
      <w:r>
        <w:t xml:space="preserve">IMPACT ASSESSMENT (DIGITAL LABELLING) ……………………………………………………………………….. 499</w:t>
      </w:r>
      <w:r>
        <w:t xml:space="preserve"> </w:t>
      </w:r>
      <w:r>
        <w:t xml:space="preserve">ANNEX 14 – EXEMPTION FROM THE SCOPE OF CLP FOR CERTAIN PRODUCTS …………………… 504</w:t>
      </w:r>
      <w:r>
        <w:t xml:space="preserve"> </w:t>
      </w:r>
      <w:r>
        <w:t xml:space="preserve">APPENDIX – EXEMPTION FROM THE SCOPE OF CLP FOR CERTAIN PRODUCTS:</w:t>
      </w:r>
      <w:r>
        <w:t xml:space="preserve"> </w:t>
      </w:r>
      <w:r>
        <w:t xml:space="preserve">LEGISLATIVE ANALYSIS AND LITERATURE REVIEW …………………………………………………………… 514</w:t>
      </w:r>
      <w:r>
        <w:t xml:space="preserve"> </w:t>
      </w:r>
      <w:r>
        <w:t xml:space="preserve">ANNEX 15 – INFORMATION ON ONLINE SALES OF CHEMICALS …………………………………………… 562</w:t>
      </w:r>
      <w:r>
        <w:t xml:space="preserve"> </w:t>
      </w:r>
      <w:r>
        <w:t xml:space="preserve">ANNEX 16 – INFORMATION GAPS FOR POISON CENTRES ……………………………………………………… 608</w:t>
      </w:r>
      <w:r>
        <w:t xml:space="preserve"> </w:t>
      </w:r>
      <w:r>
        <w:t xml:space="preserve">ANNEX 17 – BIBLIOGRAPHY ……………………………………………………………………………………………………. 626</w:t>
      </w:r>
    </w:p>
    <w:p>
      <w:pPr>
        <w:pStyle w:val="BodyText"/>
      </w:pPr>
      <w:r>
        <w:t xml:space="preserve">3</w:t>
      </w:r>
    </w:p>
    <w:p>
      <w:pPr>
        <w:pStyle w:val="BodyText"/>
      </w:pPr>
      <w:r>
        <w:t xml:space="preserve">Glossary</w:t>
      </w:r>
    </w:p>
    <w:p>
      <w:pPr>
        <w:pStyle w:val="BodyText"/>
      </w:pPr>
      <w:r>
        <w:t xml:space="preserve">Term or acronym</w:t>
      </w:r>
      <w:r>
        <w:t xml:space="preserve"> </w:t>
      </w:r>
      <w:r>
        <w:t xml:space="preserve">Meaning or definition</w:t>
      </w:r>
      <w:r>
        <w:t xml:space="preserve"> </w:t>
      </w:r>
      <w:r>
        <w:t xml:space="preserve">CLP</w:t>
      </w:r>
      <w:r>
        <w:t xml:space="preserve"> </w:t>
      </w:r>
      <w:r>
        <w:t xml:space="preserve">Regulation (EC) No 1272/2008 on the Classification,</w:t>
      </w:r>
      <w:r>
        <w:t xml:space="preserve"> </w:t>
      </w:r>
      <w:r>
        <w:t xml:space="preserve">Labelling and Packaging of Substances and Mixtures</w:t>
      </w:r>
      <w:r>
        <w:t xml:space="preserve"> </w:t>
      </w:r>
      <w:r>
        <w:t xml:space="preserve">CMR</w:t>
      </w:r>
      <w:r>
        <w:t xml:space="preserve"> </w:t>
      </w:r>
      <w:r>
        <w:t xml:space="preserve">Carcinogenicity, mutagenicity, reproductive toxicity</w:t>
      </w:r>
      <w:r>
        <w:t xml:space="preserve"> </w:t>
      </w:r>
      <w:r>
        <w:t xml:space="preserve">D</w:t>
      </w:r>
      <w:r>
        <w:t xml:space="preserve"> </w:t>
      </w:r>
      <w:r>
        <w:t xml:space="preserve">Driver</w:t>
      </w:r>
      <w:r>
        <w:t xml:space="preserve"> </w:t>
      </w:r>
      <w:r>
        <w:t xml:space="preserve">ECHA</w:t>
      </w:r>
      <w:r>
        <w:t xml:space="preserve"> </w:t>
      </w:r>
      <w:r>
        <w:t xml:space="preserve">European Chemicals Agency</w:t>
      </w:r>
      <w:r>
        <w:t xml:space="preserve"> </w:t>
      </w:r>
      <w:r>
        <w:t xml:space="preserve">ED</w:t>
      </w:r>
      <w:r>
        <w:t xml:space="preserve"> </w:t>
      </w:r>
      <w:r>
        <w:t xml:space="preserve">Endocrine Disruptor</w:t>
      </w:r>
      <w:r>
        <w:t xml:space="preserve"> </w:t>
      </w:r>
      <w:r>
        <w:t xml:space="preserve">EU</w:t>
      </w:r>
      <w:r>
        <w:t xml:space="preserve"> </w:t>
      </w:r>
      <w:r>
        <w:t xml:space="preserve">European Union</w:t>
      </w:r>
      <w:r>
        <w:t xml:space="preserve"> </w:t>
      </w:r>
      <w:r>
        <w:t xml:space="preserve">GHS</w:t>
      </w:r>
      <w:r>
        <w:t xml:space="preserve"> </w:t>
      </w:r>
      <w:r>
        <w:t xml:space="preserve">(United</w:t>
      </w:r>
      <w:r>
        <w:t xml:space="preserve"> </w:t>
      </w:r>
      <w:r>
        <w:t xml:space="preserve">Nations)</w:t>
      </w:r>
      <w:r>
        <w:t xml:space="preserve"> </w:t>
      </w:r>
      <w:r>
        <w:t xml:space="preserve">Globally</w:t>
      </w:r>
      <w:r>
        <w:t xml:space="preserve"> </w:t>
      </w:r>
      <w:r>
        <w:t xml:space="preserve">Harmonized</w:t>
      </w:r>
      <w:r>
        <w:t xml:space="preserve"> </w:t>
      </w:r>
      <w:r>
        <w:t xml:space="preserve">System</w:t>
      </w:r>
      <w:r>
        <w:t xml:space="preserve"> </w:t>
      </w:r>
      <w:r>
        <w:t xml:space="preserve">of</w:t>
      </w:r>
      <w:r>
        <w:t xml:space="preserve"> </w:t>
      </w:r>
      <w:r>
        <w:t xml:space="preserve">Classification and Labelling of Chemicals</w:t>
      </w:r>
      <w:r>
        <w:t xml:space="preserve"> </w:t>
      </w:r>
      <w:r>
        <w:t xml:space="preserve">NGO</w:t>
      </w:r>
      <w:r>
        <w:t xml:space="preserve"> </w:t>
      </w:r>
      <w:r>
        <w:t xml:space="preserve">Non-governmental organisation</w:t>
      </w:r>
      <w:r>
        <w:t xml:space="preserve"> </w:t>
      </w:r>
      <w:r>
        <w:t xml:space="preserve">REACH</w:t>
      </w:r>
      <w:r>
        <w:t xml:space="preserve"> </w:t>
      </w:r>
      <w:r>
        <w:t xml:space="preserve">Regulation (EC) No 1907/2006 on the Registration,</w:t>
      </w:r>
      <w:r>
        <w:t xml:space="preserve"> </w:t>
      </w:r>
      <w:r>
        <w:t xml:space="preserve">Evaluation, Authorisation and Restriction of Chemicals</w:t>
      </w:r>
      <w:r>
        <w:t xml:space="preserve"> </w:t>
      </w:r>
      <w:r>
        <w:t xml:space="preserve">PBT and/ vPvB</w:t>
      </w:r>
      <w:r>
        <w:t xml:space="preserve"> </w:t>
      </w:r>
      <w:r>
        <w:t xml:space="preserve">Persistent, Bioaccumulative and Toxic and/ very Persistent</w:t>
      </w:r>
      <w:r>
        <w:t xml:space="preserve"> </w:t>
      </w:r>
      <w:r>
        <w:t xml:space="preserve">and very Bioaccumulative</w:t>
      </w:r>
      <w:r>
        <w:br/>
      </w:r>
      <w:r>
        <w:t xml:space="preserve">PMT and/ vPvM</w:t>
      </w:r>
      <w:r>
        <w:t xml:space="preserve"> </w:t>
      </w:r>
      <w:r>
        <w:t xml:space="preserve">Persistent, Mobile and Toxic and/ very Persistent, very</w:t>
      </w:r>
      <w:r>
        <w:t xml:space="preserve"> </w:t>
      </w:r>
      <w:r>
        <w:t xml:space="preserve">Mobile</w:t>
      </w:r>
      <w:r>
        <w:t xml:space="preserve"> </w:t>
      </w:r>
      <w:r>
        <w:t xml:space="preserve">PO</w:t>
      </w:r>
      <w:r>
        <w:t xml:space="preserve"> </w:t>
      </w:r>
      <w:r>
        <w:t xml:space="preserve">Policy Option</w:t>
      </w:r>
      <w:r>
        <w:t xml:space="preserve"> </w:t>
      </w:r>
      <w:r>
        <w:t xml:space="preserve">SME</w:t>
      </w:r>
      <w:r>
        <w:t xml:space="preserve"> </w:t>
      </w:r>
      <w:r>
        <w:t xml:space="preserve">Small and medium-sized enterprise</w:t>
      </w:r>
      <w:r>
        <w:t xml:space="preserve"> </w:t>
      </w:r>
      <w:r>
        <w:t xml:space="preserve">SVHC</w:t>
      </w:r>
      <w:r>
        <w:t xml:space="preserve"> </w:t>
      </w:r>
      <w:r>
        <w:t xml:space="preserve">Substance of Very High Concern (under REACH)</w:t>
      </w:r>
      <w:r>
        <w:t xml:space="preserve"> </w:t>
      </w:r>
      <w:r>
        <w:t xml:space="preserve">SDG</w:t>
      </w:r>
      <w:r>
        <w:t xml:space="preserve"> </w:t>
      </w:r>
      <w:r>
        <w:t xml:space="preserve">Sustainable Development Goals (United Nations)</w:t>
      </w:r>
      <w:r>
        <w:t xml:space="preserve"> </w:t>
      </w:r>
      <w:r>
        <w:t xml:space="preserve">TFEU</w:t>
      </w:r>
      <w:r>
        <w:t xml:space="preserve"> </w:t>
      </w:r>
      <w:r>
        <w:t xml:space="preserve">Treaty on the Functioning of the European Union</w:t>
      </w:r>
      <w:r>
        <w:br/>
      </w:r>
      <w:r>
        <w:t xml:space="preserve">VAT</w:t>
      </w:r>
      <w:r>
        <w:t xml:space="preserve"> </w:t>
      </w:r>
      <w:r>
        <w:t xml:space="preserve">Value-Added Tax</w:t>
      </w:r>
    </w:p>
    <w:p>
      <w:pPr>
        <w:pStyle w:val="BodyText"/>
      </w:pPr>
      <w:r>
        <w:t xml:space="preserve">4</w:t>
      </w:r>
    </w:p>
    <w:p>
      <w:pPr>
        <w:pStyle w:val="BodyText"/>
      </w:pPr>
      <w:r>
        <w:t xml:space="preserve">1</w:t>
      </w:r>
      <w:r>
        <w:t xml:space="preserve"> </w:t>
      </w:r>
      <w:r>
        <w:t xml:space="preserve">INTRODUCTION</w:t>
      </w:r>
      <w:r>
        <w:t xml:space="preserve"> </w:t>
      </w:r>
      <w:r>
        <w:t xml:space="preserve">1.1</w:t>
      </w:r>
      <w:r>
        <w:t xml:space="preserve"> </w:t>
      </w:r>
      <w:r>
        <w:t xml:space="preserve">Policy context</w:t>
      </w:r>
      <w:r>
        <w:t xml:space="preserve"> </w:t>
      </w:r>
      <w:r>
        <w:t xml:space="preserve">Chemicals are the building blocks of all materials and products we produce and use and are</w:t>
      </w:r>
      <w:r>
        <w:t xml:space="preserve"> </w:t>
      </w:r>
      <w:r>
        <w:t xml:space="preserve">therefore important determinants of their overall safety and sustainability. All European citizens are</w:t>
      </w:r>
      <w:r>
        <w:t xml:space="preserve"> </w:t>
      </w:r>
      <w:r>
        <w:t xml:space="preserve">exposed in their daily life to chemicals; many may also use chemicals at work.</w:t>
      </w:r>
    </w:p>
    <w:p>
      <w:pPr>
        <w:pStyle w:val="BodyText"/>
      </w:pPr>
      <w:r>
        <w:t xml:space="preserve">The EU is the second largest producer of chemicals in the world with €499.1 billion sales turnover</w:t>
      </w:r>
      <w:r>
        <w:t xml:space="preserve"> </w:t>
      </w:r>
      <w:r>
        <w:t xml:space="preserve">in 2020 (7.0% of EU manufacturing by turnover) and 14.4% of global sales1. Within the EU, two</w:t>
      </w:r>
      <w:r>
        <w:t xml:space="preserve"> </w:t>
      </w:r>
      <w:r>
        <w:t xml:space="preserve">thirds of these sales are generated in four Member States: Germany (32.1%), France (13.5%), Italy</w:t>
      </w:r>
      <w:r>
        <w:t xml:space="preserve"> </w:t>
      </w:r>
      <w:r>
        <w:t xml:space="preserve">(10.7%) and the Netherlands (8.9%). Around 50% of chemicals, in terms of sales, produced by the</w:t>
      </w:r>
      <w:r>
        <w:t xml:space="preserve"> </w:t>
      </w:r>
      <w:r>
        <w:t xml:space="preserve">EU27 plus the UK, supply the other industrial manufacturing sectors (e.g., textiles, construction,</w:t>
      </w:r>
      <w:r>
        <w:t xml:space="preserve"> </w:t>
      </w:r>
      <w:r>
        <w:t xml:space="preserve">agriculture, transport, health, hygiene, housing, food).</w:t>
      </w:r>
      <w:r>
        <w:br/>
      </w:r>
      <w:r>
        <w:t xml:space="preserve">The European Green Deal2 is the European Union’s growth strategy to set the EU on a course to</w:t>
      </w:r>
      <w:r>
        <w:t xml:space="preserve"> </w:t>
      </w:r>
      <w:r>
        <w:t xml:space="preserve">become a climate neutral, clean and circular economy by 2050. It has also set a goal to step up</w:t>
      </w:r>
      <w:r>
        <w:t xml:space="preserve"> </w:t>
      </w:r>
      <w:r>
        <w:t xml:space="preserve">protection of human health and the environment from hazardous chemicals and to move towards a</w:t>
      </w:r>
      <w:r>
        <w:t xml:space="preserve"> </w:t>
      </w:r>
      <w:r>
        <w:t xml:space="preserve">zero pollution ambition for a toxic-free environment, for which the Chemicals Strategy for</w:t>
      </w:r>
      <w:r>
        <w:t xml:space="preserve"> </w:t>
      </w:r>
      <w:r>
        <w:t xml:space="preserve">Sustainability3 adopted by the European Commission in 2020 was the first step, followed by the EU</w:t>
      </w:r>
      <w:r>
        <w:t xml:space="preserve"> </w:t>
      </w:r>
      <w:r>
        <w:t xml:space="preserve">Action Plan: ‘Towards Zero Pollution for Air, Water and Soil’4. The Chemicals Strategy for</w:t>
      </w:r>
      <w:r>
        <w:t xml:space="preserve"> </w:t>
      </w:r>
      <w:r>
        <w:t xml:space="preserve">Sustainability defines a 2030 vision and objectives where all chemicals will be produced and used</w:t>
      </w:r>
      <w:r>
        <w:t xml:space="preserve"> </w:t>
      </w:r>
      <w:r>
        <w:t xml:space="preserve">safely and sustainably, so that their negative impacts on health and environment are avoided, while</w:t>
      </w:r>
      <w:r>
        <w:t xml:space="preserve"> </w:t>
      </w:r>
      <w:r>
        <w:t xml:space="preserve">their benefits for the economy and society can be fully exploited. The EU’s New Industrial Strategy</w:t>
      </w:r>
      <w:r>
        <w:t xml:space="preserve"> </w:t>
      </w:r>
      <w:r>
        <w:t xml:space="preserve">for Europe supports those objectives through a set of measures for the twin transition to a green and</w:t>
      </w:r>
      <w:r>
        <w:t xml:space="preserve"> </w:t>
      </w:r>
      <w:r>
        <w:t xml:space="preserve">digital economy, with a particular focus on strengthening the resilience of the single market,</w:t>
      </w:r>
      <w:r>
        <w:t xml:space="preserve"> </w:t>
      </w:r>
      <w:r>
        <w:t xml:space="preserve">supporting the EU’s strategic autonomy and business cases for the twin transition. That strategy</w:t>
      </w:r>
      <w:r>
        <w:t xml:space="preserve"> </w:t>
      </w:r>
      <w:r>
        <w:t xml:space="preserve">also entails building capacity and supporting SMEs in their transition to sustainability.</w:t>
      </w:r>
      <w:r>
        <w:t xml:space="preserve"> </w:t>
      </w:r>
      <w:r>
        <w:t xml:space="preserve">Given the very cross-cutting nature of chemicals, which constitute the basic elements of virtually</w:t>
      </w:r>
      <w:r>
        <w:t xml:space="preserve"> </w:t>
      </w:r>
      <w:r>
        <w:t xml:space="preserve">every material and product that we produce and use, the objectives of the Chemicals Strategy for</w:t>
      </w:r>
      <w:r>
        <w:t xml:space="preserve"> </w:t>
      </w:r>
      <w:r>
        <w:t xml:space="preserve">Sustainability are closely linked to the other goals of the European Green Deal, in particular climate</w:t>
      </w:r>
      <w:r>
        <w:t xml:space="preserve"> </w:t>
      </w:r>
      <w:r>
        <w:t xml:space="preserve">neutrality, circularity, biodiversity protection and the green and digital transition of the EU</w:t>
      </w:r>
      <w:r>
        <w:t xml:space="preserve"> </w:t>
      </w:r>
      <w:r>
        <w:t xml:space="preserve">industry. Those objectives also contribute to the achievement of the United Nations Sustainable</w:t>
      </w:r>
      <w:r>
        <w:t xml:space="preserve"> </w:t>
      </w:r>
      <w:r>
        <w:t xml:space="preserve">Development Goals (SDGs), of which 4 are directly relevant for chemicals: SDG #3 Good health</w:t>
      </w:r>
      <w:r>
        <w:t xml:space="preserve"> </w:t>
      </w:r>
      <w:r>
        <w:t xml:space="preserve">and well-being, SDG #6 Clean water and sanitation, SDG #9 Industry, innovation and</w:t>
      </w:r>
      <w:r>
        <w:t xml:space="preserve"> </w:t>
      </w:r>
      <w:r>
        <w:t xml:space="preserve">infrastructure, SDG #12 Ensure sustainable consumption and production patterns (see Annex 3 for</w:t>
      </w:r>
      <w:r>
        <w:t xml:space="preserve"> </w:t>
      </w:r>
      <w:r>
        <w:t xml:space="preserve">more details).</w:t>
      </w:r>
      <w:r>
        <w:t xml:space="preserve"> </w:t>
      </w:r>
      <w:r>
        <w:t xml:space="preserve">The Chemicals Strategy for Sustainability announced the revision of the Regulation on the</w:t>
      </w:r>
      <w:r>
        <w:t xml:space="preserve"> </w:t>
      </w:r>
      <w:r>
        <w:t xml:space="preserve">Classification, Labelling and Packaging of Substances and Mixtures (CLP), the Regulation on the</w:t>
      </w:r>
      <w:r>
        <w:t xml:space="preserve"> </w:t>
      </w:r>
      <w:r>
        <w:t xml:space="preserve">Registration, Evaluation, Authorisation and Restriction of Chemicals (REACH), as well as a</w:t>
      </w:r>
      <w:r>
        <w:t xml:space="preserve"> </w:t>
      </w:r>
      <w:r>
        <w:t xml:space="preserve">number of pieces of product sectorial legislation containing provisions on chemicals (e.g. </w:t>
      </w:r>
      <w:r>
        <w:t xml:space="preserve"> </w:t>
      </w:r>
      <w:r>
        <w:t xml:space="preserve">cosmetics, toys, food contact materials, etc.). In particular, the Chemicals Strategy for</w:t>
      </w:r>
      <w:r>
        <w:t xml:space="preserve"> </w:t>
      </w:r>
      <w:r>
        <w:t xml:space="preserve">Sustainability calls for the REACH and CLP Regulations to be reinforced as the EU’s cornerstones</w:t>
      </w:r>
    </w:p>
    <w:p>
      <w:pPr>
        <w:pStyle w:val="BodyText"/>
      </w:pPr>
      <w:r>
        <w:t xml:space="preserve">1 CEFIC, Facts and Figures of the European Chemical Industry, 2022.</w:t>
      </w:r>
      <w:r>
        <w:br/>
      </w:r>
      <w:r>
        <w:t xml:space="preserve">2 COM(2019) 640.</w:t>
      </w:r>
      <w:r>
        <w:t xml:space="preserve"> </w:t>
      </w:r>
      <w:r>
        <w:t xml:space="preserve">3 COM(2020) 667.</w:t>
      </w:r>
      <w:r>
        <w:t xml:space="preserve"> </w:t>
      </w:r>
      <w:r>
        <w:t xml:space="preserve">4 COM(2021) 400.</w:t>
      </w:r>
    </w:p>
    <w:p>
      <w:pPr>
        <w:pStyle w:val="BodyText"/>
      </w:pPr>
      <w:r>
        <w:t xml:space="preserve">5</w:t>
      </w:r>
    </w:p>
    <w:p>
      <w:pPr>
        <w:pStyle w:val="BodyText"/>
      </w:pPr>
      <w:r>
        <w:t xml:space="preserve">for regulating chemicals, and to be complemented by coherent approaches to assess and manage</w:t>
      </w:r>
      <w:r>
        <w:t xml:space="preserve"> </w:t>
      </w:r>
      <w:r>
        <w:t xml:space="preserve">chemicals in existing sectorial legislation, especially in relation to consumer products.</w:t>
      </w:r>
      <w:r>
        <w:br/>
      </w:r>
      <w:r>
        <w:t xml:space="preserve">The targeted revision of CLP, as part of the Chemicals Strategy for Sustainability, was welcomed</w:t>
      </w:r>
      <w:r>
        <w:t xml:space="preserve"> </w:t>
      </w:r>
      <w:r>
        <w:t xml:space="preserve">by the Council5 and the European Parliament6. It echoed former calls from the European Parliament</w:t>
      </w:r>
      <w:r>
        <w:t xml:space="preserve"> </w:t>
      </w:r>
      <w:r>
        <w:t xml:space="preserve">on tackling chemicals with endocrine disrupting properties. Industry positively responded to the</w:t>
      </w:r>
      <w:r>
        <w:t xml:space="preserve"> </w:t>
      </w:r>
      <w:r>
        <w:t xml:space="preserve">Chemicals Strategy for Sustainability7 while strongly calling for additional support and a</w:t>
      </w:r>
      <w:r>
        <w:t xml:space="preserve"> </w:t>
      </w:r>
      <w:r>
        <w:t xml:space="preserve">collaborative approach to deliver on chemical sustainability in the EU. Non-governmental</w:t>
      </w:r>
      <w:r>
        <w:t xml:space="preserve"> </w:t>
      </w:r>
      <w:r>
        <w:t xml:space="preserve">associations (NGOs) welcomed the targeted revision in the consultation on the Inception Impact</w:t>
      </w:r>
      <w:r>
        <w:t xml:space="preserve"> </w:t>
      </w:r>
      <w:r>
        <w:t xml:space="preserve">Assessment (see Annex 2).</w:t>
      </w:r>
      <w:r>
        <w:t xml:space="preserve"> </w:t>
      </w:r>
      <w:r>
        <w:t xml:space="preserve">This impact assessment focuses on the revision of the CLP and is based on the shortcomings</w:t>
      </w:r>
      <w:r>
        <w:t xml:space="preserve"> </w:t>
      </w:r>
      <w:r>
        <w:t xml:space="preserve">identified in recent evaluations8,9 of the CLP and of its interfaces with other EU legislation</w:t>
      </w:r>
      <w:r>
        <w:t xml:space="preserve"> </w:t>
      </w:r>
      <w:r>
        <w:t xml:space="preserve">regulating chemicals. It will assess how different measures can help achieving the goal of a toxic-</w:t>
      </w:r>
      <w:r>
        <w:t xml:space="preserve"> </w:t>
      </w:r>
      <w:r>
        <w:t xml:space="preserve">free environment while fostering the internal market for chemicals and competitiveness of the EU</w:t>
      </w:r>
      <w:r>
        <w:t xml:space="preserve"> </w:t>
      </w:r>
      <w:r>
        <w:t xml:space="preserve">industry10. Since CLP provides for a horizontal approach to identify and classify the hazards related</w:t>
      </w:r>
      <w:r>
        <w:t xml:space="preserve"> </w:t>
      </w:r>
      <w:r>
        <w:t xml:space="preserve">to chemicals, its revision is a first necessary step for several elements of the revisions of REACH</w:t>
      </w:r>
      <w:r>
        <w:t xml:space="preserve"> </w:t>
      </w:r>
      <w:r>
        <w:t xml:space="preserve">and other sectorial legislation.</w:t>
      </w:r>
      <w:r>
        <w:br/>
      </w:r>
      <w:r>
        <w:t xml:space="preserve">1.2</w:t>
      </w:r>
      <w:r>
        <w:t xml:space="preserve"> </w:t>
      </w:r>
      <w:r>
        <w:t xml:space="preserve">Legal context (see Annex 5 for more details)</w:t>
      </w:r>
      <w:r>
        <w:t xml:space="preserve"> </w:t>
      </w:r>
      <w:r>
        <w:t xml:space="preserve">The objectives of CLP are to protect human health and the environment from hazardous chemicals</w:t>
      </w:r>
      <w:r>
        <w:t xml:space="preserve"> </w:t>
      </w:r>
      <w:r>
        <w:t xml:space="preserve">and to facilitate the free movement of chemicals in the European market.</w:t>
      </w:r>
      <w:r>
        <w:br/>
      </w:r>
      <w:r>
        <w:t xml:space="preserve">CLP focuses on the identification and classification of the intrinsic hazards of chemicals, i.e. the</w:t>
      </w:r>
      <w:r>
        <w:t xml:space="preserve"> </w:t>
      </w:r>
      <w:r>
        <w:t xml:space="preserve">hazardous effects of chemicals on human health or the environment, and on communicating them to</w:t>
      </w:r>
      <w:r>
        <w:t xml:space="preserve"> </w:t>
      </w:r>
      <w:r>
        <w:t xml:space="preserve">users of chemicals and decision makers (consumers, industry and authorities). Identifying the</w:t>
      </w:r>
      <w:r>
        <w:t xml:space="preserve"> </w:t>
      </w:r>
      <w:r>
        <w:t xml:space="preserve">intrinsic hazardous properties of substances to derive a hazard classification is the first step in</w:t>
      </w:r>
      <w:r>
        <w:t xml:space="preserve"> </w:t>
      </w:r>
      <w:r>
        <w:t xml:space="preserve">assessing chemical risks. The second step aims at quantifying at which dose the adverse effects</w:t>
      </w:r>
    </w:p>
    <w:p>
      <w:pPr>
        <w:pStyle w:val="BodyText"/>
      </w:pPr>
      <w:r>
        <w:t xml:space="preserve">5 Council Conclusions on Sustainable Chemicals Strategy of the Union, 2021.</w:t>
      </w:r>
      <w:r>
        <w:t xml:space="preserve"> </w:t>
      </w:r>
      <w:r>
        <w:t xml:space="preserve">6 European Parliament, Resolution of 10 July 2020 on the Chemicals Strategy for Sustainability, 2020.</w:t>
      </w:r>
      <w:r>
        <w:t xml:space="preserve"> </w:t>
      </w:r>
      <w:r>
        <w:t xml:space="preserve">7 CEFIC, Chemical Strategy for Sustainability, consulted 3/4/2022.</w:t>
      </w:r>
      <w:r>
        <w:t xml:space="preserve"> </w:t>
      </w:r>
      <w:r>
        <w:t xml:space="preserve">8 SWD(2019) 199.</w:t>
      </w:r>
      <w:r>
        <w:t xml:space="preserve"> </w:t>
      </w:r>
      <w:r>
        <w:t xml:space="preserve">9 SWD(2020) 251.</w:t>
      </w:r>
      <w:r>
        <w:t xml:space="preserve"> </w:t>
      </w:r>
      <w:r>
        <w:t xml:space="preserve">10Also in line with the EU Industrial Strategy COM(2021) 350 final and COM(2020) 102 final.</w:t>
      </w:r>
      <w:r>
        <w:t xml:space="preserve"> </w:t>
      </w:r>
      <w:r>
        <w:t xml:space="preserve">CLP in brief</w:t>
      </w:r>
      <w:r>
        <w:t xml:space="preserve"> </w:t>
      </w:r>
      <w:r>
        <w:t xml:space="preserve">CLP requires manufacturers, importers and downstream users to classify hazardous substances and</w:t>
      </w:r>
      <w:r>
        <w:t xml:space="preserve"> </w:t>
      </w:r>
      <w:r>
        <w:t xml:space="preserve">mixtures. CLP contains rules on how to classify chemicals. A classification can be harmonised and</w:t>
      </w:r>
      <w:r>
        <w:t xml:space="preserve"> </w:t>
      </w:r>
      <w:r>
        <w:t xml:space="preserve">applied across the EU to all duty holders. Such classification is adopted at EU level according to a</w:t>
      </w:r>
      <w:r>
        <w:t xml:space="preserve"> </w:t>
      </w:r>
      <w:r>
        <w:t xml:space="preserve">regulatory procedure. Where such harmonised classification does not exist, duty holders have to</w:t>
      </w:r>
      <w:r>
        <w:t xml:space="preserve"> </w:t>
      </w:r>
      <w:r>
        <w:t xml:space="preserve">assess and classify according to available data (‘self-classification’).</w:t>
      </w:r>
      <w:r>
        <w:t xml:space="preserve"> </w:t>
      </w:r>
      <w:r>
        <w:t xml:space="preserve">The hazard classification determines, amongst others, the appropriate labelling and packaging of</w:t>
      </w:r>
      <w:r>
        <w:t xml:space="preserve"> </w:t>
      </w:r>
      <w:r>
        <w:t xml:space="preserve">the chemicals in the supply chain, in particular to protect workers, consumers and the environment</w:t>
      </w:r>
      <w:r>
        <w:t xml:space="preserve"> </w:t>
      </w:r>
      <w:r>
        <w:t xml:space="preserve">(see Annex 5). Hazard communication also relies on notifications of substances which are self-</w:t>
      </w:r>
      <w:r>
        <w:t xml:space="preserve"> </w:t>
      </w:r>
      <w:r>
        <w:t xml:space="preserve">classified by industry and included in the CLP classification and labelling inventory, a public</w:t>
      </w:r>
      <w:r>
        <w:t xml:space="preserve"> </w:t>
      </w:r>
      <w:r>
        <w:t xml:space="preserve">database managed by ECHA. CLP also covers the notifications self-classifications of mixtures of</w:t>
      </w:r>
      <w:r>
        <w:t xml:space="preserve"> </w:t>
      </w:r>
      <w:r>
        <w:t xml:space="preserve">chemicals to poison centres, to provide adequate emergency health response.</w:t>
      </w:r>
    </w:p>
    <w:p>
      <w:pPr>
        <w:pStyle w:val="BodyText"/>
      </w:pPr>
      <w:r>
        <w:t xml:space="preserve">6</w:t>
      </w:r>
    </w:p>
    <w:p>
      <w:pPr>
        <w:pStyle w:val="BodyText"/>
      </w:pPr>
      <w:r>
        <w:t xml:space="preserve">happen, whose outcome is a reference value, and is currently performed outside CLP. Risk</w:t>
      </w:r>
      <w:r>
        <w:t xml:space="preserve"> </w:t>
      </w:r>
      <w:r>
        <w:t xml:space="preserve">management measures are adopted under REACH and relevant sectorial pieces of legislation (e.g. </w:t>
      </w:r>
      <w:r>
        <w:t xml:space="preserve"> </w:t>
      </w:r>
      <w:r>
        <w:t xml:space="preserve">cosmetics, toys, waste, detergents etc., see Figure 1 below. More details are available on the</w:t>
      </w:r>
      <w:r>
        <w:t xml:space="preserve"> </w:t>
      </w:r>
      <w:r>
        <w:t xml:space="preserve">interaction between legislation in Annex 5).</w:t>
      </w:r>
    </w:p>
    <w:p>
      <w:pPr>
        <w:pStyle w:val="BodyText"/>
      </w:pPr>
      <w:r>
        <w:t xml:space="preserve">Figure 1: Mapping of the pieces of legislation according to the different steps of hazard and risk assessments</w:t>
      </w:r>
      <w:r>
        <w:t xml:space="preserve"> </w:t>
      </w:r>
      <w:r>
        <w:t xml:space="preserve">CLP follows the United Nations’ Globally Harmonized System (GHS) of classification and</w:t>
      </w:r>
      <w:r>
        <w:t xml:space="preserve"> </w:t>
      </w:r>
      <w:r>
        <w:t xml:space="preserve">labelling of chemicals setting up criteria for classification and communication of physicochemical,</w:t>
      </w:r>
      <w:r>
        <w:t xml:space="preserve"> </w:t>
      </w:r>
      <w:r>
        <w:t xml:space="preserve">health, and environmental hazards. GHS is partly established on a “building blocks” approach,</w:t>
      </w:r>
      <w:r>
        <w:t xml:space="preserve"> </w:t>
      </w:r>
      <w:r>
        <w:t xml:space="preserve">whereby each jurisdiction has the option to implement a GHS block into its own legislation11. So</w:t>
      </w:r>
      <w:r>
        <w:t xml:space="preserve"> </w:t>
      </w:r>
      <w:r>
        <w:t xml:space="preserve">far, 83 countries worldwide implement the GHS12. CLP implements the GHS criteria into EU</w:t>
      </w:r>
      <w:r>
        <w:t xml:space="preserve"> </w:t>
      </w:r>
      <w:r>
        <w:t xml:space="preserve">legislation, but complements them with certain elements from former EU legislation (Dangerous</w:t>
      </w:r>
      <w:r>
        <w:t xml:space="preserve"> </w:t>
      </w:r>
      <w:r>
        <w:t xml:space="preserve">Substances Directive13 and Dangerous Preparations Directive14).</w:t>
      </w:r>
      <w:r>
        <w:t xml:space="preserve"> </w:t>
      </w:r>
      <w:r>
        <w:t xml:space="preserve">CLP, together with other pieces of EU legislation, was evaluated in 201915. An additional and more</w:t>
      </w:r>
      <w:r>
        <w:t xml:space="preserve"> </w:t>
      </w:r>
      <w:r>
        <w:t xml:space="preserve">targeted Fitness Check was also published on endocrine disruptors16. Those evaluations,</w:t>
      </w:r>
      <w:r>
        <w:t xml:space="preserve"> </w:t>
      </w:r>
      <w:r>
        <w:t xml:space="preserve">summarised in Annex 6, identified important issues and weaknesses holding CLP back from</w:t>
      </w:r>
      <w:r>
        <w:t xml:space="preserve"> </w:t>
      </w:r>
      <w:r>
        <w:t xml:space="preserve">delivering its full potential. These evaluations pinpointed nine potential areas of intervention:</w:t>
      </w:r>
      <w:r>
        <w:t xml:space="preserve"> </w:t>
      </w:r>
      <w:r>
        <w:t xml:space="preserve"> Introducing criteria for five outstanding new hazard classes (Annex 8)</w:t>
      </w:r>
      <w:r>
        <w:t xml:space="preserve"> </w:t>
      </w:r>
      <w:r>
        <w:t xml:space="preserve"> Providing harmonised reference values in addition to harmonised classification (Annex 9)</w:t>
      </w:r>
      <w:r>
        <w:t xml:space="preserve"> </w:t>
      </w:r>
      <w:r>
        <w:t xml:space="preserve"> Improving harmonised classification (Annex 10)</w:t>
      </w:r>
      <w:r>
        <w:t xml:space="preserve"> </w:t>
      </w:r>
      <w:r>
        <w:t xml:space="preserve"> Improving and streamlining industry’s self-classifications (Annex 11)</w:t>
      </w:r>
      <w:r>
        <w:t xml:space="preserve"> </w:t>
      </w:r>
      <w:r>
        <w:t xml:space="preserve"> Clarifying rules for hazard (physical) labelling (Annex 12)</w:t>
      </w:r>
      <w:r>
        <w:t xml:space="preserve"> </w:t>
      </w:r>
      <w:r>
        <w:t xml:space="preserve"> Introducing digital labelling (Annex 13)</w:t>
      </w:r>
      <w:r>
        <w:t xml:space="preserve"> </w:t>
      </w:r>
      <w:r>
        <w:t xml:space="preserve"> Reviewing the exemption of a number of chemical products from CLP (Annex 14)</w:t>
      </w:r>
      <w:r>
        <w:t xml:space="preserve"> </w:t>
      </w:r>
      <w:r>
        <w:t xml:space="preserve"> Addressing low compliance rate for online sales of chemicals (Annex 15)</w:t>
      </w:r>
      <w:r>
        <w:t xml:space="preserve"> </w:t>
      </w:r>
      <w:r>
        <w:t xml:space="preserve"> Closing notification gaps for poison centres (Annex 16)</w:t>
      </w:r>
    </w:p>
    <w:p>
      <w:pPr>
        <w:pStyle w:val="BodyText"/>
      </w:pPr>
      <w:r>
        <w:t xml:space="preserve">11 Global implementation map of GHS, September 2021.</w:t>
      </w:r>
      <w:r>
        <w:br/>
      </w:r>
      <w:r>
        <w:t xml:space="preserve">12 GHS Implementation, last updated 19 October 2021.</w:t>
      </w:r>
      <w:r>
        <w:br/>
      </w:r>
      <w:r>
        <w:t xml:space="preserve">13 Directive 67/548/EEC.</w:t>
      </w:r>
      <w:r>
        <w:t xml:space="preserve"> </w:t>
      </w:r>
      <w:r>
        <w:t xml:space="preserve">14 Directive 1999/45/EC.</w:t>
      </w:r>
      <w:r>
        <w:t xml:space="preserve"> </w:t>
      </w:r>
      <w:r>
        <w:t xml:space="preserve">15 SWD(2019) 199.</w:t>
      </w:r>
      <w:r>
        <w:br/>
      </w:r>
      <w:r>
        <w:t xml:space="preserve">16 SWD(2020) 251.</w:t>
      </w:r>
    </w:p>
    <w:p>
      <w:pPr>
        <w:pStyle w:val="BodyText"/>
      </w:pPr>
      <w:r>
        <w:t xml:space="preserve">7</w:t>
      </w:r>
    </w:p>
    <w:p>
      <w:pPr>
        <w:pStyle w:val="BodyText"/>
      </w:pPr>
      <w:r>
        <w:t xml:space="preserve">2</w:t>
      </w:r>
      <w:r>
        <w:t xml:space="preserve"> </w:t>
      </w:r>
      <w:r>
        <w:t xml:space="preserve">PROBLEM DEFINITION</w:t>
      </w:r>
      <w:r>
        <w:br/>
      </w:r>
      <w:r>
        <w:t xml:space="preserve">2.1</w:t>
      </w:r>
      <w:r>
        <w:t xml:space="preserve"> </w:t>
      </w:r>
      <w:r>
        <w:t xml:space="preserve">The problem - Insufficient health and environment protection from hazardous</w:t>
      </w:r>
      <w:r>
        <w:t xml:space="preserve"> </w:t>
      </w:r>
      <w:r>
        <w:t xml:space="preserve">substances in the internal market for chemicals</w:t>
      </w:r>
      <w:r>
        <w:t xml:space="preserve"> </w:t>
      </w:r>
      <w:r>
        <w:t xml:space="preserve">The chemicals Fitness Check concluded that the EU has the most advanced knowledge base on</w:t>
      </w:r>
      <w:r>
        <w:t xml:space="preserve"> </w:t>
      </w:r>
      <w:r>
        <w:t xml:space="preserve">chemicals globally. The EU has been overall successful in creating an efficiently functioning</w:t>
      </w:r>
      <w:r>
        <w:t xml:space="preserve"> </w:t>
      </w:r>
      <w:r>
        <w:t xml:space="preserve">internal market for chemicals and in reducing the risks to humans and the environment posed by</w:t>
      </w:r>
      <w:r>
        <w:t xml:space="preserve"> </w:t>
      </w:r>
      <w:r>
        <w:t xml:space="preserve">certain hazardous chemicals. However, the weaknesses identified in CLP hinder the capacity of all</w:t>
      </w:r>
      <w:r>
        <w:t xml:space="preserve"> </w:t>
      </w:r>
      <w:r>
        <w:t xml:space="preserve">market actors – in particular consumers, businesses and authorities - to base their decisions on</w:t>
      </w:r>
      <w:r>
        <w:t xml:space="preserve"> </w:t>
      </w:r>
      <w:r>
        <w:t xml:space="preserve">robust and relevant knowledge on the intrinsic properties of chemicals. The problem manifests</w:t>
      </w:r>
      <w:r>
        <w:t xml:space="preserve"> </w:t>
      </w:r>
      <w:r>
        <w:t xml:space="preserve">itself in three main areas, described in Table 1 and in the three following sections.</w:t>
      </w:r>
      <w:r>
        <w:t xml:space="preserve"> </w:t>
      </w:r>
      <w:r>
        <w:t xml:space="preserve">2.1.1 Hazardous chemicals are not comprehensively identified and classified</w:t>
      </w:r>
      <w:r>
        <w:t xml:space="preserve"> </w:t>
      </w:r>
      <w:r>
        <w:t xml:space="preserve">Hazardous chemicals cause harm to human health and the environment. While not all hazardous</w:t>
      </w:r>
      <w:r>
        <w:t xml:space="preserve"> </w:t>
      </w:r>
      <w:r>
        <w:t xml:space="preserve">chemicals raise the same concerns, certain chemicals cause for example cancers or affect the</w:t>
      </w:r>
      <w:r>
        <w:t xml:space="preserve"> </w:t>
      </w:r>
      <w:r>
        <w:t xml:space="preserve">immune, respiratory, endocrine, reproductive or cardiovascular system17,18,19. Human biomonitoring</w:t>
      </w:r>
      <w:r>
        <w:t xml:space="preserve"> </w:t>
      </w:r>
      <w:r>
        <w:t xml:space="preserve">studies in the EU point to a high number of different hazardous chemicals present in human blood</w:t>
      </w:r>
      <w:r>
        <w:t xml:space="preserve"> </w:t>
      </w:r>
      <w:r>
        <w:t xml:space="preserve">and body tissue20,21, including more than 200 synthetic chemicals identified in umbilical cord</w:t>
      </w:r>
      <w:r>
        <w:t xml:space="preserve"> </w:t>
      </w:r>
      <w:r>
        <w:t xml:space="preserve">blood. In addition, chemical pollution is one of the key drivers putting the environment at risk22,</w:t>
      </w:r>
      <w:r>
        <w:t xml:space="preserve"> </w:t>
      </w:r>
      <w:r>
        <w:t xml:space="preserve">impacting and amplifying planetary crises such as climate change, degradation of ecosystems or</w:t>
      </w:r>
      <w:r>
        <w:t xml:space="preserve"> </w:t>
      </w:r>
      <w:r>
        <w:t xml:space="preserve">loss of biodiversity23. In the EU, reports from the European Environment Agency provide the extent</w:t>
      </w:r>
      <w:r>
        <w:t xml:space="preserve"> </w:t>
      </w:r>
      <w:r>
        <w:t xml:space="preserve">of chemical contamination in water, soil and air compartments24. 84% of Europeans are worried</w:t>
      </w:r>
      <w:r>
        <w:t xml:space="preserve"> </w:t>
      </w:r>
      <w:r>
        <w:t xml:space="preserve">about the impact of chemicals present in everyday products on their health, and 90% are worried</w:t>
      </w:r>
      <w:r>
        <w:t xml:space="preserve"> </w:t>
      </w:r>
      <w:r>
        <w:t xml:space="preserve">about their impact on the environment25.</w:t>
      </w:r>
    </w:p>
    <w:p>
      <w:pPr>
        <w:pStyle w:val="BodyText"/>
      </w:pPr>
      <w:r>
        <w:t xml:space="preserve">17 C&amp;en, Linking pollution and infectious disease, 2019.</w:t>
      </w:r>
      <w:r>
        <w:t xml:space="preserve"> </w:t>
      </w:r>
      <w:r>
        <w:t xml:space="preserve">18 Science Daily, Environmental toxins impair immune system over multiple generations, 2019.</w:t>
      </w:r>
      <w:r>
        <w:t xml:space="preserve"> </w:t>
      </w:r>
      <w:r>
        <w:t xml:space="preserve">19 Substances such as PFOS and PFOA are associated with reduced antibody response to vaccination; EFSA, Scientific</w:t>
      </w:r>
      <w:r>
        <w:t xml:space="preserve"> </w:t>
      </w:r>
      <w:r>
        <w:t xml:space="preserve">opinion on PFAS.</w:t>
      </w:r>
      <w:r>
        <w:br/>
      </w:r>
      <w:r>
        <w:t xml:space="preserve">20 European Commission, Study for the Strategy for the Non-Toxic Environment, p. 123.</w:t>
      </w:r>
      <w:r>
        <w:t xml:space="preserve"> </w:t>
      </w:r>
      <w:r>
        <w:t xml:space="preserve">21 European Human Biomonitoring Data.</w:t>
      </w:r>
      <w:r>
        <w:t xml:space="preserve"> </w:t>
      </w:r>
      <w:r>
        <w:t xml:space="preserve">22 L. Persson, B. M. Carney Almroth, C. D. Collins, S. Cornell, C. A. de Wit, M. L. Diamond, P. Fantke, M. Hassellöv,</w:t>
      </w:r>
      <w:r>
        <w:t xml:space="preserve"> </w:t>
      </w:r>
      <w:r>
        <w:t xml:space="preserve">M. MacLeod, M. W. Ryberg, P. Søgaard Jørgensen, P. Villarrubia-Gómez, Z. Wang, and M. Zwicky Hauschild,</w:t>
      </w:r>
      <w:r>
        <w:t xml:space="preserve"> </w:t>
      </w:r>
      <w:r>
        <w:t xml:space="preserve">Outside the Safe Operating Space of the Planetary Boundary for Novel Entities, 2022.</w:t>
      </w:r>
      <w:r>
        <w:t xml:space="preserve"> </w:t>
      </w:r>
      <w:r>
        <w:t xml:space="preserve">23 Examples include negative effects on pollinators, insects, aquatic ecosystems and bird populations.</w:t>
      </w:r>
      <w:r>
        <w:br/>
      </w:r>
      <w:r>
        <w:t xml:space="preserve">24 European Environment agency, Chemical risk estimates, 2019. Adapted from Malaj et al, 2014. Organic chemicals</w:t>
      </w:r>
      <w:r>
        <w:t xml:space="preserve"> </w:t>
      </w:r>
      <w:r>
        <w:t xml:space="preserve">jeopardize the health of freshwater ecosystems on the continental scale. Organic chemicals were likely to exert acute</w:t>
      </w:r>
      <w:r>
        <w:t xml:space="preserve"> </w:t>
      </w:r>
      <w:r>
        <w:t xml:space="preserve">lethal and chronic long-term effects on 14 to 42% of over 4000 monitored sites.</w:t>
      </w:r>
      <w:r>
        <w:t xml:space="preserve"> </w:t>
      </w:r>
      <w:r>
        <w:t xml:space="preserve">25 Eurostat, Eurobarometer, 2020.</w:t>
      </w:r>
    </w:p>
    <w:p>
      <w:pPr>
        <w:pStyle w:val="BodyText"/>
      </w:pPr>
      <w:r>
        <w:t xml:space="preserve">8</w:t>
      </w:r>
    </w:p>
    <w:p>
      <w:pPr>
        <w:pStyle w:val="BodyText"/>
      </w:pPr>
      <w:r>
        <w:t xml:space="preserve">Table 1: Problem tree</w:t>
      </w:r>
      <w:r>
        <w:t xml:space="preserve"> </w:t>
      </w:r>
      <w:r>
        <w:t xml:space="preserve">A functional internal market for chemicals delivering a sub-optimal protection of human health</w:t>
      </w:r>
      <w:r>
        <w:t xml:space="preserve"> </w:t>
      </w:r>
      <w:r>
        <w:t xml:space="preserve">or the environment</w:t>
      </w:r>
      <w:r>
        <w:t xml:space="preserve"> </w:t>
      </w:r>
      <w:r>
        <w:t xml:space="preserve">Problems</w:t>
      </w:r>
      <w:r>
        <w:t xml:space="preserve"> </w:t>
      </w:r>
      <w:r>
        <w:t xml:space="preserve">Hazardous chemicals are</w:t>
      </w:r>
      <w:r>
        <w:t xml:space="preserve"> </w:t>
      </w:r>
      <w:r>
        <w:t xml:space="preserve">not</w:t>
      </w:r>
      <w:r>
        <w:t xml:space="preserve"> </w:t>
      </w:r>
      <w:r>
        <w:t xml:space="preserve">comprehensively</w:t>
      </w:r>
      <w:r>
        <w:t xml:space="preserve"> </w:t>
      </w:r>
      <w:r>
        <w:t xml:space="preserve">identified and classified</w:t>
      </w:r>
      <w:r>
        <w:t xml:space="preserve"> </w:t>
      </w:r>
      <w:r>
        <w:t xml:space="preserve">D1. Missing provisions for identification of critical hazards</w:t>
      </w:r>
      <w:r>
        <w:br/>
      </w:r>
      <w:r>
        <w:t xml:space="preserve">Regulatory/administrative drivers</w:t>
      </w:r>
      <w:r>
        <w:t xml:space="preserve"> </w:t>
      </w:r>
      <w:r>
        <w:t xml:space="preserve">D2.</w:t>
      </w:r>
      <w:r>
        <w:t xml:space="preserve"> </w:t>
      </w:r>
      <w:r>
        <w:t xml:space="preserve">Inefficient</w:t>
      </w:r>
      <w:r>
        <w:t xml:space="preserve"> </w:t>
      </w:r>
      <w:r>
        <w:t xml:space="preserve">procedures</w:t>
      </w:r>
      <w:r>
        <w:t xml:space="preserve"> </w:t>
      </w:r>
      <w:r>
        <w:t xml:space="preserve">for</w:t>
      </w:r>
      <w:r>
        <w:t xml:space="preserve"> </w:t>
      </w:r>
      <w:r>
        <w:t xml:space="preserve">hazard</w:t>
      </w:r>
      <w:r>
        <w:t xml:space="preserve"> </w:t>
      </w:r>
      <w:r>
        <w:t xml:space="preserve">assessment</w:t>
      </w:r>
      <w:r>
        <w:t xml:space="preserve"> </w:t>
      </w:r>
      <w:r>
        <w:t xml:space="preserve">and</w:t>
      </w:r>
      <w:r>
        <w:t xml:space="preserve"> </w:t>
      </w:r>
      <w:r>
        <w:t xml:space="preserve">classification</w:t>
      </w:r>
      <w:r>
        <w:t xml:space="preserve"> </w:t>
      </w:r>
      <w:r>
        <w:t xml:space="preserve">Sub-optimal</w:t>
      </w:r>
      <w:r>
        <w:t xml:space="preserve"> </w:t>
      </w:r>
      <w:r>
        <w:t xml:space="preserve">communication</w:t>
      </w:r>
      <w:r>
        <w:t xml:space="preserve"> </w:t>
      </w:r>
      <w:r>
        <w:t xml:space="preserve">on</w:t>
      </w:r>
      <w:r>
        <w:t xml:space="preserve"> </w:t>
      </w:r>
      <w:r>
        <w:t xml:space="preserve">chemical hazards</w:t>
      </w:r>
      <w:r>
        <w:t xml:space="preserve"> </w:t>
      </w:r>
      <w:r>
        <w:t xml:space="preserve">D3. Complexity of some labelling provisions</w:t>
      </w:r>
      <w:r>
        <w:t xml:space="preserve"> </w:t>
      </w:r>
      <w:r>
        <w:t xml:space="preserve">D4. Some chemicals are not labelled according to CLP</w:t>
      </w:r>
      <w:r>
        <w:t xml:space="preserve"> </w:t>
      </w:r>
      <w:r>
        <w:t xml:space="preserve">D5. Current labelling rules do not sufficiently exploit new digital</w:t>
      </w:r>
      <w:r>
        <w:t xml:space="preserve"> </w:t>
      </w:r>
      <w:r>
        <w:t xml:space="preserve">tools</w:t>
      </w:r>
      <w:r>
        <w:t xml:space="preserve"> </w:t>
      </w:r>
      <w:r>
        <w:t xml:space="preserve">High</w:t>
      </w:r>
      <w:r>
        <w:t xml:space="preserve"> </w:t>
      </w:r>
      <w:r>
        <w:t xml:space="preserve">level</w:t>
      </w:r>
      <w:r>
        <w:t xml:space="preserve"> </w:t>
      </w:r>
      <w:r>
        <w:t xml:space="preserve">of</w:t>
      </w:r>
      <w:r>
        <w:t xml:space="preserve"> </w:t>
      </w:r>
      <w:r>
        <w:t xml:space="preserve">non-</w:t>
      </w:r>
      <w:r>
        <w:t xml:space="preserve"> </w:t>
      </w:r>
      <w:r>
        <w:t xml:space="preserve">compliance (online sales</w:t>
      </w:r>
      <w:r>
        <w:t xml:space="preserve"> </w:t>
      </w:r>
      <w:r>
        <w:t xml:space="preserve">and poison centres)</w:t>
      </w:r>
      <w:r>
        <w:t xml:space="preserve"> </w:t>
      </w:r>
      <w:r>
        <w:t xml:space="preserve">D6. Rules are inadequate to keep pace with new means of sale</w:t>
      </w:r>
      <w:r>
        <w:t xml:space="preserve"> </w:t>
      </w:r>
      <w:r>
        <w:t xml:space="preserve">D7. Unclear provisions on notifications to poison centres</w:t>
      </w:r>
      <w:r>
        <w:t xml:space="preserve"> </w:t>
      </w:r>
      <w:r>
        <w:t xml:space="preserve">The chemicals Fitness Check found that the EU’s regulatory framework on chemicals does not</w:t>
      </w:r>
      <w:r>
        <w:t xml:space="preserve"> </w:t>
      </w:r>
      <w:r>
        <w:t xml:space="preserve">allow a complete and consistent identification and classification of chemical hazards. The main</w:t>
      </w:r>
      <w:r>
        <w:t xml:space="preserve"> </w:t>
      </w:r>
      <w:r>
        <w:t xml:space="preserve">issues concern the identification of the most critical hazards, and the overall quality of the</w:t>
      </w:r>
      <w:r>
        <w:t xml:space="preserve"> </w:t>
      </w:r>
      <w:r>
        <w:t xml:space="preserve">information on the substances that have been identified and classified.</w:t>
      </w:r>
      <w:r>
        <w:br/>
      </w:r>
      <w:r>
        <w:t xml:space="preserve">2.1.1.1 Most critical hazards</w:t>
      </w:r>
      <w:r>
        <w:t xml:space="preserve"> </w:t>
      </w:r>
      <w:r>
        <w:t xml:space="preserve">Over the last 15 years, scientists have raised particular concerns on the following hazards:</w:t>
      </w:r>
      <w:r>
        <w:t xml:space="preserve"> </w:t>
      </w:r>
      <w:r>
        <w:t xml:space="preserve"> Endocrine disrupting (ED) properties have been the focus of increasing scientific</w:t>
      </w:r>
      <w:r>
        <w:t xml:space="preserve"> </w:t>
      </w:r>
      <w:r>
        <w:t xml:space="preserve">research, and the accumulated knowledge identifies EDs as a concern to public and wildlife</w:t>
      </w:r>
      <w:r>
        <w:t xml:space="preserve"> </w:t>
      </w:r>
      <w:r>
        <w:t xml:space="preserve">health26,27. The high and increasing incidence of many endocrine-related disorders in</w:t>
      </w:r>
      <w:r>
        <w:t xml:space="preserve"> </w:t>
      </w:r>
      <w:r>
        <w:t xml:space="preserve">humans – such as asthma, birth defects, neurodevelopmental disorders, cancer, diabetes and</w:t>
      </w:r>
      <w:r>
        <w:t xml:space="preserve"> </w:t>
      </w:r>
      <w:r>
        <w:t xml:space="preserve">obesity in children or adults – have important parallels in some wildlife populations. Some</w:t>
      </w:r>
      <w:r>
        <w:t xml:space="preserve"> </w:t>
      </w:r>
      <w:r>
        <w:t xml:space="preserve">links have become apparent (e.g. polychlorinated biphenyls’ exposure as a risk factor in</w:t>
      </w:r>
      <w:r>
        <w:t xml:space="preserve"> </w:t>
      </w:r>
      <w:r>
        <w:t xml:space="preserve">breast and prostate cancers) while more research is necessary on the associations between</w:t>
      </w:r>
      <w:r>
        <w:t xml:space="preserve"> </w:t>
      </w:r>
      <w:r>
        <w:t xml:space="preserve">EDs and other endocrine-related diseases17,28.</w:t>
      </w:r>
      <w:r>
        <w:t xml:space="preserve"> </w:t>
      </w:r>
      <w:r>
        <w:t xml:space="preserve"> Substances with persistent, bioaccumulative and toxic (PBT) and very persistent, very</w:t>
      </w:r>
      <w:r>
        <w:t xml:space="preserve"> </w:t>
      </w:r>
      <w:r>
        <w:t xml:space="preserve">bioaccumulative (vPvB) properties do not easily break down in the environment and tend</w:t>
      </w:r>
      <w:r>
        <w:t xml:space="preserve"> </w:t>
      </w:r>
      <w:r>
        <w:t xml:space="preserve">to accumulate in living organisms across the food web. Experience has shown that the</w:t>
      </w:r>
      <w:r>
        <w:t xml:space="preserve"> </w:t>
      </w:r>
      <w:r>
        <w:t xml:space="preserve">accumulation of these substances in the environment is difficult to reverse, as cessation of</w:t>
      </w:r>
      <w:r>
        <w:t xml:space="preserve"> </w:t>
      </w:r>
      <w:r>
        <w:t xml:space="preserve">emission does not readily result in lowering their concentration, and the effects of this</w:t>
      </w:r>
      <w:r>
        <w:t xml:space="preserve"> </w:t>
      </w:r>
      <w:r>
        <w:t xml:space="preserve">accumulation are unpredictable in the long-term. Moreover, PBT/vPvB substances have the</w:t>
      </w:r>
      <w:r>
        <w:t xml:space="preserve"> </w:t>
      </w:r>
      <w:r>
        <w:t xml:space="preserve">potential to contaminate remote pristine areas. They also pose particular challenges to the</w:t>
      </w:r>
    </w:p>
    <w:p>
      <w:pPr>
        <w:pStyle w:val="BodyText"/>
      </w:pPr>
      <w:r>
        <w:t xml:space="preserve">26 United Nations Environment Programme, State of the Science of Endocrine Disputing Chemicals - IPCP-2012.</w:t>
      </w:r>
      <w:r>
        <w:t xml:space="preserve"> </w:t>
      </w:r>
      <w:r>
        <w:t xml:space="preserve">27 L.N. Vandenberg &amp; J.L. Turgeon, Endocrine disrupting chemicals: Understanding what matters. In L. N.</w:t>
      </w:r>
      <w:r>
        <w:t xml:space="preserve"> </w:t>
      </w:r>
      <w:r>
        <w:t xml:space="preserve">Vandenberg, &amp; J. L. Turgeon (Eds.), Endocrine-Disrupting Chemicals, 2021.</w:t>
      </w:r>
      <w:r>
        <w:br/>
      </w:r>
      <w:r>
        <w:t xml:space="preserve">28 Kahn et al., Endocrine-disrupting chemicals: implications for human health, The Lancet. Diabetes &amp; endocrinology,</w:t>
      </w:r>
      <w:r>
        <w:t xml:space="preserve"> </w:t>
      </w:r>
      <w:r>
        <w:t xml:space="preserve">8(8), 703–718, 2020.</w:t>
      </w:r>
    </w:p>
    <w:p>
      <w:pPr>
        <w:pStyle w:val="BodyText"/>
      </w:pPr>
      <w:r>
        <w:t xml:space="preserve">9</w:t>
      </w:r>
    </w:p>
    <w:p>
      <w:pPr>
        <w:pStyle w:val="BodyText"/>
      </w:pPr>
      <w:r>
        <w:t xml:space="preserve">reliability of quantitative risk assessment, as a safe concentration in the environment cannot</w:t>
      </w:r>
      <w:r>
        <w:t xml:space="preserve"> </w:t>
      </w:r>
      <w:r>
        <w:t xml:space="preserve">be established with the available methodologies29.</w:t>
      </w:r>
      <w:r>
        <w:t xml:space="preserve"> </w:t>
      </w:r>
      <w:r>
        <w:t xml:space="preserve"> Substances with persistent, mobile and toxic and very persistent, very mobile</w:t>
      </w:r>
      <w:r>
        <w:t xml:space="preserve"> </w:t>
      </w:r>
      <w:r>
        <w:t xml:space="preserve">(PMT/vPvM) properties pose grave concerns because they can enter the water cycle,</w:t>
      </w:r>
      <w:r>
        <w:t xml:space="preserve"> </w:t>
      </w:r>
      <w:r>
        <w:t xml:space="preserve">including drinking water, and spread over long distances, making the determination of their</w:t>
      </w:r>
      <w:r>
        <w:t xml:space="preserve"> </w:t>
      </w:r>
      <w:r>
        <w:t xml:space="preserve">impacts very challenging30. Many PMT/vPvM substances are only partly removed by</w:t>
      </w:r>
      <w:r>
        <w:t xml:space="preserve"> </w:t>
      </w:r>
      <w:r>
        <w:t xml:space="preserve">wastewater treatment processes and can even break through the most advanced purification</w:t>
      </w:r>
      <w:r>
        <w:t xml:space="preserve"> </w:t>
      </w:r>
      <w:r>
        <w:t xml:space="preserve">processes at drinking water treatment facilities. Their incomplete removal coupled with</w:t>
      </w:r>
      <w:r>
        <w:t xml:space="preserve"> </w:t>
      </w:r>
      <w:r>
        <w:t xml:space="preserve">ongoing emissions means that their concentrations in the environment increase over time.</w:t>
      </w:r>
      <w:r>
        <w:t xml:space="preserve"> </w:t>
      </w:r>
      <w:r>
        <w:t xml:space="preserve">CLP currently does not oblige manufacturers to identify those intrinsic properties. Substances with</w:t>
      </w:r>
      <w:r>
        <w:t xml:space="preserve"> </w:t>
      </w:r>
      <w:r>
        <w:t xml:space="preserve">ED, PBT/vPvB properties are only identified through REACH on an ad-hoc basis and through the</w:t>
      </w:r>
      <w:r>
        <w:t xml:space="preserve"> </w:t>
      </w:r>
      <w:r>
        <w:t xml:space="preserve">pesticide and biocide regulations. Substances with PMT/vPvM are only identified via REACH. The</w:t>
      </w:r>
      <w:r>
        <w:t xml:space="preserve"> </w:t>
      </w:r>
      <w:r>
        <w:t xml:space="preserve">identification criteria in EU legislation are not harmonised (see driver 2.2.1 and Annex 8).</w:t>
      </w:r>
      <w:r>
        <w:t xml:space="preserve"> </w:t>
      </w:r>
      <w:r>
        <w:t xml:space="preserve">Therefore, manufacturers only have to identify ED, PBT/vPvB and PMT/vPvM properties for</w:t>
      </w:r>
      <w:r>
        <w:t xml:space="preserve"> </w:t>
      </w:r>
      <w:r>
        <w:t xml:space="preserve">REACH-registered substances, and not for other substances. Several Member States31, the</w:t>
      </w:r>
      <w:r>
        <w:t xml:space="preserve"> </w:t>
      </w:r>
      <w:r>
        <w:t xml:space="preserve">European Parliament and NGOs32 have frequently called for addressing those hazards coherently at</w:t>
      </w:r>
      <w:r>
        <w:t xml:space="preserve"> </w:t>
      </w:r>
      <w:r>
        <w:t xml:space="preserve">EU level, and some Member States are taking individual actions on one or more of these hazards.</w:t>
      </w:r>
      <w:r>
        <w:t xml:space="preserve"> </w:t>
      </w:r>
      <w:r>
        <w:t xml:space="preserve">Different national criteria for the missing hazard classes would seriously impair the current well-</w:t>
      </w:r>
      <w:r>
        <w:t xml:space="preserve"> </w:t>
      </w:r>
      <w:r>
        <w:t xml:space="preserve">functioning single market for chemicals.</w:t>
      </w:r>
    </w:p>
    <w:p>
      <w:pPr>
        <w:pStyle w:val="BodyText"/>
      </w:pPr>
      <w:r>
        <w:t xml:space="preserve">Consequences</w:t>
      </w:r>
      <w:r>
        <w:t xml:space="preserve"> </w:t>
      </w:r>
      <w:r>
        <w:t xml:space="preserve">According to ECHA, only 67 substances have ED, PBT/vPvB and PMT/vPvM properties</w:t>
      </w:r>
      <w:r>
        <w:t xml:space="preserve"> </w:t>
      </w:r>
      <w:r>
        <w:t xml:space="preserve">confirmed under REACH (see Table 2 and Annex 8) since 2008 and 1,113 are under assessment.</w:t>
      </w:r>
      <w:r>
        <w:t xml:space="preserve"> </w:t>
      </w:r>
      <w:r>
        <w:t xml:space="preserve">This is in contrast with the minimum of 1,650 substances that, according to ECHA estimates, could</w:t>
      </w:r>
      <w:r>
        <w:t xml:space="preserve"> </w:t>
      </w:r>
      <w:r>
        <w:t xml:space="preserve">have one of the three hazard properties.</w:t>
      </w:r>
      <w:r>
        <w:t xml:space="preserve"> </w:t>
      </w:r>
      <w:r>
        <w:t xml:space="preserve">Table 2: Number of substances identified, in the process of being identified or candidates for ED, PBT, PMT, vPvB,</w:t>
      </w:r>
      <w:r>
        <w:t xml:space="preserve"> </w:t>
      </w:r>
      <w:r>
        <w:t xml:space="preserve">vPvM hazards (ECHA: registered substances under REACH, 2021. See Annexes 4 and 8).</w:t>
      </w:r>
    </w:p>
    <w:p>
      <w:pPr>
        <w:pStyle w:val="BodyText"/>
      </w:pPr>
      <w:r>
        <w:t xml:space="preserve">Already identified</w:t>
      </w:r>
      <w:r>
        <w:t xml:space="preserve"> </w:t>
      </w:r>
      <w:r>
        <w:t xml:space="preserve">Under assessment</w:t>
      </w:r>
      <w:r>
        <w:t xml:space="preserve"> </w:t>
      </w:r>
      <w:r>
        <w:t xml:space="preserve">Possible candidates</w:t>
      </w:r>
      <w:r>
        <w:t xml:space="preserve"> </w:t>
      </w:r>
      <w:r>
        <w:t xml:space="preserve">ED HH &amp; ENV**</w:t>
      </w:r>
      <w:r>
        <w:t xml:space="preserve"> </w:t>
      </w:r>
      <w:r>
        <w:t xml:space="preserve">24</w:t>
      </w:r>
      <w:r>
        <w:t xml:space="preserve"> </w:t>
      </w:r>
      <w:r>
        <w:t xml:space="preserve">434</w:t>
      </w:r>
      <w:r>
        <w:t xml:space="preserve"> </w:t>
      </w:r>
      <w:r>
        <w:t xml:space="preserve">1,012</w:t>
      </w:r>
      <w:r>
        <w:t xml:space="preserve"> </w:t>
      </w:r>
      <w:r>
        <w:t xml:space="preserve">PBT and vPvB</w:t>
      </w:r>
      <w:r>
        <w:t xml:space="preserve"> </w:t>
      </w:r>
      <w:r>
        <w:t xml:space="preserve">34</w:t>
      </w:r>
      <w:r>
        <w:t xml:space="preserve"> </w:t>
      </w:r>
      <w:r>
        <w:t xml:space="preserve">324</w:t>
      </w:r>
      <w:r>
        <w:t xml:space="preserve"> </w:t>
      </w:r>
      <w:r>
        <w:t xml:space="preserve">396</w:t>
      </w:r>
      <w:r>
        <w:t xml:space="preserve"> </w:t>
      </w:r>
      <w:r>
        <w:t xml:space="preserve">PMT and vPvM</w:t>
      </w:r>
      <w:r>
        <w:t xml:space="preserve"> </w:t>
      </w:r>
      <w:r>
        <w:t xml:space="preserve">9</w:t>
      </w:r>
      <w:r>
        <w:t xml:space="preserve"> </w:t>
      </w:r>
      <w:r>
        <w:t xml:space="preserve">355</w:t>
      </w:r>
      <w:r>
        <w:t xml:space="preserve"> </w:t>
      </w:r>
      <w:r>
        <w:t xml:space="preserve">231</w:t>
      </w:r>
      <w:r>
        <w:t xml:space="preserve"> </w:t>
      </w:r>
      <w:r>
        <w:t xml:space="preserve">*ECHA’s guestimates (subject to very high uncertainty) on how many substances could have the same hazard(s) among the</w:t>
      </w:r>
      <w:r>
        <w:t xml:space="preserve"> </w:t>
      </w:r>
      <w:r>
        <w:t xml:space="preserve">remaining REACH registered substances ** ED category 1 only</w:t>
      </w:r>
    </w:p>
    <w:p>
      <w:pPr>
        <w:pStyle w:val="BodyText"/>
      </w:pPr>
      <w:r>
        <w:t xml:space="preserve">Consumers and workers are widely exposed to those chemicals33 in particular through consumer</w:t>
      </w:r>
      <w:r>
        <w:t xml:space="preserve"> </w:t>
      </w:r>
      <w:r>
        <w:t xml:space="preserve">products (e.g., toys, food contact materials, cosmetics, furniture, textiles, etc.) or during</w:t>
      </w:r>
    </w:p>
    <w:p>
      <w:pPr>
        <w:pStyle w:val="BodyText"/>
      </w:pPr>
      <w:r>
        <w:t xml:space="preserve">29 Guidance on the Application of the CLP Criteria. Guidance to Regulation (EC) No 1272/2008 on classification,</w:t>
      </w:r>
      <w:r>
        <w:t xml:space="preserve"> </w:t>
      </w:r>
      <w:r>
        <w:t xml:space="preserve">labelling and packaging (CLP) of substances and mixtures. ECHA-17-G-21-EN. Version 5.0 – July 2017. European</w:t>
      </w:r>
      <w:r>
        <w:t xml:space="preserve"> </w:t>
      </w:r>
      <w:r>
        <w:t xml:space="preserve">Chemicals Agency, 2017.</w:t>
      </w:r>
      <w:r>
        <w:t xml:space="preserve"> </w:t>
      </w:r>
      <w:r>
        <w:t xml:space="preserve">30 Hale et al., Persistent, mobile and toxic (PMT) and very persistent and very mobile (vPvM) substances pose an</w:t>
      </w:r>
      <w:r>
        <w:t xml:space="preserve"> </w:t>
      </w:r>
      <w:r>
        <w:t xml:space="preserve">equivalent level of concern to persistent, bioaccumulative and toxic (PBT) and very persistent and very</w:t>
      </w:r>
      <w:r>
        <w:t xml:space="preserve"> </w:t>
      </w:r>
      <w:r>
        <w:t xml:space="preserve">bioaccumulative (vPvB) substances under REACH, Environ Sci Eur 32, 155, 2020.</w:t>
      </w:r>
      <w:r>
        <w:br/>
      </w:r>
      <w:r>
        <w:t xml:space="preserve">31 Five Member States (Belgium, Denmark, France, The Netherlands and Sweden) launched a website in June 2020</w:t>
      </w:r>
      <w:r>
        <w:t xml:space="preserve"> </w:t>
      </w:r>
      <w:r>
        <w:t xml:space="preserve">having the aim of informing stakeholders about the current status of substances identified as EDs to increase the</w:t>
      </w:r>
      <w:r>
        <w:t xml:space="preserve"> </w:t>
      </w:r>
      <w:r>
        <w:t xml:space="preserve">knowledge base on them. Those Member States call for action at EU level. France already adopted a decree on ED</w:t>
      </w:r>
      <w:r>
        <w:t xml:space="preserve"> </w:t>
      </w:r>
      <w:r>
        <w:t xml:space="preserve">identification (Article L541-9-1 of the French Public Health Code).</w:t>
      </w:r>
      <w:r>
        <w:br/>
      </w:r>
      <w:r>
        <w:t xml:space="preserve">32 Chemical Watch, “NGO coalition urges EU Commission to publish EDC Strategy”.</w:t>
      </w:r>
      <w:r>
        <w:br/>
      </w:r>
      <w:r>
        <w:t xml:space="preserve">33 In 2022, an analysis of the registration dossiers looked at uses mentioned in dossiers for substances identified as</w:t>
      </w:r>
      <w:r>
        <w:t xml:space="preserve"> </w:t>
      </w:r>
      <w:r>
        <w:t xml:space="preserve">candidates for the new hazard classes. Paints, adhesives, washing and cleaning products and inks and toners are</w:t>
      </w:r>
    </w:p>
    <w:p>
      <w:pPr>
        <w:pStyle w:val="BodyText"/>
      </w:pPr>
      <w:r>
        <w:t xml:space="preserve">10</w:t>
      </w:r>
    </w:p>
    <w:p>
      <w:pPr>
        <w:pStyle w:val="BodyText"/>
      </w:pPr>
      <w:r>
        <w:t xml:space="preserve">professional uses. Release of those substances into the environment during their use phase or at end</w:t>
      </w:r>
      <w:r>
        <w:t xml:space="preserve"> </w:t>
      </w:r>
      <w:r>
        <w:t xml:space="preserve">of life disposal can have long-term and large-scale environmental impacts on terrestrial and marine</w:t>
      </w:r>
      <w:r>
        <w:t xml:space="preserve"> </w:t>
      </w:r>
      <w:r>
        <w:t xml:space="preserve">environment.</w:t>
      </w:r>
      <w:r>
        <w:br/>
      </w:r>
      <w:r>
        <w:t xml:space="preserve">It is not possible to quantify fully the impact on human health and the environment of chemicals</w:t>
      </w:r>
      <w:r>
        <w:t xml:space="preserve"> </w:t>
      </w:r>
      <w:r>
        <w:t xml:space="preserve">with the most critical hazards. However, exposure to certain EDs has been associated to IQ loss and</w:t>
      </w:r>
      <w:r>
        <w:t xml:space="preserve"> </w:t>
      </w:r>
      <w:r>
        <w:t xml:space="preserve">intellectual deficiencies with a probability of causation of 70% to 100%, with moderate to high</w:t>
      </w:r>
      <w:r>
        <w:t xml:space="preserve"> </w:t>
      </w:r>
      <w:r>
        <w:t xml:space="preserve">strength of human evidence. EDs are also suspected to cause male infertility, obesity, diabetes and</w:t>
      </w:r>
      <w:r>
        <w:t xml:space="preserve"> </w:t>
      </w:r>
      <w:r>
        <w:t xml:space="preserve">other health issues with varying probabilities of causation and strength of human evidence34.</w:t>
      </w:r>
      <w:r>
        <w:t xml:space="preserve"> </w:t>
      </w:r>
      <w:r>
        <w:t xml:space="preserve">Researchers estimated that exposure to EDs leads to substantial health-related societal costs</w:t>
      </w:r>
      <w:r>
        <w:t xml:space="preserve"> </w:t>
      </w:r>
      <w:r>
        <w:t xml:space="preserve">between 46 and 288 billion Euro per year35 (see also Annex 8). Persistent chemicals do not break</w:t>
      </w:r>
      <w:r>
        <w:t xml:space="preserve"> </w:t>
      </w:r>
      <w:r>
        <w:t xml:space="preserve">down in the natural environment. The risk is that concentrations will build up in nature such that</w:t>
      </w:r>
      <w:r>
        <w:t xml:space="preserve"> </w:t>
      </w:r>
      <w:r>
        <w:t xml:space="preserve">levels of exposures to humans and other biota are irreversible. Some 3.5 million sites around</w:t>
      </w:r>
      <w:r>
        <w:t xml:space="preserve"> </w:t>
      </w:r>
      <w:r>
        <w:t xml:space="preserve">Europe are already contaminated by hazardous and persistent substances. Contamination of natural</w:t>
      </w:r>
      <w:r>
        <w:t xml:space="preserve"> </w:t>
      </w:r>
      <w:r>
        <w:t xml:space="preserve">resources has severe economic consequences, ranging from the extremely high costs of remediation</w:t>
      </w:r>
      <w:r>
        <w:t xml:space="preserve"> </w:t>
      </w:r>
      <w:r>
        <w:t xml:space="preserve">to loss of natural resources such as drinking water, land, soils and fish stocks from productive use36.</w:t>
      </w:r>
      <w:r>
        <w:t xml:space="preserve"> </w:t>
      </w:r>
      <w:r>
        <w:t xml:space="preserve">2.1.1.2 Quality of information on classified substances</w:t>
      </w:r>
      <w:r>
        <w:t xml:space="preserve"> </w:t>
      </w:r>
      <w:r>
        <w:t xml:space="preserve">The chemicals Fitness Check also highlighted a particularly high number of incorrect or obsolete</w:t>
      </w:r>
      <w:r>
        <w:t xml:space="preserve"> </w:t>
      </w:r>
      <w:r>
        <w:t xml:space="preserve">classifications of substances as well as diverging classifications for the same substance in the</w:t>
      </w:r>
      <w:r>
        <w:t xml:space="preserve"> </w:t>
      </w:r>
      <w:r>
        <w:t xml:space="preserve">CLP classification and labelling inventory. In 2017, 59% of companies had multiple notified</w:t>
      </w:r>
      <w:r>
        <w:t xml:space="preserve"> </w:t>
      </w:r>
      <w:r>
        <w:t xml:space="preserve">classifications for a single substance37. Companies also reported their difficulties to notify or update</w:t>
      </w:r>
      <w:r>
        <w:t xml:space="preserve"> </w:t>
      </w:r>
      <w:r>
        <w:t xml:space="preserve">their notification on the substances they self-classify. The current process was overall assessed as</w:t>
      </w:r>
      <w:r>
        <w:t xml:space="preserve"> </w:t>
      </w:r>
      <w:r>
        <w:t xml:space="preserve">bringing excessive costs and administrative burden, with companies - especially SMEs - needing</w:t>
      </w:r>
      <w:r>
        <w:t xml:space="preserve"> </w:t>
      </w:r>
      <w:r>
        <w:t xml:space="preserve">specific trainings or to sub-contract tasks due to the complexity of the procedures and/or the lack of</w:t>
      </w:r>
      <w:r>
        <w:t xml:space="preserve"> </w:t>
      </w:r>
      <w:r>
        <w:t xml:space="preserve">user-friendly IT tools8. More recently, ECHA concluded that the situation on diverging</w:t>
      </w:r>
      <w:r>
        <w:t xml:space="preserve"> </w:t>
      </w:r>
      <w:r>
        <w:t xml:space="preserve">classifications had improved, as, in 2021, 78.4% of the 205,900 notified substances have only one</w:t>
      </w:r>
      <w:r>
        <w:t xml:space="preserve"> </w:t>
      </w:r>
      <w:r>
        <w:t xml:space="preserve">self-classification38 (see Figure 3).</w:t>
      </w:r>
    </w:p>
    <w:p>
      <w:pPr>
        <w:pStyle w:val="BodyText"/>
      </w:pPr>
      <w:r>
        <w:t xml:space="preserve">respectively the 3rd, 4th, 5th and 6th most frequently reported uses. VVA et al, 2022, Background document – Workshop</w:t>
      </w:r>
      <w:r>
        <w:t xml:space="preserve"> </w:t>
      </w:r>
      <w:r>
        <w:t xml:space="preserve">on the extension of the generic approach to risk management under the REACH regulation (21 March 2022).</w:t>
      </w:r>
      <w:r>
        <w:t xml:space="preserve"> </w:t>
      </w:r>
      <w:r>
        <w:t xml:space="preserve">34 Kahn, L. G., Philippat, C., Nakayama, S. F., Slama, R., &amp; Trasande, L. (2020): Endocrine-disrupting chemicals:</w:t>
      </w:r>
      <w:r>
        <w:t xml:space="preserve"> </w:t>
      </w:r>
      <w:r>
        <w:t xml:space="preserve">implications for human health. The Lancet. Diabetes &amp; endocrinology, 8(8), 703–718. https://doi.org/10.1016/S2213-</w:t>
      </w:r>
      <w:r>
        <w:t xml:space="preserve"> </w:t>
      </w:r>
      <w:r>
        <w:t xml:space="preserve">8587(20)30129-7</w:t>
      </w:r>
      <w:r>
        <w:t xml:space="preserve"> </w:t>
      </w:r>
      <w:r>
        <w:t xml:space="preserve">35 I. Rijk, M. van Duursen, and M. van den Berg, Health cost that may be associated with Endocrine Disrupting</w:t>
      </w:r>
      <w:r>
        <w:t xml:space="preserve"> </w:t>
      </w:r>
      <w:r>
        <w:t xml:space="preserve">Chemicals — An inventory, evaluation and way forward to assess the potential health impact of EDC-associated health</w:t>
      </w:r>
      <w:r>
        <w:t xml:space="preserve"> </w:t>
      </w:r>
      <w:r>
        <w:t xml:space="preserve">effects in the EU, Institute for Risk Assessment Sciences, University of Utrecht, 2016.</w:t>
      </w:r>
      <w:r>
        <w:t xml:space="preserve"> </w:t>
      </w:r>
      <w:r>
        <w:t xml:space="preserve">36 European Commission, Study for the Strategy for the Non-Toxic Environment, p. 123.</w:t>
      </w:r>
      <w:r>
        <w:t xml:space="preserve"> </w:t>
      </w:r>
      <w:r>
        <w:t xml:space="preserve">37 Amec Foster Wheeler et al., A Study to gather insights on the drivers, barriers, costs and benefits for updating</w:t>
      </w:r>
      <w:r>
        <w:t xml:space="preserve"> </w:t>
      </w:r>
      <w:r>
        <w:t xml:space="preserve">REACH registration and CLP notification dossiers, 2017.</w:t>
      </w:r>
      <w:r>
        <w:t xml:space="preserve"> </w:t>
      </w:r>
      <w:r>
        <w:t xml:space="preserve">38 ECHA’s presentation at ad-hoc CARACAL of 14 December 2021.</w:t>
      </w:r>
    </w:p>
    <w:p>
      <w:pPr>
        <w:pStyle w:val="BodyText"/>
      </w:pPr>
      <w:r>
        <w:t xml:space="preserve">11</w:t>
      </w:r>
    </w:p>
    <w:p>
      <w:pPr>
        <w:pStyle w:val="BodyText"/>
      </w:pPr>
      <w:r>
        <w:t xml:space="preserve">Consequences</w:t>
      </w:r>
      <w:r>
        <w:t xml:space="preserve"> </w:t>
      </w:r>
      <w:r>
        <w:t xml:space="preserve">Missing, incomplete and/or incorrect hazard identification and characterisation of chemicals leads</w:t>
      </w:r>
      <w:r>
        <w:t xml:space="preserve"> </w:t>
      </w:r>
      <w:r>
        <w:t xml:space="preserve">to incomplete information for users of chemicals, which may increase their exposure to those</w:t>
      </w:r>
      <w:r>
        <w:t xml:space="preserve"> </w:t>
      </w:r>
      <w:r>
        <w:t xml:space="preserve">chemicals. Furthermore, with hazard identification under CLP as the starting point for product</w:t>
      </w:r>
      <w:r>
        <w:t xml:space="preserve"> </w:t>
      </w:r>
      <w:r>
        <w:t xml:space="preserve">specific risk assessments (e.g., for cosmetic products) and assessments under REACH, companies</w:t>
      </w:r>
      <w:r>
        <w:t xml:space="preserve"> </w:t>
      </w:r>
      <w:r>
        <w:t xml:space="preserve">and authorities may not be able to set adequate risk management measures. This leads to an</w:t>
      </w:r>
      <w:r>
        <w:t xml:space="preserve"> </w:t>
      </w:r>
      <w:r>
        <w:t xml:space="preserve">insufficient level of protection of consumers, workers and the environment, and causes the</w:t>
      </w:r>
      <w:r>
        <w:t xml:space="preserve"> </w:t>
      </w:r>
      <w:r>
        <w:t xml:space="preserve">inefficient use of resources for authorities and companies who are forced to act with sub-optimal</w:t>
      </w:r>
      <w:r>
        <w:t xml:space="preserve"> </w:t>
      </w:r>
      <w:r>
        <w:t xml:space="preserve">information or simply cannot take any action. Especially SMEs rely on hazard identification data</w:t>
      </w:r>
      <w:r>
        <w:t xml:space="preserve"> </w:t>
      </w:r>
      <w:r>
        <w:t xml:space="preserve">for their chemicals classification. Moreover, incorrect data hampers competition between the</w:t>
      </w:r>
      <w:r>
        <w:t xml:space="preserve"> </w:t>
      </w:r>
      <w:r>
        <w:t xml:space="preserve">businesses that identify correctly and those who do not.</w:t>
      </w:r>
      <w:r>
        <w:t xml:space="preserve"> </w:t>
      </w:r>
      <w:r>
        <w:t xml:space="preserve">2.1.2 Sub-optimal communication on chemical hazards</w:t>
      </w:r>
      <w:r>
        <w:br/>
      </w:r>
      <w:r>
        <w:t xml:space="preserve">Labels are the primary means of communication to inform consumers and workers about the</w:t>
      </w:r>
      <w:r>
        <w:t xml:space="preserve"> </w:t>
      </w:r>
      <w:r>
        <w:t xml:space="preserve">hazards of the chemicals they purchase, use or dispose. The specification of those labels is provided</w:t>
      </w:r>
      <w:r>
        <w:t xml:space="preserve"> </w:t>
      </w:r>
      <w:r>
        <w:t xml:space="preserve">by CLP (see pictograms in Figure 4). A Eurobarometer survey in 201639 found that, while 70% of</w:t>
      </w:r>
      <w:r>
        <w:t xml:space="preserve"> </w:t>
      </w:r>
      <w:r>
        <w:t xml:space="preserve">EU citizens find information on the hazards of chemicals on the label useful, only 45% of the</w:t>
      </w:r>
      <w:r>
        <w:t xml:space="preserve"> </w:t>
      </w:r>
      <w:r>
        <w:t xml:space="preserve">respondents feel well informed about the potential dangers of the chemicals contained in</w:t>
      </w:r>
      <w:r>
        <w:t xml:space="preserve"> </w:t>
      </w:r>
      <w:r>
        <w:t xml:space="preserve">consumer products. Respondents in particular felt that they had a relatively low level of</w:t>
      </w:r>
      <w:r>
        <w:t xml:space="preserve"> </w:t>
      </w:r>
      <w:r>
        <w:t xml:space="preserve">understanding of certain pictograms, labels and precautionary statements on chemicals, especially</w:t>
      </w:r>
      <w:r>
        <w:t xml:space="preserve"> </w:t>
      </w:r>
      <w:r>
        <w:t xml:space="preserve">due to limited readability of labels due to extended amount of information, the technical language</w:t>
      </w:r>
      <w:r>
        <w:t xml:space="preserve"> </w:t>
      </w:r>
      <w:r>
        <w:t xml:space="preserve">and to the often too small font size. Consumer understanding of chemical labels is also very</w:t>
      </w:r>
      <w:r>
        <w:t xml:space="preserve"> </w:t>
      </w:r>
      <w:r>
        <w:t xml:space="preserve">heterogeneous across Europe, with Northern Europeans reported feeling more informed compared</w:t>
      </w:r>
      <w:r>
        <w:t xml:space="preserve"> </w:t>
      </w:r>
      <w:r>
        <w:t xml:space="preserve">with Southern Europeans. Understanding also varies between consumers and professional and</w:t>
      </w:r>
      <w:r>
        <w:t xml:space="preserve"> </w:t>
      </w:r>
      <w:r>
        <w:t xml:space="preserve">industrial workers, as professional and industrial workers are generally trained to understand the</w:t>
      </w:r>
      <w:r>
        <w:t xml:space="preserve"> </w:t>
      </w:r>
      <w:r>
        <w:t xml:space="preserve">information on the safety label. In the framework of this impact assessment, it is possible to broadly</w:t>
      </w:r>
      <w:r>
        <w:t xml:space="preserve"> </w:t>
      </w:r>
      <w:r>
        <w:t xml:space="preserve">estimate an average level of 55% EU citizens considering not to be well informed about the</w:t>
      </w:r>
      <w:r>
        <w:t xml:space="preserve"> </w:t>
      </w:r>
      <w:r>
        <w:t xml:space="preserve">potential dangers of the chemicals contained in consumer products (see Annex 12).</w:t>
      </w:r>
    </w:p>
    <w:p>
      <w:pPr>
        <w:pStyle w:val="BodyText"/>
      </w:pPr>
      <w:r>
        <w:t xml:space="preserve">39 Special Eurobarometer 456, 2017.</w:t>
      </w:r>
    </w:p>
    <w:p>
      <w:pPr>
        <w:pStyle w:val="BodyText"/>
      </w:pPr>
      <w:r>
        <w:t xml:space="preserve">Figure 3: Diverging notified classifications per notified substances (left) or per notifications (right)</w:t>
      </w:r>
    </w:p>
    <w:p>
      <w:pPr>
        <w:pStyle w:val="BodyText"/>
      </w:pPr>
      <w:r>
        <w:t xml:space="preserve">12</w:t>
      </w:r>
    </w:p>
    <w:p>
      <w:pPr>
        <w:pStyle w:val="BodyText"/>
      </w:pPr>
      <w:r>
        <w:t xml:space="preserve">Secondly, complex and overloaded labels bring along also high compliance costs for industry,</w:t>
      </w:r>
      <w:r>
        <w:t xml:space="preserve"> </w:t>
      </w:r>
      <w:r>
        <w:t xml:space="preserve">especially SMEs40. Ambiguous or difficult rules to apply in practice are not evenly implemented by</w:t>
      </w:r>
      <w:r>
        <w:t xml:space="preserve"> </w:t>
      </w:r>
      <w:r>
        <w:t xml:space="preserve">companies or enforced between the Member States, hence hampering the level playing field (see</w:t>
      </w:r>
      <w:r>
        <w:t xml:space="preserve"> </w:t>
      </w:r>
      <w:r>
        <w:t xml:space="preserve">also under 2.1.3. below). Feedback from the open public consultation showed that current labelling</w:t>
      </w:r>
      <w:r>
        <w:t xml:space="preserve"> </w:t>
      </w:r>
      <w:r>
        <w:t xml:space="preserve">exemptions under CLP do not always provide practical solutions for an effective hazard</w:t>
      </w:r>
      <w:r>
        <w:t xml:space="preserve"> </w:t>
      </w:r>
      <w:r>
        <w:t xml:space="preserve">communication via labelling and that simplification may be possible whilst providing the same or</w:t>
      </w:r>
      <w:r>
        <w:t xml:space="preserve"> </w:t>
      </w:r>
      <w:r>
        <w:t xml:space="preserve">even better level of safety41. Most respondents considered that significant savings can be achieved</w:t>
      </w:r>
      <w:r>
        <w:t xml:space="preserve"> </w:t>
      </w:r>
      <w:r>
        <w:t xml:space="preserve">by exempting certain very small products42 (e.g. writing instruments) and certain chemicals sold in</w:t>
      </w:r>
      <w:r>
        <w:t xml:space="preserve"> </w:t>
      </w:r>
      <w:r>
        <w:t xml:space="preserve">bulk to consumers (e.g. fuels), by extending the scope of fold-out labels and by introducing digital</w:t>
      </w:r>
      <w:r>
        <w:t xml:space="preserve"> </w:t>
      </w:r>
      <w:r>
        <w:t xml:space="preserve">labelling43.</w:t>
      </w:r>
      <w:r>
        <w:t xml:space="preserve"> </w:t>
      </w:r>
      <w:r>
        <w:t xml:space="preserve">Figure 4: Pictograms provided by CLP</w:t>
      </w:r>
      <w:r>
        <w:t xml:space="preserve"> </w:t>
      </w:r>
      <w:r>
        <w:t xml:space="preserve">Finally, for some categories of products, which are exempted from the scope of CLP – cosmetics,</w:t>
      </w:r>
      <w:r>
        <w:t xml:space="preserve"> </w:t>
      </w:r>
      <w:r>
        <w:t xml:space="preserve">human and veterinary medicinal products, medical devices and food and feed stuff –, the</w:t>
      </w:r>
      <w:r>
        <w:t xml:space="preserve"> </w:t>
      </w:r>
      <w:r>
        <w:t xml:space="preserve">communication to consumers on the environmental hazards of the substances present in those</w:t>
      </w:r>
      <w:r>
        <w:t xml:space="preserve"> </w:t>
      </w:r>
      <w:r>
        <w:t xml:space="preserve">products is sub-optimal (see Annex 14). These products are exempted, based on the premise that</w:t>
      </w:r>
      <w:r>
        <w:t xml:space="preserve"> </w:t>
      </w:r>
      <w:r>
        <w:t xml:space="preserve">the exempted sectorial legislations lay down more specific rules on classification and labelling.</w:t>
      </w:r>
      <w:r>
        <w:t xml:space="preserve"> </w:t>
      </w:r>
      <w:r>
        <w:t xml:space="preserve">While for medicinal products and medical devices, warnings and use instructions to users may</w:t>
      </w:r>
      <w:r>
        <w:t xml:space="preserve"> </w:t>
      </w:r>
      <w:r>
        <w:t xml:space="preserve">cover environmental hazards, these hazards are not addressed in the legislation concerning cosmetic</w:t>
      </w:r>
      <w:r>
        <w:t xml:space="preserve"> </w:t>
      </w:r>
      <w:r>
        <w:t xml:space="preserve">products. Literature provides evidence that some of the exempted products (e.g., pharmaceuticals or</w:t>
      </w:r>
      <w:r>
        <w:t xml:space="preserve"> </w:t>
      </w:r>
      <w:r>
        <w:t xml:space="preserve">rinse-off cosmetic products and sunscreens) and their ingredients (e.g., plastic microbeads,</w:t>
      </w:r>
      <w:r>
        <w:t xml:space="preserve"> </w:t>
      </w:r>
      <w:r>
        <w:t xml:space="preserve">siloxanes, or UV filters) end up in the environment in significant quantities where they may cause</w:t>
      </w:r>
      <w:r>
        <w:t xml:space="preserve"> </w:t>
      </w:r>
      <w:r>
        <w:t xml:space="preserve">damage to the aquatic environment 44,45,46. An ongoing study47 also identified hazardous substances</w:t>
      </w:r>
      <w:r>
        <w:t xml:space="preserve"> </w:t>
      </w:r>
      <w:r>
        <w:t xml:space="preserve">reaching urban wastewater treatment plants and linked their release to pharmaceuticals and personal</w:t>
      </w:r>
      <w:r>
        <w:t xml:space="preserve"> </w:t>
      </w:r>
      <w:r>
        <w:t xml:space="preserve">care products amongst other products. However, the supporting study did not directly identify CLP</w:t>
      </w:r>
      <w:r>
        <w:t xml:space="preserve"> </w:t>
      </w:r>
      <w:r>
        <w:t xml:space="preserve">labelling as having an impact on consumer behaviour. Also, several relevant initiatives (e.g. the</w:t>
      </w:r>
      <w:r>
        <w:t xml:space="preserve"> </w:t>
      </w:r>
      <w:r>
        <w:t xml:space="preserve">Proposal for Ecodesign for Sustainable Products Regulation, the revision of the Cosmetic Products</w:t>
      </w:r>
      <w:r>
        <w:t xml:space="preserve"> </w:t>
      </w:r>
      <w:r>
        <w:t xml:space="preserve">Regulation, industry self-standards, see Annex 14) are currently under way and may significantly</w:t>
      </w:r>
      <w:r>
        <w:t xml:space="preserve"> </w:t>
      </w:r>
      <w:r>
        <w:t xml:space="preserve">change the availability of information of environmental impacts, as well as the impact itself, of the</w:t>
      </w:r>
    </w:p>
    <w:p>
      <w:pPr>
        <w:pStyle w:val="BodyText"/>
      </w:pPr>
      <w:r>
        <w:t xml:space="preserve">40 SWD to the chemicals Fitness Check, p.62. The chemicals Fitness Check estimated that the average cost of</w:t>
      </w:r>
      <w:r>
        <w:t xml:space="preserve"> </w:t>
      </w:r>
      <w:r>
        <w:t xml:space="preserve">redesigning and modifying labels to be compliant with CLP was €388 per substance and €475 per mixture.</w:t>
      </w:r>
      <w:r>
        <w:t xml:space="preserve"> </w:t>
      </w:r>
      <w:r>
        <w:t xml:space="preserve">41 Summary in CARACAL CA/11/2021.</w:t>
      </w:r>
      <w:r>
        <w:br/>
      </w:r>
      <w:r>
        <w:t xml:space="preserve">42 Where the inner packaging of products contain up to 10ml of chemicals.</w:t>
      </w:r>
      <w:r>
        <w:t xml:space="preserve"> </w:t>
      </w:r>
      <w:r>
        <w:t xml:space="preserve">43 Certain chemical industries, in particular the detergents industry, face a relatively high administrative burden to</w:t>
      </w:r>
      <w:r>
        <w:t xml:space="preserve"> </w:t>
      </w:r>
      <w:r>
        <w:t xml:space="preserve">comply with labelling requirements and hence more innovative communication approaches to labelling could be</w:t>
      </w:r>
      <w:r>
        <w:t xml:space="preserve"> </w:t>
      </w:r>
      <w:r>
        <w:t xml:space="preserve">explored; Annex 2 and 13.</w:t>
      </w:r>
      <w:r>
        <w:br/>
      </w:r>
      <w:r>
        <w:t xml:space="preserve">44 N.A. Vita, C.A. Brohem, A. D. P. M. Canavez, C. F. S. Oliveira, O. Kruger, M. Lorencini &amp; C.M. Carvalho,</w:t>
      </w:r>
      <w:r>
        <w:t xml:space="preserve"> </w:t>
      </w:r>
      <w:r>
        <w:t xml:space="preserve">Parameters for assessing the aquatic environmental impact of cosmetic products, Toxicology letters, 287, 70-82, 2018.</w:t>
      </w:r>
      <w:r>
        <w:t xml:space="preserve"> </w:t>
      </w:r>
      <w:r>
        <w:t xml:space="preserve">45 S. Bom, J. Jorge, H.M. Ribeiro &amp; J. Marto, A step forward on sustainability in the cosmetics industry: A review,</w:t>
      </w:r>
      <w:r>
        <w:t xml:space="preserve"> </w:t>
      </w:r>
      <w:r>
        <w:t xml:space="preserve">Journal of Cleaner Production, 225, 270-290, 2019.</w:t>
      </w:r>
      <w:r>
        <w:t xml:space="preserve"> </w:t>
      </w:r>
      <w:r>
        <w:t xml:space="preserve">46 C. Juliano and G.A. Magrini, Cosmetic Ingredients as Emerging Pollutants of Environmental and Health Concern. A</w:t>
      </w:r>
      <w:r>
        <w:t xml:space="preserve"> </w:t>
      </w:r>
      <w:r>
        <w:t xml:space="preserve">Mini-Review, Cosmetics, 4, 11-29, 2017.</w:t>
      </w:r>
      <w:r>
        <w:t xml:space="preserve"> </w:t>
      </w:r>
      <w:r>
        <w:t xml:space="preserve">47 Wood, Study supporting the Evaluation of Directive 91/271/EEC concerning urban waste water treatment, 2019.</w:t>
      </w:r>
    </w:p>
    <w:p>
      <w:pPr>
        <w:pStyle w:val="BodyText"/>
      </w:pPr>
      <w:r>
        <w:t xml:space="preserve">13</w:t>
      </w:r>
    </w:p>
    <w:p>
      <w:pPr>
        <w:pStyle w:val="BodyText"/>
      </w:pPr>
      <w:r>
        <w:t xml:space="preserve">exempted products. Therefore, this problem cannot be adequately addressed through this revision.</w:t>
      </w:r>
      <w:r>
        <w:t xml:space="preserve"> </w:t>
      </w:r>
      <w:r>
        <w:t xml:space="preserve">Follow up discussions will continue with all relevant actors and more evidence would be needed.</w:t>
      </w:r>
      <w:r>
        <w:t xml:space="preserve"> </w:t>
      </w:r>
      <w:r>
        <w:t xml:space="preserve">Consequences</w:t>
      </w:r>
      <w:r>
        <w:t xml:space="preserve"> </w:t>
      </w:r>
      <w:r>
        <w:t xml:space="preserve">Sub-optimal communication on chemicals may hamper consumers’ ability of making informed</w:t>
      </w:r>
      <w:r>
        <w:t xml:space="preserve"> </w:t>
      </w:r>
      <w:r>
        <w:t xml:space="preserve">choices and can lead to the inappropriate use of chemicals, harming their health as well as the</w:t>
      </w:r>
      <w:r>
        <w:t xml:space="preserve"> </w:t>
      </w:r>
      <w:r>
        <w:t xml:space="preserve">environment. Considering the increasing interest of consumers in the environmental impact of the</w:t>
      </w:r>
      <w:r>
        <w:t xml:space="preserve"> </w:t>
      </w:r>
      <w:r>
        <w:t xml:space="preserve">products they buy48, sub-optimal communication on environmental hazards limits their ability to</w:t>
      </w:r>
      <w:r>
        <w:t xml:space="preserve"> </w:t>
      </w:r>
      <w:r>
        <w:t xml:space="preserve">lower their environmental footprint and, thereby, contribute to the EU Green Deal’s goal of</w:t>
      </w:r>
      <w:r>
        <w:t xml:space="preserve"> </w:t>
      </w:r>
      <w:r>
        <w:t xml:space="preserve">sustainable consumption.49 Unnecessarily complex or ambiguous labelling provisions also lead to</w:t>
      </w:r>
      <w:r>
        <w:t xml:space="preserve"> </w:t>
      </w:r>
      <w:r>
        <w:t xml:space="preserve">avoidable compliance costs by companies and an uneven level playing field due to different</w:t>
      </w:r>
      <w:r>
        <w:t xml:space="preserve"> </w:t>
      </w:r>
      <w:r>
        <w:t xml:space="preserve">implementation by companies and enforcement by Member States (see also under 2.1.3. below).</w:t>
      </w:r>
      <w:r>
        <w:br/>
      </w:r>
      <w:r>
        <w:t xml:space="preserve">2.1.3 High level of non-compliance (online sales and poison centres)</w:t>
      </w:r>
      <w:r>
        <w:t xml:space="preserve"> </w:t>
      </w:r>
      <w:r>
        <w:t xml:space="preserve">Imported chemicals and online sales represent a particular challenge and the Chemicals</w:t>
      </w:r>
      <w:r>
        <w:t xml:space="preserve"> </w:t>
      </w:r>
      <w:r>
        <w:t xml:space="preserve">Strategy for Sustainability identifies them as a priority area for action50. Almost 30% of the alerts</w:t>
      </w:r>
      <w:r>
        <w:t xml:space="preserve"> </w:t>
      </w:r>
      <w:r>
        <w:t xml:space="preserve">on dangerous products on the market involve risks due to chemicals, with almost 90% of those</w:t>
      </w:r>
      <w:r>
        <w:t xml:space="preserve"> </w:t>
      </w:r>
      <w:r>
        <w:t xml:space="preserve">products coming from outside the EU51. Many products that are sold online in the EU but</w:t>
      </w:r>
      <w:r>
        <w:t xml:space="preserve"> </w:t>
      </w:r>
      <w:r>
        <w:t xml:space="preserve">manufactured outside the EU do not meet the EU product safety and chemical legislation</w:t>
      </w:r>
      <w:r>
        <w:t xml:space="preserve"> </w:t>
      </w:r>
      <w:r>
        <w:t xml:space="preserve">requirements52. The volume of online sales is expected to grow, hence increasing the problem. A</w:t>
      </w:r>
      <w:r>
        <w:t xml:space="preserve"> </w:t>
      </w:r>
      <w:r>
        <w:t xml:space="preserve">study on cross-border online sales observed a 14.4% increase in e-commerce revenues in 2019</w:t>
      </w:r>
      <w:r>
        <w:t xml:space="preserve"> </w:t>
      </w:r>
      <w:r>
        <w:t xml:space="preserve">compared to 201853. Business models and intermediary services that did not yet exist in 2008 - e.g. </w:t>
      </w:r>
      <w:r>
        <w:t xml:space="preserve"> </w:t>
      </w:r>
      <w:r>
        <w:t xml:space="preserve">social media, online marketplaces - nowadays connect online sellers and buyers worldwide54.</w:t>
      </w:r>
    </w:p>
    <w:p>
      <w:pPr>
        <w:pStyle w:val="BodyText"/>
      </w:pPr>
      <w:r>
        <w:t xml:space="preserve">48 Megatrends, Supporting policy with scientific evidence, Consumers wish to be increasingly aware of the</w:t>
      </w:r>
      <w:r>
        <w:t xml:space="preserve"> </w:t>
      </w:r>
      <w:r>
        <w:t xml:space="preserve">environmental performance of the products they buy; see megatrends in sustainable consumption.</w:t>
      </w:r>
      <w:r>
        <w:br/>
      </w:r>
      <w:r>
        <w:t xml:space="preserve">49 The European Green Deal sets the ambition to empower consumers to make informed purchase choices and play an</w:t>
      </w:r>
      <w:r>
        <w:t xml:space="preserve"> </w:t>
      </w:r>
      <w:r>
        <w:t xml:space="preserve">active role in the ecological transition.</w:t>
      </w:r>
      <w:r>
        <w:t xml:space="preserve"> </w:t>
      </w:r>
      <w:r>
        <w:t xml:space="preserve">50 COM(2020) 667, p 17.</w:t>
      </w:r>
      <w:r>
        <w:t xml:space="preserve"> </w:t>
      </w:r>
      <w:r>
        <w:t xml:space="preserve">51 RAPEX web reports.</w:t>
      </w:r>
      <w:r>
        <w:br/>
      </w:r>
      <w:r>
        <w:t xml:space="preserve">52 KEMI, Increased e-commerce – increased chemicals risks? A mapping of the challenges of e-commerce and</w:t>
      </w:r>
      <w:r>
        <w:t xml:space="preserve"> </w:t>
      </w:r>
      <w:r>
        <w:t xml:space="preserve">proposed measures. Report of a government assignment, 2021.</w:t>
      </w:r>
      <w:r>
        <w:t xml:space="preserve"> </w:t>
      </w:r>
      <w:r>
        <w:t xml:space="preserve">53 Cross-Border Commerce Europe (2020): Cross-Border Commerce Europe publishes the second edition of the “Top</w:t>
      </w:r>
      <w:r>
        <w:t xml:space="preserve"> </w:t>
      </w:r>
      <w:r>
        <w:t xml:space="preserve">500 cross-border retail Europe”: an annual ranking of the best 500 European cross-border online shops. Other</w:t>
      </w:r>
      <w:r>
        <w:t xml:space="preserve"> </w:t>
      </w:r>
      <w:r>
        <w:t xml:space="preserve">estimations show an increase of 1.1% between online sales from 2020 to 2021 and thus it can be expected that the</w:t>
      </w:r>
      <w:r>
        <w:t xml:space="preserve"> </w:t>
      </w:r>
      <w:r>
        <w:t xml:space="preserve">number of non-compliant items sold will increase over time unless action is taken.</w:t>
      </w:r>
    </w:p>
    <w:p>
      <w:pPr>
        <w:pStyle w:val="BodyText"/>
      </w:pPr>
      <w:r>
        <w:t xml:space="preserve">14</w:t>
      </w:r>
    </w:p>
    <w:p>
      <w:pPr>
        <w:pStyle w:val="BodyText"/>
      </w:pPr>
      <w:r>
        <w:t xml:space="preserve">Figure 5: Imported goods in the EU based</w:t>
      </w:r>
      <w:r>
        <w:t xml:space="preserve"> </w:t>
      </w:r>
      <w:r>
        <w:t xml:space="preserve">on product amounts</w:t>
      </w:r>
      <w:r>
        <w:t xml:space="preserve"> </w:t>
      </w:r>
      <w:r>
        <w:t xml:space="preserve">Non-compliance with the provisions of CLP on online advertisement very frequent, especially</w:t>
      </w:r>
      <w:r>
        <w:t xml:space="preserve"> </w:t>
      </w:r>
      <w:r>
        <w:t xml:space="preserve">for chemicals sold online, both by EU and non-EU actors. International research projects49￼</w:t>
      </w:r>
      <w:r>
        <w:t xml:space="preserve"> </w:t>
      </w:r>
      <w:r>
        <w:t xml:space="preserve">found that the rate of non-compliance with CLP provisions was 75% of 2,752 inspected products in</w:t>
      </w:r>
      <w:r>
        <w:t xml:space="preserve"> </w:t>
      </w:r>
      <w:r>
        <w:t xml:space="preserve">29 EEA countries and 82.4% of 1,314 inspected products in 15 EU countries54. Based on</w:t>
      </w:r>
      <w:r>
        <w:t xml:space="preserve"> </w:t>
      </w:r>
      <w:r>
        <w:t xml:space="preserve">estimations, non-compliances of non-EU sellers with CLP are higher than those of EU sellers in</w:t>
      </w:r>
      <w:r>
        <w:t xml:space="preserve"> </w:t>
      </w:r>
      <w:r>
        <w:t xml:space="preserve">relative terms55, and amount to yearly 7.3 million non-compliant products sold directly from non-</w:t>
      </w:r>
      <w:r>
        <w:t xml:space="preserve"> </w:t>
      </w:r>
      <w:r>
        <w:t xml:space="preserve">EU actors to consumers (see Annex 15). A specific issue in terms of implementation relates to</w:t>
      </w:r>
      <w:r>
        <w:t xml:space="preserve"> </w:t>
      </w:r>
      <w:r>
        <w:t xml:space="preserve">notifications that businesses have to submit to poison centres for emergency health response.</w:t>
      </w:r>
      <w:r>
        <w:t xml:space="preserve"> </w:t>
      </w:r>
      <w:r>
        <w:t xml:space="preserve">Poison centres across the EU answer over half a million calls for support per year56, therefore, it is</w:t>
      </w:r>
      <w:r>
        <w:t xml:space="preserve"> </w:t>
      </w:r>
      <w:r>
        <w:t xml:space="preserve">essential that they have all the necessary information on e.g. the composition of mixtures in order to</w:t>
      </w:r>
      <w:r>
        <w:t xml:space="preserve"> </w:t>
      </w:r>
      <w:r>
        <w:t xml:space="preserve">provide the appropriate advice to consumers or health carers. Although notifications significantly</w:t>
      </w:r>
      <w:r>
        <w:t xml:space="preserve"> </w:t>
      </w:r>
      <w:r>
        <w:t xml:space="preserve">improved over the years for trade within Member States and imported chemicals, there are still two</w:t>
      </w:r>
      <w:r>
        <w:t xml:space="preserve"> </w:t>
      </w:r>
      <w:r>
        <w:t xml:space="preserve">situations where implementation is sub-optimal as businesses fail to notify: in the case of intra-EU</w:t>
      </w:r>
      <w:r>
        <w:t xml:space="preserve"> </w:t>
      </w:r>
      <w:r>
        <w:t xml:space="preserve">cross-border trade and/or re-branding/re-labelling. The estimation of mixtures currently not notified</w:t>
      </w:r>
      <w:r>
        <w:t xml:space="preserve"> </w:t>
      </w:r>
      <w:r>
        <w:t xml:space="preserve">under those two scenarios is between 252,500 – 637,500 out of a total of 1.4 million mixtures</w:t>
      </w:r>
      <w:r>
        <w:t xml:space="preserve"> </w:t>
      </w:r>
      <w:r>
        <w:t xml:space="preserve">notified in 2021 (see Annex 16).</w:t>
      </w:r>
      <w:r>
        <w:t xml:space="preserve"> </w:t>
      </w:r>
      <w:r>
        <w:t xml:space="preserve">Consequences</w:t>
      </w:r>
      <w:r>
        <w:t xml:space="preserve"> </w:t>
      </w:r>
      <w:r>
        <w:t xml:space="preserve">As a result of the issues described above, consumers and workers are often confronted with</w:t>
      </w:r>
      <w:r>
        <w:t xml:space="preserve"> </w:t>
      </w:r>
      <w:r>
        <w:t xml:space="preserve">chemicals with no or incorrect labelling and packaging, in particular when buying online directly</w:t>
      </w:r>
      <w:r>
        <w:t xml:space="preserve"> </w:t>
      </w:r>
      <w:r>
        <w:t xml:space="preserve">from non-EU sellers (and to a lesser extent when buying from intra-EU sellers). As online offers</w:t>
      </w:r>
      <w:r>
        <w:t xml:space="preserve"> </w:t>
      </w:r>
      <w:r>
        <w:t xml:space="preserve">and advertisements often do not display hazardous information, consumers may not be able to make</w:t>
      </w:r>
      <w:r>
        <w:t xml:space="preserve"> </w:t>
      </w:r>
      <w:r>
        <w:t xml:space="preserve">informed choices, or correctly use, store or dispose of mislabelled chemicals such as detergents or</w:t>
      </w:r>
      <w:r>
        <w:t xml:space="preserve"> </w:t>
      </w:r>
      <w:r>
        <w:t xml:space="preserve">paints, leading to risks for their health and/or the environment. Furthermore, the lack of compliance</w:t>
      </w:r>
      <w:r>
        <w:t xml:space="preserve"> </w:t>
      </w:r>
      <w:r>
        <w:t xml:space="preserve">with or enforcement of CLP rules for imports also leads to an uneven level playing field, including</w:t>
      </w:r>
      <w:r>
        <w:t xml:space="preserve"> </w:t>
      </w:r>
      <w:r>
        <w:t xml:space="preserve">a competitive advantage of non-EU actors operating online compared to EU actors – such as</w:t>
      </w:r>
      <w:r>
        <w:t xml:space="preserve"> </w:t>
      </w:r>
      <w:r>
        <w:t xml:space="preserve">importers, downstream users, distributors and manufacturers - who must comply with CLP</w:t>
      </w:r>
      <w:r>
        <w:t xml:space="preserve"> </w:t>
      </w:r>
      <w:r>
        <w:t xml:space="preserve">(especially of SMEs who merely operate within Europe). Finally, the lack of the submission of</w:t>
      </w:r>
      <w:r>
        <w:t xml:space="preserve"> </w:t>
      </w:r>
      <w:r>
        <w:t xml:space="preserve">correct emergency health response information to poison centres leads to insufficient health</w:t>
      </w:r>
    </w:p>
    <w:p>
      <w:pPr>
        <w:pStyle w:val="BodyText"/>
      </w:pPr>
      <w:r>
        <w:t xml:space="preserve">54 Non-compliant with Article 48(2) on advertisement of mixtures, ECHA, Final report on the Forum Pilot Project on</w:t>
      </w:r>
      <w:r>
        <w:t xml:space="preserve"> </w:t>
      </w:r>
      <w:r>
        <w:t xml:space="preserve">CLP focusing on control of internet sales, 2018.</w:t>
      </w:r>
      <w:r>
        <w:t xml:space="preserve"> </w:t>
      </w:r>
      <w:r>
        <w:t xml:space="preserve">55 For CLP the suggestion is 1.37 times higher.</w:t>
      </w:r>
      <w:r>
        <w:br/>
      </w:r>
      <w:r>
        <w:t xml:space="preserve">56 European Commission’s webpage on https://ec.europa.eu/growth/sectors/chemicals/poison-centres_en.</w:t>
      </w:r>
    </w:p>
    <w:p>
      <w:pPr>
        <w:pStyle w:val="BodyText"/>
      </w:pPr>
      <w:r>
        <w:t xml:space="preserve">15</w:t>
      </w:r>
    </w:p>
    <w:p>
      <w:pPr>
        <w:pStyle w:val="BodyText"/>
      </w:pPr>
      <w:r>
        <w:t xml:space="preserve">responses or patients’ overtreatment57 (see Annex 16) as well as an uneven level playing field for</w:t>
      </w:r>
      <w:r>
        <w:t xml:space="preserve"> </w:t>
      </w:r>
      <w:r>
        <w:t xml:space="preserve">businesses who correctly submit the correct emergency health response information. This affects</w:t>
      </w:r>
      <w:r>
        <w:t xml:space="preserve"> </w:t>
      </w:r>
      <w:r>
        <w:t xml:space="preserve">their competitiveness compared to non-compliant companies58.</w:t>
      </w:r>
      <w:r>
        <w:t xml:space="preserve"> </w:t>
      </w:r>
      <w:r>
        <w:t xml:space="preserve">2.2</w:t>
      </w:r>
      <w:r>
        <w:t xml:space="preserve"> </w:t>
      </w:r>
      <w:r>
        <w:t xml:space="preserve">The problem drivers</w:t>
      </w:r>
      <w:r>
        <w:t xml:space="preserve"> </w:t>
      </w:r>
      <w:r>
        <w:t xml:space="preserve">The problem and its manifestations are driven by several regulatory failures.</w:t>
      </w:r>
      <w:r>
        <w:t xml:space="preserve"> </w:t>
      </w:r>
      <w:r>
        <w:t xml:space="preserve">2.2.1 Missing provisions for the identification of critical hazards</w:t>
      </w:r>
      <w:r>
        <w:br/>
      </w:r>
      <w:r>
        <w:t xml:space="preserve">CLP provides that, for hazards of highest concern, classification and labelling of substances should</w:t>
      </w:r>
      <w:r>
        <w:t xml:space="preserve"> </w:t>
      </w:r>
      <w:r>
        <w:t xml:space="preserve">be harmonised throughout the EU. However, the hazards currently defined under CLP — the same</w:t>
      </w:r>
      <w:r>
        <w:t xml:space="preserve"> </w:t>
      </w:r>
      <w:r>
        <w:t xml:space="preserve">defined under (UN) Globally Harmonized System (GHS) — are not exhaustive and horizontal</w:t>
      </w:r>
      <w:r>
        <w:t xml:space="preserve"> </w:t>
      </w:r>
      <w:r>
        <w:t xml:space="preserve">identification criteria and hazard classes are missing for some of the most critical hazards, in</w:t>
      </w:r>
      <w:r>
        <w:t xml:space="preserve"> </w:t>
      </w:r>
      <w:r>
        <w:t xml:space="preserve">particular EDs, PBT and vPvB, PMT and vPvM. While identification criteria do not yet exist in EU</w:t>
      </w:r>
      <w:r>
        <w:t xml:space="preserve"> </w:t>
      </w:r>
      <w:r>
        <w:t xml:space="preserve">legislation for PMT/vPvM substances, some criteria and provisions to identify EDs and PBT/vPvB</w:t>
      </w:r>
      <w:r>
        <w:t xml:space="preserve"> </w:t>
      </w:r>
      <w:r>
        <w:t xml:space="preserve">exist in some pieces of EU legislation (e.g. the Plant Protection Products Regulation59 and the</w:t>
      </w:r>
      <w:r>
        <w:t xml:space="preserve"> </w:t>
      </w:r>
      <w:r>
        <w:t xml:space="preserve">Biocidal products Regulation60) or as an international standard61 (Annex 8 provides more details on</w:t>
      </w:r>
      <w:r>
        <w:t xml:space="preserve"> </w:t>
      </w:r>
      <w:r>
        <w:t xml:space="preserve">the gaps and inconsistencies in the regulatory framework). However, a horizontal and systematic</w:t>
      </w:r>
      <w:r>
        <w:t xml:space="preserve"> </w:t>
      </w:r>
      <w:r>
        <w:t xml:space="preserve">approach to identification is still missing across EU legislation62 (see Annex 5). The lack of</w:t>
      </w:r>
      <w:r>
        <w:t xml:space="preserve"> </w:t>
      </w:r>
      <w:r>
        <w:t xml:space="preserve">horizontal criteria for EDs was already identified as a priority area for action in the EU’s 7th</w:t>
      </w:r>
      <w:r>
        <w:t xml:space="preserve"> </w:t>
      </w:r>
      <w:r>
        <w:t xml:space="preserve">Environmental Action Plan as well as in the Fitness Check on endocrine disruptors, and the lack of</w:t>
      </w:r>
      <w:r>
        <w:t xml:space="preserve"> </w:t>
      </w:r>
      <w:r>
        <w:t xml:space="preserve">progress has been regularly criticised, including by the European Parliament and the Council (see</w:t>
      </w:r>
      <w:r>
        <w:t xml:space="preserve"> </w:t>
      </w:r>
      <w:r>
        <w:t xml:space="preserve">Annex 2).</w:t>
      </w:r>
      <w:r>
        <w:br/>
      </w:r>
      <w:r>
        <w:t xml:space="preserve">2.2.2 Inefficient procedures for hazard characterisation and classification</w:t>
      </w:r>
      <w:r>
        <w:br/>
      </w:r>
      <w:r>
        <w:t xml:space="preserve">The Chemicals Fitness Check and the study conducted for this impact assessment have evaluated</w:t>
      </w:r>
      <w:r>
        <w:t xml:space="preserve"> </w:t>
      </w:r>
      <w:r>
        <w:t xml:space="preserve">the performance of the procedures to classify chemicals hazards, both via harmonised classification</w:t>
      </w:r>
      <w:r>
        <w:t xml:space="preserve"> </w:t>
      </w:r>
      <w:r>
        <w:t xml:space="preserve">as well as industry’s self-classification. It concluded that classification procedures are not fully</w:t>
      </w:r>
      <w:r>
        <w:t xml:space="preserve"> </w:t>
      </w:r>
      <w:r>
        <w:t xml:space="preserve">efficient, and that there is room for improvement both in terms of speed of the processes as well as</w:t>
      </w:r>
      <w:r>
        <w:t xml:space="preserve"> </w:t>
      </w:r>
      <w:r>
        <w:t xml:space="preserve">in terms of reduction of administrative burden for authorities and companies. Stakeholders also</w:t>
      </w:r>
      <w:r>
        <w:t xml:space="preserve"> </w:t>
      </w:r>
      <w:r>
        <w:t xml:space="preserve">confirmed that improvements would be beneficial8.</w:t>
      </w:r>
      <w:r>
        <w:br/>
      </w:r>
      <w:r>
        <w:t xml:space="preserve">Almost all dossiers for harmonised classification are developed by Member States63. The situation</w:t>
      </w:r>
      <w:r>
        <w:t xml:space="preserve"> </w:t>
      </w:r>
      <w:r>
        <w:t xml:space="preserve">reported in the chemicals Fitness Check reflects the amount of resources needed at Member State</w:t>
      </w:r>
      <w:r>
        <w:t xml:space="preserve"> </w:t>
      </w:r>
      <w:r>
        <w:t xml:space="preserve">level – in terms of staff as well as expert capacity - for preparing a classification dossier, combined</w:t>
      </w:r>
      <w:r>
        <w:t xml:space="preserve"> </w:t>
      </w:r>
      <w:r>
        <w:t xml:space="preserve">with reductions in resources and budgets allocated for this work. Considerable variation exists</w:t>
      </w:r>
      <w:r>
        <w:t xml:space="preserve"> </w:t>
      </w:r>
      <w:r>
        <w:t xml:space="preserve">between Member States in their capacity and willingness to initiate harmonised classification</w:t>
      </w:r>
    </w:p>
    <w:p>
      <w:pPr>
        <w:pStyle w:val="BodyText"/>
      </w:pPr>
      <w:r>
        <w:t xml:space="preserve">57 According to the chemicals Fitness Check, hospitalisation costs amount from €960 to €15,600 for severe accidents.</w:t>
      </w:r>
      <w:r>
        <w:t xml:space="preserve"> </w:t>
      </w:r>
      <w:r>
        <w:t xml:space="preserve">58 Currently 252,500 – 637,500 mixtures are not notified; assessments how much such legal ambiguities would affect</w:t>
      </w:r>
      <w:r>
        <w:t xml:space="preserve"> </w:t>
      </w:r>
      <w:r>
        <w:t xml:space="preserve">competitiveness is not known.</w:t>
      </w:r>
      <w:r>
        <w:br/>
      </w:r>
      <w:r>
        <w:t xml:space="preserve">59 Regulation (EC) No 1107/2009.</w:t>
      </w:r>
      <w:r>
        <w:t xml:space="preserve"> </w:t>
      </w:r>
      <w:r>
        <w:t xml:space="preserve">60 Regulation (EU) No 528/2012.</w:t>
      </w:r>
      <w:r>
        <w:t xml:space="preserve"> </w:t>
      </w:r>
      <w:r>
        <w:t xml:space="preserve">61 such as the World Health Organisation (WHO) definition for EDs</w:t>
      </w:r>
      <w:r>
        <w:t xml:space="preserve"> </w:t>
      </w:r>
      <w:r>
        <w:t xml:space="preserve">62 For example, there are 22,930 registered substances in 101,787 dossiers and 212,425 notified substances in the</w:t>
      </w:r>
      <w:r>
        <w:t xml:space="preserve"> </w:t>
      </w:r>
      <w:r>
        <w:t xml:space="preserve">Classification and Labelling Inventory.</w:t>
      </w:r>
      <w:r>
        <w:t xml:space="preserve"> </w:t>
      </w:r>
      <w:r>
        <w:t xml:space="preserve">63 Manufacturers, importers and downstream users are also entitled to submit harmonised classification and labelling</w:t>
      </w:r>
      <w:r>
        <w:t xml:space="preserve"> </w:t>
      </w:r>
      <w:r>
        <w:t xml:space="preserve">dossiers in certain cases.</w:t>
      </w:r>
    </w:p>
    <w:p>
      <w:pPr>
        <w:pStyle w:val="BodyText"/>
      </w:pPr>
      <w:r>
        <w:t xml:space="preserve">16</w:t>
      </w:r>
    </w:p>
    <w:p>
      <w:pPr>
        <w:pStyle w:val="BodyText"/>
      </w:pPr>
      <w:r>
        <w:t xml:space="preserve">dossiers, with just about half of them carrying most of the burden64. It is also understood that the</w:t>
      </w:r>
      <w:r>
        <w:t xml:space="preserve"> </w:t>
      </w:r>
      <w:r>
        <w:t xml:space="preserve">committee65 assessing proposed harmonised classification currently operates at its maximum</w:t>
      </w:r>
      <w:r>
        <w:t xml:space="preserve"> </w:t>
      </w:r>
      <w:r>
        <w:t xml:space="preserve">capacity, with some 60 opinions delivered per year (see Annex 10). Interviewed stakeholders</w:t>
      </w:r>
      <w:r>
        <w:t xml:space="preserve"> </w:t>
      </w:r>
      <w:r>
        <w:t xml:space="preserve">respondents also noted the lack of a prioritisation of substances for classification and some</w:t>
      </w:r>
      <w:r>
        <w:t xml:space="preserve"> </w:t>
      </w:r>
      <w:r>
        <w:t xml:space="preserve">competent authorities highlighted the lack of adequate resources in ECHA for classification</w:t>
      </w:r>
      <w:r>
        <w:t xml:space="preserve"> </w:t>
      </w:r>
      <w:r>
        <w:t xml:space="preserve">processes.</w:t>
      </w:r>
      <w:r>
        <w:t xml:space="preserve"> </w:t>
      </w:r>
      <w:r>
        <w:t xml:space="preserve">The main weaknesses of the self-classification processes relate to its capacity to ensure convergent</w:t>
      </w:r>
      <w:r>
        <w:t xml:space="preserve"> </w:t>
      </w:r>
      <w:r>
        <w:t xml:space="preserve">and updated information on the substances self-classified by industry and included in the CLP</w:t>
      </w:r>
      <w:r>
        <w:t xml:space="preserve"> </w:t>
      </w:r>
      <w:r>
        <w:t xml:space="preserve">inventory maintained by ECHA. The divergence seems to be due to different elements intrinsic to</w:t>
      </w:r>
      <w:r>
        <w:t xml:space="preserve"> </w:t>
      </w:r>
      <w:r>
        <w:t xml:space="preserve">the process. First, there is currently no legal requirement for notifiers to come to an agreement on</w:t>
      </w:r>
      <w:r>
        <w:t xml:space="preserve"> </w:t>
      </w:r>
      <w:r>
        <w:t xml:space="preserve">self-classifications, only an obligation to ‘make every effort’. The lack of transparency in the CLP</w:t>
      </w:r>
      <w:r>
        <w:t xml:space="preserve"> </w:t>
      </w:r>
      <w:r>
        <w:t xml:space="preserve">inventory regarding the identity of notifiers also prevents communication between notifiers of the</w:t>
      </w:r>
      <w:r>
        <w:t xml:space="preserve"> </w:t>
      </w:r>
      <w:r>
        <w:t xml:space="preserve">same substance, creating an additional barrier66. ECHA has recognised the issue of incorrect,</w:t>
      </w:r>
      <w:r>
        <w:t xml:space="preserve"> </w:t>
      </w:r>
      <w:r>
        <w:t xml:space="preserve">diverging, or obsolete information in the inventory for some time67 and has developed a process to</w:t>
      </w:r>
      <w:r>
        <w:t xml:space="preserve"> </w:t>
      </w:r>
      <w:r>
        <w:t xml:space="preserve">encourage notifiers to communicate with one another in an effort to increase convergence.</w:t>
      </w:r>
      <w:r>
        <w:t xml:space="preserve"> </w:t>
      </w:r>
      <w:r>
        <w:t xml:space="preserve">Although the process68 has helped to improve the correctness of information in the inventory, there</w:t>
      </w:r>
      <w:r>
        <w:t xml:space="preserve"> </w:t>
      </w:r>
      <w:r>
        <w:t xml:space="preserve">are hardly any incentives for agreeing on classifications after notifications are submitted to the</w:t>
      </w:r>
      <w:r>
        <w:t xml:space="preserve"> </w:t>
      </w:r>
      <w:r>
        <w:t xml:space="preserve">inventory.</w:t>
      </w:r>
      <w:r>
        <w:br/>
      </w:r>
      <w:r>
        <w:t xml:space="preserve">Finally, diverging reference values for a substance come from the absence of a harmonised</w:t>
      </w:r>
      <w:r>
        <w:t xml:space="preserve"> </w:t>
      </w:r>
      <w:r>
        <w:t xml:space="preserve">methodology69 or different toxicity data sets (see Annex 9). For the purpose of harmonising the</w:t>
      </w:r>
      <w:r>
        <w:t xml:space="preserve"> </w:t>
      </w:r>
      <w:r>
        <w:t xml:space="preserve">safety assessment of chemicals, including methodologies and reference values, the Chemicals</w:t>
      </w:r>
      <w:r>
        <w:t xml:space="preserve"> </w:t>
      </w:r>
      <w:r>
        <w:t xml:space="preserve">Strategy for Sustainability also envisages a ‘One substance, one assessment’ process (see also</w:t>
      </w:r>
      <w:r>
        <w:t xml:space="preserve"> </w:t>
      </w:r>
      <w:r>
        <w:t xml:space="preserve">baseline in 5.1.).</w:t>
      </w:r>
      <w:r>
        <w:t xml:space="preserve"> </w:t>
      </w:r>
      <w:r>
        <w:t xml:space="preserve">2.2.3 Complexity of some labelling provisions</w:t>
      </w:r>
      <w:r>
        <w:br/>
      </w:r>
      <w:r>
        <w:t xml:space="preserve">The chemicals Fitness Check shows that the complexity of the CLP labelling rules results in</w:t>
      </w:r>
      <w:r>
        <w:t xml:space="preserve"> </w:t>
      </w:r>
      <w:r>
        <w:t xml:space="preserve">unsatisfactory implementation by companies, in particular SMEs, as well as high level of non-</w:t>
      </w:r>
      <w:r>
        <w:t xml:space="preserve"> </w:t>
      </w:r>
      <w:r>
        <w:t xml:space="preserve">compliance on labelling.70 The general labelling requirements can become even more complex</w:t>
      </w:r>
      <w:r>
        <w:t xml:space="preserve"> </w:t>
      </w:r>
      <w:r>
        <w:t xml:space="preserve">when multiple pieces of legislation apply. In addition, there are some exemptions from the CLP</w:t>
      </w:r>
      <w:r>
        <w:t xml:space="preserve"> </w:t>
      </w:r>
      <w:r>
        <w:t xml:space="preserve">labelling rules due to the practical constraints triggered by e.g. the size, shape or type of the</w:t>
      </w:r>
      <w:r>
        <w:t xml:space="preserve"> </w:t>
      </w:r>
      <w:r>
        <w:t xml:space="preserve">packaging which can also induce complexity and have proven difficult to apply in practice. This</w:t>
      </w:r>
      <w:r>
        <w:t xml:space="preserve"> </w:t>
      </w:r>
      <w:r>
        <w:t xml:space="preserve">complexity is also reflected in the relatively high level of non-compliance with CLP labelling</w:t>
      </w:r>
      <w:r>
        <w:t xml:space="preserve"> </w:t>
      </w:r>
      <w:r>
        <w:t xml:space="preserve">requirements, which was found to range from 33.5% to 71%71,72 in particular for chemicals placed</w:t>
      </w:r>
    </w:p>
    <w:p>
      <w:pPr>
        <w:pStyle w:val="BodyText"/>
      </w:pPr>
      <w:r>
        <w:t xml:space="preserve">64 ECHA, Transparent progress in addressing substances of concern. Integrated Regulatory Strategy annual report,</w:t>
      </w:r>
      <w:r>
        <w:t xml:space="preserve"> </w:t>
      </w:r>
      <w:r>
        <w:t xml:space="preserve">2021.</w:t>
      </w:r>
      <w:r>
        <w:t xml:space="preserve"> </w:t>
      </w:r>
      <w:r>
        <w:t xml:space="preserve">65 The Risk Assessment Committee is composed of 45 experts from Member States and 5 co-opted ones appointing</w:t>
      </w:r>
      <w:r>
        <w:t xml:space="preserve"> </w:t>
      </w:r>
      <w:r>
        <w:t xml:space="preserve">intuitu personae. They perform amongst other tasks the EU peer-review of proposed harmonised classification.</w:t>
      </w:r>
      <w:r>
        <w:t xml:space="preserve"> </w:t>
      </w:r>
      <w:r>
        <w:t xml:space="preserve">66 CARACAL Document CA/77/2020 described ways to improve and re-design the CLP inventory to address some of</w:t>
      </w:r>
      <w:r>
        <w:t xml:space="preserve"> </w:t>
      </w:r>
      <w:r>
        <w:t xml:space="preserve">the difficulties faced by the notifiers.</w:t>
      </w:r>
      <w:r>
        <w:t xml:space="preserve"> </w:t>
      </w:r>
      <w:r>
        <w:t xml:space="preserve">67 ECHA, C&amp;L inventory: convergence in self-classification ppt. CARACAL – 17 - 26th March 2015, 2015.</w:t>
      </w:r>
      <w:r>
        <w:t xml:space="preserve"> </w:t>
      </w:r>
      <w:r>
        <w:t xml:space="preserve">68 ECHA, How to prepare a classification and labelling notification, October 2021</w:t>
      </w:r>
      <w:r>
        <w:t xml:space="preserve"> </w:t>
      </w:r>
      <w:r>
        <w:t xml:space="preserve">69 Such as Derived No-Effect Levels (DNELs) or Predicted No–Effect Concentrations (PNECs). Diverging human and</w:t>
      </w:r>
      <w:r>
        <w:t xml:space="preserve"> </w:t>
      </w:r>
      <w:r>
        <w:t xml:space="preserve">environmental reference values, have been identified in different REACH registration dossiers for a substance.</w:t>
      </w:r>
      <w:r>
        <w:t xml:space="preserve"> </w:t>
      </w:r>
      <w:r>
        <w:t xml:space="preserve">70 Implementation complexity includes the specific labelling derogations applicable to certain products laid down in</w:t>
      </w:r>
      <w:r>
        <w:t xml:space="preserve"> </w:t>
      </w:r>
      <w:r>
        <w:t xml:space="preserve">section 1.3. of Annex I of CLP.</w:t>
      </w:r>
      <w:r>
        <w:br/>
      </w:r>
      <w:r>
        <w:t xml:space="preserve">71 ECHA, REF-6 project report - Classification and labelling of mixtures, 2019.</w:t>
      </w:r>
      <w:r>
        <w:t xml:space="preserve"> </w:t>
      </w:r>
      <w:r>
        <w:t xml:space="preserve">72 ECHA REF-8 project report on enforcement of CLP, REACH and BPR duties related to substances, mixtures and</w:t>
      </w:r>
      <w:r>
        <w:t xml:space="preserve"> </w:t>
      </w:r>
      <w:r>
        <w:t xml:space="preserve">articles sold online, 2021.</w:t>
      </w:r>
    </w:p>
    <w:p>
      <w:pPr>
        <w:pStyle w:val="BodyText"/>
      </w:pPr>
      <w:r>
        <w:t xml:space="preserve">17</w:t>
      </w:r>
    </w:p>
    <w:p>
      <w:pPr>
        <w:pStyle w:val="BodyText"/>
      </w:pPr>
      <w:r>
        <w:t xml:space="preserve">on the market for refill (e.g., detergents), or chemicals with very small packaging (e.g., pens), or</w:t>
      </w:r>
      <w:r>
        <w:t xml:space="preserve"> </w:t>
      </w:r>
      <w:r>
        <w:t xml:space="preserve">sold in bulk to consumers (e.g., fuel at filling stations)8.</w:t>
      </w:r>
      <w:r>
        <w:br/>
      </w:r>
      <w:r>
        <w:t xml:space="preserve">2.2.4 Current labelling rules do not sufficiently exploit new digital tools</w:t>
      </w:r>
      <w:r>
        <w:t xml:space="preserve"> </w:t>
      </w:r>
      <w:r>
        <w:t xml:space="preserve">Since the entry into force of the CLP, digitalisation has led to the development of new labelling</w:t>
      </w:r>
      <w:r>
        <w:t xml:space="preserve"> </w:t>
      </w:r>
      <w:r>
        <w:t xml:space="preserve">technologies which are not adequately captured by the current scope of the regulatory framework.</w:t>
      </w:r>
      <w:r>
        <w:t xml:space="preserve"> </w:t>
      </w:r>
      <w:r>
        <w:t xml:space="preserve">The chemicals Fitness check already pointed out that the existing CLP provisions and requirements</w:t>
      </w:r>
      <w:r>
        <w:t xml:space="preserve"> </w:t>
      </w:r>
      <w:r>
        <w:t xml:space="preserve">on labelling do not consider the opportunities offered by digitalisation, which could help reach</w:t>
      </w:r>
      <w:r>
        <w:t xml:space="preserve"> </w:t>
      </w:r>
      <w:r>
        <w:t xml:space="preserve">consumers more effectively and reduce compliance costs for companies73. In particular, no mention</w:t>
      </w:r>
      <w:r>
        <w:t xml:space="preserve"> </w:t>
      </w:r>
      <w:r>
        <w:t xml:space="preserve">is made in CLP of the possibility to use digital labelling solutions to improve hazard</w:t>
      </w:r>
      <w:r>
        <w:t xml:space="preserve"> </w:t>
      </w:r>
      <w:r>
        <w:t xml:space="preserve">communication and other relevant pieces of information to users of chemicals (see Annex 13).</w:t>
      </w:r>
      <w:r>
        <w:t xml:space="preserve"> </w:t>
      </w:r>
      <w:r>
        <w:t xml:space="preserve">2.2.5 Rules are inadequate to keep pace with new sales channels</w:t>
      </w:r>
      <w:r>
        <w:t xml:space="preserve"> </w:t>
      </w:r>
      <w:r>
        <w:t xml:space="preserve">CLP has not sufficiently been adapted to some current societal and technological trends such as the</w:t>
      </w:r>
      <w:r>
        <w:t xml:space="preserve"> </w:t>
      </w:r>
      <w:r>
        <w:t xml:space="preserve">increase in online sales (see 2.1.3). CLP does not apply to non-EU based economic actors, who can</w:t>
      </w:r>
      <w:r>
        <w:t xml:space="preserve"> </w:t>
      </w:r>
      <w:r>
        <w:t xml:space="preserve">today more easily than in the past reach and sell directly to consumers in the EU. CLP does not</w:t>
      </w:r>
      <w:r>
        <w:t xml:space="preserve"> </w:t>
      </w:r>
      <w:r>
        <w:t xml:space="preserve">consider situations in which consumers become de facto and de jure importers as they buy online</w:t>
      </w:r>
      <w:r>
        <w:t xml:space="preserve"> </w:t>
      </w:r>
      <w:r>
        <w:t xml:space="preserve">directly from non-EU economic operators. In addition, the CLP is very ambiguous about online</w:t>
      </w:r>
      <w:r>
        <w:t xml:space="preserve"> </w:t>
      </w:r>
      <w:r>
        <w:t xml:space="preserve">offers, online advertisements, the obligation to display labelling information in online offers and to</w:t>
      </w:r>
      <w:r>
        <w:t xml:space="preserve"> </w:t>
      </w:r>
      <w:r>
        <w:t xml:space="preserve">mention certain hazard information (see Annex 15).</w:t>
      </w:r>
      <w:r>
        <w:t xml:space="preserve"> </w:t>
      </w:r>
      <w:r>
        <w:t xml:space="preserve">2.2.6 Unclear provisions on notifications to poison centres</w:t>
      </w:r>
      <w:r>
        <w:t xml:space="preserve"> </w:t>
      </w:r>
      <w:r>
        <w:t xml:space="preserve">CLP provides the obligation to downstream users and importers to submit relevant information for</w:t>
      </w:r>
      <w:r>
        <w:t xml:space="preserve"> </w:t>
      </w:r>
      <w:r>
        <w:t xml:space="preserve">emergency health response – but not to distributors or any other suppliers placing mixtures on the</w:t>
      </w:r>
      <w:r>
        <w:t xml:space="preserve"> </w:t>
      </w:r>
      <w:r>
        <w:t xml:space="preserve">market. This loophole leads to information loss for poison centres in two cases. Firstly, in the case</w:t>
      </w:r>
      <w:r>
        <w:t xml:space="preserve"> </w:t>
      </w:r>
      <w:r>
        <w:t xml:space="preserve">of cross-border distribution within the EU: if a distributor purchases a product in one Member State</w:t>
      </w:r>
      <w:r>
        <w:t xml:space="preserve"> </w:t>
      </w:r>
      <w:r>
        <w:t xml:space="preserve">and sells it in another, e.g., in the cases of intra-EU trade (no imports from outside the EU</w:t>
      </w:r>
      <w:r>
        <w:t xml:space="preserve"> </w:t>
      </w:r>
      <w:r>
        <w:t xml:space="preserve">involved). Secondly, in the case of re-branding/re-labelling: if the original supplier or a downstream</w:t>
      </w:r>
      <w:r>
        <w:t xml:space="preserve"> </w:t>
      </w:r>
      <w:r>
        <w:t xml:space="preserve">supplier places the mixture on the market in the same Member State but then re-brands or re-labels</w:t>
      </w:r>
      <w:r>
        <w:t xml:space="preserve"> </w:t>
      </w:r>
      <w:r>
        <w:t xml:space="preserve">it74. Consulted stakeholders raised the issue of diverging interpretations of duty holders who are</w:t>
      </w:r>
      <w:r>
        <w:t xml:space="preserve"> </w:t>
      </w:r>
      <w:r>
        <w:t xml:space="preserve">obliged to submit poison centres notifications. An ad-hoc meeting of the expert group of Competent</w:t>
      </w:r>
      <w:r>
        <w:t xml:space="preserve"> </w:t>
      </w:r>
      <w:r>
        <w:t xml:space="preserve">Authorities for REACH and CLP also highlighted these differences75.</w:t>
      </w:r>
      <w:r>
        <w:br/>
      </w:r>
      <w:r>
        <w:t xml:space="preserve">2.3</w:t>
      </w:r>
      <w:r>
        <w:t xml:space="preserve"> </w:t>
      </w:r>
      <w:r>
        <w:t xml:space="preserve">How likely is the problem to persist?</w:t>
      </w:r>
      <w:r>
        <w:t xml:space="preserve"> </w:t>
      </w:r>
      <w:r>
        <w:t xml:space="preserve">Without any policy intervention (soft or hard law measures), the problems will subsist or worsen,</w:t>
      </w:r>
      <w:r>
        <w:t xml:space="preserve"> </w:t>
      </w:r>
      <w:r>
        <w:t xml:space="preserve">especially in light of current trends in the production and consumption of chemicals and products</w:t>
      </w:r>
      <w:r>
        <w:t xml:space="preserve"> </w:t>
      </w:r>
      <w:r>
        <w:t xml:space="preserve">(see also section 5.1.3).</w:t>
      </w:r>
    </w:p>
    <w:p>
      <w:pPr>
        <w:pStyle w:val="BodyText"/>
      </w:pPr>
      <w:r>
        <w:t xml:space="preserve">73 SWD(2019) 199.</w:t>
      </w:r>
      <w:r>
        <w:t xml:space="preserve"> </w:t>
      </w:r>
      <w:r>
        <w:t xml:space="preserve">74 E.g., the estimation of currently not notified mixtures falling under those two scenarios is between 101,000 - 255,000.</w:t>
      </w:r>
      <w:r>
        <w:t xml:space="preserve"> </w:t>
      </w:r>
      <w:r>
        <w:t xml:space="preserve">75 The appointed bodies of four Member States agreed that there should be greater clarity on the inclusion of re-</w:t>
      </w:r>
      <w:r>
        <w:t xml:space="preserve"> </w:t>
      </w:r>
      <w:r>
        <w:t xml:space="preserve">branders/re-labellers and (other) distributors. However, the appointed bodies of other three Member States stated that</w:t>
      </w:r>
      <w:r>
        <w:t xml:space="preserve"> </w:t>
      </w:r>
      <w:r>
        <w:t xml:space="preserve">they already consider re-branders/re-labellers as downstream users whereas other Member States apply the proposed</w:t>
      </w:r>
      <w:r>
        <w:t xml:space="preserve"> </w:t>
      </w:r>
      <w:r>
        <w:t xml:space="preserve">interpretation of ECHA that distributors should comply with and in certain cases notify by virtue of Art. 4(10) so that in</w:t>
      </w:r>
      <w:r>
        <w:t xml:space="preserve"> </w:t>
      </w:r>
      <w:r>
        <w:t xml:space="preserve">practice the problem is solved. Ad-hoc Meeting of the CAs for the REACH and CLP Regulations (CARACAL) on</w:t>
      </w:r>
      <w:r>
        <w:t xml:space="preserve"> </w:t>
      </w:r>
      <w:r>
        <w:t xml:space="preserve">Annex</w:t>
      </w:r>
      <w:r>
        <w:t xml:space="preserve"> </w:t>
      </w:r>
      <w:r>
        <w:t xml:space="preserve">VIII.</w:t>
      </w:r>
      <w:r>
        <w:t xml:space="preserve"> </w:t>
      </w:r>
      <w:r>
        <w:t xml:space="preserve">Available</w:t>
      </w:r>
      <w:r>
        <w:t xml:space="preserve"> </w:t>
      </w:r>
      <w:r>
        <w:t xml:space="preserve">at:</w:t>
      </w:r>
      <w:r>
        <w:t xml:space="preserve"> </w:t>
      </w:r>
      <w:r>
        <w:t xml:space="preserve">https://circabc.europa.eu/ui/group/a0b483a2-4c05-4058-addf-</w:t>
      </w:r>
      <w:r>
        <w:t xml:space="preserve"> </w:t>
      </w:r>
      <w:r>
        <w:t xml:space="preserve">2a4de71b9a98/library/9872d680-66c6-4f01-ba97-942980734fb0/details</w:t>
      </w:r>
    </w:p>
    <w:p>
      <w:pPr>
        <w:pStyle w:val="BodyText"/>
      </w:pPr>
      <w:r>
        <w:t xml:space="preserve">18</w:t>
      </w:r>
    </w:p>
    <w:p>
      <w:pPr>
        <w:pStyle w:val="BodyText"/>
      </w:pPr>
      <w:r>
        <w:t xml:space="preserve">2.3.1 Hazardous chemicals are not comprehensively identified and classified</w:t>
      </w:r>
      <w:r>
        <w:t xml:space="preserve"> </w:t>
      </w:r>
      <w:r>
        <w:t xml:space="preserve">Without policy intervention, the identification of EDs, PBT/vPvB will continue to be done</w:t>
      </w:r>
      <w:r>
        <w:t xml:space="preserve"> </w:t>
      </w:r>
      <w:r>
        <w:t xml:space="preserve">differently across plant protection and biocidal products legislation, and REACH. It is also likely</w:t>
      </w:r>
      <w:r>
        <w:t xml:space="preserve"> </w:t>
      </w:r>
      <w:r>
        <w:t xml:space="preserve">that Member States will address concerns from emerging hazards individually. PBT/vPvB,</w:t>
      </w:r>
      <w:r>
        <w:t xml:space="preserve"> </w:t>
      </w:r>
      <w:r>
        <w:t xml:space="preserve">PMT/vPvM, and ED substances will continue to be identified under REACH on a case-by-case</w:t>
      </w:r>
      <w:r>
        <w:t xml:space="preserve"> </w:t>
      </w:r>
      <w:r>
        <w:t xml:space="preserve">basis76. However, the pace of identification will remain largely dependent on the resources</w:t>
      </w:r>
      <w:r>
        <w:t xml:space="preserve"> </w:t>
      </w:r>
      <w:r>
        <w:t xml:space="preserve">allocated for the process to identify substances of very high concern, and on the follow up</w:t>
      </w:r>
      <w:r>
        <w:t xml:space="preserve"> </w:t>
      </w:r>
      <w:r>
        <w:t xml:space="preserve">processes to fill information gaps which can often take up to several years77. A systematic</w:t>
      </w:r>
      <w:r>
        <w:t xml:space="preserve"> </w:t>
      </w:r>
      <w:r>
        <w:t xml:space="preserve">assessment of PBT/vPvB will be limited to substances above 10 tonnes/year under REACH</w:t>
      </w:r>
      <w:r>
        <w:t xml:space="preserve"> </w:t>
      </w:r>
      <w:r>
        <w:t xml:space="preserve">representing only 50% of the registered substances78 and only 5% of the substances notified in the</w:t>
      </w:r>
      <w:r>
        <w:t xml:space="preserve"> </w:t>
      </w:r>
      <w:r>
        <w:t xml:space="preserve">CLP classification and labelling inventory. At the end of 2020, there were around 1,860 substances</w:t>
      </w:r>
      <w:r>
        <w:t xml:space="preserve"> </w:t>
      </w:r>
      <w:r>
        <w:t xml:space="preserve">of potential concern needing further data generation, an increase of approximately 20% compared</w:t>
      </w:r>
      <w:r>
        <w:t xml:space="preserve"> </w:t>
      </w:r>
      <w:r>
        <w:t xml:space="preserve">to 2019.</w:t>
      </w:r>
      <w:r>
        <w:br/>
      </w:r>
      <w:r>
        <w:t xml:space="preserve">The number of chemicals identified as needing a (revision of their) harmonised classification</w:t>
      </w:r>
      <w:r>
        <w:t xml:space="preserve"> </w:t>
      </w:r>
      <w:r>
        <w:t xml:space="preserve">increased over the last years79. The trend is expected to continue (see Annex 10) following more</w:t>
      </w:r>
      <w:r>
        <w:t xml:space="preserve"> </w:t>
      </w:r>
      <w:r>
        <w:t xml:space="preserve">thorough checks by ECHA and the rolling out of other actions under the Chemicals Strategy for</w:t>
      </w:r>
      <w:r>
        <w:t xml:space="preserve"> </w:t>
      </w:r>
      <w:r>
        <w:t xml:space="preserve">Sustainability, such as more knowledge being generated on registered substances.</w:t>
      </w:r>
      <w:r>
        <w:br/>
      </w:r>
      <w:r>
        <w:t xml:space="preserve">Furthermore, other future actions identified in the European Green Deal and the Chemicals Strategy</w:t>
      </w:r>
      <w:r>
        <w:t xml:space="preserve"> </w:t>
      </w:r>
      <w:r>
        <w:t xml:space="preserve">for Sustainability will trigger additional regulatory actions and risk management measures for</w:t>
      </w:r>
      <w:r>
        <w:t xml:space="preserve"> </w:t>
      </w:r>
      <w:r>
        <w:t xml:space="preserve">critically hazardous chemicals in downstream regulations. Such measures would be based on</w:t>
      </w:r>
      <w:r>
        <w:t xml:space="preserve"> </w:t>
      </w:r>
      <w:r>
        <w:t xml:space="preserve">harmonised classification. Moreover, the number of diverging self-classifications is also likely to</w:t>
      </w:r>
      <w:r>
        <w:t xml:space="preserve"> </w:t>
      </w:r>
      <w:r>
        <w:t xml:space="preserve">persist and even increase due to the addition of new hazard classes.</w:t>
      </w:r>
      <w:r>
        <w:br/>
      </w:r>
      <w:r>
        <w:t xml:space="preserve">2.3.2 Sub-optimal communication on chemical hazards</w:t>
      </w:r>
      <w:r>
        <w:br/>
      </w:r>
      <w:r>
        <w:t xml:space="preserve">Problems related to complex and impractical labelling requirements, will remain very significant</w:t>
      </w:r>
      <w:r>
        <w:t xml:space="preserve"> </w:t>
      </w:r>
      <w:r>
        <w:t xml:space="preserve">at EU level or get worse. Although appropriate guidance how to implement those provisions in the</w:t>
      </w:r>
      <w:r>
        <w:t xml:space="preserve"> </w:t>
      </w:r>
      <w:r>
        <w:t xml:space="preserve">CLP already exists80, it will not entirely solve the problem. For example, by 2040 it is expected that</w:t>
      </w:r>
      <w:r>
        <w:t xml:space="preserve"> </w:t>
      </w:r>
      <w:r>
        <w:t xml:space="preserve">the market for refill chemicals will increase up to over 265,000 t/year and that between 6.62 and</w:t>
      </w:r>
      <w:r>
        <w:t xml:space="preserve"> </w:t>
      </w:r>
      <w:r>
        <w:t xml:space="preserve">66.2 million purchases of refill chemicals may happen without appropriate labelling in the absence</w:t>
      </w:r>
      <w:r>
        <w:t xml:space="preserve"> </w:t>
      </w:r>
      <w:r>
        <w:t xml:space="preserve">of policy intervention. Also, labelling issues with chemicals placed on the market in very small</w:t>
      </w:r>
      <w:r>
        <w:t xml:space="preserve"> </w:t>
      </w:r>
      <w:r>
        <w:t xml:space="preserve">packaging (e.g. writing instruments, lighters, essential oils) are expected to remain due to an</w:t>
      </w:r>
      <w:r>
        <w:t xml:space="preserve"> </w:t>
      </w:r>
      <w:r>
        <w:t xml:space="preserve">estimated slight increase of the number of those products placed on the market by 204081. The trend</w:t>
      </w:r>
      <w:r>
        <w:t xml:space="preserve"> </w:t>
      </w:r>
      <w:r>
        <w:t xml:space="preserve">of consumers wanting to know the environmental impact of chemicals is also expected to continue,</w:t>
      </w:r>
      <w:r>
        <w:t xml:space="preserve"> </w:t>
      </w:r>
      <w:r>
        <w:t xml:space="preserve">as part of the overall megatrends on consumers’ willingness in making more informed sustainable</w:t>
      </w:r>
      <w:r>
        <w:t xml:space="preserve"> </w:t>
      </w:r>
      <w:r>
        <w:t xml:space="preserve">purchase choices82. Moreover, digitalisation trends will continue and expand and the problem of</w:t>
      </w:r>
      <w:r>
        <w:t xml:space="preserve"> </w:t>
      </w:r>
      <w:r>
        <w:t xml:space="preserve">CLP not keeping adequate pace with technological solutions will aggregate and CLP risks of</w:t>
      </w:r>
      <w:r>
        <w:t xml:space="preserve"> </w:t>
      </w:r>
      <w:r>
        <w:t xml:space="preserve">missing out on remaining key instrument for consumers to make informed choices.</w:t>
      </w:r>
    </w:p>
    <w:p>
      <w:pPr>
        <w:pStyle w:val="BodyText"/>
      </w:pPr>
      <w:r>
        <w:t xml:space="preserve">76 Via substances of very high concern (SVHC) identification.</w:t>
      </w:r>
      <w:r>
        <w:t xml:space="preserve"> </w:t>
      </w:r>
      <w:r>
        <w:t xml:space="preserve">77 ECHA, Transparent progress in addressing substances of concern. Integrated Regulatory Strategy annual report,</w:t>
      </w:r>
      <w:r>
        <w:t xml:space="preserve"> </w:t>
      </w:r>
      <w:r>
        <w:t xml:space="preserve">2021, pp.17-19.</w:t>
      </w:r>
      <w:r>
        <w:t xml:space="preserve"> </w:t>
      </w:r>
      <w:r>
        <w:t xml:space="preserve">78 See ECHA statistics on registration: 58c2d7bd-2173-4cb9-eb3b-a6bc14a6754b (europa.eu)</w:t>
      </w:r>
      <w:r>
        <w:t xml:space="preserve"> </w:t>
      </w:r>
      <w:r>
        <w:t xml:space="preserve">79 This number has been multiplied by 7 between 2018 and 2021.</w:t>
      </w:r>
      <w:r>
        <w:t xml:space="preserve"> </w:t>
      </w:r>
      <w:r>
        <w:t xml:space="preserve">80 ECHA guidance on labelling and packaging was first issued in 2011 and revised several times.</w:t>
      </w:r>
      <w:r>
        <w:br/>
      </w:r>
      <w:r>
        <w:t xml:space="preserve">81 Those products are broadly commercialized and purchased in EU: between about 734 to 898 billion units are placed</w:t>
      </w:r>
      <w:r>
        <w:t xml:space="preserve"> </w:t>
      </w:r>
      <w:r>
        <w:t xml:space="preserve">on the EU market every year. See Annex 12.</w:t>
      </w:r>
      <w:r>
        <w:t xml:space="preserve"> </w:t>
      </w:r>
      <w:r>
        <w:t xml:space="preserve">82 Supporting policy with scientific evidence, Megatrends, Consumers wish to be increasingly aware of the</w:t>
      </w:r>
      <w:r>
        <w:t xml:space="preserve"> </w:t>
      </w:r>
      <w:r>
        <w:t xml:space="preserve">environmental performance of the products they buy; see megatrends in sustainable consumption.</w:t>
      </w:r>
    </w:p>
    <w:p>
      <w:pPr>
        <w:pStyle w:val="BodyText"/>
      </w:pPr>
      <w:r>
        <w:t xml:space="preserve">19</w:t>
      </w:r>
    </w:p>
    <w:p>
      <w:pPr>
        <w:pStyle w:val="BodyText"/>
      </w:pPr>
      <w:r>
        <w:t xml:space="preserve">2.3.3 High level of non-compliance</w:t>
      </w:r>
      <w:r>
        <w:br/>
      </w:r>
      <w:r>
        <w:t xml:space="preserve">In future, safety of chemicals purchased online will be positively affected by new EU legislation</w:t>
      </w:r>
      <w:r>
        <w:t xml:space="preserve"> </w:t>
      </w:r>
      <w:r>
        <w:t xml:space="preserve">related to product safety, market surveillance, digital services and customs (see baseline 5.1.). The</w:t>
      </w:r>
      <w:r>
        <w:t xml:space="preserve"> </w:t>
      </w:r>
      <w:r>
        <w:t xml:space="preserve">Digital Services Act83 and the General Product Safety Regulation84 will significantly help solving</w:t>
      </w:r>
      <w:r>
        <w:t xml:space="preserve"> </w:t>
      </w:r>
      <w:r>
        <w:t xml:space="preserve">implementation or compliance problems on online sales related issues. They will, however, not</w:t>
      </w:r>
      <w:r>
        <w:t xml:space="preserve"> </w:t>
      </w:r>
      <w:r>
        <w:t xml:space="preserve">entirely solve issues of legal gaps or ambiguities specifically within CLP, especially when the</w:t>
      </w:r>
      <w:r>
        <w:t xml:space="preserve"> </w:t>
      </w:r>
      <w:r>
        <w:t xml:space="preserve">proportion of online sales and imported products is increasing (see baseline in 5.1.) and the</w:t>
      </w:r>
      <w:r>
        <w:t xml:space="preserve"> </w:t>
      </w:r>
      <w:r>
        <w:t xml:space="preserve">resources allocated by Member States for enforcement activities are not expected to increase</w:t>
      </w:r>
      <w:r>
        <w:t xml:space="preserve"> </w:t>
      </w:r>
      <w:r>
        <w:t xml:space="preserve">substantially.</w:t>
      </w:r>
      <w:r>
        <w:br/>
      </w:r>
      <w:r>
        <w:t xml:space="preserve">For poison centres, the problem will slightly increase given that distributors are expected to sell</w:t>
      </w:r>
      <w:r>
        <w:t xml:space="preserve"> </w:t>
      </w:r>
      <w:r>
        <w:t xml:space="preserve">more across EU borders, and hence also re-branding. Due to legal ambiguities in CLP, some</w:t>
      </w:r>
      <w:r>
        <w:t xml:space="preserve"> </w:t>
      </w:r>
      <w:r>
        <w:t xml:space="preserve">distributors will continue arguing that the currently applicable provisions do not oblige them to</w:t>
      </w:r>
      <w:r>
        <w:t xml:space="preserve"> </w:t>
      </w:r>
      <w:r>
        <w:t xml:space="preserve">notify in certain cases where information to poison centres would be paramount.</w:t>
      </w:r>
      <w:r>
        <w:t xml:space="preserve"> </w:t>
      </w:r>
      <w:r>
        <w:t xml:space="preserve">3</w:t>
      </w:r>
      <w:r>
        <w:t xml:space="preserve"> </w:t>
      </w:r>
      <w:r>
        <w:t xml:space="preserve">WHY SHOULD THE EU ACT?</w:t>
      </w:r>
      <w:r>
        <w:t xml:space="preserve"> </w:t>
      </w:r>
      <w:r>
        <w:t xml:space="preserve">3.1</w:t>
      </w:r>
      <w:r>
        <w:t xml:space="preserve"> </w:t>
      </w:r>
      <w:r>
        <w:t xml:space="preserve">Legal basis</w:t>
      </w:r>
      <w:r>
        <w:t xml:space="preserve"> </w:t>
      </w:r>
      <w:r>
        <w:t xml:space="preserve">The EU has the right to act and maintains the same legal base in the revision as for the adoption of</w:t>
      </w:r>
      <w:r>
        <w:t xml:space="preserve"> </w:t>
      </w:r>
      <w:r>
        <w:t xml:space="preserve">the original act, Article 114 of the Treaty on the Functioning of the European Union (TFEU). This</w:t>
      </w:r>
      <w:r>
        <w:t xml:space="preserve"> </w:t>
      </w:r>
      <w:r>
        <w:t xml:space="preserve">revision entails further harmonisation of the internal market in the field of classification, labelling</w:t>
      </w:r>
      <w:r>
        <w:t xml:space="preserve"> </w:t>
      </w:r>
      <w:r>
        <w:t xml:space="preserve">and packaging of chemicals and will take as a basis a high level of health, safety, environmental,</w:t>
      </w:r>
      <w:r>
        <w:t xml:space="preserve"> </w:t>
      </w:r>
      <w:r>
        <w:t xml:space="preserve">and consumer protection. This revision takes into account other relevant provisions of the TFEU,</w:t>
      </w:r>
      <w:r>
        <w:t xml:space="preserve"> </w:t>
      </w:r>
      <w:r>
        <w:t xml:space="preserve">i.e. Titles XIV on Public Health, XV on Consumer Protection and XX on Environment.</w:t>
      </w:r>
      <w:r>
        <w:t xml:space="preserve"> </w:t>
      </w:r>
      <w:r>
        <w:t xml:space="preserve">Following Article 4(2) TFEU, the EU has shared competence in the policy areas of internal market,</w:t>
      </w:r>
      <w:r>
        <w:t xml:space="preserve"> </w:t>
      </w:r>
      <w:r>
        <w:t xml:space="preserve">environment, consumer protection and common safety concerns in public health matters. Therefore,</w:t>
      </w:r>
      <w:r>
        <w:t xml:space="preserve"> </w:t>
      </w:r>
      <w:r>
        <w:t xml:space="preserve">the subsidiarity principle applies. The EU’s compliance with the subsidiarity principle is ensured by</w:t>
      </w:r>
      <w:r>
        <w:t xml:space="preserve"> </w:t>
      </w:r>
      <w:r>
        <w:t xml:space="preserve">explaining why Union action is necessary and Member States’ actions are not enough to achieve</w:t>
      </w:r>
      <w:r>
        <w:t xml:space="preserve"> </w:t>
      </w:r>
      <w:r>
        <w:t xml:space="preserve">the set objectives, and through following the procedure under Protocol No 2 of the TFEU by</w:t>
      </w:r>
      <w:r>
        <w:t xml:space="preserve"> </w:t>
      </w:r>
      <w:r>
        <w:t xml:space="preserve">consulting national Parliaments widely.</w:t>
      </w:r>
      <w:r>
        <w:t xml:space="preserve"> </w:t>
      </w:r>
      <w:r>
        <w:t xml:space="preserve">3.2</w:t>
      </w:r>
      <w:r>
        <w:t xml:space="preserve"> </w:t>
      </w:r>
      <w:r>
        <w:t xml:space="preserve">Subsidiarity: Necessity of EU action</w:t>
      </w:r>
      <w:r>
        <w:t xml:space="preserve"> </w:t>
      </w:r>
      <w:r>
        <w:t xml:space="preserve">Measures at Union level to further improve classification, labelling and packaging of chemicals are</w:t>
      </w:r>
      <w:r>
        <w:t xml:space="preserve"> </w:t>
      </w:r>
      <w:r>
        <w:t xml:space="preserve">necessary and relevant to improve the achievement of the main objectives in the CLP Regulation:</w:t>
      </w:r>
      <w:r>
        <w:t xml:space="preserve"> </w:t>
      </w:r>
      <w:r>
        <w:t xml:space="preserve">ensure a high level of protection of human health and the environment as well as the free movement</w:t>
      </w:r>
      <w:r>
        <w:t xml:space="preserve"> </w:t>
      </w:r>
      <w:r>
        <w:t xml:space="preserve">of substances, mixtures and certain articles.</w:t>
      </w:r>
      <w:r>
        <w:t xml:space="preserve"> </w:t>
      </w:r>
      <w:r>
        <w:t xml:space="preserve">Action at Member States’ level or at a more local level to achieve those objectives is not enough for</w:t>
      </w:r>
      <w:r>
        <w:t xml:space="preserve"> </w:t>
      </w:r>
      <w:r>
        <w:t xml:space="preserve">the following reasons:</w:t>
      </w:r>
      <w:r>
        <w:t xml:space="preserve"> </w:t>
      </w:r>
      <w:r>
        <w:t xml:space="preserve"> Most problems (e.g., diseases and pollution through hazardous substances, insufficient</w:t>
      </w:r>
      <w:r>
        <w:t xml:space="preserve"> </w:t>
      </w:r>
      <w:r>
        <w:t xml:space="preserve">compliance) result in costs for society and the general public (negative externalities) and</w:t>
      </w:r>
      <w:r>
        <w:t xml:space="preserve"> </w:t>
      </w:r>
      <w:r>
        <w:t xml:space="preserve">their intensity may vary across the European regions, but they exist everywhere in the EU to</w:t>
      </w:r>
    </w:p>
    <w:p>
      <w:pPr>
        <w:pStyle w:val="BodyText"/>
      </w:pPr>
      <w:r>
        <w:t xml:space="preserve">83 Proposal for a Regulation on a Single Market for Digital Services, COM(2020) 825 final.</w:t>
      </w:r>
      <w:r>
        <w:t xml:space="preserve"> </w:t>
      </w:r>
      <w:r>
        <w:t xml:space="preserve">84 Proposal for a Regulation on general product safety, COM(2021) 346 final.</w:t>
      </w:r>
    </w:p>
    <w:p>
      <w:pPr>
        <w:pStyle w:val="BodyText"/>
      </w:pPr>
      <w:r>
        <w:t xml:space="preserve">20</w:t>
      </w:r>
    </w:p>
    <w:p>
      <w:pPr>
        <w:pStyle w:val="BodyText"/>
      </w:pPr>
      <w:r>
        <w:t xml:space="preserve">a certain extent; to adopt a coherent approach tackling such problems, EU action is</w:t>
      </w:r>
      <w:r>
        <w:t xml:space="preserve"> </w:t>
      </w:r>
      <w:r>
        <w:t xml:space="preserve">necessary;</w:t>
      </w:r>
      <w:r>
        <w:br/>
      </w:r>
      <w:r>
        <w:t xml:space="preserve"> Most problems are transboundary in nature, or even have an international dimension and</w:t>
      </w:r>
      <w:r>
        <w:t xml:space="preserve"> </w:t>
      </w:r>
      <w:r>
        <w:t xml:space="preserve">touch upon customs related matters, which cannot be sufficiently addressed by single</w:t>
      </w:r>
      <w:r>
        <w:t xml:space="preserve"> </w:t>
      </w:r>
      <w:r>
        <w:t xml:space="preserve">Member States in isolation. To further improve the free movement of substances and</w:t>
      </w:r>
      <w:r>
        <w:t xml:space="preserve"> </w:t>
      </w:r>
      <w:r>
        <w:t xml:space="preserve">mixtures and enable an even better functioning internal market, Member States cannot act</w:t>
      </w:r>
      <w:r>
        <w:t xml:space="preserve"> </w:t>
      </w:r>
      <w:r>
        <w:t xml:space="preserve">alone, they need an overarching framework regulating such movement;</w:t>
      </w:r>
      <w:r>
        <w:br/>
      </w:r>
      <w:r>
        <w:t xml:space="preserve"> Apart from different enforcement levels in the Member States, the problem drivers are the</w:t>
      </w:r>
      <w:r>
        <w:t xml:space="preserve"> </w:t>
      </w:r>
      <w:r>
        <w:t xml:space="preserve">same (see list above), so that EU action addresses the problem drivers best;</w:t>
      </w:r>
      <w:r>
        <w:t xml:space="preserve"> </w:t>
      </w:r>
      <w:r>
        <w:t xml:space="preserve"> Certain Member States have already initiated national actions to fix missing hazard classes</w:t>
      </w:r>
      <w:r>
        <w:t xml:space="preserve"> </w:t>
      </w:r>
      <w:r>
        <w:t xml:space="preserve">before awaiting for any EU action on the matter; this could lead to the undesirable effect of</w:t>
      </w:r>
      <w:r>
        <w:t xml:space="preserve"> </w:t>
      </w:r>
      <w:r>
        <w:t xml:space="preserve">heavily fragmenting the internal market. Also, Member States’ behaviour would not seem to</w:t>
      </w:r>
      <w:r>
        <w:t xml:space="preserve"> </w:t>
      </w:r>
      <w:r>
        <w:t xml:space="preserve">be fully in line with the Treaty providing for the general principle that Member States shall</w:t>
      </w:r>
      <w:r>
        <w:t xml:space="preserve"> </w:t>
      </w:r>
      <w:r>
        <w:t xml:space="preserve">not exercise their competence if the Union did already (subsidiarity principle and TFEU on</w:t>
      </w:r>
      <w:r>
        <w:t xml:space="preserve"> </w:t>
      </w:r>
      <w:r>
        <w:t xml:space="preserve">the approximation of laws85). EU action would hence make the overall system more</w:t>
      </w:r>
      <w:r>
        <w:t xml:space="preserve"> </w:t>
      </w:r>
      <w:r>
        <w:t xml:space="preserve">coherent.</w:t>
      </w:r>
      <w:r>
        <w:br/>
      </w:r>
      <w:r>
        <w:t xml:space="preserve">3.3</w:t>
      </w:r>
      <w:r>
        <w:t xml:space="preserve"> </w:t>
      </w:r>
      <w:r>
        <w:t xml:space="preserve">Subsidiarity: Added value of EU action</w:t>
      </w:r>
      <w:r>
        <w:t xml:space="preserve"> </w:t>
      </w:r>
      <w:r>
        <w:t xml:space="preserve">One action at Union level will be less costly and more efficient than twenty-seven different actions</w:t>
      </w:r>
      <w:r>
        <w:t xml:space="preserve"> </w:t>
      </w:r>
      <w:r>
        <w:t xml:space="preserve">to solve the same problems (economies of scale exist), and therefore EU action brings added value.</w:t>
      </w:r>
      <w:r>
        <w:t xml:space="preserve"> </w:t>
      </w:r>
      <w:r>
        <w:t xml:space="preserve">CLP replaced different national policies harmonising the rules at EU level, which has proven to be</w:t>
      </w:r>
      <w:r>
        <w:t xml:space="preserve"> </w:t>
      </w:r>
      <w:r>
        <w:t xml:space="preserve">a success8. EU action would aim at addressing the shortcomings of an already existing framework</w:t>
      </w:r>
      <w:r>
        <w:t xml:space="preserve"> </w:t>
      </w:r>
      <w:r>
        <w:t xml:space="preserve">which will help achieving the objectives of CLP.</w:t>
      </w:r>
      <w:r>
        <w:br/>
      </w:r>
      <w:r>
        <w:t xml:space="preserve">4</w:t>
      </w:r>
      <w:r>
        <w:t xml:space="preserve"> </w:t>
      </w:r>
      <w:r>
        <w:t xml:space="preserve">OBJECTIVES: WHAT IS TO BE ACHIEVED?</w:t>
      </w:r>
      <w:r>
        <w:t xml:space="preserve"> </w:t>
      </w:r>
      <w:r>
        <w:t xml:space="preserve">4.1</w:t>
      </w:r>
      <w:r>
        <w:t xml:space="preserve"> </w:t>
      </w:r>
      <w:r>
        <w:t xml:space="preserve">General objectives</w:t>
      </w:r>
      <w:r>
        <w:t xml:space="preserve"> </w:t>
      </w:r>
      <w:r>
        <w:t xml:space="preserve">The general objective of this initiative is to ensure a well-functioning single market for chemicals</w:t>
      </w:r>
      <w:r>
        <w:t xml:space="preserve"> </w:t>
      </w:r>
      <w:r>
        <w:t xml:space="preserve">and a high level of protection of human health and of the environment from hazardous chemicals.</w:t>
      </w:r>
      <w:r>
        <w:t xml:space="preserve"> </w:t>
      </w:r>
      <w:r>
        <w:t xml:space="preserve">This initiative also aims at modernising and simplifying the classification and labelling of</w:t>
      </w:r>
      <w:r>
        <w:t xml:space="preserve"> </w:t>
      </w:r>
      <w:r>
        <w:t xml:space="preserve">hazardous chemicals - where this is feasible, e.g., through the opportunities offered by</w:t>
      </w:r>
      <w:r>
        <w:t xml:space="preserve"> </w:t>
      </w:r>
      <w:r>
        <w:t xml:space="preserve">digitalisation, and at eliminating unnecessary burdens (especially for SMEs) without undermining</w:t>
      </w:r>
      <w:r>
        <w:t xml:space="preserve"> </w:t>
      </w:r>
      <w:r>
        <w:t xml:space="preserve">the objectives and benefits of the legislation.</w:t>
      </w:r>
      <w:r>
        <w:t xml:space="preserve"> </w:t>
      </w:r>
      <w:r>
        <w:t xml:space="preserve">4.2</w:t>
      </w:r>
      <w:r>
        <w:t xml:space="preserve"> </w:t>
      </w:r>
      <w:r>
        <w:t xml:space="preserve">Specific objectives</w:t>
      </w:r>
      <w:r>
        <w:t xml:space="preserve"> </w:t>
      </w:r>
      <w:r>
        <w:t xml:space="preserve">The initiative should achieve, at the end of the 20-year period considered to identify the impacts,</w:t>
      </w:r>
      <w:r>
        <w:t xml:space="preserve"> </w:t>
      </w:r>
      <w:r>
        <w:t xml:space="preserve">three specific objectives detailed below linked to the three problems and their respective drivers:</w:t>
      </w:r>
      <w:r>
        <w:t xml:space="preserve"> </w:t>
      </w:r>
      <w:r>
        <w:t xml:space="preserve">4.2.1 Ensure that chemicals are classified adequately and in line with the severity of</w:t>
      </w:r>
      <w:r>
        <w:t xml:space="preserve"> </w:t>
      </w:r>
      <w:r>
        <w:t xml:space="preserve">their hazards</w:t>
      </w:r>
      <w:r>
        <w:t xml:space="preserve"> </w:t>
      </w:r>
      <w:r>
        <w:t xml:space="preserve">The first specific objective is to ensure that all chemical hazards are adequately identified and</w:t>
      </w:r>
      <w:r>
        <w:t xml:space="preserve"> </w:t>
      </w:r>
      <w:r>
        <w:t xml:space="preserve">characterised, through both harmonised classification and self-classification as well as through the</w:t>
      </w:r>
      <w:r>
        <w:t xml:space="preserve"> </w:t>
      </w:r>
      <w:r>
        <w:t xml:space="preserve">harmonisation of reference values. This would also allow streamlining hazard assessments currently</w:t>
      </w:r>
      <w:r>
        <w:t xml:space="preserve"> </w:t>
      </w:r>
      <w:r>
        <w:t xml:space="preserve">performed in other legislation86. In particular, this initiative would aim at:</w:t>
      </w:r>
    </w:p>
    <w:p>
      <w:pPr>
        <w:pStyle w:val="BodyText"/>
      </w:pPr>
      <w:r>
        <w:t xml:space="preserve">85 Article 2(2) TFEU.</w:t>
      </w:r>
      <w:r>
        <w:br/>
      </w:r>
      <w:r>
        <w:t xml:space="preserve">86 like the Biocidal Product Regulation and the Plant Protection Products Regulation.</w:t>
      </w:r>
    </w:p>
    <w:p>
      <w:pPr>
        <w:pStyle w:val="BodyText"/>
      </w:pPr>
      <w:r>
        <w:t xml:space="preserve">21</w:t>
      </w:r>
    </w:p>
    <w:p>
      <w:pPr>
        <w:pStyle w:val="BodyText"/>
      </w:pPr>
      <w:r>
        <w:t xml:space="preserve"> Ensuring comprehensive identification and classification of EDs, PBT/vPvB, PMT/vPvM</w:t>
      </w:r>
      <w:r>
        <w:t xml:space="preserve"> </w:t>
      </w:r>
      <w:r>
        <w:t xml:space="preserve">substances and mixtures containing them;</w:t>
      </w:r>
      <w:r>
        <w:t xml:space="preserve"> </w:t>
      </w:r>
      <w:r>
        <w:t xml:space="preserve"> Increasing the number of substances with harmonised classification by 1/387;</w:t>
      </w:r>
      <w:r>
        <w:t xml:space="preserve"> </w:t>
      </w:r>
      <w:r>
        <w:t xml:space="preserve"> Improving self-classification and the CLP classification and labelling inventory to achieve</w:t>
      </w:r>
      <w:r>
        <w:t xml:space="preserve"> </w:t>
      </w:r>
      <w:r>
        <w:t xml:space="preserve">agreed self-classification per substances, freeing the harmonised classification process for</w:t>
      </w:r>
      <w:r>
        <w:t xml:space="preserve"> </w:t>
      </w:r>
      <w:r>
        <w:t xml:space="preserve">substances with critical hazards and reducing the need to solve divergence via a harmonised</w:t>
      </w:r>
      <w:r>
        <w:t xml:space="preserve"> </w:t>
      </w:r>
      <w:r>
        <w:t xml:space="preserve">classification;</w:t>
      </w:r>
      <w:r>
        <w:t xml:space="preserve"> </w:t>
      </w:r>
      <w:r>
        <w:t xml:space="preserve"> Developing a scheme to harmonise and publish harmonised reference values for industrial</w:t>
      </w:r>
      <w:r>
        <w:t xml:space="preserve"> </w:t>
      </w:r>
      <w:r>
        <w:t xml:space="preserve">chemicals, where divergence is identified. CLP would not only cover hazard identification</w:t>
      </w:r>
      <w:r>
        <w:t xml:space="preserve"> </w:t>
      </w:r>
      <w:r>
        <w:t xml:space="preserve">but also hazard characterisation (see Figure 1).</w:t>
      </w:r>
      <w:r>
        <w:t xml:space="preserve"> </w:t>
      </w:r>
      <w:r>
        <w:t xml:space="preserve">4.2.2 Ensure comprehensive and comprehensible communication on chemical</w:t>
      </w:r>
      <w:r>
        <w:t xml:space="preserve"> </w:t>
      </w:r>
      <w:r>
        <w:t xml:space="preserve">hazards</w:t>
      </w:r>
      <w:r>
        <w:t xml:space="preserve"> </w:t>
      </w:r>
      <w:r>
        <w:t xml:space="preserve">The second specific objective is to ensure that information on hazardous chemicals placed on the</w:t>
      </w:r>
      <w:r>
        <w:t xml:space="preserve"> </w:t>
      </w:r>
      <w:r>
        <w:t xml:space="preserve">market is communicated to all market actors, in particular consumers, in a comprehensive and</w:t>
      </w:r>
      <w:r>
        <w:t xml:space="preserve"> </w:t>
      </w:r>
      <w:r>
        <w:t xml:space="preserve">comprehensible manner. This also includes the related objective of increasing consumer</w:t>
      </w:r>
      <w:r>
        <w:t xml:space="preserve"> </w:t>
      </w:r>
      <w:r>
        <w:t xml:space="preserve">understanding of CLP labels and, therefore, their awareness of the potential dangers of hazardous</w:t>
      </w:r>
      <w:r>
        <w:t xml:space="preserve"> </w:t>
      </w:r>
      <w:r>
        <w:t xml:space="preserve">chemicals and of the safety precautions to be followed. The achievement of this objective would be</w:t>
      </w:r>
      <w:r>
        <w:t xml:space="preserve"> </w:t>
      </w:r>
      <w:r>
        <w:t xml:space="preserve">measured by an increase of the percentage of EU citizens feeling well informed through CLP</w:t>
      </w:r>
      <w:r>
        <w:t xml:space="preserve"> </w:t>
      </w:r>
      <w:r>
        <w:t xml:space="preserve">labelling on the dangers of hazardous chemicals.</w:t>
      </w:r>
      <w:r>
        <w:br/>
      </w:r>
      <w:r>
        <w:t xml:space="preserve">4.2.3 Address main legal gaps and ambiguities of CLP rules</w:t>
      </w:r>
      <w:r>
        <w:br/>
      </w:r>
      <w:r>
        <w:t xml:space="preserve">The third specific objective is to ensure that all businesses fully apply CLP rules, in particular</w:t>
      </w:r>
      <w:r>
        <w:t xml:space="preserve"> </w:t>
      </w:r>
      <w:r>
        <w:t xml:space="preserve">where there is evidence on high non-compliance at the moment. This specifically concerns ensuring</w:t>
      </w:r>
      <w:r>
        <w:t xml:space="preserve"> </w:t>
      </w:r>
      <w:r>
        <w:t xml:space="preserve">that CLP labelling is shown in online offers and online advertising – including B2C online (offers</w:t>
      </w:r>
      <w:r>
        <w:t xml:space="preserve"> </w:t>
      </w:r>
      <w:r>
        <w:t xml:space="preserve">and) sales of chemicals – and ensuring that businesses submit the required emergency health</w:t>
      </w:r>
      <w:r>
        <w:t xml:space="preserve"> </w:t>
      </w:r>
      <w:r>
        <w:t xml:space="preserve">response information to poison centres.</w:t>
      </w:r>
      <w:r>
        <w:br/>
      </w:r>
      <w:r>
        <w:t xml:space="preserve">The achievement of these objectives would be measured by:</w:t>
      </w:r>
      <w:r>
        <w:br/>
      </w:r>
      <w:r>
        <w:t xml:space="preserve"> The reduction of non-compliance rates on online advertising and offering of chemicals;</w:t>
      </w:r>
      <w:r>
        <w:br/>
      </w:r>
      <w:r>
        <w:t xml:space="preserve"> The reduction of the relative non-compliance rate between non-EU and EU sellers;</w:t>
      </w:r>
      <w:r>
        <w:br/>
      </w:r>
      <w:r>
        <w:t xml:space="preserve"> The reduction of the overall non-compliance rate for all online sales;</w:t>
      </w:r>
      <w:r>
        <w:t xml:space="preserve"> </w:t>
      </w:r>
      <w:r>
        <w:t xml:space="preserve"> An increased number of correct emergency health submissions to the poison centres.</w:t>
      </w:r>
      <w:r>
        <w:br/>
      </w:r>
      <w:r>
        <w:t xml:space="preserve">5</w:t>
      </w:r>
      <w:r>
        <w:t xml:space="preserve"> </w:t>
      </w:r>
      <w:r>
        <w:t xml:space="preserve">WHAT ARE THE AVAILABLE POLICY OPTIONS?</w:t>
      </w:r>
      <w:r>
        <w:br/>
      </w:r>
      <w:r>
        <w:t xml:space="preserve">Table 3 presents an overview of the intervention logic, highlighting the link between identified</w:t>
      </w:r>
      <w:r>
        <w:t xml:space="preserve"> </w:t>
      </w:r>
      <w:r>
        <w:t xml:space="preserve">problems and drivers and suggested specific objectives and policy options.</w:t>
      </w:r>
    </w:p>
    <w:p>
      <w:pPr>
        <w:pStyle w:val="BodyText"/>
      </w:pPr>
      <w:r>
        <w:t xml:space="preserve">87 This would cover both new harmonised classifications and updated ones.</w:t>
      </w:r>
    </w:p>
    <w:p>
      <w:pPr>
        <w:pStyle w:val="BodyText"/>
      </w:pPr>
      <w:r>
        <w:t xml:space="preserve">22</w:t>
      </w:r>
    </w:p>
    <w:p>
      <w:pPr>
        <w:pStyle w:val="BodyText"/>
      </w:pPr>
      <w:r>
        <w:t xml:space="preserve">5.1</w:t>
      </w:r>
      <w:r>
        <w:t xml:space="preserve"> </w:t>
      </w:r>
      <w:r>
        <w:t xml:space="preserve">What is the baseline from which options are assessed?</w:t>
      </w:r>
      <w:r>
        <w:br/>
      </w:r>
      <w:r>
        <w:t xml:space="preserve">The baseline includes a brief description of the wider socioeconomic context, the evolution of the</w:t>
      </w:r>
      <w:r>
        <w:t xml:space="preserve"> </w:t>
      </w:r>
      <w:r>
        <w:t xml:space="preserve">macro-aggregates of the EU chemical industry and the assumptions on the continuation of the</w:t>
      </w:r>
      <w:r>
        <w:t xml:space="preserve"> </w:t>
      </w:r>
      <w:r>
        <w:t xml:space="preserve">existing legal framework and scope. A 20-year period (2023-2042) is considered adequate for the</w:t>
      </w:r>
      <w:r>
        <w:t xml:space="preserve"> </w:t>
      </w:r>
      <w:r>
        <w:t xml:space="preserve">projections under the baseline scenario and the impact assessment of the proposed options. Its</w:t>
      </w:r>
      <w:r>
        <w:t xml:space="preserve"> </w:t>
      </w:r>
      <w:r>
        <w:t xml:space="preserve">length has been decided in consideration of the expected time-span for the realisation of impacts,</w:t>
      </w:r>
      <w:r>
        <w:t xml:space="preserve"> </w:t>
      </w:r>
      <w:r>
        <w:t xml:space="preserve">especially for some adverse effects which only materialised in the (absence of) progeniture of</w:t>
      </w:r>
      <w:r>
        <w:t xml:space="preserve"> </w:t>
      </w:r>
      <w:r>
        <w:t xml:space="preserve">parents exposed to hazardous chemicals.</w:t>
      </w:r>
      <w:r>
        <w:br/>
      </w:r>
      <w:r>
        <w:t xml:space="preserve">5.1.1 Socioeconomic context</w:t>
      </w:r>
      <w:r>
        <w:t xml:space="preserve"> </w:t>
      </w:r>
      <w:r>
        <w:t xml:space="preserve">Although growth in 2022 is set to be better than previously forecast, the outlook for 2023 is</w:t>
      </w:r>
      <w:r>
        <w:t xml:space="preserve"> </w:t>
      </w:r>
      <w:r>
        <w:t xml:space="preserve">significantly weaker for growth and higher for inflation compared to the European Commission’s</w:t>
      </w:r>
      <w:r>
        <w:t xml:space="preserve"> </w:t>
      </w:r>
      <w:r>
        <w:t xml:space="preserve">Summer interim Forecast. Amid elevated uncertainty, high energy price pressures, erosion of</w:t>
      </w:r>
      <w:r>
        <w:t xml:space="preserve"> </w:t>
      </w:r>
      <w:r>
        <w:t xml:space="preserve">households’ purchasing power, a weaker external environment and tighter financing conditions are</w:t>
      </w:r>
      <w:r>
        <w:t xml:space="preserve"> </w:t>
      </w:r>
      <w:r>
        <w:t xml:space="preserve">expected to tip the EU, the euro area and most Member States into recession in the last quarter of</w:t>
      </w:r>
      <w:r>
        <w:t xml:space="preserve"> </w:t>
      </w:r>
      <w:r>
        <w:t xml:space="preserve">the year. Still, the potent momentum from 2021 and strong growth in the first half of the year are</w:t>
      </w:r>
      <w:r>
        <w:t xml:space="preserve"> </w:t>
      </w:r>
      <w:r>
        <w:t xml:space="preserve">set to lift real GDP growth in 2022 as a whole to 3.3% in the EU (3.2% in the euro area) - well</w:t>
      </w:r>
      <w:r>
        <w:t xml:space="preserve"> </w:t>
      </w:r>
      <w:r>
        <w:t xml:space="preserve">above the 2.7% projected in the Summer Interim Forecast. As inflation erodes households’</w:t>
      </w:r>
      <w:r>
        <w:t xml:space="preserve"> </w:t>
      </w:r>
      <w:r>
        <w:t xml:space="preserve">disposable incomes, the contraction of economic activity is set to continue in the first quarter of</w:t>
      </w:r>
      <w:r>
        <w:t xml:space="preserve"> </w:t>
      </w:r>
      <w:r>
        <w:t xml:space="preserve">Table 3: Overview of the policy options and their link to identified problems and drivers</w:t>
      </w:r>
      <w:r>
        <w:t xml:space="preserve"> </w:t>
      </w:r>
      <w:r>
        <w:t xml:space="preserve">Problems</w:t>
      </w:r>
      <w:r>
        <w:t xml:space="preserve"> </w:t>
      </w:r>
      <w:r>
        <w:t xml:space="preserve">Drivers</w:t>
      </w:r>
      <w:r>
        <w:t xml:space="preserve"> </w:t>
      </w:r>
      <w:r>
        <w:t xml:space="preserve">Specific objectives</w:t>
      </w:r>
      <w:r>
        <w:t xml:space="preserve"> </w:t>
      </w:r>
      <w:r>
        <w:t xml:space="preserve">Policy options</w:t>
      </w:r>
      <w:r>
        <w:t xml:space="preserve"> </w:t>
      </w:r>
      <w:r>
        <w:t xml:space="preserve">Hazardous</w:t>
      </w:r>
      <w:r>
        <w:t xml:space="preserve"> </w:t>
      </w:r>
      <w:r>
        <w:t xml:space="preserve">chemicals are</w:t>
      </w:r>
      <w:r>
        <w:t xml:space="preserve"> </w:t>
      </w:r>
      <w:r>
        <w:t xml:space="preserve">not</w:t>
      </w:r>
      <w:r>
        <w:t xml:space="preserve"> </w:t>
      </w:r>
      <w:r>
        <w:t xml:space="preserve">comprehensive</w:t>
      </w:r>
      <w:r>
        <w:t xml:space="preserve"> </w:t>
      </w:r>
      <w:r>
        <w:t xml:space="preserve">ly identified</w:t>
      </w:r>
      <w:r>
        <w:t xml:space="preserve"> </w:t>
      </w:r>
      <w:r>
        <w:t xml:space="preserve">and classified</w:t>
      </w:r>
      <w:r>
        <w:t xml:space="preserve"> </w:t>
      </w:r>
      <w:r>
        <w:t xml:space="preserve">D1. Missing provisions for</w:t>
      </w:r>
      <w:r>
        <w:t xml:space="preserve"> </w:t>
      </w:r>
      <w:r>
        <w:t xml:space="preserve">identification of critical</w:t>
      </w:r>
      <w:r>
        <w:t xml:space="preserve"> </w:t>
      </w:r>
      <w:r>
        <w:t xml:space="preserve">hazards</w:t>
      </w:r>
      <w:r>
        <w:br/>
      </w:r>
      <w:r>
        <w:t xml:space="preserve">1. Ensure chemical</w:t>
      </w:r>
      <w:r>
        <w:t xml:space="preserve"> </w:t>
      </w:r>
      <w:r>
        <w:t xml:space="preserve">s are</w:t>
      </w:r>
      <w:r>
        <w:t xml:space="preserve"> </w:t>
      </w:r>
      <w:r>
        <w:t xml:space="preserve">classified adequatel</w:t>
      </w:r>
      <w:r>
        <w:t xml:space="preserve"> </w:t>
      </w:r>
      <w:r>
        <w:t xml:space="preserve">y and in line with</w:t>
      </w:r>
      <w:r>
        <w:t xml:space="preserve"> </w:t>
      </w:r>
      <w:r>
        <w:t xml:space="preserve">the severity of their</w:t>
      </w:r>
      <w:r>
        <w:t xml:space="preserve"> </w:t>
      </w:r>
      <w:r>
        <w:t xml:space="preserve">hazards</w:t>
      </w:r>
      <w:r>
        <w:t xml:space="preserve"> </w:t>
      </w:r>
      <w:r>
        <w:t xml:space="preserve">PO1a: New hazard classes</w:t>
      </w:r>
      <w:r>
        <w:t xml:space="preserve"> </w:t>
      </w:r>
      <w:r>
        <w:t xml:space="preserve">PO1b: Consistent self-classification and</w:t>
      </w:r>
      <w:r>
        <w:t xml:space="preserve"> </w:t>
      </w:r>
      <w:r>
        <w:t xml:space="preserve">improving transparency</w:t>
      </w:r>
      <w:r>
        <w:t xml:space="preserve"> </w:t>
      </w:r>
      <w:r>
        <w:t xml:space="preserve">D2. Inefficient procedures</w:t>
      </w:r>
      <w:r>
        <w:t xml:space="preserve"> </w:t>
      </w:r>
      <w:r>
        <w:t xml:space="preserve">for hazard assessment and</w:t>
      </w:r>
      <w:r>
        <w:t xml:space="preserve"> </w:t>
      </w:r>
      <w:r>
        <w:t xml:space="preserve">classification</w:t>
      </w:r>
      <w:r>
        <w:t xml:space="preserve"> </w:t>
      </w:r>
      <w:r>
        <w:t xml:space="preserve">PO1c: More and prioritised harmonised</w:t>
      </w:r>
      <w:r>
        <w:t xml:space="preserve"> </w:t>
      </w:r>
      <w:r>
        <w:t xml:space="preserve">classifications</w:t>
      </w:r>
      <w:r>
        <w:t xml:space="preserve"> </w:t>
      </w:r>
      <w:r>
        <w:t xml:space="preserve">PO1d: Complementing hazard</w:t>
      </w:r>
      <w:r>
        <w:t xml:space="preserve"> </w:t>
      </w:r>
      <w:r>
        <w:t xml:space="preserve">identification with hazard quantification</w:t>
      </w:r>
      <w:r>
        <w:t xml:space="preserve"> </w:t>
      </w:r>
      <w:r>
        <w:t xml:space="preserve">Sub-optimal</w:t>
      </w:r>
      <w:r>
        <w:t xml:space="preserve"> </w:t>
      </w:r>
      <w:r>
        <w:t xml:space="preserve">communicatio</w:t>
      </w:r>
      <w:r>
        <w:t xml:space="preserve"> </w:t>
      </w:r>
      <w:r>
        <w:t xml:space="preserve">n on chemical</w:t>
      </w:r>
      <w:r>
        <w:t xml:space="preserve"> </w:t>
      </w:r>
      <w:r>
        <w:t xml:space="preserve">hazards</w:t>
      </w:r>
      <w:r>
        <w:t xml:space="preserve"> </w:t>
      </w:r>
      <w:r>
        <w:t xml:space="preserve">D3. Complexity of some</w:t>
      </w:r>
      <w:r>
        <w:t xml:space="preserve"> </w:t>
      </w:r>
      <w:r>
        <w:t xml:space="preserve">labelling provisions</w:t>
      </w:r>
      <w:r>
        <w:t xml:space="preserve"> </w:t>
      </w:r>
      <w:r>
        <w:t xml:space="preserve">2. Ensure</w:t>
      </w:r>
      <w:r>
        <w:t xml:space="preserve"> </w:t>
      </w:r>
      <w:r>
        <w:t xml:space="preserve">comprehensive and</w:t>
      </w:r>
      <w:r>
        <w:t xml:space="preserve"> </w:t>
      </w:r>
      <w:r>
        <w:t xml:space="preserve">comprehensible</w:t>
      </w:r>
      <w:r>
        <w:t xml:space="preserve"> </w:t>
      </w:r>
      <w:r>
        <w:t xml:space="preserve">labelling on</w:t>
      </w:r>
      <w:r>
        <w:t xml:space="preserve"> </w:t>
      </w:r>
      <w:r>
        <w:t xml:space="preserve">chemical hazards</w:t>
      </w:r>
      <w:r>
        <w:br/>
      </w:r>
      <w:r>
        <w:t xml:space="preserve">PO2a: Update/prepare guidance</w:t>
      </w:r>
      <w:r>
        <w:t xml:space="preserve"> </w:t>
      </w:r>
      <w:r>
        <w:t xml:space="preserve">D4. Some chemicals are not</w:t>
      </w:r>
      <w:r>
        <w:t xml:space="preserve"> </w:t>
      </w:r>
      <w:r>
        <w:t xml:space="preserve">labelled according to CLP</w:t>
      </w:r>
      <w:r>
        <w:t xml:space="preserve"> </w:t>
      </w:r>
      <w:r>
        <w:t xml:space="preserve">PO2b: Improving and making more</w:t>
      </w:r>
      <w:r>
        <w:t xml:space="preserve"> </w:t>
      </w:r>
      <w:r>
        <w:t xml:space="preserve">flexible existing labels</w:t>
      </w:r>
      <w:r>
        <w:t xml:space="preserve"> </w:t>
      </w:r>
      <w:r>
        <w:t xml:space="preserve">D5. Current labelling rules</w:t>
      </w:r>
      <w:r>
        <w:t xml:space="preserve"> </w:t>
      </w:r>
      <w:r>
        <w:t xml:space="preserve">do not sufficiently exploit</w:t>
      </w:r>
      <w:r>
        <w:t xml:space="preserve"> </w:t>
      </w:r>
      <w:r>
        <w:t xml:space="preserve">new digital tools</w:t>
      </w:r>
      <w:r>
        <w:t xml:space="preserve"> </w:t>
      </w:r>
      <w:r>
        <w:t xml:space="preserve">PO2c: Digital labelling</w:t>
      </w:r>
      <w:r>
        <w:br/>
      </w:r>
      <w:r>
        <w:t xml:space="preserve">High level of</w:t>
      </w:r>
      <w:r>
        <w:t xml:space="preserve"> </w:t>
      </w:r>
      <w:r>
        <w:t xml:space="preserve">non-</w:t>
      </w:r>
      <w:r>
        <w:t xml:space="preserve"> </w:t>
      </w:r>
      <w:r>
        <w:t xml:space="preserve">compliance</w:t>
      </w:r>
      <w:r>
        <w:t xml:space="preserve"> </w:t>
      </w:r>
      <w:r>
        <w:t xml:space="preserve">(online sales</w:t>
      </w:r>
      <w:r>
        <w:t xml:space="preserve"> </w:t>
      </w:r>
      <w:r>
        <w:t xml:space="preserve">and poison</w:t>
      </w:r>
      <w:r>
        <w:t xml:space="preserve"> </w:t>
      </w:r>
      <w:r>
        <w:t xml:space="preserve">centres)</w:t>
      </w:r>
      <w:r>
        <w:t xml:space="preserve"> </w:t>
      </w:r>
      <w:r>
        <w:t xml:space="preserve">D6. Rules are inadequate to</w:t>
      </w:r>
      <w:r>
        <w:t xml:space="preserve"> </w:t>
      </w:r>
      <w:r>
        <w:t xml:space="preserve">keep pace with new means</w:t>
      </w:r>
      <w:r>
        <w:t xml:space="preserve"> </w:t>
      </w:r>
      <w:r>
        <w:t xml:space="preserve">of sale</w:t>
      </w:r>
      <w:r>
        <w:t xml:space="preserve"> </w:t>
      </w:r>
      <w:r>
        <w:t xml:space="preserve">3. Addressing main</w:t>
      </w:r>
      <w:r>
        <w:t xml:space="preserve"> </w:t>
      </w:r>
      <w:r>
        <w:t xml:space="preserve">legal gaps and</w:t>
      </w:r>
      <w:r>
        <w:t xml:space="preserve"> </w:t>
      </w:r>
      <w:r>
        <w:t xml:space="preserve">ambiguities</w:t>
      </w:r>
      <w:r>
        <w:t xml:space="preserve"> </w:t>
      </w:r>
      <w:r>
        <w:t xml:space="preserve">PO3a: Awareness campaigns</w:t>
      </w:r>
      <w:r>
        <w:t xml:space="preserve"> </w:t>
      </w:r>
      <w:r>
        <w:t xml:space="preserve">PO3b: Provisions and clear</w:t>
      </w:r>
      <w:r>
        <w:t xml:space="preserve"> </w:t>
      </w:r>
      <w:r>
        <w:t xml:space="preserve">responsibilities for online sales and</w:t>
      </w:r>
      <w:r>
        <w:t xml:space="preserve"> </w:t>
      </w:r>
      <w:r>
        <w:t xml:space="preserve">imports</w:t>
      </w:r>
      <w:r>
        <w:t xml:space="preserve"> </w:t>
      </w:r>
      <w:r>
        <w:t xml:space="preserve">D7. Unclear provisions on</w:t>
      </w:r>
      <w:r>
        <w:t xml:space="preserve"> </w:t>
      </w:r>
      <w:r>
        <w:t xml:space="preserve">notifications to poison</w:t>
      </w:r>
      <w:r>
        <w:t xml:space="preserve"> </w:t>
      </w:r>
      <w:r>
        <w:t xml:space="preserve">centres</w:t>
      </w:r>
      <w:r>
        <w:t xml:space="preserve"> </w:t>
      </w:r>
      <w:r>
        <w:t xml:space="preserve">PO3c: Clarifying provisions for</w:t>
      </w:r>
      <w:r>
        <w:t xml:space="preserve"> </w:t>
      </w:r>
      <w:r>
        <w:t xml:space="preserve">notifications to poison centres</w:t>
      </w:r>
    </w:p>
    <w:p>
      <w:pPr>
        <w:pStyle w:val="BodyText"/>
      </w:pPr>
      <w:r>
        <w:t xml:space="preserve">23</w:t>
      </w:r>
    </w:p>
    <w:p>
      <w:pPr>
        <w:pStyle w:val="Compact"/>
        <w:numPr>
          <w:ilvl w:val="0"/>
          <w:numId w:val="1001"/>
        </w:numPr>
      </w:pPr>
      <w:r>
        <w:t xml:space="preserve">Growth is expected to return to Europe in spring, as inflation gradually relaxes. However,</w:t>
      </w:r>
      <w:r>
        <w:t xml:space="preserve"> </w:t>
      </w:r>
      <w:r>
        <w:t xml:space="preserve">economic activity is set to be subdued, with GDP growth reaching 0.3% in 2023 as a whole in both</w:t>
      </w:r>
      <w:r>
        <w:t xml:space="preserve"> </w:t>
      </w:r>
      <w:r>
        <w:t xml:space="preserve">the EU and the euro area. By 2024, economic growth is forecast to progressively regain traction,</w:t>
      </w:r>
      <w:r>
        <w:t xml:space="preserve"> </w:t>
      </w:r>
      <w:r>
        <w:t xml:space="preserve">averaging 1.6% in the EU and 1.5% in the euro area. The OECD long-term projections forecast the</w:t>
      </w:r>
      <w:r>
        <w:t xml:space="preserve"> </w:t>
      </w:r>
      <w:r>
        <w:t xml:space="preserve">GDP of the Euro Area (17 countries) to pass from USD2015 13.97 billion (EUR2015 12.59 billion) in</w:t>
      </w:r>
      <w:r>
        <w:t xml:space="preserve"> </w:t>
      </w:r>
      <w:r>
        <w:t xml:space="preserve">2020 to USD2015 18.65 billion (EUR2015 16.81 billion) in 2040 (33.5% growth)88,89. There are signs</w:t>
      </w:r>
      <w:r>
        <w:t xml:space="preserve"> </w:t>
      </w:r>
      <w:r>
        <w:t xml:space="preserve">that this might be impacted by the Russian war in Ukraine and that this could lead to an inflation</w:t>
      </w:r>
      <w:r>
        <w:t xml:space="preserve"> </w:t>
      </w:r>
      <w:r>
        <w:t xml:space="preserve">increase, but figures are still uncertain.</w:t>
      </w:r>
      <w:r>
        <w:br/>
      </w:r>
      <w:r>
        <w:t xml:space="preserve">On the social dimension, the EU27’s population is projected to increase from 447.7 million in</w:t>
      </w:r>
      <w:r>
        <w:t xml:space="preserve"> </w:t>
      </w:r>
      <w:r>
        <w:t xml:space="preserve">2020 and peak to 449.3 million in 2026, then gradually decrease to 446.8 million in 204088. Both</w:t>
      </w:r>
      <w:r>
        <w:t xml:space="preserve"> </w:t>
      </w:r>
      <w:r>
        <w:t xml:space="preserve">the size and the proportion of older people in the total population are expected to increase89, with</w:t>
      </w:r>
      <w:r>
        <w:t xml:space="preserve"> </w:t>
      </w:r>
      <w:r>
        <w:t xml:space="preserve">the share of the elderly (65 years and over) projected to grow from 21% in 2020 to 27% in 2040.</w:t>
      </w:r>
      <w:r>
        <w:t xml:space="preserve"> </w:t>
      </w:r>
      <w:r>
        <w:t xml:space="preserve">Increasing demographic imbalances90, such as the ageing population, pose challenges for public</w:t>
      </w:r>
      <w:r>
        <w:t xml:space="preserve"> </w:t>
      </w:r>
      <w:r>
        <w:t xml:space="preserve">expenditure in relation to pensions, health care and long-term care costs.</w:t>
      </w:r>
      <w:r>
        <w:br/>
      </w:r>
      <w:r>
        <w:t xml:space="preserve">At the same time, the acceleration of technological change and hyperconnectivity will also have</w:t>
      </w:r>
      <w:r>
        <w:t xml:space="preserve"> </w:t>
      </w:r>
      <w:r>
        <w:t xml:space="preserve">a strong influence on all aspects of human life in the next decades. The fifth generation of mobile</w:t>
      </w:r>
      <w:r>
        <w:t xml:space="preserve"> </w:t>
      </w:r>
      <w:r>
        <w:t xml:space="preserve">connectivity (5G), edge computing, next-generation batteries, precision sensors and quantum</w:t>
      </w:r>
      <w:r>
        <w:t xml:space="preserve"> </w:t>
      </w:r>
      <w:r>
        <w:t xml:space="preserve">computing will enable innovation, in particular towards human augmentation91. This will empower</w:t>
      </w:r>
      <w:r>
        <w:t xml:space="preserve"> </w:t>
      </w:r>
      <w:r>
        <w:t xml:space="preserve">consumers to be better informed when they purchase or use hazardous chemicals thanks to, for</w:t>
      </w:r>
      <w:r>
        <w:t xml:space="preserve"> </w:t>
      </w:r>
      <w:r>
        <w:t xml:space="preserve">example, easier, faster, and more tailored information.</w:t>
      </w:r>
      <w:r>
        <w:br/>
      </w:r>
      <w:r>
        <w:t xml:space="preserve">Finally, at the European but also global scale, climate change92 and environmental degradation93</w:t>
      </w:r>
      <w:r>
        <w:t xml:space="preserve"> </w:t>
      </w:r>
      <w:r>
        <w:t xml:space="preserve">are affecting human activities at multiple levels: degraded ecosystems are not longer able to provide</w:t>
      </w:r>
      <w:r>
        <w:t xml:space="preserve"> </w:t>
      </w:r>
      <w:r>
        <w:t xml:space="preserve">the services on which human life depend, such as food, availability of clean water94.</w:t>
      </w:r>
      <w:r>
        <w:t xml:space="preserve"> </w:t>
      </w:r>
      <w:r>
        <w:t xml:space="preserve">5.1.2 The chemical industry</w:t>
      </w:r>
      <w:r>
        <w:t xml:space="preserve"> </w:t>
      </w:r>
      <w:r>
        <w:t xml:space="preserve">In 2020, the EU chemical production dropped by 1.9% compared to 2019 levels, but it is expected</w:t>
      </w:r>
      <w:r>
        <w:t xml:space="preserve"> </w:t>
      </w:r>
      <w:r>
        <w:t xml:space="preserve">to bounce back in 2021 (expected growth of 3%) and 2022 (2% growth). The long-term response of</w:t>
      </w:r>
      <w:r>
        <w:t xml:space="preserve"> </w:t>
      </w:r>
      <w:r>
        <w:t xml:space="preserve">the industry to the economic impacts of the COVID-19 pandemic remains uncertain. The EU share</w:t>
      </w:r>
      <w:r>
        <w:t xml:space="preserve"> </w:t>
      </w:r>
      <w:r>
        <w:t xml:space="preserve">of global sales continue to decrease (from 19.3% in 2010 to 14.4% in 2020, and projected to be</w:t>
      </w:r>
      <w:r>
        <w:t xml:space="preserve"> </w:t>
      </w:r>
      <w:r>
        <w:t xml:space="preserve">10.5% in 2030), but the global chemicals market is expected to keep growing markedly (from €3.5</w:t>
      </w:r>
      <w:r>
        <w:t xml:space="preserve"> </w:t>
      </w:r>
      <w:r>
        <w:t xml:space="preserve">trillion in 2020 to €6.2 trillion in 2030) resulting in an absolute growth of EU sales between 2020</w:t>
      </w:r>
      <w:r>
        <w:t xml:space="preserve"> </w:t>
      </w:r>
      <w:r>
        <w:t xml:space="preserve">and 2030 of around 30% (from €499.1 billion to €651 billion). The industry spent €9.4 billion in</w:t>
      </w:r>
    </w:p>
    <w:p>
      <w:pPr>
        <w:pStyle w:val="FirstParagraph"/>
      </w:pPr>
      <w:r>
        <w:t xml:space="preserve">88 Eurostat, Population on 1st January by age, sex and type of projection, 2021.</w:t>
      </w:r>
      <w:r>
        <w:t xml:space="preserve"> </w:t>
      </w:r>
      <w:r>
        <w:t xml:space="preserve">89 Eurostat, Population Projections in the EU, 2020.</w:t>
      </w:r>
      <w:r>
        <w:br/>
      </w:r>
      <w:r>
        <w:t xml:space="preserve">90 Supporting policy with scientific evidence, Megatrends, Consumers wish to be increasingly aware of the</w:t>
      </w:r>
      <w:r>
        <w:t xml:space="preserve"> </w:t>
      </w:r>
      <w:r>
        <w:t xml:space="preserve">environmental performance of the products they buy; see megatrends in sustainable consumption (one of the 14 ‘long-</w:t>
      </w:r>
      <w:r>
        <w:t xml:space="preserve"> </w:t>
      </w:r>
      <w:r>
        <w:t xml:space="preserve">term global driving forces that are observable in the present and are likely to continue to have a significant influence for</w:t>
      </w:r>
      <w:r>
        <w:t xml:space="preserve"> </w:t>
      </w:r>
      <w:r>
        <w:t xml:space="preserve">a few decades’ — monitored by the European Commission for foresight exercises. The other 13 are: accelerating</w:t>
      </w:r>
      <w:r>
        <w:t xml:space="preserve"> </w:t>
      </w:r>
      <w:r>
        <w:t xml:space="preserve">technological change and hyperconnectivity, aggravating resource scarcity, changing nature of work, changing security</w:t>
      </w:r>
      <w:r>
        <w:t xml:space="preserve"> </w:t>
      </w:r>
      <w:r>
        <w:t xml:space="preserve">paradigm, climate change and environmental degradation, continuing urbanisation, diversification of education and</w:t>
      </w:r>
      <w:r>
        <w:t xml:space="preserve"> </w:t>
      </w:r>
      <w:r>
        <w:t xml:space="preserve">learning, widening inequalities, expanding influence of East and South, growing consumption, increasing demographic</w:t>
      </w:r>
      <w:r>
        <w:t xml:space="preserve"> </w:t>
      </w:r>
      <w:r>
        <w:t xml:space="preserve">imbalances, increasing influence of new governing systems, increasing significant migration, shifting health challenges.</w:t>
      </w:r>
      <w:r>
        <w:br/>
      </w:r>
      <w:r>
        <w:t xml:space="preserve">91 Gartner, Human Augmentation, ‘Cognitive and physical improvements as an integral part of the human body’.</w:t>
      </w:r>
      <w:r>
        <w:t xml:space="preserve"> </w:t>
      </w:r>
      <w:r>
        <w:t xml:space="preserve">92 IPCC, 2022: Summary for Policymakers [H.-O. Pörtner, D.C. Roberts, E.S. Poloczanska, K. Mintenbeck, M. Tignor,</w:t>
      </w:r>
      <w:r>
        <w:t xml:space="preserve"> </w:t>
      </w:r>
      <w:r>
        <w:t xml:space="preserve">A. Alegría, M. Craig, S. Langsdorf, S. Löschke, V. Möller, A. Okem (eds.)]. In: Climate Change 2022: Impacts,</w:t>
      </w:r>
      <w:r>
        <w:t xml:space="preserve"> </w:t>
      </w:r>
      <w:r>
        <w:t xml:space="preserve">Adaptation, and Vulnerability.</w:t>
      </w:r>
      <w:r>
        <w:t xml:space="preserve"> </w:t>
      </w:r>
      <w:r>
        <w:t xml:space="preserve">93 EEA Report No 21/2019: Healthy environment, healthy lives.</w:t>
      </w:r>
      <w:r>
        <w:t xml:space="preserve"> </w:t>
      </w:r>
      <w:r>
        <w:t xml:space="preserve">94 EEA Report No 1/2020: Is Europe living within the limits of our planet?</w:t>
      </w:r>
    </w:p>
    <w:p>
      <w:pPr>
        <w:pStyle w:val="BodyText"/>
      </w:pPr>
      <w:r>
        <w:t xml:space="preserve">24</w:t>
      </w:r>
    </w:p>
    <w:p>
      <w:pPr>
        <w:pStyle w:val="BodyText"/>
      </w:pPr>
      <w:r>
        <w:t xml:space="preserve">research and innovation (around 7.4% of added value). The sector included around 57,000</w:t>
      </w:r>
      <w:r>
        <w:t xml:space="preserve"> </w:t>
      </w:r>
      <w:r>
        <w:t xml:space="preserve">companies contributing roughly to €309 billion in Gross Added Value and employing over 1.6</w:t>
      </w:r>
      <w:r>
        <w:t xml:space="preserve"> </w:t>
      </w:r>
      <w:r>
        <w:t xml:space="preserve">million people. Chemicals are used in all aspects of modern life, and virtually all manufacturing</w:t>
      </w:r>
      <w:r>
        <w:t xml:space="preserve"> </w:t>
      </w:r>
      <w:r>
        <w:t xml:space="preserve">sectors and many downstream sectors rely on chemical products, from agriculture to automotive</w:t>
      </w:r>
      <w:r>
        <w:t xml:space="preserve"> </w:t>
      </w:r>
      <w:r>
        <w:t xml:space="preserve">and aerospace. The industry generates over 3.6 million indirect jobs. SMEs account for 96.7% of</w:t>
      </w:r>
      <w:r>
        <w:t xml:space="preserve"> </w:t>
      </w:r>
      <w:r>
        <w:t xml:space="preserve">the number of enterprises in the chemical manufacturing sector and 16.1% of the total turnover95.</w:t>
      </w:r>
      <w:r>
        <w:t xml:space="preserve"> </w:t>
      </w:r>
      <w:r>
        <w:t xml:space="preserve">5.1.3 Continuation of the existing legal framework and scope</w:t>
      </w:r>
      <w:r>
        <w:t xml:space="preserve"> </w:t>
      </w:r>
      <w:r>
        <w:t xml:space="preserve">As mentioned in section 2.3, the problems that have been identified are assumed to remain, if CLP</w:t>
      </w:r>
      <w:r>
        <w:t xml:space="preserve"> </w:t>
      </w:r>
      <w:r>
        <w:t xml:space="preserve">were to remain as it currently stands. On-going actions considered under the baseline include</w:t>
      </w:r>
      <w:r>
        <w:t xml:space="preserve"> </w:t>
      </w:r>
      <w:r>
        <w:t xml:space="preserve">updating existing guidance documents (e.g., on poison centres), improving IT platforms (e.g., IT</w:t>
      </w:r>
      <w:r>
        <w:t xml:space="preserve"> </w:t>
      </w:r>
      <w:r>
        <w:t xml:space="preserve">tools by ECHA on self-classification), encouraging voluntary improvements of the current</w:t>
      </w:r>
      <w:r>
        <w:t xml:space="preserve"> </w:t>
      </w:r>
      <w:r>
        <w:t xml:space="preserve">processes (e.g., to promote convergence of self-classifications) and enhancing market surveillance</w:t>
      </w:r>
      <w:r>
        <w:t xml:space="preserve"> </w:t>
      </w:r>
      <w:r>
        <w:t xml:space="preserve">(e.g. through ECHA Forum on enforcement). In addition, the following assumptions were adopted</w:t>
      </w:r>
      <w:r>
        <w:t xml:space="preserve"> </w:t>
      </w:r>
      <w:r>
        <w:t xml:space="preserve">to define the baseline (more details are provided in Annex 7):</w:t>
      </w:r>
      <w:r>
        <w:t xml:space="preserve"> </w:t>
      </w:r>
      <w:r>
        <w:t xml:space="preserve">Identification and classification of chemical hazards: Table 4 below summarises the estimated</w:t>
      </w:r>
      <w:r>
        <w:t xml:space="preserve"> </w:t>
      </w:r>
      <w:r>
        <w:t xml:space="preserve">number of substances and mixtures with ED, PBT/vPvB, PMT/vPvM properties that would be</w:t>
      </w:r>
      <w:r>
        <w:t xml:space="preserve"> </w:t>
      </w:r>
      <w:r>
        <w:t xml:space="preserve">identified by REACH or pesticide or biocide regulations via an ad hoc assessment performed by</w:t>
      </w:r>
      <w:r>
        <w:t xml:space="preserve"> </w:t>
      </w:r>
      <w:r>
        <w:t xml:space="preserve">competent authorities under the baseline. Discussions have started to complement REACH</w:t>
      </w:r>
      <w:r>
        <w:t xml:space="preserve"> </w:t>
      </w:r>
      <w:r>
        <w:t xml:space="preserve">information requirements in the area of endocrine disruption, broadening the amount of data</w:t>
      </w:r>
      <w:r>
        <w:t xml:space="preserve"> </w:t>
      </w:r>
      <w:r>
        <w:t xml:space="preserve">available to authorities, onto which CLP-classification would be based. Under REACH, this would</w:t>
      </w:r>
      <w:r>
        <w:t xml:space="preserve"> </w:t>
      </w:r>
      <w:r>
        <w:t xml:space="preserve">allow identifying more EDs as substances of very high concern (see section 5.1.4). The same</w:t>
      </w:r>
      <w:r>
        <w:t xml:space="preserve"> </w:t>
      </w:r>
      <w:r>
        <w:t xml:space="preserve">happens for PMT and vPvM substances96.</w:t>
      </w:r>
      <w:r>
        <w:t xml:space="preserve"> </w:t>
      </w:r>
      <w:r>
        <w:t xml:space="preserve">Table 4: Estimated number of substances and mixtures with ED, PBT/vPvB, PMT/vPvM properties that would be</w:t>
      </w:r>
      <w:r>
        <w:t xml:space="preserve"> </w:t>
      </w:r>
      <w:r>
        <w:t xml:space="preserve">identified under the baseline</w:t>
      </w:r>
    </w:p>
    <w:p>
      <w:pPr>
        <w:pStyle w:val="BodyText"/>
      </w:pPr>
      <w:r>
        <w:t xml:space="preserve">2022</w:t>
      </w:r>
      <w:r>
        <w:t xml:space="preserve"> </w:t>
      </w:r>
      <w:r>
        <w:t xml:space="preserve">2032</w:t>
      </w:r>
      <w:r>
        <w:t xml:space="preserve"> </w:t>
      </w:r>
      <w:r>
        <w:t xml:space="preserve">2042</w:t>
      </w:r>
      <w:r>
        <w:t xml:space="preserve"> </w:t>
      </w:r>
      <w:r>
        <w:t xml:space="preserve">Number of substances*</w:t>
      </w:r>
      <w:r>
        <w:t xml:space="preserve"> </w:t>
      </w:r>
      <w:r>
        <w:t xml:space="preserve">ED</w:t>
      </w:r>
      <w:r>
        <w:t xml:space="preserve"> </w:t>
      </w:r>
      <w:r>
        <w:t xml:space="preserve">13</w:t>
      </w:r>
      <w:r>
        <w:t xml:space="preserve"> </w:t>
      </w:r>
      <w:r>
        <w:t xml:space="preserve">210</w:t>
      </w:r>
      <w:r>
        <w:t xml:space="preserve"> </w:t>
      </w:r>
      <w:r>
        <w:t xml:space="preserve">290</w:t>
      </w:r>
      <w:r>
        <w:t xml:space="preserve"> </w:t>
      </w:r>
      <w:r>
        <w:t xml:space="preserve">PBT/vPvB</w:t>
      </w:r>
      <w:r>
        <w:t xml:space="preserve"> </w:t>
      </w:r>
      <w:r>
        <w:t xml:space="preserve">15</w:t>
      </w:r>
      <w:r>
        <w:t xml:space="preserve"> </w:t>
      </w:r>
      <w:r>
        <w:t xml:space="preserve">210</w:t>
      </w:r>
      <w:r>
        <w:t xml:space="preserve"> </w:t>
      </w:r>
      <w:r>
        <w:t xml:space="preserve">310</w:t>
      </w:r>
      <w:r>
        <w:t xml:space="preserve"> </w:t>
      </w:r>
      <w:r>
        <w:t xml:space="preserve">PMT/vPvM</w:t>
      </w:r>
      <w:r>
        <w:t xml:space="preserve"> </w:t>
      </w:r>
      <w:r>
        <w:t xml:space="preserve">7</w:t>
      </w:r>
      <w:r>
        <w:t xml:space="preserve"> </w:t>
      </w:r>
      <w:r>
        <w:t xml:space="preserve">70</w:t>
      </w:r>
      <w:r>
        <w:t xml:space="preserve"> </w:t>
      </w:r>
      <w:r>
        <w:t xml:space="preserve">110</w:t>
      </w:r>
      <w:r>
        <w:t xml:space="preserve"> </w:t>
      </w:r>
      <w:r>
        <w:t xml:space="preserve">Total</w:t>
      </w:r>
      <w:r>
        <w:t xml:space="preserve"> </w:t>
      </w:r>
      <w:r>
        <w:t xml:space="preserve">35</w:t>
      </w:r>
      <w:r>
        <w:t xml:space="preserve"> </w:t>
      </w:r>
      <w:r>
        <w:t xml:space="preserve">490</w:t>
      </w:r>
      <w:r>
        <w:t xml:space="preserve"> </w:t>
      </w:r>
      <w:r>
        <w:t xml:space="preserve">710</w:t>
      </w:r>
      <w:r>
        <w:t xml:space="preserve"> </w:t>
      </w:r>
      <w:r>
        <w:t xml:space="preserve">Number of mixtures**</w:t>
      </w:r>
      <w:r>
        <w:t xml:space="preserve"> </w:t>
      </w:r>
      <w:r>
        <w:t xml:space="preserve">ED</w:t>
      </w:r>
      <w:r>
        <w:t xml:space="preserve"> </w:t>
      </w:r>
      <w:r>
        <w:t xml:space="preserve">100 – 300</w:t>
      </w:r>
      <w:r>
        <w:t xml:space="preserve"> </w:t>
      </w:r>
      <w:r>
        <w:t xml:space="preserve">2,300 – 5,100</w:t>
      </w:r>
      <w:r>
        <w:t xml:space="preserve"> </w:t>
      </w:r>
      <w:r>
        <w:t xml:space="preserve">3,200 – 7,300</w:t>
      </w:r>
      <w:r>
        <w:t xml:space="preserve"> </w:t>
      </w:r>
      <w:r>
        <w:t xml:space="preserve">PBT/vPvB</w:t>
      </w:r>
      <w:r>
        <w:t xml:space="preserve"> </w:t>
      </w:r>
      <w:r>
        <w:t xml:space="preserve">200 – 400</w:t>
      </w:r>
      <w:r>
        <w:t xml:space="preserve"> </w:t>
      </w:r>
      <w:r>
        <w:t xml:space="preserve">2,400 – 5,300</w:t>
      </w:r>
      <w:r>
        <w:t xml:space="preserve"> </w:t>
      </w:r>
      <w:r>
        <w:t xml:space="preserve">3,400 – 7,700</w:t>
      </w:r>
      <w:r>
        <w:t xml:space="preserve"> </w:t>
      </w:r>
      <w:r>
        <w:t xml:space="preserve">PMT/vPvM</w:t>
      </w:r>
      <w:r>
        <w:t xml:space="preserve"> </w:t>
      </w:r>
      <w:r>
        <w:t xml:space="preserve">100 – 200</w:t>
      </w:r>
      <w:r>
        <w:t xml:space="preserve"> </w:t>
      </w:r>
      <w:r>
        <w:t xml:space="preserve">700 – 1,700</w:t>
      </w:r>
      <w:r>
        <w:t xml:space="preserve"> </w:t>
      </w:r>
      <w:r>
        <w:t xml:space="preserve">1,200 – 2,700</w:t>
      </w:r>
      <w:r>
        <w:t xml:space="preserve"> </w:t>
      </w:r>
      <w:r>
        <w:t xml:space="preserve">Total</w:t>
      </w:r>
      <w:r>
        <w:t xml:space="preserve"> </w:t>
      </w:r>
      <w:r>
        <w:t xml:space="preserve">400 – 900</w:t>
      </w:r>
      <w:r>
        <w:t xml:space="preserve"> </w:t>
      </w:r>
      <w:r>
        <w:t xml:space="preserve">5,300 – 12,200</w:t>
      </w:r>
      <w:r>
        <w:t xml:space="preserve"> </w:t>
      </w:r>
      <w:r>
        <w:t xml:space="preserve">7,800 – 17,700</w:t>
      </w:r>
      <w:r>
        <w:t xml:space="preserve"> </w:t>
      </w:r>
      <w:r>
        <w:t xml:space="preserve">Notes: *rounded to the nearest tens; **rounded to the nearest hundreds. As of March 2022, only 13 EDs, 15</w:t>
      </w:r>
      <w:r>
        <w:t xml:space="preserve"> </w:t>
      </w:r>
      <w:r>
        <w:t xml:space="preserve">PBT/vPvB and 7 PMT/vPvM SVHCs are still registered, and therefore on the market.</w:t>
      </w:r>
      <w:r>
        <w:t xml:space="preserve"> </w:t>
      </w:r>
      <w:r>
        <w:t xml:space="preserve">Hazard classification: The systematic and comprehensive identification and classification of EDs,</w:t>
      </w:r>
      <w:r>
        <w:t xml:space="preserve"> </w:t>
      </w:r>
      <w:r>
        <w:t xml:space="preserve">PBT/vPvB, PMT/vPvM imposed by the introduction of those hazard classes in CLP would increase</w:t>
      </w:r>
      <w:r>
        <w:t xml:space="preserve"> </w:t>
      </w:r>
      <w:r>
        <w:t xml:space="preserve">the number of identified substances and mixtures having ED, PBT/vPvB or PMT/vPvM properties.</w:t>
      </w:r>
      <w:r>
        <w:t xml:space="preserve"> </w:t>
      </w:r>
      <w:r>
        <w:t xml:space="preserve">The table below presents the estimate of the number of substances with harmonised classification</w:t>
      </w:r>
      <w:r>
        <w:t xml:space="preserve"> </w:t>
      </w:r>
      <w:r>
        <w:t xml:space="preserve">that could be expected in 2032 and 2042 without the new hazard classes. Plant protection and</w:t>
      </w:r>
      <w:r>
        <w:t xml:space="preserve"> </w:t>
      </w:r>
      <w:r>
        <w:t xml:space="preserve">biocide active substances would represent the largest share (see Annex 10):</w:t>
      </w:r>
    </w:p>
    <w:p>
      <w:pPr>
        <w:pStyle w:val="BodyText"/>
      </w:pPr>
      <w:r>
        <w:t xml:space="preserve">95 Eurostat, PRODCOM, 2021</w:t>
      </w:r>
      <w:r>
        <w:t xml:space="preserve"> </w:t>
      </w:r>
      <w:r>
        <w:t xml:space="preserve">96 M. Neumann and I. Schliebner, Protecting the sources of our drinking water: The criteria for identifying persistent,</w:t>
      </w:r>
      <w:r>
        <w:t xml:space="preserve"> </w:t>
      </w:r>
      <w:r>
        <w:t xml:space="preserve">mobile and toxic (PMT) substances and very persistent and very mobile (vPvM) substances under EU Regulation</w:t>
      </w:r>
      <w:r>
        <w:t xml:space="preserve"> </w:t>
      </w:r>
      <w:r>
        <w:t xml:space="preserve">REACH (EC) No 1907/2006, Text 127/2019, Umweltbundesamt, 2019.</w:t>
      </w:r>
    </w:p>
    <w:p>
      <w:pPr>
        <w:pStyle w:val="BodyText"/>
      </w:pPr>
      <w:r>
        <w:t xml:space="preserve">25</w:t>
      </w:r>
    </w:p>
    <w:p>
      <w:pPr>
        <w:pStyle w:val="BodyText"/>
      </w:pPr>
      <w:r>
        <w:t xml:space="preserve">Table 5: Estimates of the number of harmonised classification and labelling substances in 2032 and 2042</w:t>
      </w:r>
    </w:p>
    <w:p>
      <w:pPr>
        <w:pStyle w:val="BodyText"/>
      </w:pPr>
      <w:r>
        <w:t xml:space="preserve">2022</w:t>
      </w:r>
      <w:r>
        <w:t xml:space="preserve"> </w:t>
      </w:r>
      <w:r>
        <w:t xml:space="preserve">2032</w:t>
      </w:r>
      <w:r>
        <w:t xml:space="preserve"> </w:t>
      </w:r>
      <w:r>
        <w:t xml:space="preserve">2042</w:t>
      </w:r>
      <w:r>
        <w:t xml:space="preserve"> </w:t>
      </w:r>
      <w:r>
        <w:t xml:space="preserve">Linear forecast</w:t>
      </w:r>
      <w:r>
        <w:t xml:space="preserve"> </w:t>
      </w:r>
      <w:r>
        <w:t xml:space="preserve">4,385</w:t>
      </w:r>
      <w:r>
        <w:t xml:space="preserve"> </w:t>
      </w:r>
      <w:r>
        <w:t xml:space="preserve">4,450*</w:t>
      </w:r>
      <w:r>
        <w:t xml:space="preserve"> </w:t>
      </w:r>
      <w:r>
        <w:t xml:space="preserve">4,600*</w:t>
      </w:r>
      <w:r>
        <w:t xml:space="preserve"> </w:t>
      </w:r>
      <w:r>
        <w:t xml:space="preserve">Note: Value rounded to the nearest fifties</w:t>
      </w:r>
      <w:r>
        <w:t xml:space="preserve"> </w:t>
      </w:r>
      <w:r>
        <w:t xml:space="preserve">On self-classifications, divergence currently affects around 22% of notified substances. Also, 69%</w:t>
      </w:r>
      <w:r>
        <w:t xml:space="preserve"> </w:t>
      </w:r>
      <w:r>
        <w:t xml:space="preserve">of notifications diverge, but this figure is reduced to 23% once the agreement within group</w:t>
      </w:r>
      <w:r>
        <w:t xml:space="preserve"> </w:t>
      </w:r>
      <w:r>
        <w:t xml:space="preserve">notifications – where one company notifies on behalf of others - is taken into account. The situation</w:t>
      </w:r>
      <w:r>
        <w:t xml:space="preserve"> </w:t>
      </w:r>
      <w:r>
        <w:t xml:space="preserve">is believed to stay the same over the period under consideration. To be also noted that ECHA and</w:t>
      </w:r>
      <w:r>
        <w:t xml:space="preserve"> </w:t>
      </w:r>
      <w:r>
        <w:t xml:space="preserve">the European Commission initiated a redesign of the CLP classification and labelling inventory in</w:t>
      </w:r>
      <w:r>
        <w:t xml:space="preserve"> </w:t>
      </w:r>
      <w:r>
        <w:t xml:space="preserve">2019 (see Annex 11), with the aim to improve how data are displayed, structured and overall</w:t>
      </w:r>
      <w:r>
        <w:t xml:space="preserve"> </w:t>
      </w:r>
      <w:r>
        <w:t xml:space="preserve">improve its ease of use. The re-design is expected to be launched by 2023 but, although it is</w:t>
      </w:r>
      <w:r>
        <w:t xml:space="preserve"> </w:t>
      </w:r>
      <w:r>
        <w:t xml:space="preserve">expected to increase transparency, it will not directly address the drivers of diverging</w:t>
      </w:r>
      <w:r>
        <w:t xml:space="preserve"> </w:t>
      </w:r>
      <w:r>
        <w:t xml:space="preserve">classifications.</w:t>
      </w:r>
      <w:r>
        <w:t xml:space="preserve"> </w:t>
      </w:r>
      <w:r>
        <w:t xml:space="preserve">Types of chemicals with (most) labelling issues: Chemicals placed on the market for self-refill</w:t>
      </w:r>
      <w:r>
        <w:t xml:space="preserve"> </w:t>
      </w:r>
      <w:r>
        <w:t xml:space="preserve">(mostly detergents and home care products) account for about 179,000 t/year and they are estimated</w:t>
      </w:r>
      <w:r>
        <w:t xml:space="preserve"> </w:t>
      </w:r>
      <w:r>
        <w:t xml:space="preserve">to concern a range of 8.95 million to 89.5 million individual sales per year. By 2040 it is expected</w:t>
      </w:r>
      <w:r>
        <w:t xml:space="preserve"> </w:t>
      </w:r>
      <w:r>
        <w:t xml:space="preserve">that this practice will increase up to over 265,000 t/year accounting for about 13.25 million to 132.5</w:t>
      </w:r>
      <w:r>
        <w:t xml:space="preserve"> </w:t>
      </w:r>
      <w:r>
        <w:t xml:space="preserve">million individual sales per year for self-refill chemicals. Chemicals placed on the market in bulk</w:t>
      </w:r>
      <w:r>
        <w:t xml:space="preserve"> </w:t>
      </w:r>
      <w:r>
        <w:t xml:space="preserve">concern mostly fuel for transportation purposes purchased at fuel stations. Currently over 235,578</w:t>
      </w:r>
      <w:r>
        <w:t xml:space="preserve"> </w:t>
      </w:r>
      <w:r>
        <w:t xml:space="preserve">Kt per year of fuel are placed on the EU market. By 2040, this is expected to decrease to less than</w:t>
      </w:r>
      <w:r>
        <w:t xml:space="preserve"> </w:t>
      </w:r>
      <w:r>
        <w:t xml:space="preserve">100,000 Kt per year (due mostly to the development of electric cars). For chemicals placed on the</w:t>
      </w:r>
      <w:r>
        <w:t xml:space="preserve"> </w:t>
      </w:r>
      <w:r>
        <w:t xml:space="preserve">market in very small packaging (e.g. writing instruments, lighters, essential oils), between about</w:t>
      </w:r>
      <w:r>
        <w:t xml:space="preserve"> </w:t>
      </w:r>
      <w:r>
        <w:t xml:space="preserve">734 to 898 billion units are placed on the EU market every year. By 2040, this number is expected</w:t>
      </w:r>
      <w:r>
        <w:t xml:space="preserve"> </w:t>
      </w:r>
      <w:r>
        <w:t xml:space="preserve">to slightly increase, with an estimate from 367 up to 449 billion units.</w:t>
      </w:r>
      <w:r>
        <w:br/>
      </w:r>
      <w:r>
        <w:t xml:space="preserve">Online sales: Online sales and their revenues are fast increasing year by year97. Based on</w:t>
      </w:r>
      <w:r>
        <w:t xml:space="preserve"> </w:t>
      </w:r>
      <w:r>
        <w:t xml:space="preserve">estimations for 2021, instances of non-compliance related to chemicals sold online are high both for</w:t>
      </w:r>
      <w:r>
        <w:t xml:space="preserve"> </w:t>
      </w:r>
      <w:r>
        <w:t xml:space="preserve">EU and non-EU sales, but relatively higher for non-EU sales98. Based on estimations, 16.6 million</w:t>
      </w:r>
      <w:r>
        <w:t xml:space="preserve"> </w:t>
      </w:r>
      <w:r>
        <w:t xml:space="preserve">out of 111 million (EU sales), compared to 7.3 million out of 32.4 million (non-EU sales) of</w:t>
      </w:r>
      <w:r>
        <w:t xml:space="preserve"> </w:t>
      </w:r>
      <w:r>
        <w:t xml:space="preserve">cleaning products or personal hygiene products were not CLP compliant in 202199. Horizontal</w:t>
      </w:r>
      <w:r>
        <w:t xml:space="preserve"> </w:t>
      </w:r>
      <w:r>
        <w:t xml:space="preserve">ongoing EU initiatives – i.e. the proposal for the Digital Services Act100, draft General Product</w:t>
      </w:r>
      <w:r>
        <w:t xml:space="preserve"> </w:t>
      </w:r>
      <w:r>
        <w:t xml:space="preserve">Safety Regulation101, together with the Market Surveillance Regulation102, and Consumer Rights</w:t>
      </w:r>
      <w:r>
        <w:t xml:space="preserve"> </w:t>
      </w:r>
      <w:r>
        <w:t xml:space="preserve">Directive103 - will partially address some of the problems. Therefore, the baseline is dynamic and</w:t>
      </w:r>
      <w:r>
        <w:t xml:space="preserve"> </w:t>
      </w:r>
      <w:r>
        <w:t xml:space="preserve">non-compliance rates may decrease in the years to come, but the decrease is difficult to estimate.</w:t>
      </w:r>
      <w:r>
        <w:br/>
      </w:r>
      <w:r>
        <w:t xml:space="preserve">Poison centres: the baseline is the currently applicable regulatory framework, i.e., obligations for</w:t>
      </w:r>
      <w:r>
        <w:t xml:space="preserve"> </w:t>
      </w:r>
      <w:r>
        <w:t xml:space="preserve">duty holders104 and clarifications of those obligations enshrined in ECHA guidance. Based on</w:t>
      </w:r>
      <w:r>
        <w:t xml:space="preserve"> </w:t>
      </w:r>
      <w:r>
        <w:t xml:space="preserve">estimates, intra-EU distributors place between 220,000 – 560,000 products per year on another</w:t>
      </w:r>
      <w:r>
        <w:t xml:space="preserve"> </w:t>
      </w:r>
      <w:r>
        <w:t xml:space="preserve">Member State’s market and re-branders/re-labellers place between 32,500 and 77,500 products on</w:t>
      </w:r>
      <w:r>
        <w:t xml:space="preserve"> </w:t>
      </w:r>
      <w:r>
        <w:t xml:space="preserve">their Member State’s market, which amounts to a total between 252,500 – 637,500 cross-border or</w:t>
      </w:r>
    </w:p>
    <w:p>
      <w:pPr>
        <w:pStyle w:val="BodyText"/>
      </w:pPr>
      <w:r>
        <w:t xml:space="preserve">97 See Annex 13 and section 2.1.3.</w:t>
      </w:r>
      <w:r>
        <w:br/>
      </w:r>
      <w:r>
        <w:t xml:space="preserve">98 1.37 times higher, see Annex 13.</w:t>
      </w:r>
      <w:r>
        <w:br/>
      </w:r>
      <w:r>
        <w:t xml:space="preserve">99 Annex 13.</w:t>
      </w:r>
      <w:r>
        <w:br/>
      </w:r>
      <w:r>
        <w:t xml:space="preserve">100 Proposal for a Regulation on a Single Market for Digital Services, COM(2020) 825 final.</w:t>
      </w:r>
      <w:r>
        <w:t xml:space="preserve"> </w:t>
      </w:r>
      <w:r>
        <w:t xml:space="preserve">101 Proposal for a Regulation on general product safety, COM(2021) 346 final.</w:t>
      </w:r>
      <w:r>
        <w:t xml:space="preserve"> </w:t>
      </w:r>
      <w:r>
        <w:t xml:space="preserve">102 Regulation 2019/1020, OJ L 169, p. 1.</w:t>
      </w:r>
      <w:r>
        <w:t xml:space="preserve"> </w:t>
      </w:r>
      <w:r>
        <w:t xml:space="preserve">103 Directive 2011/83/EU, OJ L 304, p. 64.</w:t>
      </w:r>
      <w:r>
        <w:br/>
      </w:r>
      <w:r>
        <w:t xml:space="preserve">104 Obligations by downstream users and importers as per Article 45, by distributers and other supplier types as per</w:t>
      </w:r>
      <w:r>
        <w:t xml:space="preserve"> </w:t>
      </w:r>
      <w:r>
        <w:t xml:space="preserve">Article 4(10)</w:t>
      </w:r>
    </w:p>
    <w:p>
      <w:pPr>
        <w:pStyle w:val="BodyText"/>
      </w:pPr>
      <w:r>
        <w:t xml:space="preserve">26</w:t>
      </w:r>
    </w:p>
    <w:p>
      <w:pPr>
        <w:pStyle w:val="BodyText"/>
      </w:pPr>
      <w:r>
        <w:t xml:space="preserve">re-branded/re-labelled distributed products. Based on estimates, 50% of those products are</w:t>
      </w:r>
      <w:r>
        <w:t xml:space="preserve"> </w:t>
      </w:r>
      <w:r>
        <w:t xml:space="preserve">currently notified thanks to distributors adhering to other CLP provisions105. It can be assumed as</w:t>
      </w:r>
      <w:r>
        <w:t xml:space="preserve"> </w:t>
      </w:r>
      <w:r>
        <w:t xml:space="preserve">well that not all distributors change their product portfolio each year, so that the number of non-</w:t>
      </w:r>
      <w:r>
        <w:t xml:space="preserve"> </w:t>
      </w:r>
      <w:r>
        <w:t xml:space="preserve">notified mixtures is smaller than the 50% left.</w:t>
      </w:r>
      <w:r>
        <w:t xml:space="preserve"> </w:t>
      </w:r>
      <w:r>
        <w:t xml:space="preserve">5.1.4 Other policy developments</w:t>
      </w:r>
      <w:r>
        <w:t xml:space="preserve"> </w:t>
      </w:r>
      <w:r>
        <w:t xml:space="preserve">Several policy developments in interconnected areas and legislation will influence the evolution of</w:t>
      </w:r>
      <w:r>
        <w:t xml:space="preserve"> </w:t>
      </w:r>
      <w:r>
        <w:t xml:space="preserve">the problem, making it in some cases more pronounced, while in others contributing to address it</w:t>
      </w:r>
      <w:r>
        <w:t xml:space="preserve"> </w:t>
      </w:r>
      <w:r>
        <w:t xml:space="preserve">through complementary measures:</w:t>
      </w:r>
      <w:r>
        <w:br/>
      </w:r>
      <w:r>
        <w:t xml:space="preserve"> The ongoing revisions of REACH and product legislation (e.g., cosmetics, toys, food</w:t>
      </w:r>
      <w:r>
        <w:t xml:space="preserve"> </w:t>
      </w:r>
      <w:r>
        <w:t xml:space="preserve">contact materials): on the side of data available which classification processes could use,</w:t>
      </w:r>
      <w:r>
        <w:t xml:space="preserve"> </w:t>
      </w:r>
      <w:r>
        <w:t xml:space="preserve">REACH is assessing a possible extension of data requirements for ED identification and for</w:t>
      </w:r>
      <w:r>
        <w:t xml:space="preserve"> </w:t>
      </w:r>
      <w:r>
        <w:t xml:space="preserve">substances placed in lower volumes. This means more information on ED hazard will be</w:t>
      </w:r>
      <w:r>
        <w:t xml:space="preserve"> </w:t>
      </w:r>
      <w:r>
        <w:t xml:space="preserve">available for adequate classification during the period considered in this impact assessment.</w:t>
      </w:r>
      <w:r>
        <w:t xml:space="preserve"> </w:t>
      </w:r>
      <w:r>
        <w:t xml:space="preserve">On the side of risk management, REACH and product legislation are under revision to adapt</w:t>
      </w:r>
      <w:r>
        <w:t xml:space="preserve"> </w:t>
      </w:r>
      <w:r>
        <w:t xml:space="preserve">their generic risk management which relies on harmonised classification as a starting basis.</w:t>
      </w:r>
      <w:r>
        <w:t xml:space="preserve"> </w:t>
      </w:r>
      <w:r>
        <w:t xml:space="preserve">Some legislation based on pre-market authorisations may also depend on harmonised</w:t>
      </w:r>
      <w:r>
        <w:t xml:space="preserve"> </w:t>
      </w:r>
      <w:r>
        <w:t xml:space="preserve">classification in the way plant protection products and biocides legislation do. Those</w:t>
      </w:r>
      <w:r>
        <w:t xml:space="preserve"> </w:t>
      </w:r>
      <w:r>
        <w:t xml:space="preserve">revisions will very likely increase the reliance on harmonised classification for the most</w:t>
      </w:r>
      <w:r>
        <w:t xml:space="preserve"> </w:t>
      </w:r>
      <w:r>
        <w:t xml:space="preserve">critical hazards, so that appropriate risk management measures can be adopted106.</w:t>
      </w:r>
      <w:r>
        <w:br/>
      </w:r>
      <w:r>
        <w:t xml:space="preserve"> The ‘One substance, one assessment’ process launched by the Chemicals Strategy for</w:t>
      </w:r>
      <w:r>
        <w:t xml:space="preserve"> </w:t>
      </w:r>
      <w:r>
        <w:t xml:space="preserve">Sustainability is providing a platform to improve harmonisation and ensure transparency of</w:t>
      </w:r>
      <w:r>
        <w:t xml:space="preserve"> </w:t>
      </w:r>
      <w:r>
        <w:t xml:space="preserve">the safety assessments of chemicals, including through a new horizontal legal proposal on</w:t>
      </w:r>
      <w:r>
        <w:t xml:space="preserve"> </w:t>
      </w:r>
      <w:r>
        <w:t xml:space="preserve">the transparency of chemical data and a common open data platform, including for reference</w:t>
      </w:r>
      <w:r>
        <w:t xml:space="preserve"> </w:t>
      </w:r>
      <w:r>
        <w:t xml:space="preserve">values. More data will be available to foster accurate harmonised and self-classifications</w:t>
      </w:r>
      <w:r>
        <w:t xml:space="preserve"> </w:t>
      </w:r>
      <w:r>
        <w:t xml:space="preserve">under CLP. Setting up CLP as the recipient for reference values would also harmonise this</w:t>
      </w:r>
      <w:r>
        <w:t xml:space="preserve"> </w:t>
      </w:r>
      <w:r>
        <w:t xml:space="preserve">step across regulations (see section 4.2.1 and Annex 5). Even if multiple sectorial</w:t>
      </w:r>
      <w:r>
        <w:t xml:space="preserve"> </w:t>
      </w:r>
      <w:r>
        <w:t xml:space="preserve">methodologies may still coexist, this would embody the part ‘one substance, ‘one hazard</w:t>
      </w:r>
      <w:r>
        <w:t xml:space="preserve"> </w:t>
      </w:r>
      <w:r>
        <w:t xml:space="preserve">assessment’ of this process.</w:t>
      </w:r>
      <w:r>
        <w:br/>
      </w:r>
      <w:r>
        <w:t xml:space="preserve"> A number of policy initiatives coming from the European Green Deal will ensure that</w:t>
      </w:r>
      <w:r>
        <w:t xml:space="preserve"> </w:t>
      </w:r>
      <w:r>
        <w:t xml:space="preserve">consumers have access to updated information on the impact of consumer products on</w:t>
      </w:r>
      <w:r>
        <w:t xml:space="preserve"> </w:t>
      </w:r>
      <w:r>
        <w:t xml:space="preserve">human health and/or the environment. The Commission proposal for Ecodesign for</w:t>
      </w:r>
      <w:r>
        <w:t xml:space="preserve"> </w:t>
      </w:r>
      <w:r>
        <w:t xml:space="preserve">Sustainable Products Regulation107 introduces provisions to regulate consumer products on</w:t>
      </w:r>
      <w:r>
        <w:t xml:space="preserve"> </w:t>
      </w:r>
      <w:r>
        <w:t xml:space="preserve">a number of sustainability dimensions. The proposal also improves the provision of product</w:t>
      </w:r>
      <w:r>
        <w:t xml:space="preserve"> </w:t>
      </w:r>
      <w:r>
        <w:t xml:space="preserve">information via digital tools, in particular by a Digital Product Passport that will gather</w:t>
      </w:r>
      <w:r>
        <w:t xml:space="preserve"> </w:t>
      </w:r>
      <w:r>
        <w:t xml:space="preserve">data on a product and its value chain. This Passport is particularly relevant for the</w:t>
      </w:r>
      <w:r>
        <w:t xml:space="preserve"> </w:t>
      </w:r>
      <w:r>
        <w:t xml:space="preserve">introduction of digital labelling because it foresees the mandatory adoption of digital ways</w:t>
      </w:r>
      <w:r>
        <w:t xml:space="preserve"> </w:t>
      </w:r>
      <w:r>
        <w:t xml:space="preserve">of communicating product information. However, chemical safety is excluded from the</w:t>
      </w:r>
      <w:r>
        <w:t xml:space="preserve"> </w:t>
      </w:r>
      <w:r>
        <w:t xml:space="preserve">scope of this proposal. This means CLP should address the digitalisation of hazard</w:t>
      </w:r>
      <w:r>
        <w:t xml:space="preserve"> </w:t>
      </w:r>
      <w:r>
        <w:t xml:space="preserve">communication for chemicals. This would improve the efficiency of such communication</w:t>
      </w:r>
      <w:r>
        <w:t xml:space="preserve"> </w:t>
      </w:r>
      <w:r>
        <w:t xml:space="preserve">and adjust CLP to technological and societal changes.</w:t>
      </w:r>
    </w:p>
    <w:p>
      <w:pPr>
        <w:pStyle w:val="BodyText"/>
      </w:pPr>
      <w:r>
        <w:t xml:space="preserve">105 Article 4(10) of CLP. See Annex 16.</w:t>
      </w:r>
      <w:r>
        <w:br/>
      </w:r>
      <w:r>
        <w:t xml:space="preserve">106 Under CLP, the decision to classify a substance or a mixture is exclusively based on existing available information.</w:t>
      </w:r>
      <w:r>
        <w:t xml:space="preserve"> </w:t>
      </w:r>
      <w:r>
        <w:t xml:space="preserve">The need to generate any additional data requirements is regulated by REACH. Any impacts arising from that situation</w:t>
      </w:r>
      <w:r>
        <w:t xml:space="preserve"> </w:t>
      </w:r>
      <w:r>
        <w:t xml:space="preserve">will be assessed in the context of the revision of REACH.</w:t>
      </w:r>
      <w:r>
        <w:t xml:space="preserve"> </w:t>
      </w:r>
      <w:r>
        <w:t xml:space="preserve">107 Proposal for a Regulation of the European Parliament and of the Council establishing a framework for setting</w:t>
      </w:r>
      <w:r>
        <w:t xml:space="preserve"> </w:t>
      </w:r>
      <w:r>
        <w:t xml:space="preserve">ecodesign requirements for sustainable products and repealing Directive 2009/125/EC, COM(2022) 142 final.</w:t>
      </w:r>
    </w:p>
    <w:p>
      <w:pPr>
        <w:pStyle w:val="BodyText"/>
      </w:pPr>
      <w:r>
        <w:t xml:space="preserve">27</w:t>
      </w:r>
    </w:p>
    <w:p>
      <w:pPr>
        <w:pStyle w:val="BodyText"/>
      </w:pPr>
      <w:r>
        <w:t xml:space="preserve"> The on-going revision of the General Product Safety Directive108 and the proposal for the</w:t>
      </w:r>
      <w:r>
        <w:t xml:space="preserve"> </w:t>
      </w:r>
      <w:r>
        <w:t xml:space="preserve">Digital Services Act109 are part of the baseline for this impact assessment, as well as with</w:t>
      </w:r>
      <w:r>
        <w:t xml:space="preserve"> </w:t>
      </w:r>
      <w:r>
        <w:t xml:space="preserve">already applicable new pieces of legislation such as the Market Surveillance Regulation110</w:t>
      </w:r>
      <w:r>
        <w:t xml:space="preserve"> </w:t>
      </w:r>
      <w:r>
        <w:t xml:space="preserve">or the Consumer Rights Directive on distance contracts111. These horizontal initiatives and</w:t>
      </w:r>
      <w:r>
        <w:t xml:space="preserve"> </w:t>
      </w:r>
      <w:r>
        <w:t xml:space="preserve">regulations will help addressing ambiguities related to online sales, but not solve the</w:t>
      </w:r>
      <w:r>
        <w:t xml:space="preserve"> </w:t>
      </w:r>
      <w:r>
        <w:t xml:space="preserve">problem outlined above entirely. Provisions on online marketplaces in draft General Product</w:t>
      </w:r>
      <w:r>
        <w:t xml:space="preserve"> </w:t>
      </w:r>
      <w:r>
        <w:t xml:space="preserve">Safety Regulation will apply to CLP and will help consumers to make informed choices</w:t>
      </w:r>
      <w:r>
        <w:t xml:space="preserve"> </w:t>
      </w:r>
      <w:r>
        <w:t xml:space="preserve">when they purchase chemicals online. However, the measures on mandatory economic actor</w:t>
      </w:r>
      <w:r>
        <w:t xml:space="preserve"> </w:t>
      </w:r>
      <w:r>
        <w:t xml:space="preserve">in the EU responsible for compliance, already introduced by Market Surveillance</w:t>
      </w:r>
      <w:r>
        <w:t xml:space="preserve"> </w:t>
      </w:r>
      <w:r>
        <w:t xml:space="preserve">Regulation and proposed by draft General Product Safety Regulation, do not cover CLP,</w:t>
      </w:r>
      <w:r>
        <w:t xml:space="preserve"> </w:t>
      </w:r>
      <w:r>
        <w:t xml:space="preserve">hence will not solve the problem of chemicals being sold directly to consumers from outside</w:t>
      </w:r>
      <w:r>
        <w:t xml:space="preserve"> </w:t>
      </w:r>
      <w:r>
        <w:t xml:space="preserve">EU via online sales. Therefore, it would be for CLP itself to address the problem of ensuring</w:t>
      </w:r>
      <w:r>
        <w:t xml:space="preserve"> </w:t>
      </w:r>
      <w:r>
        <w:t xml:space="preserve">chemicals sold from outside the EU are safe.</w:t>
      </w:r>
      <w:r>
        <w:t xml:space="preserve"> </w:t>
      </w:r>
      <w:r>
        <w:t xml:space="preserve"> On enforcement and compliance of chemicals and products legislation, the revision of</w:t>
      </w:r>
      <w:r>
        <w:t xml:space="preserve"> </w:t>
      </w:r>
      <w:r>
        <w:t xml:space="preserve">REACH is looking into ways to address shortcomings on a number of aspects related to</w:t>
      </w:r>
      <w:r>
        <w:t xml:space="preserve"> </w:t>
      </w:r>
      <w:r>
        <w:t xml:space="preserve">both CLP and REACH, as enforcement authorities cover in most cases both these two</w:t>
      </w:r>
      <w:r>
        <w:t xml:space="preserve"> </w:t>
      </w:r>
      <w:r>
        <w:t xml:space="preserve">regulations112. The REACH revision will look in particular at establishing an Audit Capacity</w:t>
      </w:r>
      <w:r>
        <w:t xml:space="preserve"> </w:t>
      </w:r>
      <w:r>
        <w:t xml:space="preserve">to verify and strengthen the effectiveness of Member States’ control systems on chemicals,</w:t>
      </w:r>
      <w:r>
        <w:t xml:space="preserve"> </w:t>
      </w:r>
      <w:r>
        <w:t xml:space="preserve">the role and tasks of ECHA’s Forum on enforcement, interlinks on customs-related issues</w:t>
      </w:r>
      <w:r>
        <w:t xml:space="preserve"> </w:t>
      </w:r>
      <w:r>
        <w:t xml:space="preserve">and collaboration with customs authorities.</w:t>
      </w:r>
      <w:r>
        <w:br/>
      </w:r>
      <w:r>
        <w:t xml:space="preserve">5.2</w:t>
      </w:r>
      <w:r>
        <w:t xml:space="preserve"> </w:t>
      </w:r>
      <w:r>
        <w:t xml:space="preserve">Description of the policy options</w:t>
      </w:r>
      <w:r>
        <w:br/>
      </w:r>
      <w:r>
        <w:t xml:space="preserve">The policy options have been constructed by selecting from a comprehensive list of potential policy</w:t>
      </w:r>
      <w:r>
        <w:t xml:space="preserve"> </w:t>
      </w:r>
      <w:r>
        <w:t xml:space="preserve">measures based on the evaluations of the existing legislation and on the input received from</w:t>
      </w:r>
      <w:r>
        <w:t xml:space="preserve"> </w:t>
      </w:r>
      <w:r>
        <w:t xml:space="preserve">stakeholders (see Annexes 8 to 16 for more details). These measures were screened113 to identify</w:t>
      </w:r>
      <w:r>
        <w:t xml:space="preserve"> </w:t>
      </w:r>
      <w:r>
        <w:t xml:space="preserve">those that should be retained for further analysis. The screening process resulted in a list of 22</w:t>
      </w:r>
      <w:r>
        <w:t xml:space="preserve"> </w:t>
      </w:r>
      <w:r>
        <w:t xml:space="preserve">measures retained for the impact assessment (see Table 6). Each measure is mainly relevant for</w:t>
      </w:r>
      <w:r>
        <w:t xml:space="preserve"> </w:t>
      </w:r>
      <w:r>
        <w:t xml:space="preserve">a single problem area/objective. Measures which are of a legislative nature bear a “*”.</w:t>
      </w:r>
    </w:p>
    <w:p>
      <w:pPr>
        <w:pStyle w:val="BodyText"/>
      </w:pPr>
      <w:r>
        <w:t xml:space="preserve">108 Proposal for a Regulation on general product safety, COM(2021) 346 final.</w:t>
      </w:r>
      <w:r>
        <w:br/>
      </w:r>
      <w:r>
        <w:t xml:space="preserve">109 Proposal for a Regulation on a Single Market for Digital Services, COM(2020) 825 final.</w:t>
      </w:r>
      <w:r>
        <w:br/>
      </w:r>
      <w:r>
        <w:t xml:space="preserve">110 Regulation 2019/1020, OJ L 169, p. 1.</w:t>
      </w:r>
      <w:r>
        <w:t xml:space="preserve"> </w:t>
      </w:r>
      <w:r>
        <w:t xml:space="preserve">111 Directive 2011/83/EU, OJ L 304, p. 64.</w:t>
      </w:r>
      <w:r>
        <w:t xml:space="preserve"> </w:t>
      </w:r>
      <w:r>
        <w:t xml:space="preserve">112 https://echa.europa.eu/about-us/who-we-are/enforcement-forum</w:t>
      </w:r>
      <w:r>
        <w:t xml:space="preserve"> </w:t>
      </w:r>
      <w:r>
        <w:t xml:space="preserve">113 Screening (see Annex 7) was developed in accordance with Tool #17 of the Better Regulation Toolbox. The longlist</w:t>
      </w:r>
      <w:r>
        <w:t xml:space="preserve"> </w:t>
      </w:r>
      <w:r>
        <w:t xml:space="preserve">of measures were assessed against eight criteria provided there.</w:t>
      </w:r>
    </w:p>
    <w:p>
      <w:pPr>
        <w:pStyle w:val="BodyText"/>
      </w:pPr>
      <w:r>
        <w:t xml:space="preserve">28</w:t>
      </w:r>
    </w:p>
    <w:p>
      <w:pPr>
        <w:pStyle w:val="BodyText"/>
      </w:pPr>
      <w:r>
        <w:t xml:space="preserve">Table 6: Retained policy measures (brought forward for the impact assessment)</w:t>
      </w:r>
      <w:r>
        <w:t xml:space="preserve"> </w:t>
      </w:r>
      <w:r>
        <w:t xml:space="preserve">Measures</w:t>
      </w:r>
      <w:r>
        <w:t xml:space="preserve"> </w:t>
      </w:r>
      <w:r>
        <w:t xml:space="preserve">Description</w:t>
      </w:r>
      <w:r>
        <w:t xml:space="preserve"> </w:t>
      </w:r>
      <w:r>
        <w:t xml:space="preserve">Addressees</w:t>
      </w:r>
      <w:r>
        <w:t xml:space="preserve"> </w:t>
      </w:r>
      <w:r>
        <w:t xml:space="preserve">Classification of chemical hazards (Policy Option 1)</w:t>
      </w:r>
      <w:r>
        <w:t xml:space="preserve"> </w:t>
      </w:r>
      <w:r>
        <w:t xml:space="preserve">#1 New hazard classes*</w:t>
      </w:r>
      <w:r>
        <w:br/>
      </w:r>
      <w:r>
        <w:t xml:space="preserve">Add new hazard classes in CLP for the most critical hazard</w:t>
      </w:r>
      <w:r>
        <w:t xml:space="preserve"> </w:t>
      </w:r>
      <w:r>
        <w:t xml:space="preserve">properties: ED, PBT, vPvB, PMT, vPvM.</w:t>
      </w:r>
      <w:r>
        <w:t xml:space="preserve"> </w:t>
      </w:r>
      <w:r>
        <w:t xml:space="preserve">Companies to identify, classify and label their ED, PBT, vPvB, PMT, vPvM</w:t>
      </w:r>
      <w:r>
        <w:t xml:space="preserve"> </w:t>
      </w:r>
      <w:r>
        <w:t xml:space="preserve">substances. Companies to update their notification if their substance is identified</w:t>
      </w:r>
      <w:r>
        <w:t xml:space="preserve"> </w:t>
      </w:r>
      <w:r>
        <w:t xml:space="preserve">as ED, PBT, vPvB, PMT, vPvM. Member States or companies to submit</w:t>
      </w:r>
      <w:r>
        <w:t xml:space="preserve"> </w:t>
      </w:r>
      <w:r>
        <w:t xml:space="preserve">harmonised classification and labelling dossiers for the new hazard classes if they</w:t>
      </w:r>
      <w:r>
        <w:t xml:space="preserve"> </w:t>
      </w:r>
      <w:r>
        <w:t xml:space="preserve">justify that there is an interest for the EU.</w:t>
      </w:r>
      <w:r>
        <w:t xml:space="preserve"> </w:t>
      </w:r>
      <w:r>
        <w:t xml:space="preserve">#2 Prioritise new hazard</w:t>
      </w:r>
      <w:r>
        <w:t xml:space="preserve"> </w:t>
      </w:r>
      <w:r>
        <w:t xml:space="preserve">classes*</w:t>
      </w:r>
      <w:r>
        <w:t xml:space="preserve"> </w:t>
      </w:r>
      <w:r>
        <w:t xml:space="preserve">Prioritise the new hazard classes (ED, PBT, vPvB, PMT, vPvM)</w:t>
      </w:r>
      <w:r>
        <w:t xml:space="preserve"> </w:t>
      </w:r>
      <w:r>
        <w:t xml:space="preserve">for harmonised classification, considering the new hazard</w:t>
      </w:r>
      <w:r>
        <w:t xml:space="preserve"> </w:t>
      </w:r>
      <w:r>
        <w:t xml:space="preserve">classes are of highest concern (same concern as for substances</w:t>
      </w:r>
      <w:r>
        <w:t xml:space="preserve"> </w:t>
      </w:r>
      <w:r>
        <w:t xml:space="preserve">that are carcinogenic, mutagenic or toxic to reproduction).</w:t>
      </w:r>
      <w:r>
        <w:t xml:space="preserve"> </w:t>
      </w:r>
      <w:r>
        <w:t xml:space="preserve">Member States competent authorities and/or companies to submit harmonised</w:t>
      </w:r>
      <w:r>
        <w:t xml:space="preserve"> </w:t>
      </w:r>
      <w:r>
        <w:t xml:space="preserve">classification and labelling dossiers for the new hazard classes. ECHA’s Risk</w:t>
      </w:r>
      <w:r>
        <w:t xml:space="preserve"> </w:t>
      </w:r>
      <w:r>
        <w:t xml:space="preserve">Assessment Committee to assess the dossier and adopt an opinion to be forwarded</w:t>
      </w:r>
      <w:r>
        <w:t xml:space="preserve"> </w:t>
      </w:r>
      <w:r>
        <w:t xml:space="preserve">to the Commission. Commission to decide after consultation of expert group.</w:t>
      </w:r>
      <w:r>
        <w:t xml:space="preserve"> </w:t>
      </w:r>
      <w:r>
        <w:t xml:space="preserve">#3 Justified divergences*</w:t>
      </w:r>
      <w:r>
        <w:t xml:space="preserve"> </w:t>
      </w:r>
      <w:r>
        <w:t xml:space="preserve">Request and make available in ECHA’s classification inventory</w:t>
      </w:r>
      <w:r>
        <w:t xml:space="preserve"> </w:t>
      </w:r>
      <w:r>
        <w:t xml:space="preserve">the reasons for diverging notified self-classifications.</w:t>
      </w:r>
      <w:r>
        <w:t xml:space="preserve"> </w:t>
      </w:r>
      <w:r>
        <w:t xml:space="preserve">Companies to update their notification where necessary. ECHA to modify the</w:t>
      </w:r>
      <w:r>
        <w:t xml:space="preserve"> </w:t>
      </w:r>
      <w:r>
        <w:t xml:space="preserve">CLP classification and labelling inventory to allow for publication of the</w:t>
      </w:r>
      <w:r>
        <w:t xml:space="preserve"> </w:t>
      </w:r>
      <w:r>
        <w:t xml:space="preserve">justification for diverging classifications for a substance and for reviewing</w:t>
      </w:r>
      <w:r>
        <w:t xml:space="preserve"> </w:t>
      </w:r>
      <w:r>
        <w:t xml:space="preserve">notifications.</w:t>
      </w:r>
      <w:r>
        <w:t xml:space="preserve"> </w:t>
      </w:r>
      <w:r>
        <w:t xml:space="preserve">#4 Transparent notifiers*</w:t>
      </w:r>
      <w:r>
        <w:t xml:space="preserve"> </w:t>
      </w:r>
      <w:r>
        <w:t xml:space="preserve">Request publication of names of legal persons notifying their</w:t>
      </w:r>
      <w:r>
        <w:t xml:space="preserve"> </w:t>
      </w:r>
      <w:r>
        <w:t xml:space="preserve">self-classifications to ECHA.</w:t>
      </w:r>
      <w:r>
        <w:t xml:space="preserve"> </w:t>
      </w:r>
      <w:r>
        <w:t xml:space="preserve">ECHA to make notifiers’ names public and review confidentiality requests.</w:t>
      </w:r>
      <w:r>
        <w:t xml:space="preserve"> </w:t>
      </w:r>
      <w:r>
        <w:t xml:space="preserve">Companies to make confidentiality requests in justified cases</w:t>
      </w:r>
      <w:r>
        <w:t xml:space="preserve"> </w:t>
      </w:r>
      <w:r>
        <w:t xml:space="preserve">#5</w:t>
      </w:r>
      <w:r>
        <w:t xml:space="preserve"> </w:t>
      </w:r>
      <w:r>
        <w:t xml:space="preserve">Swift</w:t>
      </w:r>
      <w:r>
        <w:t xml:space="preserve"> </w:t>
      </w:r>
      <w:r>
        <w:t xml:space="preserve">notification</w:t>
      </w:r>
      <w:r>
        <w:t xml:space="preserve"> </w:t>
      </w:r>
      <w:r>
        <w:t xml:space="preserve">updates*</w:t>
      </w:r>
      <w:r>
        <w:t xml:space="preserve"> </w:t>
      </w:r>
      <w:r>
        <w:t xml:space="preserve">Require notification of updated self-classifications within a</w:t>
      </w:r>
      <w:r>
        <w:t xml:space="preserve"> </w:t>
      </w:r>
      <w:r>
        <w:t xml:space="preserve">certain deadline after new pieces of evidence is available.</w:t>
      </w:r>
      <w:r>
        <w:t xml:space="preserve"> </w:t>
      </w:r>
      <w:r>
        <w:t xml:space="preserve">Companies to monitor the availability of new data, update their classifications and</w:t>
      </w:r>
      <w:r>
        <w:t xml:space="preserve"> </w:t>
      </w:r>
      <w:r>
        <w:t xml:space="preserve">notify them to ECHA at the latest 6 months after new data inducing the change</w:t>
      </w:r>
      <w:r>
        <w:t xml:space="preserve"> </w:t>
      </w:r>
      <w:r>
        <w:t xml:space="preserve">become available. Companies re-labelling and modifying safety information</w:t>
      </w:r>
      <w:r>
        <w:t xml:space="preserve"> </w:t>
      </w:r>
      <w:r>
        <w:t xml:space="preserve">provided to users if needed. ECHA to monitor the level of divergence between</w:t>
      </w:r>
      <w:r>
        <w:t xml:space="preserve"> </w:t>
      </w:r>
      <w:r>
        <w:t xml:space="preserve">notified self-classifications.</w:t>
      </w:r>
      <w:r>
        <w:t xml:space="preserve"> </w:t>
      </w:r>
      <w:r>
        <w:t xml:space="preserve">#6 Regular notification</w:t>
      </w:r>
      <w:r>
        <w:t xml:space="preserve"> </w:t>
      </w:r>
      <w:r>
        <w:t xml:space="preserve">updates *</w:t>
      </w:r>
      <w:r>
        <w:t xml:space="preserve"> </w:t>
      </w:r>
      <w:r>
        <w:t xml:space="preserve">Require update of all notifications every 2 years.</w:t>
      </w:r>
      <w:r>
        <w:t xml:space="preserve"> </w:t>
      </w:r>
      <w:r>
        <w:t xml:space="preserve">Companies to update their notification systematically every two years and re-</w:t>
      </w:r>
      <w:r>
        <w:t xml:space="preserve"> </w:t>
      </w:r>
      <w:r>
        <w:t xml:space="preserve">classify/re-label/update their safety information114 provided to users if need be.</w:t>
      </w:r>
      <w:r>
        <w:t xml:space="preserve"> </w:t>
      </w:r>
      <w:r>
        <w:t xml:space="preserve">ECHA to monitor the level of divergence between notified self-classifications</w:t>
      </w:r>
    </w:p>
    <w:p>
      <w:pPr>
        <w:pStyle w:val="BodyText"/>
      </w:pPr>
      <w:r>
        <w:t xml:space="preserve">114 Safety Data Sheet in line with REACH Annex 2.</w:t>
      </w:r>
    </w:p>
    <w:p>
      <w:pPr>
        <w:pStyle w:val="BodyText"/>
      </w:pPr>
      <w:r>
        <w:t xml:space="preserve">29</w:t>
      </w:r>
    </w:p>
    <w:p>
      <w:pPr>
        <w:pStyle w:val="BodyText"/>
      </w:pPr>
      <w:r>
        <w:t xml:space="preserve">#7 Early prioritisation for</w:t>
      </w:r>
      <w:r>
        <w:t xml:space="preserve"> </w:t>
      </w:r>
      <w:r>
        <w:t xml:space="preserve">harmonised classification</w:t>
      </w:r>
      <w:r>
        <w:t xml:space="preserve"> </w:t>
      </w:r>
      <w:r>
        <w:t xml:space="preserve">dossiers</w:t>
      </w:r>
      <w:r>
        <w:t xml:space="preserve"> </w:t>
      </w:r>
      <w:r>
        <w:t xml:space="preserve">Develop prioritisation criteria115 and submit harmonised</w:t>
      </w:r>
      <w:r>
        <w:t xml:space="preserve"> </w:t>
      </w:r>
      <w:r>
        <w:t xml:space="preserve">classification and labelling dossiers according to a list drawn</w:t>
      </w:r>
      <w:r>
        <w:t xml:space="preserve"> </w:t>
      </w:r>
      <w:r>
        <w:t xml:space="preserve">from those criteria.</w:t>
      </w:r>
      <w:r>
        <w:t xml:space="preserve"> </w:t>
      </w:r>
      <w:r>
        <w:t xml:space="preserve">ECHA to use the new hazard classes as additional criteria when screening</w:t>
      </w:r>
      <w:r>
        <w:t xml:space="preserve"> </w:t>
      </w:r>
      <w:r>
        <w:t xml:space="preserve">registered substances. Commission, ECHA and Member States to develop</w:t>
      </w:r>
      <w:r>
        <w:t xml:space="preserve"> </w:t>
      </w:r>
      <w:r>
        <w:t xml:space="preserve">prioritisation criteria (including for new hazard classes) and apply them to</w:t>
      </w:r>
      <w:r>
        <w:t xml:space="preserve"> </w:t>
      </w:r>
      <w:r>
        <w:t xml:space="preserve">substances identified for harmonised classification. Member States to submit</w:t>
      </w:r>
      <w:r>
        <w:t xml:space="preserve"> </w:t>
      </w:r>
      <w:r>
        <w:t xml:space="preserve">harmonised classification and labelling dossiers according to the prioritisation list</w:t>
      </w:r>
      <w:r>
        <w:t xml:space="preserve"> </w:t>
      </w:r>
      <w:r>
        <w:t xml:space="preserve">agreed at the Risk Management and Evaluation platform (RIME+)116</w:t>
      </w:r>
      <w:r>
        <w:t xml:space="preserve"> </w:t>
      </w:r>
      <w:r>
        <w:t xml:space="preserve">#8</w:t>
      </w:r>
      <w:r>
        <w:t xml:space="preserve"> </w:t>
      </w:r>
      <w:r>
        <w:t xml:space="preserve">EU</w:t>
      </w:r>
      <w:r>
        <w:t xml:space="preserve"> </w:t>
      </w:r>
      <w:r>
        <w:t xml:space="preserve">agreement</w:t>
      </w:r>
      <w:r>
        <w:t xml:space="preserve"> </w:t>
      </w:r>
      <w:r>
        <w:t xml:space="preserve">on</w:t>
      </w:r>
      <w:r>
        <w:t xml:space="preserve"> </w:t>
      </w:r>
      <w:r>
        <w:t xml:space="preserve">prioritised</w:t>
      </w:r>
      <w:r>
        <w:t xml:space="preserve"> </w:t>
      </w:r>
      <w:r>
        <w:t xml:space="preserve">harmonised</w:t>
      </w:r>
      <w:r>
        <w:t xml:space="preserve"> </w:t>
      </w:r>
      <w:r>
        <w:t xml:space="preserve">classification dossiers</w:t>
      </w:r>
      <w:r>
        <w:br/>
      </w:r>
      <w:r>
        <w:t xml:space="preserve">Member States to agree on the list of future harmonised</w:t>
      </w:r>
      <w:r>
        <w:t xml:space="preserve"> </w:t>
      </w:r>
      <w:r>
        <w:t xml:space="preserve">classification and labelling dossiers, according to prioritisation</w:t>
      </w:r>
      <w:r>
        <w:t xml:space="preserve"> </w:t>
      </w:r>
      <w:r>
        <w:t xml:space="preserve">criteria.</w:t>
      </w:r>
      <w:r>
        <w:t xml:space="preserve"> </w:t>
      </w:r>
      <w:r>
        <w:t xml:space="preserve">Commission, ECHA and Member States to develop prioritisation criteria</w:t>
      </w:r>
      <w:r>
        <w:t xml:space="preserve"> </w:t>
      </w:r>
      <w:r>
        <w:t xml:space="preserve">(including for new hazard classes). Member States’ competent authorities to</w:t>
      </w:r>
      <w:r>
        <w:t xml:space="preserve"> </w:t>
      </w:r>
      <w:r>
        <w:t xml:space="preserve">review intentions of harmonised classification and labelling dossiers and agree on</w:t>
      </w:r>
      <w:r>
        <w:t xml:space="preserve"> </w:t>
      </w:r>
      <w:r>
        <w:t xml:space="preserve">those meeting the prioritisation criteria.</w:t>
      </w:r>
      <w:r>
        <w:t xml:space="preserve"> </w:t>
      </w:r>
      <w:r>
        <w:t xml:space="preserve">#9 Commission’s mandate</w:t>
      </w:r>
      <w:r>
        <w:t xml:space="preserve"> </w:t>
      </w:r>
      <w:r>
        <w:t xml:space="preserve">for</w:t>
      </w:r>
      <w:r>
        <w:t xml:space="preserve"> </w:t>
      </w:r>
      <w:r>
        <w:t xml:space="preserve">harmonised</w:t>
      </w:r>
      <w:r>
        <w:t xml:space="preserve"> </w:t>
      </w:r>
      <w:r>
        <w:t xml:space="preserve">classification</w:t>
      </w:r>
      <w:r>
        <w:t xml:space="preserve"> </w:t>
      </w:r>
      <w:r>
        <w:t xml:space="preserve">and</w:t>
      </w:r>
      <w:r>
        <w:t xml:space="preserve"> </w:t>
      </w:r>
      <w:r>
        <w:t xml:space="preserve">labelling*</w:t>
      </w:r>
      <w:r>
        <w:t xml:space="preserve"> </w:t>
      </w:r>
      <w:r>
        <w:t xml:space="preserve">Allow the Commission to initiate and fund more harmonised</w:t>
      </w:r>
      <w:r>
        <w:t xml:space="preserve"> </w:t>
      </w:r>
      <w:r>
        <w:t xml:space="preserve">classification and labelling dossiers, including by a mandate to</w:t>
      </w:r>
      <w:r>
        <w:t xml:space="preserve"> </w:t>
      </w:r>
      <w:r>
        <w:t xml:space="preserve">ECHA.</w:t>
      </w:r>
      <w:r>
        <w:t xml:space="preserve"> </w:t>
      </w:r>
      <w:r>
        <w:t xml:space="preserve">Commission to identify substances where a harmonised classification and</w:t>
      </w:r>
      <w:r>
        <w:t xml:space="preserve"> </w:t>
      </w:r>
      <w:r>
        <w:t xml:space="preserve">labelling dossier is outstanding. Commission to fund and mandate ECHA and/or</w:t>
      </w:r>
      <w:r>
        <w:t xml:space="preserve"> </w:t>
      </w:r>
      <w:r>
        <w:t xml:space="preserve">to contract out to Member States’ agencies and/or consultancies for the</w:t>
      </w:r>
      <w:r>
        <w:t xml:space="preserve"> </w:t>
      </w:r>
      <w:r>
        <w:t xml:space="preserve">development of a harmonised classification and labelling dossier. Commission to</w:t>
      </w:r>
      <w:r>
        <w:t xml:space="preserve"> </w:t>
      </w:r>
      <w:r>
        <w:t xml:space="preserve">submit the harmonised classification and labelling dossier to ECHA.</w:t>
      </w:r>
      <w:r>
        <w:t xml:space="preserve"> </w:t>
      </w:r>
      <w:r>
        <w:t xml:space="preserve">#10 Harmonised reference</w:t>
      </w:r>
      <w:r>
        <w:t xml:space="preserve"> </w:t>
      </w:r>
      <w:r>
        <w:t xml:space="preserve">values *</w:t>
      </w:r>
      <w:r>
        <w:t xml:space="preserve"> </w:t>
      </w:r>
      <w:r>
        <w:t xml:space="preserve">CLP to not only provide for hazard identification but also for the</w:t>
      </w:r>
      <w:r>
        <w:t xml:space="preserve"> </w:t>
      </w:r>
      <w:r>
        <w:t xml:space="preserve">setting of toxicity values.</w:t>
      </w:r>
      <w:r>
        <w:t xml:space="preserve"> </w:t>
      </w:r>
      <w:r>
        <w:t xml:space="preserve">Member States’ competent authorities to submit dossiers for harmonised toxicity</w:t>
      </w:r>
      <w:r>
        <w:t xml:space="preserve"> </w:t>
      </w:r>
      <w:r>
        <w:t xml:space="preserve">values. ECHA’s Committee for Risk Assessment to assess the dossiers.</w:t>
      </w:r>
      <w:r>
        <w:t xml:space="preserve"> </w:t>
      </w:r>
      <w:r>
        <w:t xml:space="preserve">Commission to decide after consultation of the Committee.</w:t>
      </w:r>
    </w:p>
    <w:p>
      <w:pPr>
        <w:pStyle w:val="BodyText"/>
      </w:pPr>
      <w:r>
        <w:t xml:space="preserve">Communication of chemical hazards (Policy Option 2)</w:t>
      </w:r>
      <w:r>
        <w:t xml:space="preserve"> </w:t>
      </w:r>
      <w:r>
        <w:t xml:space="preserve">#11 Guidance on labelling</w:t>
      </w:r>
      <w:r>
        <w:t xml:space="preserve"> </w:t>
      </w:r>
      <w:r>
        <w:t xml:space="preserve">ECHA to update guidance to clarify the applicability of the CLP</w:t>
      </w:r>
      <w:r>
        <w:t xml:space="preserve"> </w:t>
      </w:r>
      <w:r>
        <w:t xml:space="preserve">Regulation and the corresponding rules for chemicals supplied in</w:t>
      </w:r>
      <w:r>
        <w:t xml:space="preserve"> </w:t>
      </w:r>
      <w:r>
        <w:t xml:space="preserve">very small packaging (e.g. pens), to consumers in bulk (e.g. </w:t>
      </w:r>
      <w:r>
        <w:t xml:space="preserve"> </w:t>
      </w:r>
      <w:r>
        <w:t xml:space="preserve">fuels) and via refill of containers (e.g. detergents).</w:t>
      </w:r>
      <w:r>
        <w:t xml:space="preserve"> </w:t>
      </w:r>
      <w:r>
        <w:t xml:space="preserve">Companies to follow new or revised guidance on labelling.</w:t>
      </w:r>
    </w:p>
    <w:p>
      <w:pPr>
        <w:pStyle w:val="BodyText"/>
      </w:pPr>
      <w:r>
        <w:t xml:space="preserve">115 Criteria laid down in CLP Art. 36 of CLP set a first level of prioritisation based on the type of hazards. There is a need for additional criteria as a high number of substances meet</w:t>
      </w:r>
      <w:r>
        <w:t xml:space="preserve"> </w:t>
      </w:r>
      <w:r>
        <w:t xml:space="preserve">those criteria and a harmonised classification cannot be set for all of them over the considered period.</w:t>
      </w:r>
      <w:r>
        <w:t xml:space="preserve"> </w:t>
      </w:r>
      <w:r>
        <w:t xml:space="preserve">116 RiME+ is an informal forum where ECHA and competent authorities from Member States (Risk Management and Evaluation) platform - RiME+ (Risk Management and Evaluation)</w:t>
      </w:r>
      <w:r>
        <w:t xml:space="preserve"> </w:t>
      </w:r>
      <w:r>
        <w:t xml:space="preserve">platform - ECHA (europa.eu)</w:t>
      </w:r>
    </w:p>
    <w:p>
      <w:pPr>
        <w:pStyle w:val="BodyText"/>
      </w:pPr>
      <w:r>
        <w:t xml:space="preserve">30</w:t>
      </w:r>
    </w:p>
    <w:p>
      <w:pPr>
        <w:pStyle w:val="BodyText"/>
      </w:pPr>
      <w:r>
        <w:t xml:space="preserve">#12</w:t>
      </w:r>
      <w:r>
        <w:t xml:space="preserve"> </w:t>
      </w:r>
      <w:r>
        <w:t xml:space="preserve">Improving</w:t>
      </w:r>
      <w:r>
        <w:t xml:space="preserve"> </w:t>
      </w:r>
      <w:r>
        <w:t xml:space="preserve">readability*</w:t>
      </w:r>
      <w:r>
        <w:t xml:space="preserve"> </w:t>
      </w:r>
      <w:r>
        <w:t xml:space="preserve">The Commission to introduce general provisions for a minimum</w:t>
      </w:r>
      <w:r>
        <w:t xml:space="preserve"> </w:t>
      </w:r>
      <w:r>
        <w:t xml:space="preserve">font size and other provisions to improve the readability of the</w:t>
      </w:r>
      <w:r>
        <w:t xml:space="preserve"> </w:t>
      </w:r>
      <w:r>
        <w:t xml:space="preserve">label.</w:t>
      </w:r>
      <w:r>
        <w:t xml:space="preserve"> </w:t>
      </w:r>
      <w:r>
        <w:t xml:space="preserve">Companies to relabel accordingly, to apply the mandatory font size if that font</w:t>
      </w:r>
      <w:r>
        <w:t xml:space="preserve"> </w:t>
      </w:r>
      <w:r>
        <w:t xml:space="preserve">size is not yet applied.</w:t>
      </w:r>
      <w:r>
        <w:t xml:space="preserve"> </w:t>
      </w:r>
      <w:r>
        <w:t xml:space="preserve">#13</w:t>
      </w:r>
      <w:r>
        <w:t xml:space="preserve"> </w:t>
      </w:r>
      <w:r>
        <w:t xml:space="preserve">Voluntary</w:t>
      </w:r>
      <w:r>
        <w:t xml:space="preserve"> </w:t>
      </w:r>
      <w:r>
        <w:t xml:space="preserve">digital</w:t>
      </w:r>
      <w:r>
        <w:t xml:space="preserve"> </w:t>
      </w:r>
      <w:r>
        <w:t xml:space="preserve">labelling*</w:t>
      </w:r>
      <w:r>
        <w:t xml:space="preserve"> </w:t>
      </w:r>
      <w:r>
        <w:t xml:space="preserve">Allow some supplemental information to go digital only where</w:t>
      </w:r>
      <w:r>
        <w:t xml:space="preserve"> </w:t>
      </w:r>
      <w:r>
        <w:t xml:space="preserve">their physical availability on the label is not instrumental for the</w:t>
      </w:r>
      <w:r>
        <w:t xml:space="preserve"> </w:t>
      </w:r>
      <w:r>
        <w:t xml:space="preserve">protection of health and the environment. In addition, this</w:t>
      </w:r>
      <w:r>
        <w:t xml:space="preserve"> </w:t>
      </w:r>
      <w:r>
        <w:t xml:space="preserve">measure would create a framework for further digital labelling of</w:t>
      </w:r>
      <w:r>
        <w:t xml:space="preserve"> </w:t>
      </w:r>
      <w:r>
        <w:t xml:space="preserve">this information. Yet, information that is obligatory under GHS</w:t>
      </w:r>
      <w:r>
        <w:t xml:space="preserve"> </w:t>
      </w:r>
      <w:r>
        <w:t xml:space="preserve">would remain on the physical label.</w:t>
      </w:r>
      <w:r>
        <w:br/>
      </w:r>
      <w:r>
        <w:t xml:space="preserve">Companies to consider the harmonised requirements in case they wish to</w:t>
      </w:r>
      <w:r>
        <w:t xml:space="preserve"> </w:t>
      </w:r>
      <w:r>
        <w:t xml:space="preserve">digitalise CLP label (on top or instead of the physical CLP label).</w:t>
      </w:r>
      <w:r>
        <w:t xml:space="preserve"> </w:t>
      </w:r>
      <w:r>
        <w:t xml:space="preserve">#14 Facilitating refill sales</w:t>
      </w:r>
      <w:r>
        <w:t xml:space="preserve"> </w:t>
      </w:r>
      <w:r>
        <w:t xml:space="preserve">through proper labelling</w:t>
      </w:r>
      <w:r>
        <w:t xml:space="preserve"> </w:t>
      </w:r>
      <w:r>
        <w:t xml:space="preserve">and</w:t>
      </w:r>
      <w:r>
        <w:t xml:space="preserve"> </w:t>
      </w:r>
      <w:r>
        <w:t xml:space="preserve">other</w:t>
      </w:r>
      <w:r>
        <w:t xml:space="preserve"> </w:t>
      </w:r>
      <w:r>
        <w:t xml:space="preserve">related</w:t>
      </w:r>
      <w:r>
        <w:t xml:space="preserve"> </w:t>
      </w:r>
      <w:r>
        <w:t xml:space="preserve">requirements*</w:t>
      </w:r>
      <w:r>
        <w:t xml:space="preserve"> </w:t>
      </w:r>
      <w:r>
        <w:t xml:space="preserve">Provide legal clarity to retailers on the applicable rules for</w:t>
      </w:r>
      <w:r>
        <w:t xml:space="preserve"> </w:t>
      </w:r>
      <w:r>
        <w:t xml:space="preserve">labelling of containers of refill chemicals. To avoid an</w:t>
      </w:r>
      <w:r>
        <w:t xml:space="preserve"> </w:t>
      </w:r>
      <w:r>
        <w:t xml:space="preserve">unacceptable risk for health and the environment (e.g. risks of</w:t>
      </w:r>
      <w:r>
        <w:t xml:space="preserve"> </w:t>
      </w:r>
      <w:r>
        <w:t xml:space="preserve">serious incident during the refill process or later use at home),</w:t>
      </w:r>
      <w:r>
        <w:t xml:space="preserve"> </w:t>
      </w:r>
      <w:r>
        <w:t xml:space="preserve">refill practice would also be limited to less harmful chemicals.</w:t>
      </w:r>
      <w:r>
        <w:t xml:space="preserve"> </w:t>
      </w:r>
      <w:r>
        <w:t xml:space="preserve">Retailers to comply with the labelling and packaging rules when selling refill</w:t>
      </w:r>
      <w:r>
        <w:t xml:space="preserve"> </w:t>
      </w:r>
      <w:r>
        <w:t xml:space="preserve">products. Refill sales to be limited to less hazardous chemicals.</w:t>
      </w:r>
      <w:r>
        <w:t xml:space="preserve"> </w:t>
      </w:r>
      <w:r>
        <w:t xml:space="preserve">#15 Facilitating the use of</w:t>
      </w:r>
      <w:r>
        <w:t xml:space="preserve"> </w:t>
      </w:r>
      <w:r>
        <w:t xml:space="preserve">fold-out labels*</w:t>
      </w:r>
      <w:r>
        <w:t xml:space="preserve"> </w:t>
      </w:r>
      <w:r>
        <w:t xml:space="preserve">Amend labelling provisions to allow for a broader use of fold-</w:t>
      </w:r>
      <w:r>
        <w:t xml:space="preserve"> </w:t>
      </w:r>
      <w:r>
        <w:t xml:space="preserve">out labels or tie-on tags to increase the effectiveness of hazard</w:t>
      </w:r>
      <w:r>
        <w:t xml:space="preserve"> </w:t>
      </w:r>
      <w:r>
        <w:t xml:space="preserve">communication whilst facilitating the free movement of</w:t>
      </w:r>
      <w:r>
        <w:t xml:space="preserve"> </w:t>
      </w:r>
      <w:r>
        <w:t xml:space="preserve">chemicals in the internal market.</w:t>
      </w:r>
      <w:r>
        <w:t xml:space="preserve"> </w:t>
      </w:r>
      <w:r>
        <w:t xml:space="preserve">Companies allowed using multilingual fold-out labels in more cases.</w:t>
      </w:r>
      <w:r>
        <w:br/>
      </w:r>
      <w:r>
        <w:t xml:space="preserve">#16 Labelling exemptions</w:t>
      </w:r>
      <w:r>
        <w:t xml:space="preserve"> </w:t>
      </w:r>
      <w:r>
        <w:t xml:space="preserve">for chemicals sold in bulk</w:t>
      </w:r>
      <w:r>
        <w:t xml:space="preserve"> </w:t>
      </w:r>
      <w:r>
        <w:t xml:space="preserve">to consumers and in very</w:t>
      </w:r>
      <w:r>
        <w:t xml:space="preserve"> </w:t>
      </w:r>
      <w:r>
        <w:t xml:space="preserve">small packaging*</w:t>
      </w:r>
      <w:r>
        <w:t xml:space="preserve"> </w:t>
      </w:r>
      <w:r>
        <w:t xml:space="preserve">Amend labelling provisions to include a labelling derogation for</w:t>
      </w:r>
      <w:r>
        <w:t xml:space="preserve"> </w:t>
      </w:r>
      <w:r>
        <w:t xml:space="preserve">chemicals sold in bulk to consumers at filling station (labelling</w:t>
      </w:r>
      <w:r>
        <w:t xml:space="preserve"> </w:t>
      </w:r>
      <w:r>
        <w:t xml:space="preserve">on the pump will suffice) and for small packaging (e.g. pens).</w:t>
      </w:r>
      <w:r>
        <w:t xml:space="preserve"> </w:t>
      </w:r>
      <w:r>
        <w:t xml:space="preserve">Companies to benefit from these exemptions and Member States’ competent</w:t>
      </w:r>
      <w:r>
        <w:t xml:space="preserve"> </w:t>
      </w:r>
      <w:r>
        <w:t xml:space="preserve">authorities to take into account the conditions for the application of derogations.</w:t>
      </w:r>
    </w:p>
    <w:p>
      <w:pPr>
        <w:pStyle w:val="BodyText"/>
      </w:pPr>
      <w:r>
        <w:t xml:space="preserve">Closing legal gaps and ambiguities (Option 3)</w:t>
      </w:r>
      <w:r>
        <w:t xml:space="preserve"> </w:t>
      </w:r>
      <w:r>
        <w:t xml:space="preserve">#17</w:t>
      </w:r>
      <w:r>
        <w:t xml:space="preserve"> </w:t>
      </w:r>
      <w:r>
        <w:t xml:space="preserve">Rules</w:t>
      </w:r>
      <w:r>
        <w:t xml:space="preserve"> </w:t>
      </w:r>
      <w:r>
        <w:t xml:space="preserve">for</w:t>
      </w:r>
      <w:r>
        <w:t xml:space="preserve"> </w:t>
      </w:r>
      <w:r>
        <w:t xml:space="preserve">online</w:t>
      </w:r>
      <w:r>
        <w:t xml:space="preserve"> </w:t>
      </w:r>
      <w:r>
        <w:t xml:space="preserve">offerings</w:t>
      </w:r>
      <w:r>
        <w:t xml:space="preserve"> </w:t>
      </w:r>
      <w:r>
        <w:t xml:space="preserve">and</w:t>
      </w:r>
      <w:r>
        <w:t xml:space="preserve"> </w:t>
      </w:r>
      <w:r>
        <w:t xml:space="preserve">advertisings*</w:t>
      </w:r>
      <w:r>
        <w:t xml:space="preserve"> </w:t>
      </w:r>
      <w:r>
        <w:t xml:space="preserve">Amend CLP provisions to make them explicitly apply to online</w:t>
      </w:r>
      <w:r>
        <w:t xml:space="preserve"> </w:t>
      </w:r>
      <w:r>
        <w:t xml:space="preserve">offerings and online advertising and to clarify that labels need to</w:t>
      </w:r>
      <w:r>
        <w:t xml:space="preserve"> </w:t>
      </w:r>
      <w:r>
        <w:t xml:space="preserve">be provided also for online sales.</w:t>
      </w:r>
      <w:r>
        <w:t xml:space="preserve"> </w:t>
      </w:r>
      <w:r>
        <w:t xml:space="preserve">Online platforms and online traders to comply with online offering and</w:t>
      </w:r>
      <w:r>
        <w:t xml:space="preserve"> </w:t>
      </w:r>
      <w:r>
        <w:t xml:space="preserve">advertising rules in CLP and in line with horizontal EU legislation, which is in</w:t>
      </w:r>
      <w:r>
        <w:t xml:space="preserve"> </w:t>
      </w:r>
      <w:r>
        <w:t xml:space="preserve">place already or currently at draft stage.</w:t>
      </w:r>
      <w:r>
        <w:br/>
      </w:r>
      <w:r>
        <w:t xml:space="preserve">#18 Responsible economic Introduce a responsible economic actor by default for imports of Non-EU based actors will be able to place chemicals on the market only when a</w:t>
      </w:r>
    </w:p>
    <w:p>
      <w:pPr>
        <w:pStyle w:val="BodyText"/>
      </w:pPr>
      <w:r>
        <w:t xml:space="preserve">31</w:t>
      </w:r>
    </w:p>
    <w:p>
      <w:pPr>
        <w:pStyle w:val="BodyText"/>
      </w:pPr>
      <w:r>
        <w:t xml:space="preserve">actor *</w:t>
      </w:r>
      <w:r>
        <w:t xml:space="preserve"> </w:t>
      </w:r>
      <w:r>
        <w:t xml:space="preserve">non-EU goods.</w:t>
      </w:r>
      <w:r>
        <w:br/>
      </w:r>
      <w:r>
        <w:t xml:space="preserve">responsible economic actor in the EU has ensured that these chemicals meet the</w:t>
      </w:r>
      <w:r>
        <w:t xml:space="preserve"> </w:t>
      </w:r>
      <w:r>
        <w:t xml:space="preserve">requirements of CLP. The responsible economic actor would be a supplier, acting</w:t>
      </w:r>
      <w:r>
        <w:t xml:space="preserve"> </w:t>
      </w:r>
      <w:r>
        <w:t xml:space="preserve">in course of a commercial activity (therefore, excluding consumers).</w:t>
      </w:r>
      <w:r>
        <w:br/>
      </w:r>
      <w:r>
        <w:t xml:space="preserve">#19 Full notifications to</w:t>
      </w:r>
      <w:r>
        <w:t xml:space="preserve"> </w:t>
      </w:r>
      <w:r>
        <w:t xml:space="preserve">poison centres*</w:t>
      </w:r>
      <w:r>
        <w:t xml:space="preserve"> </w:t>
      </w:r>
      <w:r>
        <w:t xml:space="preserve">Request suppliers of chemicals to always notify their mixtures to</w:t>
      </w:r>
      <w:r>
        <w:t xml:space="preserve"> </w:t>
      </w:r>
      <w:r>
        <w:t xml:space="preserve">poison centres.</w:t>
      </w:r>
      <w:r>
        <w:br/>
      </w:r>
      <w:r>
        <w:t xml:space="preserve">All distributors to notify to poison centres.</w:t>
      </w:r>
      <w:r>
        <w:br/>
      </w:r>
      <w:r>
        <w:t xml:space="preserve">#20</w:t>
      </w:r>
      <w:r>
        <w:t xml:space="preserve"> </w:t>
      </w:r>
      <w:r>
        <w:t xml:space="preserve">Notifications</w:t>
      </w:r>
      <w:r>
        <w:t xml:space="preserve"> </w:t>
      </w:r>
      <w:r>
        <w:t xml:space="preserve">to</w:t>
      </w:r>
      <w:r>
        <w:t xml:space="preserve"> </w:t>
      </w:r>
      <w:r>
        <w:t xml:space="preserve">poison</w:t>
      </w:r>
      <w:r>
        <w:t xml:space="preserve"> </w:t>
      </w:r>
      <w:r>
        <w:t xml:space="preserve">centres</w:t>
      </w:r>
      <w:r>
        <w:t xml:space="preserve"> </w:t>
      </w:r>
      <w:r>
        <w:t xml:space="preserve">by</w:t>
      </w:r>
      <w:r>
        <w:t xml:space="preserve"> </w:t>
      </w:r>
      <w:r>
        <w:t xml:space="preserve">re-</w:t>
      </w:r>
      <w:r>
        <w:t xml:space="preserve"> </w:t>
      </w:r>
      <w:r>
        <w:t xml:space="preserve">branders and re-labellers*</w:t>
      </w:r>
      <w:r>
        <w:t xml:space="preserve"> </w:t>
      </w:r>
      <w:r>
        <w:t xml:space="preserve">Define the role of re-branders and re-labellers under CLP and</w:t>
      </w:r>
      <w:r>
        <w:t xml:space="preserve"> </w:t>
      </w:r>
      <w:r>
        <w:t xml:space="preserve">oblige them to notify to poison centres.</w:t>
      </w:r>
      <w:r>
        <w:br/>
      </w:r>
      <w:r>
        <w:t xml:space="preserve">Re-branders/re-labellers would have to notify to poison centres (whilst cross-</w:t>
      </w:r>
      <w:r>
        <w:t xml:space="preserve"> </w:t>
      </w:r>
      <w:r>
        <w:t xml:space="preserve">border distributors would not have to notify).</w:t>
      </w:r>
      <w:r>
        <w:br/>
      </w:r>
      <w:r>
        <w:t xml:space="preserve">#21 Targeted notifications</w:t>
      </w:r>
      <w:r>
        <w:t xml:space="preserve"> </w:t>
      </w:r>
      <w:r>
        <w:t xml:space="preserve">to poison centres*</w:t>
      </w:r>
      <w:r>
        <w:t xml:space="preserve"> </w:t>
      </w:r>
      <w:r>
        <w:t xml:space="preserve">Suppliers notify their mixtures to poison centres in case of</w:t>
      </w:r>
      <w:r>
        <w:t xml:space="preserve"> </w:t>
      </w:r>
      <w:r>
        <w:t xml:space="preserve">information loss, i.e. cross-border distribution or re-branding/re-</w:t>
      </w:r>
      <w:r>
        <w:t xml:space="preserve"> </w:t>
      </w:r>
      <w:r>
        <w:t xml:space="preserve">labelling.</w:t>
      </w:r>
      <w:r>
        <w:br/>
      </w:r>
      <w:r>
        <w:t xml:space="preserve">Distributors (including re-branders/re-labellers) to notify under certain</w:t>
      </w:r>
      <w:r>
        <w:t xml:space="preserve"> </w:t>
      </w:r>
      <w:r>
        <w:t xml:space="preserve">circumstances.</w:t>
      </w:r>
      <w:r>
        <w:br/>
      </w:r>
      <w:r>
        <w:t xml:space="preserve">#22 Awareness campaigns</w:t>
      </w:r>
      <w:r>
        <w:t xml:space="preserve"> </w:t>
      </w:r>
      <w:r>
        <w:t xml:space="preserve">on online sales</w:t>
      </w:r>
      <w:r>
        <w:t xml:space="preserve"> </w:t>
      </w:r>
      <w:r>
        <w:t xml:space="preserve">Periodically run awareness campaigns on the display of labelling</w:t>
      </w:r>
      <w:r>
        <w:t xml:space="preserve"> </w:t>
      </w:r>
      <w:r>
        <w:t xml:space="preserve">elements online.</w:t>
      </w:r>
      <w:r>
        <w:br/>
      </w:r>
      <w:r>
        <w:t xml:space="preserve">ECHA or other entities to run such campaigns.</w:t>
      </w:r>
    </w:p>
    <w:p>
      <w:pPr>
        <w:pStyle w:val="BodyText"/>
      </w:pPr>
      <w:r>
        <w:t xml:space="preserve">32</w:t>
      </w:r>
    </w:p>
    <w:p>
      <w:pPr>
        <w:pStyle w:val="BodyText"/>
      </w:pPr>
      <w:r>
        <w:t xml:space="preserve">The above individual policy measures retained have been packaged into 3 policy options and</w:t>
      </w:r>
      <w:r>
        <w:t xml:space="preserve"> </w:t>
      </w:r>
      <w:r>
        <w:t xml:space="preserve">(alternative) sub-options which address the three problems and related drivers.</w:t>
      </w:r>
      <w:r>
        <w:br/>
      </w:r>
      <w:r>
        <w:t xml:space="preserve">Policy option 1 - Classification of chemical hazards</w:t>
      </w:r>
      <w:r>
        <w:t xml:space="preserve"> </w:t>
      </w:r>
      <w:r>
        <w:t xml:space="preserve">Policy option 1 (PO1) includes 10 measures, grouped into 4 sub-options, aimed at ensuring</w:t>
      </w:r>
      <w:r>
        <w:t xml:space="preserve"> </w:t>
      </w:r>
      <w:r>
        <w:t xml:space="preserve">comprehensive identification and classification of chemical hazards (see Table 7).</w:t>
      </w:r>
      <w:r>
        <w:t xml:space="preserve"> </w:t>
      </w:r>
      <w:r>
        <w:t xml:space="preserve">Table 7: PO1 Classification for chemical hazards</w:t>
      </w:r>
      <w:r>
        <w:br/>
      </w:r>
      <w:r>
        <w:t xml:space="preserve">Policy options</w:t>
      </w:r>
      <w:r>
        <w:t xml:space="preserve"> </w:t>
      </w:r>
      <w:r>
        <w:t xml:space="preserve">Drivers addressed by the options</w:t>
      </w:r>
      <w:r>
        <w:t xml:space="preserve"> </w:t>
      </w:r>
      <w:r>
        <w:t xml:space="preserve">PO1a: New hazard classes (measure #1 New hazard classes)</w:t>
      </w:r>
      <w:r>
        <w:t xml:space="preserve"> </w:t>
      </w:r>
      <w:r>
        <w:t xml:space="preserve">PO1a would introduce new hazard classes in CLP for substances</w:t>
      </w:r>
      <w:r>
        <w:t xml:space="preserve"> </w:t>
      </w:r>
      <w:r>
        <w:t xml:space="preserve">with the most critical hazards: EDs, PBT/vPvBs, PMT/vPvMs.</w:t>
      </w:r>
      <w:r>
        <w:br/>
      </w:r>
      <w:r>
        <w:t xml:space="preserve">D1. Missing provisions for identification</w:t>
      </w:r>
      <w:r>
        <w:t xml:space="preserve"> </w:t>
      </w:r>
      <w:r>
        <w:t xml:space="preserve">of critical hazards</w:t>
      </w:r>
      <w:r>
        <w:t xml:space="preserve"> </w:t>
      </w:r>
      <w:r>
        <w:t xml:space="preserve">PO1a would allow for a systematic</w:t>
      </w:r>
      <w:r>
        <w:t xml:space="preserve"> </w:t>
      </w:r>
      <w:r>
        <w:t xml:space="preserve">identification of the most critical hazards</w:t>
      </w:r>
      <w:r>
        <w:t xml:space="preserve"> </w:t>
      </w:r>
      <w:r>
        <w:t xml:space="preserve">(across legislation).</w:t>
      </w:r>
      <w:r>
        <w:t xml:space="preserve"> </w:t>
      </w:r>
      <w:r>
        <w:t xml:space="preserve">PO1b:</w:t>
      </w:r>
      <w:r>
        <w:t xml:space="preserve"> </w:t>
      </w:r>
      <w:r>
        <w:t xml:space="preserve">Consistent</w:t>
      </w:r>
      <w:r>
        <w:t xml:space="preserve"> </w:t>
      </w:r>
      <w:r>
        <w:t xml:space="preserve">self-classification</w:t>
      </w:r>
      <w:r>
        <w:t xml:space="preserve"> </w:t>
      </w:r>
      <w:r>
        <w:t xml:space="preserve">and</w:t>
      </w:r>
      <w:r>
        <w:t xml:space="preserve"> </w:t>
      </w:r>
      <w:r>
        <w:t xml:space="preserve">improving</w:t>
      </w:r>
      <w:r>
        <w:t xml:space="preserve"> </w:t>
      </w:r>
      <w:r>
        <w:t xml:space="preserve">transparency (measures #3 Justified divergences, #4 Transparent</w:t>
      </w:r>
      <w:r>
        <w:t xml:space="preserve"> </w:t>
      </w:r>
      <w:r>
        <w:t xml:space="preserve">notifiers, and #5 Swift notification updates or #6 Automatic</w:t>
      </w:r>
      <w:r>
        <w:t xml:space="preserve"> </w:t>
      </w:r>
      <w:r>
        <w:t xml:space="preserve">updates)</w:t>
      </w:r>
      <w:r>
        <w:t xml:space="preserve"> </w:t>
      </w:r>
      <w:r>
        <w:t xml:space="preserve">PO1b aims at improving companies’ self-classification of</w:t>
      </w:r>
      <w:r>
        <w:t xml:space="preserve"> </w:t>
      </w:r>
      <w:r>
        <w:t xml:space="preserve">substances and at introducing stronger incentives and provisions for</w:t>
      </w:r>
      <w:r>
        <w:t xml:space="preserve"> </w:t>
      </w:r>
      <w:r>
        <w:t xml:space="preserve">companies to appropriately classify. Measures #5 and #6 are two</w:t>
      </w:r>
      <w:r>
        <w:t xml:space="preserve"> </w:t>
      </w:r>
      <w:r>
        <w:t xml:space="preserve">different alternatives to ensure timely updates of notifications.</w:t>
      </w:r>
      <w:r>
        <w:t xml:space="preserve"> </w:t>
      </w:r>
      <w:r>
        <w:t xml:space="preserve">D2. Inefficient procedures for hazard</w:t>
      </w:r>
      <w:r>
        <w:t xml:space="preserve"> </w:t>
      </w:r>
      <w:r>
        <w:t xml:space="preserve">classification and characterisation</w:t>
      </w:r>
      <w:r>
        <w:t xml:space="preserve"> </w:t>
      </w:r>
      <w:r>
        <w:t xml:space="preserve">PO1b would improve self-classification</w:t>
      </w:r>
      <w:r>
        <w:t xml:space="preserve"> </w:t>
      </w:r>
      <w:r>
        <w:t xml:space="preserve">processes, focusing on transparency and</w:t>
      </w:r>
      <w:r>
        <w:t xml:space="preserve"> </w:t>
      </w:r>
      <w:r>
        <w:t xml:space="preserve">convergence of self-classifications.</w:t>
      </w:r>
      <w:r>
        <w:t xml:space="preserve"> </w:t>
      </w:r>
      <w:r>
        <w:t xml:space="preserve">PO1c: More and prioritised harmonised classifications</w:t>
      </w:r>
      <w:r>
        <w:t xml:space="preserve"> </w:t>
      </w:r>
      <w:r>
        <w:t xml:space="preserve">(measures #2 Prioritise new hazard classes, #7 Early prioritisation</w:t>
      </w:r>
      <w:r>
        <w:t xml:space="preserve"> </w:t>
      </w:r>
      <w:r>
        <w:t xml:space="preserve">of harmonised classification or #8 EU agreement on prioritised</w:t>
      </w:r>
      <w:r>
        <w:t xml:space="preserve"> </w:t>
      </w:r>
      <w:r>
        <w:t xml:space="preserve">harmonised classification, #9 Commission mandate for harmonised</w:t>
      </w:r>
      <w:r>
        <w:t xml:space="preserve"> </w:t>
      </w:r>
      <w:r>
        <w:t xml:space="preserve">classification)</w:t>
      </w:r>
      <w:r>
        <w:t xml:space="preserve"> </w:t>
      </w:r>
      <w:r>
        <w:t xml:space="preserve">PO1c aims at boosting the efficiency and effectiveness of</w:t>
      </w:r>
      <w:r>
        <w:t xml:space="preserve"> </w:t>
      </w:r>
      <w:r>
        <w:t xml:space="preserve">harmonised classification processes, including for the most critical</w:t>
      </w:r>
      <w:r>
        <w:t xml:space="preserve"> </w:t>
      </w:r>
      <w:r>
        <w:t xml:space="preserve">hazards. Measures #7 and #8 are alternative options to prioritise</w:t>
      </w:r>
      <w:r>
        <w:t xml:space="preserve"> </w:t>
      </w:r>
      <w:r>
        <w:t xml:space="preserve">future harmonised classifications.</w:t>
      </w:r>
      <w:r>
        <w:t xml:space="preserve"> </w:t>
      </w:r>
      <w:r>
        <w:t xml:space="preserve">D2. Inefficient procedures for hazard</w:t>
      </w:r>
      <w:r>
        <w:t xml:space="preserve"> </w:t>
      </w:r>
      <w:r>
        <w:t xml:space="preserve">assessments and classification</w:t>
      </w:r>
      <w:r>
        <w:br/>
      </w:r>
      <w:r>
        <w:t xml:space="preserve">PO1c</w:t>
      </w:r>
      <w:r>
        <w:t xml:space="preserve"> </w:t>
      </w:r>
      <w:r>
        <w:t xml:space="preserve">would</w:t>
      </w:r>
      <w:r>
        <w:t xml:space="preserve"> </w:t>
      </w:r>
      <w:r>
        <w:t xml:space="preserve">improve</w:t>
      </w:r>
      <w:r>
        <w:t xml:space="preserve"> </w:t>
      </w:r>
      <w:r>
        <w:t xml:space="preserve">harmonised</w:t>
      </w:r>
      <w:r>
        <w:t xml:space="preserve"> </w:t>
      </w:r>
      <w:r>
        <w:t xml:space="preserve">classification processes by making them</w:t>
      </w:r>
      <w:r>
        <w:t xml:space="preserve"> </w:t>
      </w:r>
      <w:r>
        <w:t xml:space="preserve">faster and more targeted to the most</w:t>
      </w:r>
      <w:r>
        <w:t xml:space="preserve"> </w:t>
      </w:r>
      <w:r>
        <w:t xml:space="preserve">critical hazards.</w:t>
      </w:r>
      <w:r>
        <w:t xml:space="preserve"> </w:t>
      </w:r>
      <w:r>
        <w:t xml:space="preserve">PO1d: Complementing hazard identification with hazard</w:t>
      </w:r>
      <w:r>
        <w:t xml:space="preserve"> </w:t>
      </w:r>
      <w:r>
        <w:t xml:space="preserve">characterisation (measure #10 Harmonised reference values)</w:t>
      </w:r>
      <w:r>
        <w:t xml:space="preserve"> </w:t>
      </w:r>
      <w:r>
        <w:t xml:space="preserve">PO1d could be complementary to PO1a and PO1b. As part of the</w:t>
      </w:r>
      <w:r>
        <w:t xml:space="preserve"> </w:t>
      </w:r>
      <w:r>
        <w:t xml:space="preserve">vision and process on “One substance, one assessment”, CLP</w:t>
      </w:r>
      <w:r>
        <w:t xml:space="preserve"> </w:t>
      </w:r>
      <w:r>
        <w:t xml:space="preserve">would allow for the harmonisation of reference values in order to</w:t>
      </w:r>
      <w:r>
        <w:t xml:space="preserve"> </w:t>
      </w:r>
      <w:r>
        <w:t xml:space="preserve">be able to quantify the toxicity of hazardous substances, to</w:t>
      </w:r>
      <w:r>
        <w:t xml:space="preserve"> </w:t>
      </w:r>
      <w:r>
        <w:t xml:space="preserve">complement the identification of their hazards.</w:t>
      </w:r>
      <w:r>
        <w:t xml:space="preserve"> </w:t>
      </w:r>
      <w:r>
        <w:t xml:space="preserve">D2. Inefficient procedures for hazard</w:t>
      </w:r>
      <w:r>
        <w:t xml:space="preserve"> </w:t>
      </w:r>
      <w:r>
        <w:t xml:space="preserve">assessments and classification</w:t>
      </w:r>
      <w:r>
        <w:br/>
      </w:r>
      <w:r>
        <w:t xml:space="preserve">PO1d</w:t>
      </w:r>
      <w:r>
        <w:t xml:space="preserve"> </w:t>
      </w:r>
      <w:r>
        <w:t xml:space="preserve">aims</w:t>
      </w:r>
      <w:r>
        <w:t xml:space="preserve"> </w:t>
      </w:r>
      <w:r>
        <w:t xml:space="preserve">to</w:t>
      </w:r>
      <w:r>
        <w:t xml:space="preserve"> </w:t>
      </w:r>
      <w:r>
        <w:t xml:space="preserve">help</w:t>
      </w:r>
      <w:r>
        <w:t xml:space="preserve"> </w:t>
      </w:r>
      <w:r>
        <w:t xml:space="preserve">ensuring</w:t>
      </w:r>
      <w:r>
        <w:t xml:space="preserve"> </w:t>
      </w:r>
      <w:r>
        <w:t xml:space="preserve">that</w:t>
      </w:r>
      <w:r>
        <w:t xml:space="preserve"> </w:t>
      </w:r>
      <w:r>
        <w:t xml:space="preserve">methodologies are made more coherent</w:t>
      </w:r>
      <w:r>
        <w:t xml:space="preserve"> </w:t>
      </w:r>
      <w:r>
        <w:t xml:space="preserve">and to the extent possible, harmonised, in</w:t>
      </w:r>
      <w:r>
        <w:t xml:space="preserve"> </w:t>
      </w:r>
      <w:r>
        <w:t xml:space="preserve">particular to ensure convergence of hazard</w:t>
      </w:r>
      <w:r>
        <w:t xml:space="preserve"> </w:t>
      </w:r>
      <w:r>
        <w:t xml:space="preserve">assessments.</w:t>
      </w:r>
    </w:p>
    <w:p>
      <w:pPr>
        <w:pStyle w:val="BodyText"/>
      </w:pPr>
      <w:r>
        <w:t xml:space="preserve">33</w:t>
      </w:r>
    </w:p>
    <w:p>
      <w:pPr>
        <w:pStyle w:val="BodyText"/>
      </w:pPr>
      <w:r>
        <w:t xml:space="preserve">Policy option 2 - Communication of chemical hazards</w:t>
      </w:r>
      <w:r>
        <w:t xml:space="preserve"> </w:t>
      </w:r>
      <w:r>
        <w:t xml:space="preserve">Policy option 2 includes 6 measures (#11 to #16), grouped into 3 sub-options, aiming at ensuring</w:t>
      </w:r>
      <w:r>
        <w:t xml:space="preserve"> </w:t>
      </w:r>
      <w:r>
        <w:t xml:space="preserve">fully functional communication of chemical hazards (see Table 8).</w:t>
      </w:r>
      <w:r>
        <w:t xml:space="preserve"> </w:t>
      </w:r>
      <w:r>
        <w:t xml:space="preserve">Table 8: PO2 Communication of chemical hazards</w:t>
      </w:r>
      <w:r>
        <w:t xml:space="preserve"> </w:t>
      </w:r>
      <w:r>
        <w:t xml:space="preserve">Policy measures</w:t>
      </w:r>
      <w:r>
        <w:t xml:space="preserve"> </w:t>
      </w:r>
      <w:r>
        <w:t xml:space="preserve">Drivers</w:t>
      </w:r>
      <w:r>
        <w:t xml:space="preserve"> </w:t>
      </w:r>
      <w:r>
        <w:t xml:space="preserve">PO2a: Update/prepare guidance (measure #11 Guidance on</w:t>
      </w:r>
      <w:r>
        <w:t xml:space="preserve"> </w:t>
      </w:r>
      <w:r>
        <w:t xml:space="preserve">labelling)</w:t>
      </w:r>
      <w:r>
        <w:t xml:space="preserve"> </w:t>
      </w:r>
      <w:r>
        <w:t xml:space="preserve">PO2a would lead to updating and/or developing on refill</w:t>
      </w:r>
      <w:r>
        <w:t xml:space="preserve"> </w:t>
      </w:r>
      <w:r>
        <w:t xml:space="preserve">chemicals, chemicals sold in bulk to consumers, chemicals in very</w:t>
      </w:r>
      <w:r>
        <w:t xml:space="preserve"> </w:t>
      </w:r>
      <w:r>
        <w:t xml:space="preserve">small packaging and on digital labelling.</w:t>
      </w:r>
      <w:r>
        <w:t xml:space="preserve"> </w:t>
      </w:r>
      <w:r>
        <w:t xml:space="preserve">D3: Complexity of some labelling</w:t>
      </w:r>
      <w:r>
        <w:t xml:space="preserve"> </w:t>
      </w:r>
      <w:r>
        <w:t xml:space="preserve">provisions</w:t>
      </w:r>
      <w:r>
        <w:t xml:space="preserve"> </w:t>
      </w:r>
      <w:r>
        <w:t xml:space="preserve">PO2</w:t>
      </w:r>
      <w:r>
        <w:t xml:space="preserve"> </w:t>
      </w:r>
      <w:r>
        <w:t xml:space="preserve">would</w:t>
      </w:r>
      <w:r>
        <w:t xml:space="preserve"> </w:t>
      </w:r>
      <w:r>
        <w:t xml:space="preserve">aim</w:t>
      </w:r>
      <w:r>
        <w:t xml:space="preserve"> </w:t>
      </w:r>
      <w:r>
        <w:t xml:space="preserve">at</w:t>
      </w:r>
      <w:r>
        <w:t xml:space="preserve"> </w:t>
      </w:r>
      <w:r>
        <w:t xml:space="preserve">supporting</w:t>
      </w:r>
      <w:r>
        <w:t xml:space="preserve"> </w:t>
      </w:r>
      <w:r>
        <w:t xml:space="preserve">companies</w:t>
      </w:r>
      <w:r>
        <w:t xml:space="preserve"> </w:t>
      </w:r>
      <w:r>
        <w:t xml:space="preserve">in</w:t>
      </w:r>
      <w:r>
        <w:t xml:space="preserve"> </w:t>
      </w:r>
      <w:r>
        <w:t xml:space="preserve">addressing</w:t>
      </w:r>
      <w:r>
        <w:t xml:space="preserve"> </w:t>
      </w:r>
      <w:r>
        <w:t xml:space="preserve">the</w:t>
      </w:r>
      <w:r>
        <w:t xml:space="preserve"> </w:t>
      </w:r>
      <w:r>
        <w:t xml:space="preserve">complexity of labelling provisions</w:t>
      </w:r>
      <w:r>
        <w:t xml:space="preserve"> </w:t>
      </w:r>
      <w:r>
        <w:t xml:space="preserve">through clarifying guidance.</w:t>
      </w:r>
      <w:r>
        <w:br/>
      </w:r>
      <w:r>
        <w:t xml:space="preserve">PO2b: Improving and making more flexible existing labels</w:t>
      </w:r>
      <w:r>
        <w:t xml:space="preserve"> </w:t>
      </w:r>
      <w:r>
        <w:t xml:space="preserve">(measures #12 Minimum font size Improving readability, #14</w:t>
      </w:r>
      <w:r>
        <w:t xml:space="preserve"> </w:t>
      </w:r>
      <w:r>
        <w:t xml:space="preserve">Facilitating refill sales through proper labelling and other related</w:t>
      </w:r>
      <w:r>
        <w:t xml:space="preserve"> </w:t>
      </w:r>
      <w:r>
        <w:t xml:space="preserve">requirements, #15 Facilitating the use of fold-out labels, #16</w:t>
      </w:r>
      <w:r>
        <w:t xml:space="preserve"> </w:t>
      </w:r>
      <w:r>
        <w:t xml:space="preserve">Labelling exemptions for chemicals sold in bulk to consumers and</w:t>
      </w:r>
      <w:r>
        <w:t xml:space="preserve"> </w:t>
      </w:r>
      <w:r>
        <w:t xml:space="preserve">in very small packaging)</w:t>
      </w:r>
      <w:r>
        <w:t xml:space="preserve"> </w:t>
      </w:r>
      <w:r>
        <w:t xml:space="preserve">PO2b aims at simplifying and complementing current labelling</w:t>
      </w:r>
      <w:r>
        <w:t xml:space="preserve"> </w:t>
      </w:r>
      <w:r>
        <w:t xml:space="preserve">requirements through provisions that would improve readability</w:t>
      </w:r>
      <w:r>
        <w:t xml:space="preserve"> </w:t>
      </w:r>
      <w:r>
        <w:t xml:space="preserve">of the labels and clarify the scope of the labelling requirements.</w:t>
      </w:r>
      <w:r>
        <w:br/>
      </w:r>
      <w:r>
        <w:t xml:space="preserve">D3: Complexity of some labelling</w:t>
      </w:r>
      <w:r>
        <w:t xml:space="preserve"> </w:t>
      </w:r>
      <w:r>
        <w:t xml:space="preserve">provisions</w:t>
      </w:r>
      <w:r>
        <w:t xml:space="preserve"> </w:t>
      </w:r>
      <w:r>
        <w:t xml:space="preserve">Similar to PO2a, PO2a aims at</w:t>
      </w:r>
      <w:r>
        <w:t xml:space="preserve"> </w:t>
      </w:r>
      <w:r>
        <w:t xml:space="preserve">addressing the complexity of the</w:t>
      </w:r>
      <w:r>
        <w:t xml:space="preserve"> </w:t>
      </w:r>
      <w:r>
        <w:t xml:space="preserve">labelling rule, but by clarifying their</w:t>
      </w:r>
      <w:r>
        <w:t xml:space="preserve"> </w:t>
      </w:r>
      <w:r>
        <w:t xml:space="preserve">provisions as well as their scope and</w:t>
      </w:r>
      <w:r>
        <w:t xml:space="preserve"> </w:t>
      </w:r>
      <w:r>
        <w:t xml:space="preserve">facilitating new forms of trade without</w:t>
      </w:r>
      <w:r>
        <w:t xml:space="preserve"> </w:t>
      </w:r>
      <w:r>
        <w:t xml:space="preserve">lowering the level of safety.</w:t>
      </w:r>
      <w:r>
        <w:t xml:space="preserve"> </w:t>
      </w:r>
      <w:r>
        <w:t xml:space="preserve">PO2c: Digital labelling (measure #13 Voluntary digital labelling)</w:t>
      </w:r>
      <w:r>
        <w:t xml:space="preserve"> </w:t>
      </w:r>
      <w:r>
        <w:t xml:space="preserve">Some supplemental information would go digital only where their</w:t>
      </w:r>
      <w:r>
        <w:t xml:space="preserve"> </w:t>
      </w:r>
      <w:r>
        <w:t xml:space="preserve">physical availability is not instrumental for the protection of</w:t>
      </w:r>
      <w:r>
        <w:t xml:space="preserve"> </w:t>
      </w:r>
      <w:r>
        <w:t xml:space="preserve">health and the environment. In addition, PO2c would create a</w:t>
      </w:r>
      <w:r>
        <w:t xml:space="preserve"> </w:t>
      </w:r>
      <w:r>
        <w:t xml:space="preserve">framework for further digital labelling of this information. Yet,</w:t>
      </w:r>
      <w:r>
        <w:t xml:space="preserve"> </w:t>
      </w:r>
      <w:r>
        <w:t xml:space="preserve">information that is obligatory under GHS would remain on the</w:t>
      </w:r>
      <w:r>
        <w:t xml:space="preserve"> </w:t>
      </w:r>
      <w:r>
        <w:t xml:space="preserve">physical label.</w:t>
      </w:r>
      <w:r>
        <w:t xml:space="preserve"> </w:t>
      </w:r>
      <w:r>
        <w:t xml:space="preserve">D5. Current labelling rules do not</w:t>
      </w:r>
      <w:r>
        <w:t xml:space="preserve"> </w:t>
      </w:r>
      <w:r>
        <w:t xml:space="preserve">sufficiently exploit new digital tools</w:t>
      </w:r>
      <w:r>
        <w:br/>
      </w:r>
      <w:r>
        <w:t xml:space="preserve">PO2c aims at exploiting the potential</w:t>
      </w:r>
      <w:r>
        <w:t xml:space="preserve"> </w:t>
      </w:r>
      <w:r>
        <w:t xml:space="preserve">of digital labelling while remaining</w:t>
      </w:r>
      <w:r>
        <w:t xml:space="preserve"> </w:t>
      </w:r>
      <w:r>
        <w:t xml:space="preserve">flexible (see discarded measures on</w:t>
      </w:r>
      <w:r>
        <w:t xml:space="preserve"> </w:t>
      </w:r>
      <w:r>
        <w:t xml:space="preserve">mandatory digital labelling).</w:t>
      </w:r>
      <w:r>
        <w:t xml:space="preserve"> </w:t>
      </w:r>
      <w:r>
        <w:t xml:space="preserve">Policy option 3 - Closing legal gaps and ambiguities of CLP provisions</w:t>
      </w:r>
      <w:r>
        <w:t xml:space="preserve"> </w:t>
      </w:r>
      <w:r>
        <w:t xml:space="preserve">Policy option 3 includes 7 measures (#17 to #22), grouped into three sub-options, aimed at</w:t>
      </w:r>
      <w:r>
        <w:t xml:space="preserve"> </w:t>
      </w:r>
      <w:r>
        <w:t xml:space="preserve">addressing the legal gaps and ambiguities concerning online sales and poison centre notifications,</w:t>
      </w:r>
      <w:r>
        <w:t xml:space="preserve"> </w:t>
      </w:r>
      <w:r>
        <w:t xml:space="preserve">and therefore improving compliance (see Table 9).</w:t>
      </w:r>
      <w:r>
        <w:t xml:space="preserve"> </w:t>
      </w:r>
      <w:r>
        <w:t xml:space="preserve">Table 9: PO3 Addressing the main legal gaps and ambiguities</w:t>
      </w:r>
      <w:r>
        <w:t xml:space="preserve"> </w:t>
      </w:r>
      <w:r>
        <w:t xml:space="preserve">PO3a: Awareness campaigns (#22 Awareness</w:t>
      </w:r>
      <w:r>
        <w:t xml:space="preserve"> </w:t>
      </w:r>
      <w:r>
        <w:t xml:space="preserve">campaigns)</w:t>
      </w:r>
      <w:r>
        <w:br/>
      </w:r>
      <w:r>
        <w:t xml:space="preserve">PO3a aims at raising consumer awareness on the</w:t>
      </w:r>
      <w:r>
        <w:t xml:space="preserve"> </w:t>
      </w:r>
      <w:r>
        <w:t xml:space="preserve">chemical risks of buying online.</w:t>
      </w:r>
      <w:r>
        <w:t xml:space="preserve"> </w:t>
      </w:r>
      <w:r>
        <w:t xml:space="preserve">D6: Rules are inadequate to keep pace with new</w:t>
      </w:r>
      <w:r>
        <w:t xml:space="preserve"> </w:t>
      </w:r>
      <w:r>
        <w:t xml:space="preserve">means of sale</w:t>
      </w:r>
      <w:r>
        <w:t xml:space="preserve"> </w:t>
      </w:r>
      <w:r>
        <w:t xml:space="preserve">PO3a aims at increasing the awareness of consumers</w:t>
      </w:r>
      <w:r>
        <w:t xml:space="preserve"> </w:t>
      </w:r>
      <w:r>
        <w:t xml:space="preserve">on the risks of buying online sale chemicals which</w:t>
      </w:r>
      <w:r>
        <w:t xml:space="preserve"> </w:t>
      </w:r>
      <w:r>
        <w:t xml:space="preserve">lack hazard information.</w:t>
      </w:r>
      <w:r>
        <w:t xml:space="preserve"> </w:t>
      </w:r>
      <w:r>
        <w:t xml:space="preserve">PO3b: Provisions and clear responsibilities for</w:t>
      </w:r>
      <w:r>
        <w:t xml:space="preserve"> </w:t>
      </w:r>
      <w:r>
        <w:t xml:space="preserve">online sales and imports (measures #17 Rules for</w:t>
      </w:r>
      <w:r>
        <w:t xml:space="preserve"> </w:t>
      </w:r>
      <w:r>
        <w:t xml:space="preserve">online offerings and advertisings, #18 Responsible</w:t>
      </w:r>
      <w:r>
        <w:t xml:space="preserve"> </w:t>
      </w:r>
      <w:r>
        <w:t xml:space="preserve">economic actor )</w:t>
      </w:r>
      <w:r>
        <w:t xml:space="preserve"> </w:t>
      </w:r>
      <w:r>
        <w:t xml:space="preserve">D6: Rules are inadequate to keep pace with new</w:t>
      </w:r>
      <w:r>
        <w:t xml:space="preserve"> </w:t>
      </w:r>
      <w:r>
        <w:t xml:space="preserve">means of sale</w:t>
      </w:r>
      <w:r>
        <w:t xml:space="preserve"> </w:t>
      </w:r>
      <w:r>
        <w:t xml:space="preserve">PO3b would ensure that CLP rules clearly apply to</w:t>
      </w:r>
      <w:r>
        <w:t xml:space="preserve"> </w:t>
      </w:r>
      <w:r>
        <w:t xml:space="preserve">online sales and imports of chemicals.</w:t>
      </w:r>
    </w:p>
    <w:p>
      <w:pPr>
        <w:pStyle w:val="BodyText"/>
      </w:pPr>
      <w:r>
        <w:t xml:space="preserve">34</w:t>
      </w:r>
    </w:p>
    <w:p>
      <w:pPr>
        <w:pStyle w:val="BodyText"/>
      </w:pPr>
      <w:r>
        <w:t xml:space="preserve">PO3b would ensure legal clarity by addressing</w:t>
      </w:r>
      <w:r>
        <w:t xml:space="preserve"> </w:t>
      </w:r>
      <w:r>
        <w:t xml:space="preserve">shortcomings in CLP provisions on online sales.</w:t>
      </w:r>
      <w:r>
        <w:br/>
      </w:r>
      <w:r>
        <w:t xml:space="preserve">PO3c: Clarifying provisions for notifications to</w:t>
      </w:r>
      <w:r>
        <w:t xml:space="preserve"> </w:t>
      </w:r>
      <w:r>
        <w:t xml:space="preserve">poison centres (measures #19 Full notifications to</w:t>
      </w:r>
      <w:r>
        <w:t xml:space="preserve"> </w:t>
      </w:r>
      <w:r>
        <w:t xml:space="preserve">poison centres or #20 Notifications to poison centres</w:t>
      </w:r>
      <w:r>
        <w:t xml:space="preserve"> </w:t>
      </w:r>
      <w:r>
        <w:t xml:space="preserve">by re-branders and re-labellers or #21 Targeted</w:t>
      </w:r>
      <w:r>
        <w:t xml:space="preserve"> </w:t>
      </w:r>
      <w:r>
        <w:t xml:space="preserve">notifications to poison centres)</w:t>
      </w:r>
      <w:r>
        <w:t xml:space="preserve"> </w:t>
      </w:r>
      <w:r>
        <w:t xml:space="preserve">PO3c would ensure legal clarity by addressing</w:t>
      </w:r>
      <w:r>
        <w:t xml:space="preserve"> </w:t>
      </w:r>
      <w:r>
        <w:t xml:space="preserve">shortcomings in CLP provisions on notifications to</w:t>
      </w:r>
      <w:r>
        <w:t xml:space="preserve"> </w:t>
      </w:r>
      <w:r>
        <w:t xml:space="preserve">poison centres. The three measures are alternative</w:t>
      </w:r>
      <w:r>
        <w:t xml:space="preserve"> </w:t>
      </w:r>
      <w:r>
        <w:t xml:space="preserve">ways to provide legal clarity.</w:t>
      </w:r>
      <w:r>
        <w:t xml:space="preserve"> </w:t>
      </w:r>
      <w:r>
        <w:t xml:space="preserve">D7. Unclear provisions on notifications to poison</w:t>
      </w:r>
      <w:r>
        <w:t xml:space="preserve"> </w:t>
      </w:r>
      <w:r>
        <w:t xml:space="preserve">centres</w:t>
      </w:r>
      <w:r>
        <w:t xml:space="preserve"> </w:t>
      </w:r>
      <w:r>
        <w:t xml:space="preserve">PO3c would ensure that poison centres receive</w:t>
      </w:r>
      <w:r>
        <w:t xml:space="preserve"> </w:t>
      </w:r>
      <w:r>
        <w:t xml:space="preserve">updated information also in case of intra-EU</w:t>
      </w:r>
      <w:r>
        <w:t xml:space="preserve"> </w:t>
      </w:r>
      <w:r>
        <w:t xml:space="preserve">distribution and re-branding/re-labelling, so that</w:t>
      </w:r>
      <w:r>
        <w:t xml:space="preserve"> </w:t>
      </w:r>
      <w:r>
        <w:t xml:space="preserve">appropriate health response can be taken for people</w:t>
      </w:r>
      <w:r>
        <w:t xml:space="preserve"> </w:t>
      </w:r>
      <w:r>
        <w:t xml:space="preserve">exposed to hazardous chemicals.</w:t>
      </w:r>
    </w:p>
    <w:p>
      <w:pPr>
        <w:pStyle w:val="BodyText"/>
      </w:pPr>
      <w:r>
        <w:t xml:space="preserve">5.3</w:t>
      </w:r>
      <w:r>
        <w:t xml:space="preserve"> </w:t>
      </w:r>
      <w:r>
        <w:t xml:space="preserve">Options discarded at an early stage</w:t>
      </w:r>
      <w:r>
        <w:br/>
      </w:r>
      <w:r>
        <w:t xml:space="preserve">Annex 7 provides the full list of measures that have been considered but discarded and the rationale</w:t>
      </w:r>
      <w:r>
        <w:t xml:space="preserve"> </w:t>
      </w:r>
      <w:r>
        <w:t xml:space="preserve">behind their screening out from further assessment. The justification for the most relevant discarded</w:t>
      </w:r>
      <w:r>
        <w:t xml:space="preserve"> </w:t>
      </w:r>
      <w:r>
        <w:t xml:space="preserve">measures is summarised below:</w:t>
      </w:r>
      <w:r>
        <w:t xml:space="preserve"> </w:t>
      </w:r>
      <w:r>
        <w:t xml:space="preserve">Await new hazard classes at the international level (UN GHS): several industrial stakeholders</w:t>
      </w:r>
      <w:r>
        <w:t xml:space="preserve"> </w:t>
      </w:r>
      <w:r>
        <w:t xml:space="preserve">were of the view that new hazard classes should be first introduced in GHS, and only after in CLP,</w:t>
      </w:r>
      <w:r>
        <w:t xml:space="preserve"> </w:t>
      </w:r>
      <w:r>
        <w:t xml:space="preserve">in order to ensure a level playing field and global harmonisation of rules. However, the lack of new</w:t>
      </w:r>
      <w:r>
        <w:t xml:space="preserve"> </w:t>
      </w:r>
      <w:r>
        <w:t xml:space="preserve">hazard classes was long identified by scientists and stakeholders as an area where urgent action is</w:t>
      </w:r>
      <w:r>
        <w:t xml:space="preserve"> </w:t>
      </w:r>
      <w:r>
        <w:t xml:space="preserve">needed, and it is one of the high priorities identified in the Chemicals Strategy for Sustainability.</w:t>
      </w:r>
      <w:r>
        <w:t xml:space="preserve"> </w:t>
      </w:r>
      <w:r>
        <w:t xml:space="preserve">The option was discarded on three main grounds: i) GHS is based on a ‘building block’ system,</w:t>
      </w:r>
      <w:r>
        <w:t xml:space="preserve"> </w:t>
      </w:r>
      <w:r>
        <w:t xml:space="preserve">leaving margins of flexibility to what their parties can require internally; ii) discussions and</w:t>
      </w:r>
      <w:r>
        <w:t xml:space="preserve"> </w:t>
      </w:r>
      <w:r>
        <w:t xml:space="preserve">agreements at UN level are very lengthy processes, and former Commission’s and/or EU Member</w:t>
      </w:r>
      <w:r>
        <w:t xml:space="preserve"> </w:t>
      </w:r>
      <w:r>
        <w:t xml:space="preserve">States’ suggestions of new hazard classes were not successful. EU legislation and standards on</w:t>
      </w:r>
      <w:r>
        <w:t xml:space="preserve"> </w:t>
      </w:r>
      <w:r>
        <w:t xml:space="preserve">chemicals have traditionally been the driver for higher international standards, including for GHS</w:t>
      </w:r>
      <w:r>
        <w:t xml:space="preserve"> </w:t>
      </w:r>
      <w:r>
        <w:t xml:space="preserve">and the EU criteria for the new hazard classes would be again the starting basis for a global</w:t>
      </w:r>
      <w:r>
        <w:t xml:space="preserve"> </w:t>
      </w:r>
      <w:r>
        <w:t xml:space="preserve">discussion; iii) introducing new classes in CLP before GHS could lead to non-tariff barriers to</w:t>
      </w:r>
      <w:r>
        <w:t xml:space="preserve"> </w:t>
      </w:r>
      <w:r>
        <w:t xml:space="preserve">trade, but, on the basis of modelling from past studies, the impact on international trade was</w:t>
      </w:r>
      <w:r>
        <w:t xml:space="preserve"> </w:t>
      </w:r>
      <w:r>
        <w:t xml:space="preserve">estimated not be significant and that other variables – such as energy prices – are much more</w:t>
      </w:r>
      <w:r>
        <w:t xml:space="preserve"> </w:t>
      </w:r>
      <w:r>
        <w:t xml:space="preserve">relevant. Moreover, from a competitiveness angle, acting at EU level first will strengthen the EU’s</w:t>
      </w:r>
      <w:r>
        <w:t xml:space="preserve"> </w:t>
      </w:r>
      <w:r>
        <w:t xml:space="preserve">role as a global front-runner in health and environmental standards, driving the EU industry’s</w:t>
      </w:r>
      <w:r>
        <w:t xml:space="preserve"> </w:t>
      </w:r>
      <w:r>
        <w:t xml:space="preserve">leadership in producing and using sustainable chemicals, levelling the playing field, and thereby</w:t>
      </w:r>
      <w:r>
        <w:t xml:space="preserve"> </w:t>
      </w:r>
      <w:r>
        <w:t xml:space="preserve">giving the EU industry a competitive advantage allowing it to increase its global market share for</w:t>
      </w:r>
      <w:r>
        <w:t xml:space="preserve"> </w:t>
      </w:r>
      <w:r>
        <w:t xml:space="preserve">chemicals and safer alternatives.</w:t>
      </w:r>
      <w:r>
        <w:t xml:space="preserve"> </w:t>
      </w:r>
      <w:r>
        <w:t xml:space="preserve">Digital labelling as full alternative to physical label/mandatory digital labelling: these options</w:t>
      </w:r>
      <w:r>
        <w:t xml:space="preserve"> </w:t>
      </w:r>
      <w:r>
        <w:t xml:space="preserve">were dismissed because of the expected significant costs that they would entail for businesses –</w:t>
      </w:r>
      <w:r>
        <w:t xml:space="preserve"> </w:t>
      </w:r>
      <w:r>
        <w:t xml:space="preserve">SMEs in particular – and for the difficulties of access for groups of EU citizens due to lack of</w:t>
      </w:r>
      <w:r>
        <w:t xml:space="preserve"> </w:t>
      </w:r>
      <w:r>
        <w:t xml:space="preserve">access to digital tools, lack of digital skills and/or lack of internet connection. Those options were</w:t>
      </w:r>
      <w:r>
        <w:t xml:space="preserve"> </w:t>
      </w:r>
      <w:r>
        <w:t xml:space="preserve">also not widely supported by stakeholders, particularly national authorities, as they would deviate</w:t>
      </w:r>
      <w:r>
        <w:t xml:space="preserve"> </w:t>
      </w:r>
      <w:r>
        <w:t xml:space="preserve">from commitments of the EU under GHS.</w:t>
      </w:r>
    </w:p>
    <w:p>
      <w:pPr>
        <w:pStyle w:val="BodyText"/>
      </w:pPr>
      <w:r>
        <w:t xml:space="preserve">35</w:t>
      </w:r>
    </w:p>
    <w:p>
      <w:pPr>
        <w:pStyle w:val="BodyText"/>
      </w:pPr>
      <w:r>
        <w:t xml:space="preserve">6</w:t>
      </w:r>
      <w:r>
        <w:t xml:space="preserve"> </w:t>
      </w:r>
      <w:r>
        <w:t xml:space="preserve">WHAT ARE THE IMPACTS OF THE POLICY OPTIONS?</w:t>
      </w:r>
      <w:r>
        <w:br/>
      </w:r>
      <w:r>
        <w:t xml:space="preserve">The impacts were assessed for each policy option proposed, and detailed explanation, including on</w:t>
      </w:r>
      <w:r>
        <w:t xml:space="preserve"> </w:t>
      </w:r>
      <w:r>
        <w:t xml:space="preserve">the methodology, is provided in Annexes 8 to 16. In chapters 6 and 7 below and in Annex 3, the</w:t>
      </w:r>
      <w:r>
        <w:t xml:space="preserve"> </w:t>
      </w:r>
      <w:r>
        <w:t xml:space="preserve">impacts have been combined by policy option.</w:t>
      </w:r>
      <w:r>
        <w:t xml:space="preserve"> </w:t>
      </w:r>
      <w:r>
        <w:t xml:space="preserve">All of the below cost calculations are annual or annualised estimates for a 20-year period, starting</w:t>
      </w:r>
      <w:r>
        <w:t xml:space="preserve"> </w:t>
      </w:r>
      <w:r>
        <w:t xml:space="preserve">in 2023 and taking into account where necessary a discount rate of 3%, unless stated otherwise.</w:t>
      </w:r>
      <w:r>
        <w:t xml:space="preserve"> </w:t>
      </w:r>
      <w:r>
        <w:t xml:space="preserve">When possible, lower-bound and upper-bound costs are provided to picture the uncertainties</w:t>
      </w:r>
      <w:r>
        <w:t xml:space="preserve"> </w:t>
      </w:r>
      <w:r>
        <w:t xml:space="preserve">associated with the estimates provided. Amongst measures under PO1, most of the impacts will</w:t>
      </w:r>
      <w:r>
        <w:t xml:space="preserve"> </w:t>
      </w:r>
      <w:r>
        <w:t xml:space="preserve">trigger costs for SMEs which are expected to be proportionally higher than those of large</w:t>
      </w:r>
      <w:r>
        <w:t xml:space="preserve"> </w:t>
      </w:r>
      <w:r>
        <w:t xml:space="preserve">companies. However, for Classification and Labelling Inventory related measures, SMEs are</w:t>
      </w:r>
      <w:r>
        <w:t xml:space="preserve"> </w:t>
      </w:r>
      <w:r>
        <w:t xml:space="preserve">expected to grasp the benefits of the measure to a greater extent than the large companies.</w:t>
      </w:r>
      <w:r>
        <w:t xml:space="preserve"> </w:t>
      </w:r>
      <w:r>
        <w:t xml:space="preserve">6.1</w:t>
      </w:r>
      <w:r>
        <w:t xml:space="preserve"> </w:t>
      </w:r>
      <w:r>
        <w:t xml:space="preserve">Classification of chemical hazards (Policy Option 1)</w:t>
      </w:r>
      <w:r>
        <w:t xml:space="preserve"> </w:t>
      </w:r>
      <w:r>
        <w:t xml:space="preserve">6.1.1 Economic impacts</w:t>
      </w:r>
      <w:r>
        <w:t xml:space="preserve"> </w:t>
      </w:r>
      <w:r>
        <w:t xml:space="preserve">6.1.1.1 Administrative costs on businesses and conduct of business and possible benefits on</w:t>
      </w:r>
      <w:r>
        <w:t xml:space="preserve"> </w:t>
      </w:r>
      <w:r>
        <w:t xml:space="preserve">society</w:t>
      </w:r>
      <w:r>
        <w:t xml:space="preserve"> </w:t>
      </w:r>
      <w:r>
        <w:t xml:space="preserve">Table 10: Summary of cost and benefits of policy option 1a</w:t>
      </w:r>
      <w:r>
        <w:t xml:space="preserve"> </w:t>
      </w:r>
      <w:r>
        <w:t xml:space="preserve">Costs - businesses</w:t>
      </w:r>
      <w:r>
        <w:t xml:space="preserve"> </w:t>
      </w:r>
      <w:r>
        <w:t xml:space="preserve">Total one-off costs over a 20-year period</w:t>
      </w:r>
      <w:r>
        <w:t xml:space="preserve"> </w:t>
      </w:r>
      <w:r>
        <w:t xml:space="preserve">x11 (9%-25%)117: €587M - €1,253M</w:t>
      </w:r>
      <w:r>
        <w:t xml:space="preserve"> </w:t>
      </w:r>
      <w:r>
        <w:t xml:space="preserve">PV of one-off costs (20 years; 3%)</w:t>
      </w:r>
      <w:r>
        <w:t xml:space="preserve"> </w:t>
      </w:r>
      <w:r>
        <w:t xml:space="preserve">of which:</w:t>
      </w:r>
      <w:r>
        <w:t xml:space="preserve"> </w:t>
      </w:r>
      <w:r>
        <w:t xml:space="preserve">x11 (9%-25%): €39M - €84M</w:t>
      </w:r>
      <w:r>
        <w:t xml:space="preserve"> </w:t>
      </w:r>
      <w:r>
        <w:t xml:space="preserve">-</w:t>
      </w:r>
      <w:r>
        <w:t xml:space="preserve"> </w:t>
      </w:r>
      <w:r>
        <w:t xml:space="preserve">Direct adjustment costs</w:t>
      </w:r>
      <w:r>
        <w:t xml:space="preserve"> </w:t>
      </w:r>
      <w:r>
        <w:t xml:space="preserve">x11 (9%-25%): €26M - €73M</w:t>
      </w:r>
      <w:r>
        <w:t xml:space="preserve"> </w:t>
      </w:r>
      <w:r>
        <w:t xml:space="preserve">-</w:t>
      </w:r>
      <w:r>
        <w:t xml:space="preserve"> </w:t>
      </w:r>
      <w:r>
        <w:t xml:space="preserve">Direct administrative costs</w:t>
      </w:r>
      <w:r>
        <w:t xml:space="preserve"> </w:t>
      </w:r>
      <w:r>
        <w:t xml:space="preserve">x11 (9%-25%): €13M - €11M</w:t>
      </w:r>
      <w:r>
        <w:t xml:space="preserve"> </w:t>
      </w:r>
      <w:r>
        <w:t xml:space="preserve">-</w:t>
      </w:r>
      <w:r>
        <w:t xml:space="preserve"> </w:t>
      </w:r>
      <w:r>
        <w:t xml:space="preserve">Direct regulatory fees and charges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Indirect costs</w:t>
      </w:r>
      <w:r>
        <w:t xml:space="preserve"> </w:t>
      </w:r>
      <w:r>
        <w:t xml:space="preserve">x11 (9%-25%): €0.3M - €0.2M</w:t>
      </w:r>
    </w:p>
    <w:p>
      <w:pPr>
        <w:pStyle w:val="BodyText"/>
      </w:pPr>
      <w:r>
        <w:t xml:space="preserve">Average cost (PV: 20y; 3%) per person</w:t>
      </w:r>
      <w:r>
        <w:t xml:space="preserve"> </w:t>
      </w:r>
      <w:r>
        <w:t xml:space="preserve">employed (SMEs)</w:t>
      </w:r>
      <w:r>
        <w:t xml:space="preserve"> </w:t>
      </w:r>
      <w:r>
        <w:t xml:space="preserve">x11 (9%-25%): €4-€9</w:t>
      </w:r>
    </w:p>
    <w:p>
      <w:pPr>
        <w:pStyle w:val="BodyText"/>
      </w:pPr>
      <w:r>
        <w:t xml:space="preserve">Average cost (PV: 20y; 3%) per person</w:t>
      </w:r>
      <w:r>
        <w:t xml:space="preserve"> </w:t>
      </w:r>
      <w:r>
        <w:t xml:space="preserve">employed (large enterprises)</w:t>
      </w:r>
      <w:r>
        <w:t xml:space="preserve"> </w:t>
      </w:r>
      <w:r>
        <w:t xml:space="preserve">x11 (9%-25%): €20-€43</w:t>
      </w:r>
    </w:p>
    <w:p>
      <w:pPr>
        <w:pStyle w:val="BodyText"/>
      </w:pPr>
      <w:r>
        <w:t xml:space="preserve">Benefits - Society</w:t>
      </w:r>
      <w:r>
        <w:t xml:space="preserve"> </w:t>
      </w:r>
      <w:r>
        <w:t xml:space="preserve">Number of statistical cases to be avoided per</w:t>
      </w:r>
      <w:r>
        <w:t xml:space="preserve"> </w:t>
      </w:r>
      <w:r>
        <w:t xml:space="preserve">substance</w:t>
      </w:r>
      <w:r>
        <w:t xml:space="preserve"> </w:t>
      </w:r>
      <w:r>
        <w:t xml:space="preserve">x11 (9%-25%): 0.62 – 4.97</w:t>
      </w:r>
    </w:p>
    <w:p>
      <w:pPr>
        <w:pStyle w:val="BodyText"/>
      </w:pPr>
      <w:r>
        <w:t xml:space="preserve">Benefits per kg PBT/vPvB or PMT/vPvM to</w:t>
      </w:r>
      <w:r>
        <w:t xml:space="preserve"> </w:t>
      </w:r>
      <w:r>
        <w:t xml:space="preserve">offset PO1 costs</w:t>
      </w:r>
      <w:r>
        <w:t xml:space="preserve"> </w:t>
      </w:r>
      <w:r>
        <w:t xml:space="preserve">Minimum €0.2 – 0.7</w:t>
      </w:r>
    </w:p>
    <w:p>
      <w:pPr>
        <w:pStyle w:val="BodyText"/>
      </w:pPr>
      <w:r>
        <w:t xml:space="preserve">PO1a (New hazard classes) may allow the identification of around 2,320 substances and around</w:t>
      </w:r>
      <w:r>
        <w:t xml:space="preserve"> </w:t>
      </w:r>
      <w:r>
        <w:t xml:space="preserve">25,520 chemical products containing those substances which would need to be relabelled and/or</w:t>
      </w:r>
      <w:r>
        <w:t xml:space="preserve"> </w:t>
      </w:r>
      <w:r>
        <w:t xml:space="preserve">voluntarily reformulated (see Annex 8). The annual costs for industry would be €39.4 million -</w:t>
      </w:r>
      <w:r>
        <w:t xml:space="preserve"> </w:t>
      </w:r>
      <w:r>
        <w:t xml:space="preserve">€84.2 million118 over a 20y period. The average administrative burden per person employed per</w:t>
      </w:r>
      <w:r>
        <w:t xml:space="preserve"> </w:t>
      </w:r>
      <w:r>
        <w:t xml:space="preserve">year for a large enterprise is €20.1 while for SMEs is €4 (see Annex 8, especially Table 60 page</w:t>
      </w:r>
      <w:r>
        <w:t xml:space="preserve"> </w:t>
      </w:r>
      <w:r>
        <w:t xml:space="preserve">172).</w:t>
      </w:r>
    </w:p>
    <w:p>
      <w:pPr>
        <w:pStyle w:val="BodyText"/>
      </w:pPr>
      <w:r>
        <w:t xml:space="preserve">117 11 mixtures per substance, 9%-25% of substances substituted and 9%-25% of mixtures reformulated.</w:t>
      </w:r>
      <w:r>
        <w:t xml:space="preserve"> </w:t>
      </w:r>
      <w:r>
        <w:t xml:space="preserve">118 Based on 11 mixtures per substance and a reformulation rate of, respectively, 9% and 25%.</w:t>
      </w:r>
    </w:p>
    <w:p>
      <w:pPr>
        <w:pStyle w:val="BodyText"/>
      </w:pPr>
      <w:r>
        <w:t xml:space="preserve">36</w:t>
      </w:r>
    </w:p>
    <w:p>
      <w:pPr>
        <w:pStyle w:val="BodyText"/>
      </w:pPr>
      <w:r>
        <w:t xml:space="preserve">Without the new hazard criteria being prioritised, there is a risk of an uneven level playing field</w:t>
      </w:r>
      <w:r>
        <w:t xml:space="preserve"> </w:t>
      </w:r>
      <w:r>
        <w:t xml:space="preserve">because of diverging self-classifications amongst manufacturers of the same substances. The</w:t>
      </w:r>
      <w:r>
        <w:t xml:space="preserve"> </w:t>
      </w:r>
      <w:r>
        <w:t xml:space="preserve">changes may temporarily affect EU exports of chemicals classified according to the new hazard</w:t>
      </w:r>
      <w:r>
        <w:t xml:space="preserve"> </w:t>
      </w:r>
      <w:r>
        <w:t xml:space="preserve">classes. The discrepancy with other main global players is expected to last some years, for the</w:t>
      </w:r>
      <w:r>
        <w:t xml:space="preserve"> </w:t>
      </w:r>
      <w:r>
        <w:t xml:space="preserve">development of equivalent UN GHS criteria and their following uptake in the national legislation.</w:t>
      </w:r>
      <w:r>
        <w:t xml:space="preserve"> </w:t>
      </w:r>
      <w:r>
        <w:t xml:space="preserve">This would lead to non-tariff barriers to trade, but, on the basis of modelling from past studies, the</w:t>
      </w:r>
      <w:r>
        <w:t xml:space="preserve"> </w:t>
      </w:r>
      <w:r>
        <w:t xml:space="preserve">impact on international trade was estimated to not be significant and that other variables – such as</w:t>
      </w:r>
      <w:r>
        <w:t xml:space="preserve"> </w:t>
      </w:r>
      <w:r>
        <w:t xml:space="preserve">energy prices – are much more relevant.</w:t>
      </w:r>
      <w:r>
        <w:br/>
      </w:r>
      <w:r>
        <w:t xml:space="preserve">The European Chemical Industry Council (Cefic) commissioned a study119 to document the</w:t>
      </w:r>
      <w:r>
        <w:t xml:space="preserve"> </w:t>
      </w:r>
      <w:r>
        <w:t xml:space="preserve">economic impact of various actions announced in the Chemicals Strategy for Sustainability. The</w:t>
      </w:r>
      <w:r>
        <w:t xml:space="preserve"> </w:t>
      </w:r>
      <w:r>
        <w:t xml:space="preserve">authors concluded that CLP could be responsible for the reduction of 1% of the total potentially</w:t>
      </w:r>
      <w:r>
        <w:t xml:space="preserve"> </w:t>
      </w:r>
      <w:r>
        <w:t xml:space="preserve">affected portfolio, equivalent to around €5.8 billion.120 However, this figure should be considered</w:t>
      </w:r>
      <w:r>
        <w:t xml:space="preserve"> </w:t>
      </w:r>
      <w:r>
        <w:t xml:space="preserve">as an illustration of the size of the sectors involved rather than an indicator of economic losses,121</w:t>
      </w:r>
      <w:r>
        <w:t xml:space="preserve"> </w:t>
      </w:r>
      <w:r>
        <w:t xml:space="preserve">and it is therefore not comparable with the estimates provided in this impact assessment.</w:t>
      </w:r>
      <w:r>
        <w:br/>
      </w:r>
      <w:r>
        <w:t xml:space="preserve">Estimating the magnitude of the benefits of the introduction of new hazard classes in CLP and their</w:t>
      </w:r>
      <w:r>
        <w:t xml:space="preserve"> </w:t>
      </w:r>
      <w:r>
        <w:t xml:space="preserve">complete monetary valuation is confounded by a number of problems, including the possibility of</w:t>
      </w:r>
      <w:r>
        <w:t xml:space="preserve"> </w:t>
      </w:r>
      <w:r>
        <w:t xml:space="preserve">estimating the attributable fraction of disease incidence, prevalence and mortality to certain</w:t>
      </w:r>
      <w:r>
        <w:t xml:space="preserve"> </w:t>
      </w:r>
      <w:r>
        <w:t xml:space="preserve">chemical products. Due to the limitation in the availability of data and the large uncertainties</w:t>
      </w:r>
      <w:r>
        <w:t xml:space="preserve"> </w:t>
      </w:r>
      <w:r>
        <w:t xml:space="preserve">surrounding the monetary evaluation of the health and environmental benefits of the policy action,</w:t>
      </w:r>
      <w:r>
        <w:t xml:space="preserve"> </w:t>
      </w:r>
      <w:r>
        <w:t xml:space="preserve">a break-even approach was adopted to weigh up the likely relative advantages and drawbacks: for</w:t>
      </w:r>
      <w:r>
        <w:t xml:space="preserve"> </w:t>
      </w:r>
      <w:r>
        <w:t xml:space="preserve">illustrative purposes, a ‘statistical health outcome case’ was constructed by aggregating the values</w:t>
      </w:r>
      <w:r>
        <w:t xml:space="preserve"> </w:t>
      </w:r>
      <w:r>
        <w:t xml:space="preserve">of four possible outcomes of EDs’ exposure. The value of the statistical case was then compared</w:t>
      </w:r>
      <w:r>
        <w:t xml:space="preserve"> </w:t>
      </w:r>
      <w:r>
        <w:t xml:space="preserve">with the total costs, obtaining the number of statistical cases to be avoided per substance identified.</w:t>
      </w:r>
      <w:r>
        <w:t xml:space="preserve"> </w:t>
      </w:r>
      <w:r>
        <w:t xml:space="preserve">The same approach was used for obtaining the required level of benefits per kg of PBT/vPvB or</w:t>
      </w:r>
      <w:r>
        <w:t xml:space="preserve"> </w:t>
      </w:r>
      <w:r>
        <w:t xml:space="preserve">PMT/vPvM substances withdrawn from the market to offset the total costs of the policy action. The</w:t>
      </w:r>
      <w:r>
        <w:t xml:space="preserve"> </w:t>
      </w:r>
      <w:r>
        <w:t xml:space="preserve">socioeconomic burden associated to EDs’ exposure was estimated by different authors as ranging</w:t>
      </w:r>
      <w:r>
        <w:t xml:space="preserve"> </w:t>
      </w:r>
      <w:r>
        <w:t xml:space="preserve">between tens to hundreds of billions of euros per year. Estimates carried out in the context of this</w:t>
      </w:r>
      <w:r>
        <w:t xml:space="preserve"> </w:t>
      </w:r>
      <w:r>
        <w:t xml:space="preserve">study for a subset of four health outcomes — among the over 80 health endpoints which have been</w:t>
      </w:r>
      <w:r>
        <w:t xml:space="preserve"> </w:t>
      </w:r>
      <w:r>
        <w:t xml:space="preserve">associated in the literature to EDs’ exposure — put the socioeconomic burden in over €300 million</w:t>
      </w:r>
      <w:r>
        <w:t xml:space="preserve"> </w:t>
      </w:r>
      <w:r>
        <w:t xml:space="preserve">per year. How much of the overall burden can be avoided through the CLP revision is unknown,</w:t>
      </w:r>
      <w:r>
        <w:t xml:space="preserve"> </w:t>
      </w:r>
      <w:r>
        <w:t xml:space="preserve">but considering that the introduction of identification and classification criteria for the new hazard</w:t>
      </w:r>
      <w:r>
        <w:t xml:space="preserve"> </w:t>
      </w:r>
      <w:r>
        <w:t xml:space="preserve">classes is a prerequisite for the delivery of benefits — directly and indirectly through other</w:t>
      </w:r>
      <w:r>
        <w:t xml:space="preserve"> </w:t>
      </w:r>
      <w:r>
        <w:t xml:space="preserve">legislative mechanisms — these estimates suggest that, if all attributable impacts were considered,</w:t>
      </w:r>
      <w:r>
        <w:t xml:space="preserve"> </w:t>
      </w:r>
      <w:r>
        <w:t xml:space="preserve">the benefits are very likely to exceed significantly the costs of the policy option.</w:t>
      </w:r>
      <w:r>
        <w:br/>
      </w:r>
      <w:r>
        <w:t xml:space="preserve">PO1b (Consistent self-classification and improving transparency) covers various measures</w:t>
      </w:r>
      <w:r>
        <w:t xml:space="preserve"> </w:t>
      </w:r>
      <w:r>
        <w:t xml:space="preserve">aiming at improving the inventory of notified self-classification. The direct costs of those measures</w:t>
      </w:r>
      <w:r>
        <w:t xml:space="preserve"> </w:t>
      </w:r>
      <w:r>
        <w:t xml:space="preserve">are specific (see Annex 11) but the indirect costs such as relabelling, updating the registry and/or</w:t>
      </w:r>
      <w:r>
        <w:t xml:space="preserve"> </w:t>
      </w:r>
      <w:r>
        <w:t xml:space="preserve">documentation are considered equivalent to other measures. The additional administrative costs</w:t>
      </w:r>
      <w:r>
        <w:t xml:space="preserve"> </w:t>
      </w:r>
      <w:r>
        <w:t xml:space="preserve">would equate to between €3.99 million and €10.1 million with measure #6 included, of which,</w:t>
      </w:r>
      <w:r>
        <w:t xml:space="preserve"> </w:t>
      </w:r>
      <w:r>
        <w:t xml:space="preserve">between €1.50 million and €3.84 million would apply to SMEs. These costs would be reduced to</w:t>
      </w:r>
    </w:p>
    <w:p>
      <w:pPr>
        <w:pStyle w:val="BodyText"/>
      </w:pPr>
      <w:r>
        <w:t xml:space="preserve">119 Ricardo (2021) Economic Analysis of the Impacts of the Chemicals Strategy for Sustainability – Phase 1 Report</w:t>
      </w:r>
      <w:r>
        <w:t xml:space="preserve"> </w:t>
      </w:r>
      <w:r>
        <w:t xml:space="preserve">(ED 14790 – Issue number 1, 18/11/2021)</w:t>
      </w:r>
      <w:r>
        <w:t xml:space="preserve"> </w:t>
      </w:r>
      <w:r>
        <w:t xml:space="preserve">120 Information provided by Cefic in response to a request by the European Commission.</w:t>
      </w:r>
      <w:r>
        <w:t xml:space="preserve"> </w:t>
      </w:r>
      <w:r>
        <w:t xml:space="preserve">121 A better measure would be the ‘value added foregone’, since it provides an estimate of the Industry’s profits that</w:t>
      </w:r>
      <w:r>
        <w:t xml:space="preserve"> </w:t>
      </w:r>
      <w:r>
        <w:t xml:space="preserve">would have been earned during the loss period would there be no intervention. This estimate can be calculated by</w:t>
      </w:r>
      <w:r>
        <w:t xml:space="preserve"> </w:t>
      </w:r>
      <w:r>
        <w:t xml:space="preserve">subtracting the cost of all inputs except capital and labour from the production value. But even this measure is difficult</w:t>
      </w:r>
      <w:r>
        <w:t xml:space="preserve"> </w:t>
      </w:r>
      <w:r>
        <w:t xml:space="preserve">to take as a proxy of the costs in a cost-benefit analysis or cost-effectiveness analysis, since it is not comparable to</w:t>
      </w:r>
      <w:r>
        <w:t xml:space="preserve"> </w:t>
      </w:r>
      <w:r>
        <w:t xml:space="preserve">compliance costs. Whether the ‘value added foregone’ is a cost depends on whether the production factors (capital and</w:t>
      </w:r>
      <w:r>
        <w:t xml:space="preserve"> </w:t>
      </w:r>
      <w:r>
        <w:t xml:space="preserve">labour) can be productively re-employed or not.</w:t>
      </w:r>
    </w:p>
    <w:p>
      <w:pPr>
        <w:pStyle w:val="BodyText"/>
      </w:pPr>
      <w:r>
        <w:t xml:space="preserve">37</w:t>
      </w:r>
    </w:p>
    <w:p>
      <w:pPr>
        <w:pStyle w:val="BodyText"/>
      </w:pPr>
      <w:r>
        <w:t xml:space="preserve">between €1.96 million and €8.07 million when considering measure #5 as an alternative to measure</w:t>
      </w:r>
      <w:r>
        <w:t xml:space="preserve"> </w:t>
      </w:r>
      <w:r>
        <w:t xml:space="preserve">#6. Only €1.99 million of those costs are one-off ones. Savings from a quicker navigation in the</w:t>
      </w:r>
      <w:r>
        <w:t xml:space="preserve"> </w:t>
      </w:r>
      <w:r>
        <w:t xml:space="preserve">CLP classification and labelling inventory could equate to around €8.7 million (including €2.2</w:t>
      </w:r>
      <w:r>
        <w:t xml:space="preserve"> </w:t>
      </w:r>
      <w:r>
        <w:t xml:space="preserve">million for SMEs), based on a general improvement. The overall impact of PO1b with measure #5</w:t>
      </w:r>
      <w:r>
        <w:t xml:space="preserve"> </w:t>
      </w:r>
      <w:r>
        <w:t xml:space="preserve">would be between savings up to €4.97 million and costs of €0.93 million. No quantification of</w:t>
      </w:r>
      <w:r>
        <w:t xml:space="preserve"> </w:t>
      </w:r>
      <w:r>
        <w:t xml:space="preserve">adjustment costs was possible as granular-enough data were missing.</w:t>
      </w:r>
      <w:r>
        <w:t xml:space="preserve"> </w:t>
      </w:r>
      <w:r>
        <w:t xml:space="preserve">PO1c (More and prioritised harmonised classification) leads to both administrative and</w:t>
      </w:r>
      <w:r>
        <w:t xml:space="preserve"> </w:t>
      </w:r>
      <w:r>
        <w:t xml:space="preserve">adjustment costs (but no specific ones). No robust quantification of adjustment and administrative</w:t>
      </w:r>
      <w:r>
        <w:t xml:space="preserve"> </w:t>
      </w:r>
      <w:r>
        <w:t xml:space="preserve">costs was possible in the absence of sufficiently granular data. These measures may have more</w:t>
      </w:r>
      <w:r>
        <w:t xml:space="preserve"> </w:t>
      </w:r>
      <w:r>
        <w:t xml:space="preserve">impacts on SMEs in relative terms which benefit less from economies of scale and have less</w:t>
      </w:r>
      <w:r>
        <w:t xml:space="preserve"> </w:t>
      </w:r>
      <w:r>
        <w:t xml:space="preserve">capacity to absorb costs.</w:t>
      </w:r>
      <w:r>
        <w:t xml:space="preserve"> </w:t>
      </w:r>
      <w:r>
        <w:t xml:space="preserve">PO1d (Complementing hazard identification with hazard quantification) would bear no direct</w:t>
      </w:r>
      <w:r>
        <w:t xml:space="preserve"> </w:t>
      </w:r>
      <w:r>
        <w:t xml:space="preserve">administrative costs for industry. However, there may be voluntary updates by REACH registrants,</w:t>
      </w:r>
      <w:r>
        <w:t xml:space="preserve"> </w:t>
      </w:r>
      <w:r>
        <w:t xml:space="preserve">but those adjustment costs are considered outside the scope of this impact assessment.</w:t>
      </w:r>
      <w:r>
        <w:t xml:space="preserve"> </w:t>
      </w:r>
      <w:r>
        <w:t xml:space="preserve">Table 11: Summary of the economic costs to European businesses (annualised and annual recurrent costs,</w:t>
      </w:r>
      <w:r>
        <w:t xml:space="preserve"> </w:t>
      </w:r>
      <w:r>
        <w:t xml:space="preserve">central estimates, € million, period: 20y)</w:t>
      </w:r>
      <w:r>
        <w:t xml:space="preserve"> </w:t>
      </w:r>
      <w:r>
        <w:t xml:space="preserve">Policy option</w:t>
      </w:r>
      <w:r>
        <w:t xml:space="preserve"> </w:t>
      </w:r>
      <w:r>
        <w:t xml:space="preserve">Administrative costs</w:t>
      </w:r>
      <w:r>
        <w:t xml:space="preserve"> </w:t>
      </w:r>
      <w:r>
        <w:t xml:space="preserve">Adjustment costs</w:t>
      </w:r>
      <w:r>
        <w:t xml:space="preserve"> </w:t>
      </w:r>
      <w:r>
        <w:t xml:space="preserve">PO1a</w:t>
      </w:r>
      <w:r>
        <w:t xml:space="preserve"> </w:t>
      </w:r>
      <w:r>
        <w:t xml:space="preserve">13.04 (one-off costs)</w:t>
      </w:r>
      <w:r>
        <w:t xml:space="preserve"> </w:t>
      </w:r>
      <w:r>
        <w:t xml:space="preserve">26.40 (one-off costs)</w:t>
      </w:r>
      <w:r>
        <w:t xml:space="preserve"> </w:t>
      </w:r>
      <w:r>
        <w:t xml:space="preserve">PO1b</w:t>
      </w:r>
      <w:r>
        <w:t xml:space="preserve"> </w:t>
      </w:r>
      <w:r>
        <w:t xml:space="preserve">9.43 (of which, 5.14 are recurrent</w:t>
      </w:r>
      <w:r>
        <w:t xml:space="preserve"> </w:t>
      </w:r>
      <w:r>
        <w:t xml:space="preserve">costs and 4.29 one-off ones)</w:t>
      </w:r>
      <w:r>
        <w:t xml:space="preserve"> </w:t>
      </w:r>
      <w:r>
        <w:t xml:space="preserve">Existing but not possible to quantify</w:t>
      </w:r>
      <w:r>
        <w:t xml:space="preserve"> </w:t>
      </w:r>
      <w:r>
        <w:t xml:space="preserve">PO1c</w:t>
      </w:r>
      <w:r>
        <w:t xml:space="preserve"> </w:t>
      </w:r>
      <w:r>
        <w:t xml:space="preserve">Existing but not possible to quantify</w:t>
      </w:r>
      <w:r>
        <w:t xml:space="preserve"> </w:t>
      </w:r>
      <w:r>
        <w:t xml:space="preserve">Existing but not possible to quantify</w:t>
      </w:r>
      <w:r>
        <w:t xml:space="preserve"> </w:t>
      </w:r>
      <w:r>
        <w:t xml:space="preserve">PO1d</w:t>
      </w:r>
      <w:r>
        <w:t xml:space="preserve"> </w:t>
      </w:r>
      <w:r>
        <w:t xml:space="preserve">(1.00 for authorities)</w:t>
      </w:r>
      <w:r>
        <w:t xml:space="preserve"> </w:t>
      </w:r>
      <w:r>
        <w:t xml:space="preserve">-</w:t>
      </w:r>
      <w:r>
        <w:t xml:space="preserve"> </w:t>
      </w:r>
      <w:r>
        <w:t xml:space="preserve">6.1.1.2 Public authorities: Change in costs to the Commission, ECHA and Member States</w:t>
      </w:r>
      <w:r>
        <w:t xml:space="preserve"> </w:t>
      </w:r>
      <w:r>
        <w:t xml:space="preserve">Competent Authorities</w:t>
      </w:r>
      <w:r>
        <w:t xml:space="preserve"> </w:t>
      </w:r>
      <w:r>
        <w:t xml:space="preserve">PO1a will not entail significant additional costs for ECHA, Member States Competent Authorities</w:t>
      </w:r>
      <w:r>
        <w:t xml:space="preserve"> </w:t>
      </w:r>
      <w:r>
        <w:t xml:space="preserve">and the Commission. Tasks like identification of PBT substances would be moved from REACH,</w:t>
      </w:r>
      <w:r>
        <w:t xml:space="preserve"> </w:t>
      </w:r>
      <w:r>
        <w:t xml:space="preserve">plant protection product and biocide regulations to CLP, mostly leading to reshuffling in</w:t>
      </w:r>
      <w:r>
        <w:t xml:space="preserve"> </w:t>
      </w:r>
      <w:r>
        <w:t xml:space="preserve">resources122.</w:t>
      </w:r>
      <w:r>
        <w:br/>
      </w:r>
      <w:r>
        <w:t xml:space="preserve">Under PO1b, as explained in the baseline, ECHA is already reshaping the IT system for improving</w:t>
      </w:r>
      <w:r>
        <w:t xml:space="preserve"> </w:t>
      </w:r>
      <w:r>
        <w:t xml:space="preserve">the CLP classification and labelling inventory, and that could also include an IT screening tool.</w:t>
      </w:r>
      <w:r>
        <w:t xml:space="preserve"> </w:t>
      </w:r>
      <w:r>
        <w:t xml:space="preserve">Manual follow-ups to the IT screening will be needed but it is understood that such resources could</w:t>
      </w:r>
      <w:r>
        <w:t xml:space="preserve"> </w:t>
      </w:r>
      <w:r>
        <w:t xml:space="preserve">be found via internal reallocation and no additional staff for this task would be required. Measure</w:t>
      </w:r>
      <w:r>
        <w:t xml:space="preserve"> </w:t>
      </w:r>
      <w:r>
        <w:t xml:space="preserve">#6 (Regular notification updates) and #3 (Update to justify divergences) would however need</w:t>
      </w:r>
      <w:r>
        <w:t xml:space="preserve"> </w:t>
      </w:r>
      <w:r>
        <w:t xml:space="preserve">additional resources. Lower additional costs are forecasted for measures #4 (Transparent notifiers)</w:t>
      </w:r>
      <w:r>
        <w:t xml:space="preserve"> </w:t>
      </w:r>
      <w:r>
        <w:t xml:space="preserve">and none for #5 (Swift notification updates).</w:t>
      </w:r>
      <w:r>
        <w:t xml:space="preserve"> </w:t>
      </w:r>
      <w:r>
        <w:t xml:space="preserve">When considering an early prioritisation step informally at EU level (#8 EU agreement on</w:t>
      </w:r>
      <w:r>
        <w:t xml:space="preserve"> </w:t>
      </w:r>
      <w:r>
        <w:t xml:space="preserve">prioritised harmonised classification dossiers), costs of PO1c would range from €0.6 million to</w:t>
      </w:r>
      <w:r>
        <w:t xml:space="preserve"> </w:t>
      </w:r>
      <w:r>
        <w:t xml:space="preserve">€1.1 million to the EU budget. The difference in costs lies in the organisation required to develop</w:t>
      </w:r>
    </w:p>
    <w:p>
      <w:pPr>
        <w:pStyle w:val="BodyText"/>
      </w:pPr>
      <w:r>
        <w:t xml:space="preserve">122 e.g. ECHA’s PBT expert group or resources in the Member States Committee assigned for PBT identification.</w:t>
      </w:r>
    </w:p>
    <w:p>
      <w:pPr>
        <w:pStyle w:val="BodyText"/>
      </w:pPr>
      <w:r>
        <w:t xml:space="preserve">38</w:t>
      </w:r>
    </w:p>
    <w:p>
      <w:pPr>
        <w:pStyle w:val="BodyText"/>
      </w:pPr>
      <w:r>
        <w:t xml:space="preserve">harmonised classification dossiers. The most expensive option — where ECHA is mandated by the</w:t>
      </w:r>
      <w:r>
        <w:t xml:space="preserve"> </w:t>
      </w:r>
      <w:r>
        <w:t xml:space="preserve">Commission to develop CLH dossiers — is factored in. But as each dossier is different, the most</w:t>
      </w:r>
      <w:r>
        <w:t xml:space="preserve"> </w:t>
      </w:r>
      <w:r>
        <w:t xml:space="preserve">cost efficient and qualitative process depends on the substance or group of substances at stake.</w:t>
      </w:r>
      <w:r>
        <w:t xml:space="preserve"> </w:t>
      </w:r>
      <w:r>
        <w:t xml:space="preserve">When it comes to prioritisation, many Member States authorities voiced concerns about the</w:t>
      </w:r>
      <w:r>
        <w:t xml:space="preserve"> </w:t>
      </w:r>
      <w:r>
        <w:t xml:space="preserve">effectiveness of a formal EU decision on intentions for new dossiers. Therefore, the additional costs</w:t>
      </w:r>
      <w:r>
        <w:t xml:space="preserve"> </w:t>
      </w:r>
      <w:r>
        <w:t xml:space="preserve">of this option for competent authorities, ECHA and the Commission are not quantified.</w:t>
      </w:r>
      <w:r>
        <w:br/>
      </w:r>
      <w:r>
        <w:t xml:space="preserve">The administrative burden related to PO1d (Harmonised reference values) is estimated for Member</w:t>
      </w:r>
      <w:r>
        <w:t xml:space="preserve"> </w:t>
      </w:r>
      <w:r>
        <w:t xml:space="preserve">States at €0.6 million. Costs to ECHA amount to €0.6 million.</w:t>
      </w:r>
      <w:r>
        <w:t xml:space="preserve"> </w:t>
      </w:r>
      <w:r>
        <w:t xml:space="preserve">6.1.2 Impact on the environment and on human health</w:t>
      </w:r>
      <w:r>
        <w:t xml:space="preserve"> </w:t>
      </w:r>
      <w:r>
        <w:t xml:space="preserve">There is no comprehensive evidence available to quantify the impacts on human health and the</w:t>
      </w:r>
      <w:r>
        <w:t xml:space="preserve"> </w:t>
      </w:r>
      <w:r>
        <w:t xml:space="preserve">environment of the policy packages of PO1. The benefits of all policy packages can however be</w:t>
      </w:r>
      <w:r>
        <w:t xml:space="preserve"> </w:t>
      </w:r>
      <w:r>
        <w:t xml:space="preserve">qualified.</w:t>
      </w:r>
      <w:r>
        <w:br/>
      </w:r>
      <w:r>
        <w:t xml:space="preserve">PO1a would allow to identify more than twice the number of substances than currently under</w:t>
      </w:r>
      <w:r>
        <w:t xml:space="preserve"> </w:t>
      </w:r>
      <w:r>
        <w:t xml:space="preserve">REACH or pesticide and biocide regulations. Voluntary substitution of chemicals with the most</w:t>
      </w:r>
      <w:r>
        <w:t xml:space="preserve"> </w:t>
      </w:r>
      <w:r>
        <w:t xml:space="preserve">critical hazard properties (up to 25% of impacted mixtures) would also significantly reduce the</w:t>
      </w:r>
      <w:r>
        <w:t xml:space="preserve"> </w:t>
      </w:r>
      <w:r>
        <w:t xml:space="preserve">exposure of consumers, workers and the environment (see Annex 8). The reduction of the exposure</w:t>
      </w:r>
      <w:r>
        <w:t xml:space="preserve"> </w:t>
      </w:r>
      <w:r>
        <w:t xml:space="preserve">to the self-classified hazardous substances would start earlier, but possibly for a lower number of</w:t>
      </w:r>
      <w:r>
        <w:t xml:space="preserve"> </w:t>
      </w:r>
      <w:r>
        <w:t xml:space="preserve">chemicals than the ones which would fall under harmonised classification, where all manufacturers</w:t>
      </w:r>
      <w:r>
        <w:t xml:space="preserve"> </w:t>
      </w:r>
      <w:r>
        <w:t xml:space="preserve">would apply the same classification. The consequent reduction of the costs of exposure to EDs for</w:t>
      </w:r>
      <w:r>
        <w:t xml:space="preserve"> </w:t>
      </w:r>
      <w:r>
        <w:t xml:space="preserve">the EU public health services cannot be fully monetised. However, proper identification,</w:t>
      </w:r>
      <w:r>
        <w:t xml:space="preserve"> </w:t>
      </w:r>
      <w:r>
        <w:t xml:space="preserve">classification and labelling of EDs, PBTs, vPvBs, PMTs, vPvMs would alleviate part of the ED-</w:t>
      </w:r>
      <w:r>
        <w:t xml:space="preserve"> </w:t>
      </w:r>
      <w:r>
        <w:t xml:space="preserve">related costs of €46 billion per year. Avoiding between 853 and 1,919 ED-related human outcomes</w:t>
      </w:r>
      <w:r>
        <w:t xml:space="preserve"> </w:t>
      </w:r>
      <w:r>
        <w:t xml:space="preserve">between 2023 and 2043 would offset PO1 costs for ED substances. This equates to 0.62 to 4.97</w:t>
      </w:r>
      <w:r>
        <w:t xml:space="preserve"> </w:t>
      </w:r>
      <w:r>
        <w:t xml:space="preserve">cases/outcomes to be avoided per possible candidate substance (see Annex 8).</w:t>
      </w:r>
      <w:r>
        <w:t xml:space="preserve"> </w:t>
      </w:r>
      <w:r>
        <w:t xml:space="preserve">A reduction of the emissions of ED, PBT, PMT substances into the environment would decrease</w:t>
      </w:r>
      <w:r>
        <w:t xml:space="preserve"> </w:t>
      </w:r>
      <w:r>
        <w:t xml:space="preserve">the costs of depolluting urban wastewater from micro-pollutants, which currently equal €1.2 billion</w:t>
      </w:r>
      <w:r>
        <w:t xml:space="preserve"> </w:t>
      </w:r>
      <w:r>
        <w:t xml:space="preserve">per year. If the benefits of withdrawing PBT/vPvB and PMT/vPvM substances are €0.7 or above,</w:t>
      </w:r>
      <w:r>
        <w:t xml:space="preserve"> </w:t>
      </w:r>
      <w:r>
        <w:t xml:space="preserve">then PO1a would be justified from an environmental point of view.</w:t>
      </w:r>
      <w:r>
        <w:t xml:space="preserve"> </w:t>
      </w:r>
      <w:r>
        <w:t xml:space="preserve">PO1b and PO1c would enhance the accuracy of hazard information communicated to consumers,</w:t>
      </w:r>
      <w:r>
        <w:t xml:space="preserve"> </w:t>
      </w:r>
      <w:r>
        <w:t xml:space="preserve">professional users and industrial workers, which will lead to their increased protection from</w:t>
      </w:r>
      <w:r>
        <w:t xml:space="preserve"> </w:t>
      </w:r>
      <w:r>
        <w:t xml:space="preserve">hazardous substances and mixtures and ensure they dispose of the chemicals in a safe way. This is</w:t>
      </w:r>
      <w:r>
        <w:t xml:space="preserve"> </w:t>
      </w:r>
      <w:r>
        <w:t xml:space="preserve">expected to have a positive impact on the appropriateness of risk management and waste disposal</w:t>
      </w:r>
      <w:r>
        <w:t xml:space="preserve"> </w:t>
      </w:r>
      <w:r>
        <w:t xml:space="preserve">measures in the workplace, thus leading to improved environmental protection. This would be</w:t>
      </w:r>
      <w:r>
        <w:t xml:space="preserve"> </w:t>
      </w:r>
      <w:r>
        <w:t xml:space="preserve">expected to positively reduce pollution affecting aquatic species, surface and ground water and land</w:t>
      </w:r>
      <w:r>
        <w:t xml:space="preserve"> </w:t>
      </w:r>
      <w:r>
        <w:t xml:space="preserve">contamination. However, this impact would be milder than the one generated by PO1a.</w:t>
      </w:r>
      <w:r>
        <w:t xml:space="preserve"> </w:t>
      </w:r>
      <w:r>
        <w:t xml:space="preserve">PO1d is not expected to trigger significant direct benefits, as it would be up to sectorial</w:t>
      </w:r>
      <w:r>
        <w:t xml:space="preserve"> </w:t>
      </w:r>
      <w:r>
        <w:t xml:space="preserve">downstream legislation to provide for the uptake of harmonised reference values. However, as an</w:t>
      </w:r>
      <w:r>
        <w:t xml:space="preserve"> </w:t>
      </w:r>
      <w:r>
        <w:t xml:space="preserve">illustrative comparison, the harmonised value for N,N-dimethylformamide solvent determined</w:t>
      </w:r>
      <w:r>
        <w:t xml:space="preserve"> </w:t>
      </w:r>
      <w:r>
        <w:t xml:space="preserve">under REACH was 60% lower than an existing sectorial value. Implementing this harmonised</w:t>
      </w:r>
      <w:r>
        <w:t xml:space="preserve"> </w:t>
      </w:r>
      <w:r>
        <w:t xml:space="preserve">value would contribute to lower the exposure of workers to that solvent, which is classified as toxic</w:t>
      </w:r>
      <w:r>
        <w:t xml:space="preserve"> </w:t>
      </w:r>
      <w:r>
        <w:t xml:space="preserve">to reproduction.</w:t>
      </w:r>
    </w:p>
    <w:p>
      <w:pPr>
        <w:pStyle w:val="BodyText"/>
      </w:pPr>
      <w:r>
        <w:t xml:space="preserve">39</w:t>
      </w:r>
    </w:p>
    <w:p>
      <w:pPr>
        <w:pStyle w:val="BodyText"/>
      </w:pPr>
      <w:r>
        <w:t xml:space="preserve">6.1.3 Social impact</w:t>
      </w:r>
      <w:r>
        <w:t xml:space="preserve"> </w:t>
      </w:r>
      <w:r>
        <w:t xml:space="preserve">Under PO1a and PO1c, some substances classified according to the new hazard classes (either</w:t>
      </w:r>
      <w:r>
        <w:t xml:space="preserve"> </w:t>
      </w:r>
      <w:r>
        <w:t xml:space="preserve">through self- or harmonised classification) may be voluntarily phased-out by industry from some</w:t>
      </w:r>
      <w:r>
        <w:t xml:space="preserve"> </w:t>
      </w:r>
      <w:r>
        <w:t xml:space="preserve">mixtures, in particular those with consumer uses, and replaced by less hazardous alternatives when</w:t>
      </w:r>
      <w:r>
        <w:t xml:space="preserve"> </w:t>
      </w:r>
      <w:r>
        <w:t xml:space="preserve">possible. The availability of alternatives varies from substance to substance and there is very high</w:t>
      </w:r>
      <w:r>
        <w:t xml:space="preserve"> </w:t>
      </w:r>
      <w:r>
        <w:t xml:space="preserve">uncertainty on the substances that may be classified for the new hazard classes. It is therefore not</w:t>
      </w:r>
      <w:r>
        <w:t xml:space="preserve"> </w:t>
      </w:r>
      <w:r>
        <w:t xml:space="preserve">possible to determine the proportion of substances and mixtures that may be withdrawn from the</w:t>
      </w:r>
      <w:r>
        <w:t xml:space="preserve"> </w:t>
      </w:r>
      <w:r>
        <w:t xml:space="preserve">market because of a lack of alternatives123.</w:t>
      </w:r>
      <w:r>
        <w:br/>
      </w:r>
      <w:r>
        <w:t xml:space="preserve">For PO1b, companies with very large substance portfolios may have to increase their number of</w:t>
      </w:r>
      <w:r>
        <w:t xml:space="preserve"> </w:t>
      </w:r>
      <w:r>
        <w:t xml:space="preserve">regulatory staff to accommodate the additional regulatory burden (adjustments to diverging</w:t>
      </w:r>
      <w:r>
        <w:t xml:space="preserve"> </w:t>
      </w:r>
      <w:r>
        <w:t xml:space="preserve">classifications, updates of incorrect classifications). Whilst the estimated costs may not cause</w:t>
      </w:r>
      <w:r>
        <w:t xml:space="preserve"> </w:t>
      </w:r>
      <w:r>
        <w:t xml:space="preserve">discontinuation of business, levels of employment may increase and the impact is expected to be</w:t>
      </w:r>
      <w:r>
        <w:t xml:space="preserve"> </w:t>
      </w:r>
      <w:r>
        <w:t xml:space="preserve">weakly positive. As an example, measure #6 would entail about 20,000 working days over 2023-</w:t>
      </w:r>
      <w:r>
        <w:t xml:space="preserve"> </w:t>
      </w:r>
      <w:r>
        <w:t xml:space="preserve">2040.</w:t>
      </w:r>
      <w:r>
        <w:t xml:space="preserve"> </w:t>
      </w:r>
      <w:r>
        <w:t xml:space="preserve">No social impact was identified for PO1d.</w:t>
      </w:r>
      <w:r>
        <w:t xml:space="preserve"> </w:t>
      </w:r>
      <w:r>
        <w:t xml:space="preserve">6.1.4 Stakeholders view on PO1</w:t>
      </w:r>
      <w:r>
        <w:t xml:space="preserve"> </w:t>
      </w:r>
      <w:r>
        <w:t xml:space="preserve">The introduction of new hazard classes was not disputed and generally strongly supported, even if</w:t>
      </w:r>
      <w:r>
        <w:t xml:space="preserve"> </w:t>
      </w:r>
      <w:r>
        <w:t xml:space="preserve">industry clearly indicated their preference to propose them at UN level directly (see discarded</w:t>
      </w:r>
      <w:r>
        <w:t xml:space="preserve"> </w:t>
      </w:r>
      <w:r>
        <w:t xml:space="preserve">options below). It also addresses strong calls from the co-legislators5,6. The need to improve self-</w:t>
      </w:r>
      <w:r>
        <w:t xml:space="preserve"> </w:t>
      </w:r>
      <w:r>
        <w:t xml:space="preserve">classification by improving the CLP inventory was shared by the stakeholders in general, though</w:t>
      </w:r>
      <w:r>
        <w:t xml:space="preserve"> </w:t>
      </w:r>
      <w:r>
        <w:t xml:space="preserve">there were diverging views regarding the way to realise those improvements. However,</w:t>
      </w:r>
      <w:r>
        <w:t xml:space="preserve"> </w:t>
      </w:r>
      <w:r>
        <w:t xml:space="preserve">stakeholders rated the measures assessed amongst the most appropriate ones in 2017. Public</w:t>
      </w:r>
      <w:r>
        <w:t xml:space="preserve"> </w:t>
      </w:r>
      <w:r>
        <w:t xml:space="preserve">authorities were not very supportive of measure #6 Automatic updates, doubting that benefits</w:t>
      </w:r>
      <w:r>
        <w:t xml:space="preserve"> </w:t>
      </w:r>
      <w:r>
        <w:t xml:space="preserve">would balance the costs of revamping the inventory. There was mixed feedback from industry side.</w:t>
      </w:r>
      <w:r>
        <w:t xml:space="preserve"> </w:t>
      </w:r>
      <w:r>
        <w:t xml:space="preserve">Measure #3 Justified divergences was agreed on content but views diverged when it comes to its</w:t>
      </w:r>
      <w:r>
        <w:t xml:space="preserve"> </w:t>
      </w:r>
      <w:r>
        <w:t xml:space="preserve">practical feasibility. Regarding measure #4 Transparent notifiers, there were also split views, with</w:t>
      </w:r>
      <w:r>
        <w:t xml:space="preserve"> </w:t>
      </w:r>
      <w:r>
        <w:t xml:space="preserve">reservations regarding confidentiality needs, especially for substances used for research.</w:t>
      </w:r>
      <w:r>
        <w:t xml:space="preserve"> </w:t>
      </w:r>
      <w:r>
        <w:t xml:space="preserve">The majority of stakeholders welcomed the measures proposed to improve the number of</w:t>
      </w:r>
      <w:r>
        <w:t xml:space="preserve"> </w:t>
      </w:r>
      <w:r>
        <w:t xml:space="preserve">harmonised classification and labelling dossiers (measures #7, #8 and #9). However, all categories</w:t>
      </w:r>
      <w:r>
        <w:t xml:space="preserve"> </w:t>
      </w:r>
      <w:r>
        <w:t xml:space="preserve">of stakeholders pointed that those measures should not add complexity to an already complex</w:t>
      </w:r>
      <w:r>
        <w:t xml:space="preserve"> </w:t>
      </w:r>
      <w:r>
        <w:t xml:space="preserve">system, nor restrain the Member States’ right of initiative. Several stakeholders also considered that</w:t>
      </w:r>
      <w:r>
        <w:t xml:space="preserve"> </w:t>
      </w:r>
      <w:r>
        <w:t xml:space="preserve">more resources, specifically at ECHA’s level, should be tapped into the classification processes. A</w:t>
      </w:r>
      <w:r>
        <w:t xml:space="preserve"> </w:t>
      </w:r>
      <w:r>
        <w:t xml:space="preserve">minority of stakeholders raised the issue of possible complication when the Commission would</w:t>
      </w:r>
      <w:r>
        <w:t xml:space="preserve"> </w:t>
      </w:r>
      <w:r>
        <w:t xml:space="preserve">disagree with an opinion diverging from the harmonised classification and labelling dossier they</w:t>
      </w:r>
      <w:r>
        <w:t xml:space="preserve"> </w:t>
      </w:r>
      <w:r>
        <w:t xml:space="preserve">would have initiated. Most of stakeholders also believed that CLP is not the right tool for the</w:t>
      </w:r>
    </w:p>
    <w:p>
      <w:pPr>
        <w:pStyle w:val="BodyText"/>
      </w:pPr>
      <w:r>
        <w:t xml:space="preserve">123 Based on the survey of 100 large chemical manufacturers, Ricardo (2021) estimates that businesses may be able to</w:t>
      </w:r>
      <w:r>
        <w:t xml:space="preserve"> </w:t>
      </w:r>
      <w:r>
        <w:t xml:space="preserve">substitute and reformulated one third of the portfolio, in terms of turnover, likely affected by the changes to the CLP</w:t>
      </w:r>
      <w:r>
        <w:t xml:space="preserve"> </w:t>
      </w:r>
      <w:r>
        <w:t xml:space="preserve">Regulation and the extension of the generic approach to risk management. According to Ricardo, for around 10% of the</w:t>
      </w:r>
      <w:r>
        <w:t xml:space="preserve"> </w:t>
      </w:r>
      <w:r>
        <w:t xml:space="preserve">likely affected portfolio it may be possible to apply and obtain derogations, and for 30% of the portfolio, businesses</w:t>
      </w:r>
      <w:r>
        <w:t xml:space="preserve"> </w:t>
      </w:r>
      <w:r>
        <w:t xml:space="preserve">would have to face increased regulatory burden. The remaining 40% is the net reduction of the likely affected portfolio</w:t>
      </w:r>
      <w:r>
        <w:t xml:space="preserve"> </w:t>
      </w:r>
      <w:r>
        <w:t xml:space="preserve">in terms of turnover. Such portfolio reduction may have repercussion in terms of competitiveness and employment</w:t>
      </w:r>
      <w:r>
        <w:t xml:space="preserve"> </w:t>
      </w:r>
      <w:r>
        <w:t xml:space="preserve">levels. However, it is not possible to attribute how much of the reduction would depend on changes to CLP and how</w:t>
      </w:r>
      <w:r>
        <w:t xml:space="preserve"> </w:t>
      </w:r>
      <w:r>
        <w:t xml:space="preserve">much to the extension of the GRA. Moreover, Ricardo (2021) considers more hazard classes than those proposed in</w:t>
      </w:r>
      <w:r>
        <w:t xml:space="preserve"> </w:t>
      </w:r>
      <w:r>
        <w:t xml:space="preserve">PO1a. Finally, it is not possible to triangulate this information. In any case, the figures on ‘affected turnover’ or</w:t>
      </w:r>
      <w:r>
        <w:t xml:space="preserve"> </w:t>
      </w:r>
      <w:r>
        <w:t xml:space="preserve">‘affected portfolio’ provided in Ricardo (2021) should be considered as illustrations of the size of the sectors involved</w:t>
      </w:r>
      <w:r>
        <w:t xml:space="preserve"> </w:t>
      </w:r>
      <w:r>
        <w:t xml:space="preserve">rather than indicators of economic losses (see discussion above).</w:t>
      </w:r>
    </w:p>
    <w:p>
      <w:pPr>
        <w:pStyle w:val="BodyText"/>
      </w:pPr>
      <w:r>
        <w:t xml:space="preserve">40</w:t>
      </w:r>
    </w:p>
    <w:p>
      <w:pPr>
        <w:pStyle w:val="BodyText"/>
      </w:pPr>
      <w:r>
        <w:t xml:space="preserve">harmonisation of human and environmental reference values (measure #10). Stakeholders do see</w:t>
      </w:r>
      <w:r>
        <w:t xml:space="preserve"> </w:t>
      </w:r>
      <w:r>
        <w:t xml:space="preserve">with favour, however, the creation of a new framework for harmonised human and environmental</w:t>
      </w:r>
      <w:r>
        <w:t xml:space="preserve"> </w:t>
      </w:r>
      <w:r>
        <w:t xml:space="preserve">reference values.</w:t>
      </w:r>
      <w:r>
        <w:t xml:space="preserve"> </w:t>
      </w:r>
      <w:r>
        <w:t xml:space="preserve">6.2</w:t>
      </w:r>
      <w:r>
        <w:t xml:space="preserve"> </w:t>
      </w:r>
      <w:r>
        <w:t xml:space="preserve">Communication of chemical hazards (Policy Option 2)</w:t>
      </w:r>
      <w:r>
        <w:t xml:space="preserve"> </w:t>
      </w:r>
      <w:r>
        <w:t xml:space="preserve">6.2.1 Economic impact</w:t>
      </w:r>
      <w:r>
        <w:t xml:space="preserve"> </w:t>
      </w:r>
      <w:r>
        <w:t xml:space="preserve">The business impacts of PO2a (New or revised guidance) – drawing from the experience gathered</w:t>
      </w:r>
      <w:r>
        <w:t xml:space="preserve"> </w:t>
      </w:r>
      <w:r>
        <w:t xml:space="preserve">through the six updates already done by ECHA on the CLP guidance - would be low, both in terms</w:t>
      </w:r>
      <w:r>
        <w:t xml:space="preserve"> </w:t>
      </w:r>
      <w:r>
        <w:t xml:space="preserve">of costs as well as expected benefits. In particular, benefits for business are expected to be very</w:t>
      </w:r>
      <w:r>
        <w:t xml:space="preserve"> </w:t>
      </w:r>
      <w:r>
        <w:t xml:space="preserve">limited where legal provisions are unclear or can be interpreted differently.</w:t>
      </w:r>
      <w:r>
        <w:t xml:space="preserve"> </w:t>
      </w:r>
      <w:r>
        <w:t xml:space="preserve">PO2b (Improving labelling and packaging and making labelling more flexible) is overall</w:t>
      </w:r>
      <w:r>
        <w:t xml:space="preserve"> </w:t>
      </w:r>
      <w:r>
        <w:t xml:space="preserve">expected to reinforce label readability, ensure that packaging is appropriate and provide legal</w:t>
      </w:r>
      <w:r>
        <w:t xml:space="preserve"> </w:t>
      </w:r>
      <w:r>
        <w:t xml:space="preserve">clarity and certainty for economic operators and competent authorities compared to the baseline</w:t>
      </w:r>
      <w:r>
        <w:t xml:space="preserve"> </w:t>
      </w:r>
      <w:r>
        <w:t xml:space="preserve">under which the high non-compliance rate would stay. It would bring limited additional</w:t>
      </w:r>
      <w:r>
        <w:t xml:space="preserve"> </w:t>
      </w:r>
      <w:r>
        <w:t xml:space="preserve">administrative costs for businesses, and to a larger extent to those, mostly SMEs, selling refill</w:t>
      </w:r>
      <w:r>
        <w:t xml:space="preserve"> </w:t>
      </w:r>
      <w:r>
        <w:t xml:space="preserve">chemicals and that are not yet complying with the current rules, for an annualised one-off cost</w:t>
      </w:r>
      <w:r>
        <w:t xml:space="preserve"> </w:t>
      </w:r>
      <w:r>
        <w:t xml:space="preserve">between €23,320 and €40,670124. It would also provide recurring savings to industry between €20-</w:t>
      </w:r>
      <w:r>
        <w:t xml:space="preserve"> </w:t>
      </w:r>
      <w:r>
        <w:t xml:space="preserve">59 million per year, because of increased legal certainty and labelling flexibility which would help</w:t>
      </w:r>
      <w:r>
        <w:t xml:space="preserve"> </w:t>
      </w:r>
      <w:r>
        <w:t xml:space="preserve">to reduce compliance costs.</w:t>
      </w:r>
      <w:r>
        <w:br/>
      </w:r>
      <w:r>
        <w:t xml:space="preserve">Allowing digital labelling through a voluntary scheme, under PO2c, would lead to overall positive</w:t>
      </w:r>
      <w:r>
        <w:t xml:space="preserve"> </w:t>
      </w:r>
      <w:r>
        <w:t xml:space="preserve">economic impacts, as it would provide a harmonised and predictable framework, and, therefore,</w:t>
      </w:r>
      <w:r>
        <w:t xml:space="preserve"> </w:t>
      </w:r>
      <w:r>
        <w:t xml:space="preserve">administrative burdens for industry would decrease. Digital labels would also allow business to</w:t>
      </w:r>
      <w:r>
        <w:t xml:space="preserve"> </w:t>
      </w:r>
      <w:r>
        <w:t xml:space="preserve">target consumer groups better, thus offering business opportunities.</w:t>
      </w:r>
      <w:r>
        <w:t xml:space="preserve"> </w:t>
      </w:r>
      <w:r>
        <w:t xml:space="preserve">Table 12: Summary of PO2 economic costs to European businesses (one-off annualised and annual recurrent</w:t>
      </w:r>
      <w:r>
        <w:t xml:space="preserve"> </w:t>
      </w:r>
      <w:r>
        <w:t xml:space="preserve">costs, central estimates € million, period: 20y)</w:t>
      </w:r>
      <w:r>
        <w:t xml:space="preserve"> </w:t>
      </w:r>
      <w:r>
        <w:t xml:space="preserve">Policy option</w:t>
      </w:r>
      <w:r>
        <w:t xml:space="preserve"> </w:t>
      </w:r>
      <w:r>
        <w:t xml:space="preserve">Administrative costs</w:t>
      </w:r>
      <w:r>
        <w:t xml:space="preserve"> </w:t>
      </w:r>
      <w:r>
        <w:t xml:space="preserve">Adjustment costs</w:t>
      </w:r>
      <w:r>
        <w:t xml:space="preserve"> </w:t>
      </w:r>
      <w:r>
        <w:t xml:space="preserve">PO2a</w:t>
      </w:r>
      <w:r>
        <w:t xml:space="preserve"> </w:t>
      </w:r>
      <w:r>
        <w:t xml:space="preserve">Existing but not possible to quantify</w:t>
      </w:r>
      <w:r>
        <w:t xml:space="preserve"> </w:t>
      </w:r>
      <w:r>
        <w:t xml:space="preserve">-</w:t>
      </w:r>
      <w:r>
        <w:t xml:space="preserve"> </w:t>
      </w:r>
      <w:r>
        <w:t xml:space="preserve">PO2b</w:t>
      </w:r>
      <w:r>
        <w:t xml:space="preserve"> </w:t>
      </w:r>
      <w:r>
        <w:t xml:space="preserve">1.72 (of which 1.66 are recurrent</w:t>
      </w:r>
      <w:r>
        <w:t xml:space="preserve"> </w:t>
      </w:r>
      <w:r>
        <w:t xml:space="preserve">costs and 0.06 are one-off ones)</w:t>
      </w:r>
      <w:r>
        <w:t xml:space="preserve"> </w:t>
      </w:r>
      <w:r>
        <w:t xml:space="preserve">-</w:t>
      </w:r>
      <w:r>
        <w:t xml:space="preserve"> </w:t>
      </w:r>
      <w:r>
        <w:t xml:space="preserve">PO2c</w:t>
      </w:r>
      <w:r>
        <w:t xml:space="preserve"> </w:t>
      </w:r>
      <w:r>
        <w:t xml:space="preserve">-</w:t>
      </w:r>
      <w:r>
        <w:t xml:space="preserve"> </w:t>
      </w:r>
      <w:r>
        <w:t xml:space="preserve">Existing but not possible to quantify</w:t>
      </w:r>
    </w:p>
    <w:p>
      <w:pPr>
        <w:pStyle w:val="BodyText"/>
      </w:pPr>
      <w:r>
        <w:t xml:space="preserve">6.2.2 Environment and health impacts</w:t>
      </w:r>
      <w:r>
        <w:t xml:space="preserve"> </w:t>
      </w:r>
      <w:r>
        <w:t xml:space="preserve">The environmental and health impacts of PO2a – drawing from the experience gathered through</w:t>
      </w:r>
      <w:r>
        <w:t xml:space="preserve"> </w:t>
      </w:r>
      <w:r>
        <w:t xml:space="preserve">the six updates already done by ECHA on the CLP guidance – are expected to be low.</w:t>
      </w:r>
      <w:r>
        <w:t xml:space="preserve"> </w:t>
      </w:r>
      <w:r>
        <w:t xml:space="preserve">The impact of the clarification of labelling provisions for refills under PO2b (Improving labelling</w:t>
      </w:r>
      <w:r>
        <w:t xml:space="preserve"> </w:t>
      </w:r>
      <w:r>
        <w:t xml:space="preserve">and making it more flexible) would be positive on public health effects, as consumers would have</w:t>
      </w:r>
      <w:r>
        <w:t xml:space="preserve"> </w:t>
      </w:r>
      <w:r>
        <w:t xml:space="preserve">complete information and could take informed choices for their health and the environment. It is</w:t>
      </w:r>
      <w:r>
        <w:t xml:space="preserve"> </w:t>
      </w:r>
      <w:r>
        <w:t xml:space="preserve">understood that their capacity to understand the labelling of chemicals can only improve with the</w:t>
      </w:r>
    </w:p>
    <w:p>
      <w:pPr>
        <w:pStyle w:val="BodyText"/>
      </w:pPr>
      <w:r>
        <w:t xml:space="preserve">124 This does not take into account the cost of improving the readability.</w:t>
      </w:r>
    </w:p>
    <w:p>
      <w:pPr>
        <w:pStyle w:val="BodyText"/>
      </w:pPr>
      <w:r>
        <w:t xml:space="preserve">41</w:t>
      </w:r>
    </w:p>
    <w:p>
      <w:pPr>
        <w:pStyle w:val="BodyText"/>
      </w:pPr>
      <w:r>
        <w:t xml:space="preserve">changes brought under policy option 2. However data available in the supporting study do not allow</w:t>
      </w:r>
      <w:r>
        <w:t xml:space="preserve"> </w:t>
      </w:r>
      <w:r>
        <w:t xml:space="preserve">for a more granular qualification, especially regarding a detailed analysis of consumer behaviour.</w:t>
      </w:r>
      <w:r>
        <w:t xml:space="preserve"> </w:t>
      </w:r>
      <w:r>
        <w:t xml:space="preserve">Refill practices have large environmental benefits for the reuse of packaging and related reduction</w:t>
      </w:r>
      <w:r>
        <w:t xml:space="preserve"> </w:t>
      </w:r>
      <w:r>
        <w:t xml:space="preserve">of resources needed to produce new packaging as well as the consequent reduction in packaging</w:t>
      </w:r>
      <w:r>
        <w:t xml:space="preserve"> </w:t>
      </w:r>
      <w:r>
        <w:t xml:space="preserve">waste. Simplifying labelling and making it more flexible is expected to also have a small positive</w:t>
      </w:r>
      <w:r>
        <w:t xml:space="preserve"> </w:t>
      </w:r>
      <w:r>
        <w:t xml:space="preserve">impact in terms of (reduced) packaging waste. In addition, prohibiting the refill sales of chemicals</w:t>
      </w:r>
      <w:r>
        <w:t xml:space="preserve"> </w:t>
      </w:r>
      <w:r>
        <w:t xml:space="preserve">displaying hazardous properties (such as corrosivity) will limit exposure of consumers and reduce</w:t>
      </w:r>
      <w:r>
        <w:t xml:space="preserve"> </w:t>
      </w:r>
      <w:r>
        <w:t xml:space="preserve">the likelihood of damage to the environment. Improved readability criteria are expected to increase</w:t>
      </w:r>
      <w:r>
        <w:t xml:space="preserve"> </w:t>
      </w:r>
      <w:r>
        <w:t xml:space="preserve">the effectiveness of hazard communication for both human health and environment.</w:t>
      </w:r>
      <w:r>
        <w:br/>
      </w:r>
      <w:r>
        <w:t xml:space="preserve">For PO2c, additional digital labelling would lead to positive social impacts in terms of increased</w:t>
      </w:r>
      <w:r>
        <w:t xml:space="preserve"> </w:t>
      </w:r>
      <w:r>
        <w:t xml:space="preserve">understanding of chemical labels and effectiveness of hazard communication for both human health</w:t>
      </w:r>
      <w:r>
        <w:t xml:space="preserve"> </w:t>
      </w:r>
      <w:r>
        <w:t xml:space="preserve">and environment. Through more comprehensive communication, it could in particular reduce</w:t>
      </w:r>
      <w:r>
        <w:t xml:space="preserve"> </w:t>
      </w:r>
      <w:r>
        <w:t xml:space="preserve">adverse effects on consumer health stemming from inadequate use of products. As the physical</w:t>
      </w:r>
      <w:r>
        <w:t xml:space="preserve"> </w:t>
      </w:r>
      <w:r>
        <w:t xml:space="preserve">label as it is today will remain mandatory to a large extent, there will be no negative impact for</w:t>
      </w:r>
      <w:r>
        <w:t xml:space="preserve"> </w:t>
      </w:r>
      <w:r>
        <w:t xml:space="preserve">population groups without or with limited access to digital tools or the internet. At the same time,</w:t>
      </w:r>
      <w:r>
        <w:t xml:space="preserve"> </w:t>
      </w:r>
      <w:r>
        <w:t xml:space="preserve">digital labels could have significant positive impacts for vulnerable groups like those with visual or</w:t>
      </w:r>
      <w:r>
        <w:t xml:space="preserve"> </w:t>
      </w:r>
      <w:r>
        <w:t xml:space="preserve">other impairments (e.g. through the aid of read-out-loud digital labels). Digital labels would also</w:t>
      </w:r>
      <w:r>
        <w:t xml:space="preserve"> </w:t>
      </w:r>
      <w:r>
        <w:t xml:space="preserve">allow to integrate additional language versions for those users that are not sufficiently fluent with</w:t>
      </w:r>
      <w:r>
        <w:t xml:space="preserve"> </w:t>
      </w:r>
      <w:r>
        <w:t xml:space="preserve">the official languages of the Member State where they live. Data available in the supporting study</w:t>
      </w:r>
      <w:r>
        <w:t xml:space="preserve"> </w:t>
      </w:r>
      <w:r>
        <w:t xml:space="preserve">or other impact assessment on digitalisation125 do not unfortunately allow for a more granular</w:t>
      </w:r>
      <w:r>
        <w:t xml:space="preserve"> </w:t>
      </w:r>
      <w:r>
        <w:t xml:space="preserve">qualification.</w:t>
      </w:r>
      <w:r>
        <w:t xml:space="preserve"> </w:t>
      </w:r>
      <w:r>
        <w:t xml:space="preserve">6.2.3 Stakeholders views on PO2</w:t>
      </w:r>
      <w:r>
        <w:t xml:space="preserve"> </w:t>
      </w:r>
      <w:r>
        <w:t xml:space="preserve">With regard the PO2, respondents to the open public consultation generally welcomed a broader</w:t>
      </w:r>
      <w:r>
        <w:t xml:space="preserve"> </w:t>
      </w:r>
      <w:r>
        <w:t xml:space="preserve">use of multilingual fold-out labels and introduction of tailored labelling rules where there is</w:t>
      </w:r>
      <w:r>
        <w:t xml:space="preserve"> </w:t>
      </w:r>
      <w:r>
        <w:t xml:space="preserve">insufficient space on the packaging (such as derogations). Most respondents to the open and</w:t>
      </w:r>
      <w:r>
        <w:t xml:space="preserve"> </w:t>
      </w:r>
      <w:r>
        <w:t xml:space="preserve">targeted consultations emphasised the importance of proper arrangement of content on labels –</w:t>
      </w:r>
      <w:r>
        <w:t xml:space="preserve"> </w:t>
      </w:r>
      <w:r>
        <w:t xml:space="preserve">effectively using small packaging space by prioritising visual information, reducing the volume of</w:t>
      </w:r>
      <w:r>
        <w:t xml:space="preserve"> </w:t>
      </w:r>
      <w:r>
        <w:t xml:space="preserve">information on the label, etc. Furthermore, most emphasised the importance of proper CLP</w:t>
      </w:r>
      <w:r>
        <w:t xml:space="preserve"> </w:t>
      </w:r>
      <w:r>
        <w:t xml:space="preserve">labelling for refill chemicals, in particular to ensure that customers get all relevant safety</w:t>
      </w:r>
      <w:r>
        <w:t xml:space="preserve"> </w:t>
      </w:r>
      <w:r>
        <w:t xml:space="preserve">information. Similar concerns were raised in the discussions with the Competent Authorities for</w:t>
      </w:r>
      <w:r>
        <w:t xml:space="preserve"> </w:t>
      </w:r>
      <w:r>
        <w:t xml:space="preserve">REACH and CLP (CARACAL) expert group.</w:t>
      </w:r>
      <w:r>
        <w:br/>
      </w:r>
      <w:r>
        <w:t xml:space="preserve">Most stakeholders highlighted the importance and opportunities of digital labelling as innovative</w:t>
      </w:r>
      <w:r>
        <w:t xml:space="preserve"> </w:t>
      </w:r>
      <w:r>
        <w:t xml:space="preserve">means for hazard communication. However, some respondents – including competent authorities -</w:t>
      </w:r>
      <w:r>
        <w:t xml:space="preserve"> </w:t>
      </w:r>
      <w:r>
        <w:t xml:space="preserve">expressed concern on digital labels becoming the only means for hazard communication, as citizens</w:t>
      </w:r>
      <w:r>
        <w:t xml:space="preserve"> </w:t>
      </w:r>
      <w:r>
        <w:t xml:space="preserve">without access to digital technologies or skills would be put in a disadvantaged position. Allowing</w:t>
      </w:r>
      <w:r>
        <w:t xml:space="preserve"> </w:t>
      </w:r>
      <w:r>
        <w:t xml:space="preserve">digital labelling of a very specific set of information is an overall preferred measure by</w:t>
      </w:r>
      <w:r>
        <w:t xml:space="preserve"> </w:t>
      </w:r>
      <w:r>
        <w:t xml:space="preserve">stakeholders, as this would also allow for the necessary simplification, while avoiding digital</w:t>
      </w:r>
      <w:r>
        <w:t xml:space="preserve"> </w:t>
      </w:r>
      <w:r>
        <w:t xml:space="preserve">divides (see more details in Annex 8).</w:t>
      </w:r>
      <w:r>
        <w:t xml:space="preserve"> </w:t>
      </w:r>
      <w:r>
        <w:t xml:space="preserve">6.3</w:t>
      </w:r>
      <w:r>
        <w:t xml:space="preserve"> </w:t>
      </w:r>
      <w:r>
        <w:t xml:space="preserve">Addressing main legal gaps and ambiguities (Policy Option 3)</w:t>
      </w:r>
      <w:r>
        <w:t xml:space="preserve"> </w:t>
      </w:r>
      <w:r>
        <w:t xml:space="preserve">6.3.1 Economic impacts</w:t>
      </w:r>
      <w:r>
        <w:br/>
      </w:r>
      <w:r>
        <w:t xml:space="preserve">The costs of PO3a (awareness campaigns) are associated with the operation of a consumer</w:t>
      </w:r>
      <w:r>
        <w:t xml:space="preserve"> </w:t>
      </w:r>
      <w:r>
        <w:t xml:space="preserve">awareness campaign on online sales. This could be included within existing campaigns (such as the</w:t>
      </w:r>
      <w:r>
        <w:t xml:space="preserve"> </w:t>
      </w:r>
      <w:r>
        <w:t xml:space="preserve">European Interactive Digital Advertising Alliance) or could be standalone. As the intended target of</w:t>
      </w:r>
    </w:p>
    <w:p>
      <w:pPr>
        <w:pStyle w:val="BodyText"/>
      </w:pPr>
      <w:r>
        <w:t xml:space="preserve">125</w:t>
      </w:r>
    </w:p>
    <w:p>
      <w:pPr>
        <w:pStyle w:val="BodyText"/>
      </w:pPr>
      <w:r>
        <w:t xml:space="preserve">42</w:t>
      </w:r>
    </w:p>
    <w:p>
      <w:pPr>
        <w:pStyle w:val="BodyText"/>
      </w:pPr>
      <w:r>
        <w:t xml:space="preserve">such a campaign would be online consumers, operation of a digital campaign would be the method</w:t>
      </w:r>
      <w:r>
        <w:t xml:space="preserve"> </w:t>
      </w:r>
      <w:r>
        <w:t xml:space="preserve">of choice, making it relatively inexpensive to operate. Assuming €150,000 in staff costs (3 full-time</w:t>
      </w:r>
      <w:r>
        <w:t xml:space="preserve"> </w:t>
      </w:r>
      <w:r>
        <w:t xml:space="preserve">equivalents) and €150,000 for equipment and operational costs would imply costs of around</w:t>
      </w:r>
      <w:r>
        <w:t xml:space="preserve"> </w:t>
      </w:r>
      <w:r>
        <w:t xml:space="preserve">€300,000 per year to the EU budget.</w:t>
      </w:r>
      <w:r>
        <w:br/>
      </w:r>
      <w:r>
        <w:t xml:space="preserve">PO3b (Provisions and clear responsibilities for online sales and imports) would not require a</w:t>
      </w:r>
      <w:r>
        <w:t xml:space="preserve"> </w:t>
      </w:r>
      <w:r>
        <w:t xml:space="preserve">change to the physical label or the packaging to which it is attached. Information would need to be</w:t>
      </w:r>
      <w:r>
        <w:t xml:space="preserve"> </w:t>
      </w:r>
      <w:r>
        <w:t xml:space="preserve">included in future online adverts/offerings. The costs of such actions would already be borne by</w:t>
      </w:r>
      <w:r>
        <w:t xml:space="preserve"> </w:t>
      </w:r>
      <w:r>
        <w:t xml:space="preserve">online traders and platforms in order to comply with the General Product Safety Regulation, once</w:t>
      </w:r>
      <w:r>
        <w:t xml:space="preserve"> </w:t>
      </w:r>
      <w:r>
        <w:t xml:space="preserve">adopted. Sellers based outside the EU would have to sell via a new or already established EU based</w:t>
      </w:r>
      <w:r>
        <w:t xml:space="preserve"> </w:t>
      </w:r>
      <w:r>
        <w:t xml:space="preserve">responsible economic actor and are likely to have to pay a commission to that responsible actor.</w:t>
      </w:r>
      <w:r>
        <w:t xml:space="preserve"> </w:t>
      </w:r>
      <w:r>
        <w:t xml:space="preserve">These same costs (to outside sellers) would bring benefits for the newly established responsible</w:t>
      </w:r>
      <w:r>
        <w:t xml:space="preserve"> </w:t>
      </w:r>
      <w:r>
        <w:t xml:space="preserve">economic actors in the EU. Based on estimations, approximately 32.4 million products subject to</w:t>
      </w:r>
      <w:r>
        <w:t xml:space="preserve"> </w:t>
      </w:r>
      <w:r>
        <w:t xml:space="preserve">CLP requirements reach EU consumers from outside the EU (see Annex 15). At a value of €20 for</w:t>
      </w:r>
      <w:r>
        <w:t xml:space="preserve"> </w:t>
      </w:r>
      <w:r>
        <w:t xml:space="preserve">each product (consistent with the €22 VAT free cut-off that applied until July 2021) and a</w:t>
      </w:r>
      <w:r>
        <w:t xml:space="preserve"> </w:t>
      </w:r>
      <w:r>
        <w:t xml:space="preserve">commission of 2%, this equates to an EU benefit of around €12.96 million per year for chemicals</w:t>
      </w:r>
      <w:r>
        <w:t xml:space="preserve"> </w:t>
      </w:r>
      <w:r>
        <w:t xml:space="preserve">subject to CLP. A commission of 5% would equate to benefits to the EU of around €32.4 million</w:t>
      </w:r>
      <w:r>
        <w:t xml:space="preserve"> </w:t>
      </w:r>
      <w:r>
        <w:t xml:space="preserve">per year. Moreover, sellers from outside the EU would have to bear the compliance cost of adhering</w:t>
      </w:r>
      <w:r>
        <w:t xml:space="preserve"> </w:t>
      </w:r>
      <w:r>
        <w:t xml:space="preserve">to the CLP rules and this would level the playing field between sellers from in and outside the EU,</w:t>
      </w:r>
      <w:r>
        <w:t xml:space="preserve"> </w:t>
      </w:r>
      <w:r>
        <w:t xml:space="preserve">with sellers from inside the EU benefitting from the resulting fairness in competition. In particular</w:t>
      </w:r>
      <w:r>
        <w:t xml:space="preserve"> </w:t>
      </w:r>
      <w:r>
        <w:t xml:space="preserve">SMEs relying on online platforms to trade their products would benefit from this adjustment. It was</w:t>
      </w:r>
      <w:r>
        <w:t xml:space="preserve"> </w:t>
      </w:r>
      <w:r>
        <w:t xml:space="preserve">impossible to assess quantitatively how much it costs to comply with CLP rules, or how much the</w:t>
      </w:r>
      <w:r>
        <w:t xml:space="preserve"> </w:t>
      </w:r>
      <w:r>
        <w:t xml:space="preserve">EU-based sellers would gain from enhanced competitiveness. Costs for enforcement authorities</w:t>
      </w:r>
      <w:r>
        <w:t xml:space="preserve"> </w:t>
      </w:r>
      <w:r>
        <w:t xml:space="preserve">would already be partially alleviated by the draft General Product Safety Regulation even if they</w:t>
      </w:r>
      <w:r>
        <w:t xml:space="preserve"> </w:t>
      </w:r>
      <w:r>
        <w:t xml:space="preserve">would have to check on the responsible actors.</w:t>
      </w:r>
      <w:r>
        <w:br/>
      </w:r>
      <w:r>
        <w:t xml:space="preserve">Also national enforcement authorities would have costs to check if responsible actors are appointed</w:t>
      </w:r>
      <w:r>
        <w:t xml:space="preserve"> </w:t>
      </w:r>
      <w:r>
        <w:t xml:space="preserve">and goods are indeed sold via the responsible actor. These costs will be much lower if rules for</w:t>
      </w:r>
      <w:r>
        <w:t xml:space="preserve"> </w:t>
      </w:r>
      <w:r>
        <w:t xml:space="preserve">online offerings and savings include a reference to or information on the responsible actor</w:t>
      </w:r>
      <w:r>
        <w:t xml:space="preserve"> </w:t>
      </w:r>
      <w:r>
        <w:t xml:space="preserve">(combination of #17 and #18, full PO3b).</w:t>
      </w:r>
      <w:r>
        <w:t xml:space="preserve"> </w:t>
      </w:r>
      <w:r>
        <w:t xml:space="preserve">PO3c (Clarifying provisions for notifications to poison centres) covers three mutually exclusive</w:t>
      </w:r>
      <w:r>
        <w:t xml:space="preserve"> </w:t>
      </w:r>
      <w:r>
        <w:t xml:space="preserve">measures that would have moderately to high negative impacts on the administrative burden on</w:t>
      </w:r>
      <w:r>
        <w:t xml:space="preserve"> </w:t>
      </w:r>
      <w:r>
        <w:t xml:space="preserve">businesses (one-off and annualised costs), and neutral to moderate negative impacts on public</w:t>
      </w:r>
      <w:r>
        <w:t xml:space="preserve"> </w:t>
      </w:r>
      <w:r>
        <w:t xml:space="preserve">authorities. Under PO3c, all policy measures are likely to have a positive market impact in levelling</w:t>
      </w:r>
      <w:r>
        <w:t xml:space="preserve"> </w:t>
      </w:r>
      <w:r>
        <w:t xml:space="preserve">the playing field across the EU and in improving human health protection. The kind of impacts are</w:t>
      </w:r>
      <w:r>
        <w:t xml:space="preserve"> </w:t>
      </w:r>
      <w:r>
        <w:t xml:space="preserve">the same, albeit with different magnitudes. Asking all distributors to notify the classification of</w:t>
      </w:r>
      <w:r>
        <w:t xml:space="preserve"> </w:t>
      </w:r>
      <w:r>
        <w:t xml:space="preserve">their mixtures to poison centres raises annualised one-off costs between €1.5 million and €11.4</w:t>
      </w:r>
      <w:r>
        <w:t xml:space="preserve"> </w:t>
      </w:r>
      <w:r>
        <w:t xml:space="preserve">million. This can be reduced to €0.05 million and €0.4 million if notifications are required only in</w:t>
      </w:r>
      <w:r>
        <w:t xml:space="preserve"> </w:t>
      </w:r>
      <w:r>
        <w:t xml:space="preserve">case of information loss. The last option targeting re-branders and re-labellers would cost between</w:t>
      </w:r>
      <w:r>
        <w:t xml:space="preserve"> </w:t>
      </w:r>
      <w:r>
        <w:t xml:space="preserve">€0.4 million and €3.5 million. The latter would however make the current system more complex by</w:t>
      </w:r>
      <w:r>
        <w:t xml:space="preserve"> </w:t>
      </w:r>
      <w:r>
        <w:t xml:space="preserve">setting up new actors or roles. As part of the portfolio is reformulated every year, recurrent costs</w:t>
      </w:r>
      <w:r>
        <w:t xml:space="preserve"> </w:t>
      </w:r>
      <w:r>
        <w:t xml:space="preserve">would amount to 25% of the one-off costs just described (see also Annex 16). The overall cost can</w:t>
      </w:r>
      <w:r>
        <w:t xml:space="preserve"> </w:t>
      </w:r>
      <w:r>
        <w:t xml:space="preserve">be expected to be less than that of large enterprises, given that SMEs do not distribute cross-border.</w:t>
      </w:r>
      <w:r>
        <w:t xml:space="preserve"> </w:t>
      </w:r>
      <w:r>
        <w:t xml:space="preserve">Also, companies do not have to pay submission fees to poison centres except for three Member</w:t>
      </w:r>
      <w:r>
        <w:t xml:space="preserve"> </w:t>
      </w:r>
      <w:r>
        <w:t xml:space="preserve">States126.</w:t>
      </w:r>
      <w:r>
        <w:t xml:space="preserve"> </w:t>
      </w:r>
      <w:r>
        <w:t xml:space="preserve">Costs for enforcement authorities under PO3c will increase in order to carry out compliance checks</w:t>
      </w:r>
      <w:r>
        <w:t xml:space="preserve"> </w:t>
      </w:r>
      <w:r>
        <w:t xml:space="preserve">with the new provisions. Costs for national authorities would be alleviated by ECHA providing a</w:t>
      </w:r>
    </w:p>
    <w:p>
      <w:pPr>
        <w:pStyle w:val="BodyText"/>
      </w:pPr>
      <w:r>
        <w:t xml:space="preserve">126 Belgium, Greece, Italy; ECHA overview table of Annex VIII implementation by Member States.</w:t>
      </w:r>
    </w:p>
    <w:p>
      <w:pPr>
        <w:pStyle w:val="BodyText"/>
      </w:pPr>
      <w:r>
        <w:t xml:space="preserve">43</w:t>
      </w:r>
    </w:p>
    <w:p>
      <w:pPr>
        <w:pStyle w:val="BodyText"/>
      </w:pPr>
      <w:r>
        <w:t xml:space="preserve">centralised dispatch mechanism and searchable database to which Member States can have access</w:t>
      </w:r>
      <w:r>
        <w:t xml:space="preserve"> </w:t>
      </w:r>
      <w:r>
        <w:t xml:space="preserve">for free (they would just have to adapt their national IT systems to receive the data). Nevertheless,</w:t>
      </w:r>
      <w:r>
        <w:t xml:space="preserve"> </w:t>
      </w:r>
      <w:r>
        <w:t xml:space="preserve">national authorities could have an increase in costs for poison centres receiving more data and</w:t>
      </w:r>
      <w:r>
        <w:t xml:space="preserve"> </w:t>
      </w:r>
      <w:r>
        <w:t xml:space="preserve">running their systems. Such adaptation of national IT systems is proportionate with the number of</w:t>
      </w:r>
      <w:r>
        <w:t xml:space="preserve"> </w:t>
      </w:r>
      <w:r>
        <w:t xml:space="preserve">notifications.</w:t>
      </w:r>
      <w:r>
        <w:br/>
      </w:r>
      <w:r>
        <w:t xml:space="preserve">Table 13: Summary of PO2 economic costs to European businesses (one-off annualised and annual recurrent</w:t>
      </w:r>
      <w:r>
        <w:t xml:space="preserve"> </w:t>
      </w:r>
      <w:r>
        <w:t xml:space="preserve">costs, central estimates € million, period: 20y)</w:t>
      </w:r>
      <w:r>
        <w:t xml:space="preserve"> </w:t>
      </w:r>
      <w:r>
        <w:t xml:space="preserve">Policy option</w:t>
      </w:r>
      <w:r>
        <w:t xml:space="preserve"> </w:t>
      </w:r>
      <w:r>
        <w:t xml:space="preserve">Administrative costs</w:t>
      </w:r>
      <w:r>
        <w:t xml:space="preserve"> </w:t>
      </w:r>
      <w:r>
        <w:t xml:space="preserve">Adjustment costs</w:t>
      </w:r>
      <w:r>
        <w:t xml:space="preserve"> </w:t>
      </w:r>
      <w:r>
        <w:t xml:space="preserve">PO3a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PO3b</w:t>
      </w:r>
      <w:r>
        <w:t xml:space="preserve"> </w:t>
      </w:r>
      <w:r>
        <w:t xml:space="preserve">-</w:t>
      </w:r>
      <w:r>
        <w:t xml:space="preserve"> </w:t>
      </w:r>
      <w:r>
        <w:t xml:space="preserve">Existing savings but not possible to</w:t>
      </w:r>
      <w:r>
        <w:t xml:space="preserve"> </w:t>
      </w:r>
      <w:r>
        <w:t xml:space="preserve">quantify</w:t>
      </w:r>
      <w:r>
        <w:t xml:space="preserve"> </w:t>
      </w:r>
      <w:r>
        <w:t xml:space="preserve">PO3c</w:t>
      </w:r>
      <w:r>
        <w:t xml:space="preserve"> </w:t>
      </w:r>
      <w:r>
        <w:t xml:space="preserve">0.4 (recurring cots)</w:t>
      </w:r>
      <w:r>
        <w:t xml:space="preserve"> </w:t>
      </w:r>
      <w:r>
        <w:t xml:space="preserve">Existing but not possible to quantify</w:t>
      </w:r>
    </w:p>
    <w:p>
      <w:pPr>
        <w:pStyle w:val="BodyText"/>
      </w:pPr>
      <w:r>
        <w:t xml:space="preserve">6.3.2 Social and environmental impacts</w:t>
      </w:r>
      <w:r>
        <w:br/>
      </w:r>
      <w:r>
        <w:t xml:space="preserve">Social (human health) and environmental impacts of PO3a and PO3b are all positive, although the</w:t>
      </w:r>
      <w:r>
        <w:t xml:space="preserve"> </w:t>
      </w:r>
      <w:r>
        <w:t xml:space="preserve">magnitude of the positive impact varies. Those benefits are associated with a reduction of non-</w:t>
      </w:r>
      <w:r>
        <w:t xml:space="preserve"> </w:t>
      </w:r>
      <w:r>
        <w:t xml:space="preserve">compliant products circulating in the EU, either because they were sold intra-EU or imported. The</w:t>
      </w:r>
      <w:r>
        <w:t xml:space="preserve"> </w:t>
      </w:r>
      <w:r>
        <w:t xml:space="preserve">consequence of more compliant products sold online translates into consumers being better</w:t>
      </w:r>
      <w:r>
        <w:t xml:space="preserve"> </w:t>
      </w:r>
      <w:r>
        <w:t xml:space="preserve">informed about the products they use and better management of their hazards, ultimately limiting</w:t>
      </w:r>
      <w:r>
        <w:t xml:space="preserve"> </w:t>
      </w:r>
      <w:r>
        <w:t xml:space="preserve">the risk of accidental exposure of consumers and the environment (less spillage, less emissions, less</w:t>
      </w:r>
      <w:r>
        <w:t xml:space="preserve"> </w:t>
      </w:r>
      <w:r>
        <w:t xml:space="preserve">pollution, safer disposal) to wrongly classified and labelled chemicals127. The estimated number of</w:t>
      </w:r>
      <w:r>
        <w:t xml:space="preserve"> </w:t>
      </w:r>
      <w:r>
        <w:t xml:space="preserve">non-compliant items in the EU would be reduced to between 2.4 million and 4 million products per</w:t>
      </w:r>
      <w:r>
        <w:t xml:space="preserve"> </w:t>
      </w:r>
      <w:r>
        <w:t xml:space="preserve">year depending on the measures, and even more considering synergies between those measures (see</w:t>
      </w:r>
      <w:r>
        <w:t xml:space="preserve"> </w:t>
      </w:r>
      <w:r>
        <w:t xml:space="preserve">Annex 15).</w:t>
      </w:r>
      <w:r>
        <w:br/>
      </w:r>
      <w:r>
        <w:t xml:space="preserve">Regarding the social impacts of PO3c, savings up to €1.12 million are identified as a reduced</w:t>
      </w:r>
      <w:r>
        <w:t xml:space="preserve"> </w:t>
      </w:r>
      <w:r>
        <w:t xml:space="preserve">number of consumers would be harmed by non-compliant chemicals (see Annex 16). From a</w:t>
      </w:r>
      <w:r>
        <w:t xml:space="preserve"> </w:t>
      </w:r>
      <w:r>
        <w:t xml:space="preserve">qualitative point of view, clarifying the scope of obligations under Article 45 of CLP (regarding</w:t>
      </w:r>
      <w:r>
        <w:t xml:space="preserve"> </w:t>
      </w:r>
      <w:r>
        <w:t xml:space="preserve">notification to poison centres) will lead to better and more timely medical advice being given, thus</w:t>
      </w:r>
      <w:r>
        <w:t xml:space="preserve"> </w:t>
      </w:r>
      <w:r>
        <w:t xml:space="preserve">reducing the number and severity of cases of ill health, and instances where overtreatment is given.</w:t>
      </w:r>
      <w:r>
        <w:t xml:space="preserve"> </w:t>
      </w:r>
      <w:r>
        <w:t xml:space="preserve">It has been estimated that on average poison centres receive and treat 600,000 calls per year (almost</w:t>
      </w:r>
      <w:r>
        <w:t xml:space="preserve"> </w:t>
      </w:r>
      <w:r>
        <w:t xml:space="preserve">1,700 calls per day, mostly related to exposure of children to chemicals) and the number of</w:t>
      </w:r>
      <w:r>
        <w:t xml:space="preserve"> </w:t>
      </w:r>
      <w:r>
        <w:t xml:space="preserve">fatalities related to chemical exposure in the EU is more than 400 per year128. No negative or</w:t>
      </w:r>
      <w:r>
        <w:t xml:space="preserve"> </w:t>
      </w:r>
      <w:r>
        <w:t xml:space="preserve">positive environmental impacts are expected from PO3c since Article 45 does not target</w:t>
      </w:r>
      <w:r>
        <w:t xml:space="preserve"> </w:t>
      </w:r>
      <w:r>
        <w:t xml:space="preserve">environmental hazards.</w:t>
      </w:r>
      <w:r>
        <w:br/>
      </w:r>
      <w:r>
        <w:t xml:space="preserve">6.3.3 Stakeholders view on PO3</w:t>
      </w:r>
      <w:r>
        <w:t xml:space="preserve"> </w:t>
      </w:r>
      <w:r>
        <w:t xml:space="preserve">All stakeholders – industry (including SMEs), national authorities, NGOs - unanimously agreed</w:t>
      </w:r>
      <w:r>
        <w:t xml:space="preserve"> </w:t>
      </w:r>
      <w:r>
        <w:t xml:space="preserve">that action is needed to adapt CLP to online sales, to ensure safe purchase and use both for goods</w:t>
      </w:r>
      <w:r>
        <w:t xml:space="preserve"> </w:t>
      </w:r>
      <w:r>
        <w:t xml:space="preserve">originating from in and outside the EU. They stressed that this would further improve consumer and</w:t>
      </w:r>
    </w:p>
    <w:p>
      <w:pPr>
        <w:pStyle w:val="BodyText"/>
      </w:pPr>
      <w:r>
        <w:t xml:space="preserve">127 It was impossible to carry out a quantitative estimation of the benefits of fewer non-compliant chemicals circulating.</w:t>
      </w:r>
      <w:r>
        <w:br/>
      </w:r>
      <w:r>
        <w:t xml:space="preserve">128 Study on the harmonisation of the information to be submitted to Poison Centres, according to Article 45 (4) of the</w:t>
      </w:r>
      <w:r>
        <w:t xml:space="preserve"> </w:t>
      </w:r>
      <w:r>
        <w:t xml:space="preserve">Regulation (EC) No. 1272/2008 (CLP Regulation), DocsRoom - European Commission (europa.eu)</w:t>
      </w:r>
    </w:p>
    <w:p>
      <w:pPr>
        <w:pStyle w:val="BodyText"/>
      </w:pPr>
      <w:r>
        <w:t xml:space="preserve">44</w:t>
      </w:r>
    </w:p>
    <w:p>
      <w:pPr>
        <w:pStyle w:val="BodyText"/>
      </w:pPr>
      <w:r>
        <w:t xml:space="preserve">environmental safety and ensure competitiveness between online and traditional sales. 93% of all</w:t>
      </w:r>
      <w:r>
        <w:t xml:space="preserve"> </w:t>
      </w:r>
      <w:r>
        <w:t xml:space="preserve">respondents to the open public consultation shared the need to apply the same rules regardless of</w:t>
      </w:r>
      <w:r>
        <w:t xml:space="preserve"> </w:t>
      </w:r>
      <w:r>
        <w:t xml:space="preserve">the sales’ channel, 99% of all respondents agreed that the display of the hazard information is</w:t>
      </w:r>
      <w:r>
        <w:t xml:space="preserve"> </w:t>
      </w:r>
      <w:r>
        <w:t xml:space="preserve">essential when purchasing online and 90% agreed that there is need to have a responsible actor in</w:t>
      </w:r>
      <w:r>
        <w:t xml:space="preserve"> </w:t>
      </w:r>
      <w:r>
        <w:t xml:space="preserve">the EU for chemicals bought online from outside the EU directly reaching the consumer.</w:t>
      </w:r>
      <w:r>
        <w:br/>
      </w:r>
      <w:r>
        <w:t xml:space="preserve">Stakeholders also broadly supported measures to solve issues of non-compliance or legal voids in</w:t>
      </w:r>
      <w:r>
        <w:t xml:space="preserve"> </w:t>
      </w:r>
      <w:r>
        <w:t xml:space="preserve">order to improve information provision on hazardous mixtures to poison centres. Industrial</w:t>
      </w:r>
      <w:r>
        <w:t xml:space="preserve"> </w:t>
      </w:r>
      <w:r>
        <w:t xml:space="preserve">stakeholders, whether during the open public consultation or via targeted stakeholders surveys,</w:t>
      </w:r>
      <w:r>
        <w:t xml:space="preserve"> </w:t>
      </w:r>
      <w:r>
        <w:t xml:space="preserve">raised the issue of diverging interpretations by various duty holders, which cause a non-harmonised</w:t>
      </w:r>
      <w:r>
        <w:t xml:space="preserve"> </w:t>
      </w:r>
      <w:r>
        <w:t xml:space="preserve">approach and an uneven level playing field. National authorities similarly commented at a</w:t>
      </w:r>
      <w:r>
        <w:t xml:space="preserve"> </w:t>
      </w:r>
      <w:r>
        <w:t xml:space="preserve">dedicated expert group meeting that the current approach is not uniform.</w:t>
      </w:r>
      <w:r>
        <w:br/>
      </w:r>
      <w:r>
        <w:t xml:space="preserve">7</w:t>
      </w:r>
      <w:r>
        <w:t xml:space="preserve"> </w:t>
      </w:r>
      <w:r>
        <w:t xml:space="preserve">HOW DO THE OPTIONS COMPARE?</w:t>
      </w:r>
      <w:r>
        <w:br/>
      </w:r>
      <w:r>
        <w:t xml:space="preserve">7.1</w:t>
      </w:r>
      <w:r>
        <w:t xml:space="preserve"> </w:t>
      </w:r>
      <w:r>
        <w:t xml:space="preserve">Classification of chemical hazards (Policy Option 1)</w:t>
      </w:r>
      <w:r>
        <w:t xml:space="preserve"> </w:t>
      </w:r>
      <w:r>
        <w:t xml:space="preserve">The different options are complementary.</w:t>
      </w:r>
      <w:r>
        <w:br/>
      </w:r>
      <w:r>
        <w:t xml:space="preserve">PO1a is expected to help achieve a comprehensive identification of hazardous substances, with the</w:t>
      </w:r>
      <w:r>
        <w:t xml:space="preserve"> </w:t>
      </w:r>
      <w:r>
        <w:t xml:space="preserve">extension of CLP to new hazard classes (see Table 14). This will allow increased harmonisation of</w:t>
      </w:r>
      <w:r>
        <w:t xml:space="preserve"> </w:t>
      </w:r>
      <w:r>
        <w:t xml:space="preserve">classification of hazardous chemicals and hence contribute to the objective of a fully harmonised</w:t>
      </w:r>
      <w:r>
        <w:t xml:space="preserve"> </w:t>
      </w:r>
      <w:r>
        <w:t xml:space="preserve">internal market for chemicals. It may temporarily affect EU exports of chemicals as the process to</w:t>
      </w:r>
      <w:r>
        <w:t xml:space="preserve"> </w:t>
      </w:r>
      <w:r>
        <w:t xml:space="preserve">develop equivalent criteria at the international level (UN GHS) and their following uptake in</w:t>
      </w:r>
      <w:r>
        <w:t xml:space="preserve"> </w:t>
      </w:r>
      <w:r>
        <w:t xml:space="preserve">national law will take some years. On the other hand, if and when these criteria will be integrated in</w:t>
      </w:r>
      <w:r>
        <w:t xml:space="preserve"> </w:t>
      </w:r>
      <w:r>
        <w:t xml:space="preserve">the UN GHS, and implemented nationally or regionally, it will allow for a wide harmonisation and</w:t>
      </w:r>
      <w:r>
        <w:t xml:space="preserve"> </w:t>
      </w:r>
      <w:r>
        <w:t xml:space="preserve">related benefits. PO1b focuses on available and transparent up-to-date notification and information</w:t>
      </w:r>
      <w:r>
        <w:t xml:space="preserve"> </w:t>
      </w:r>
      <w:r>
        <w:t xml:space="preserve">from notifiers. This would reinforce the level playing field in a dynamic way. Companies such as</w:t>
      </w:r>
      <w:r>
        <w:t xml:space="preserve"> </w:t>
      </w:r>
      <w:r>
        <w:t xml:space="preserve">downstream users often rely on information provided in the CLP classification and labelling</w:t>
      </w:r>
      <w:r>
        <w:t xml:space="preserve"> </w:t>
      </w:r>
      <w:r>
        <w:t xml:space="preserve">inventory on the substances they use to produce their mixture, in order to classify their mixture.</w:t>
      </w:r>
      <w:r>
        <w:t xml:space="preserve"> </w:t>
      </w:r>
      <w:r>
        <w:t xml:space="preserve">PO1c completes PO1b by fostering and extending the scope of harmonised classification. It brings</w:t>
      </w:r>
      <w:r>
        <w:t xml:space="preserve"> </w:t>
      </w:r>
      <w:r>
        <w:t xml:space="preserve">additional costs, counterbalanced by additional added values (e.g., more harmonised classification).</w:t>
      </w:r>
      <w:r>
        <w:t xml:space="preserve"> </w:t>
      </w:r>
      <w:r>
        <w:t xml:space="preserve">PO1d extends the scope of CLP to hazard assessment. While harmonised human and</w:t>
      </w:r>
      <w:r>
        <w:t xml:space="preserve"> </w:t>
      </w:r>
      <w:r>
        <w:t xml:space="preserve">environmental reference values are useful, CLP cannot provide for their use in other chemical</w:t>
      </w:r>
      <w:r>
        <w:t xml:space="preserve"> </w:t>
      </w:r>
      <w:r>
        <w:t xml:space="preserve">legislation, bringing additional costs and little added value.</w:t>
      </w:r>
      <w:r>
        <w:br/>
      </w:r>
      <w:r>
        <w:t xml:space="preserve">The best set of measures comes for the combination of PO1a, PO1b and PO1c. There is no</w:t>
      </w:r>
      <w:r>
        <w:t xml:space="preserve"> </w:t>
      </w:r>
      <w:r>
        <w:t xml:space="preserve">significant added value and almost no support for option PO1d.</w:t>
      </w:r>
      <w:r>
        <w:t xml:space="preserve"> </w:t>
      </w:r>
      <w:r>
        <w:t xml:space="preserve">7.2</w:t>
      </w:r>
      <w:r>
        <w:t xml:space="preserve"> </w:t>
      </w:r>
      <w:r>
        <w:t xml:space="preserve">Communication of chemical hazards (Policy Option 2)</w:t>
      </w:r>
      <w:r>
        <w:t xml:space="preserve"> </w:t>
      </w:r>
      <w:r>
        <w:t xml:space="preserve">The different options are complementary.</w:t>
      </w:r>
      <w:r>
        <w:br/>
      </w:r>
      <w:r>
        <w:t xml:space="preserve">PO2a is expected to deliver some benefits in terms of clarifications, especially for topics lacking</w:t>
      </w:r>
      <w:r>
        <w:t xml:space="preserve"> </w:t>
      </w:r>
      <w:r>
        <w:t xml:space="preserve">specific guidance. Guidance is assessed as ineffective in case the legal text lacks clarity (such as on</w:t>
      </w:r>
      <w:r>
        <w:t xml:space="preserve"> </w:t>
      </w:r>
      <w:r>
        <w:t xml:space="preserve">the labelling of online offers or on broader use of fold-out labels). Although ECHA guidance on</w:t>
      </w:r>
      <w:r>
        <w:t xml:space="preserve"> </w:t>
      </w:r>
      <w:r>
        <w:t xml:space="preserve">CLP has been updated several times, some issues are still creating difficulties in terms of</w:t>
      </w:r>
      <w:r>
        <w:t xml:space="preserve"> </w:t>
      </w:r>
      <w:r>
        <w:t xml:space="preserve">implementation and enforcement. Guidance in itself will, therefore, not suffice to address the</w:t>
      </w:r>
      <w:r>
        <w:t xml:space="preserve"> </w:t>
      </w:r>
      <w:r>
        <w:t xml:space="preserve">problem. PO2b proposes to strengthen the minimum requirements for hazard communication</w:t>
      </w:r>
      <w:r>
        <w:t xml:space="preserve"> </w:t>
      </w:r>
      <w:r>
        <w:t xml:space="preserve">introducing obligatory formatting rules such as minimum font size or establishing labelling</w:t>
      </w:r>
      <w:r>
        <w:t xml:space="preserve"> </w:t>
      </w:r>
      <w:r>
        <w:t xml:space="preserve">obligations. Those requirements partially would result in increased costs for economic operators</w:t>
      </w:r>
      <w:r>
        <w:t xml:space="preserve"> </w:t>
      </w:r>
      <w:r>
        <w:t xml:space="preserve">and in increased benefits for human health and the environment. Overall, this option results in</w:t>
      </w:r>
    </w:p>
    <w:p>
      <w:pPr>
        <w:pStyle w:val="BodyText"/>
      </w:pPr>
      <w:r>
        <w:t xml:space="preserve">45</w:t>
      </w:r>
    </w:p>
    <w:p>
      <w:pPr>
        <w:pStyle w:val="BodyText"/>
      </w:pPr>
      <w:r>
        <w:t xml:space="preserve">positive benefits with medium efficiency. PO2c considers measures to simplify the burden of</w:t>
      </w:r>
      <w:r>
        <w:t xml:space="preserve"> </w:t>
      </w:r>
      <w:r>
        <w:t xml:space="preserve">economic operators in terms of hazard communication without compromising current levels of</w:t>
      </w:r>
      <w:r>
        <w:t xml:space="preserve"> </w:t>
      </w:r>
      <w:r>
        <w:t xml:space="preserve">safety. Most of the economic benefits are related to a broader use of multilingual fold-out labels.</w:t>
      </w:r>
      <w:r>
        <w:t xml:space="preserve"> </w:t>
      </w:r>
      <w:r>
        <w:t xml:space="preserve">Overall, this option has a highly positive costs and benefits ratio with a high efficiency. From the</w:t>
      </w:r>
      <w:r>
        <w:t xml:space="preserve"> </w:t>
      </w:r>
      <w:r>
        <w:t xml:space="preserve">comparison of the options, PO2c displays an effective economic, social and environmental impacts</w:t>
      </w:r>
      <w:r>
        <w:t xml:space="preserve"> </w:t>
      </w:r>
      <w:r>
        <w:t xml:space="preserve">and benefit/cost ratio.</w:t>
      </w:r>
      <w:r>
        <w:t xml:space="preserve"> </w:t>
      </w:r>
      <w:r>
        <w:t xml:space="preserve">7.3</w:t>
      </w:r>
      <w:r>
        <w:t xml:space="preserve"> </w:t>
      </w:r>
      <w:r>
        <w:t xml:space="preserve">Addressing main legal gaps and ambiguities (Policy Option 3)</w:t>
      </w:r>
      <w:r>
        <w:t xml:space="preserve"> </w:t>
      </w:r>
      <w:r>
        <w:t xml:space="preserve">Amongst PO3c including the mutually exclusive measures #19 (Full notifications to poison</w:t>
      </w:r>
      <w:r>
        <w:t xml:space="preserve"> </w:t>
      </w:r>
      <w:r>
        <w:t xml:space="preserve">centres), #20 (Notifications to poison centres by re-branders and re-labellers) and #21 (Targeted</w:t>
      </w:r>
      <w:r>
        <w:t xml:space="preserve"> </w:t>
      </w:r>
      <w:r>
        <w:t xml:space="preserve">notifications to poison centres), #21 would cater for preventing both cases of information loss</w:t>
      </w:r>
      <w:r>
        <w:t xml:space="preserve"> </w:t>
      </w:r>
      <w:r>
        <w:t xml:space="preserve">without obliging each distributor to notify by default. First the distributor would have to check if a</w:t>
      </w:r>
      <w:r>
        <w:t xml:space="preserve"> </w:t>
      </w:r>
      <w:r>
        <w:t xml:space="preserve">notification is required and only then it would have to notify. To carry out such checks, a good</w:t>
      </w:r>
      <w:r>
        <w:t xml:space="preserve"> </w:t>
      </w:r>
      <w:r>
        <w:t xml:space="preserve">supply chain communication with the upstream supplier(s) is paramount for both (i) alleviating the</w:t>
      </w:r>
      <w:r>
        <w:t xml:space="preserve"> </w:t>
      </w:r>
      <w:r>
        <w:t xml:space="preserve">downstream supplier’s burden of notification and (ii) providing poison centres the utmost detailed</w:t>
      </w:r>
      <w:r>
        <w:t xml:space="preserve"> </w:t>
      </w:r>
      <w:r>
        <w:t xml:space="preserve">information (as a last resort, they may end-up with a minimal information set). #19 has more</w:t>
      </w:r>
      <w:r>
        <w:t xml:space="preserve"> </w:t>
      </w:r>
      <w:r>
        <w:t xml:space="preserve">economic impacts on business and administration than #21 and results in the same strongly positive</w:t>
      </w:r>
      <w:r>
        <w:t xml:space="preserve"> </w:t>
      </w:r>
      <w:r>
        <w:t xml:space="preserve">social impact. #20 would have a weakly negative impact on businesses and administration and be</w:t>
      </w:r>
      <w:r>
        <w:t xml:space="preserve"> </w:t>
      </w:r>
      <w:r>
        <w:t xml:space="preserve">better than #21 from an economic impact point of view, but worse from a social impact perspective</w:t>
      </w:r>
      <w:r>
        <w:t xml:space="preserve"> </w:t>
      </w:r>
      <w:r>
        <w:t xml:space="preserve">since it does not cater a solution for cross-border distribution. More, #20 would bring incoherence</w:t>
      </w:r>
      <w:r>
        <w:t xml:space="preserve"> </w:t>
      </w:r>
      <w:r>
        <w:t xml:space="preserve">to the CLP/REACH framework, since it would result in having a definition of re-branders/re-</w:t>
      </w:r>
      <w:r>
        <w:t xml:space="preserve"> </w:t>
      </w:r>
      <w:r>
        <w:t xml:space="preserve">labellers in CLP which is not provided for in REACH, leading to inconsistencies between the two</w:t>
      </w:r>
      <w:r>
        <w:t xml:space="preserve"> </w:t>
      </w:r>
      <w:r>
        <w:t xml:space="preserve">frameworks that should be avoided129.</w:t>
      </w:r>
      <w:r>
        <w:t xml:space="preserve"> </w:t>
      </w:r>
      <w:r>
        <w:t xml:space="preserve">Between the alternative options PO3b and PO3a, PO3b is more effective and holistic to address</w:t>
      </w:r>
      <w:r>
        <w:t xml:space="preserve"> </w:t>
      </w:r>
      <w:r>
        <w:t xml:space="preserve">problems related to online sales. Clarifying the rules for online offerings and advertisings is more</w:t>
      </w:r>
      <w:r>
        <w:t xml:space="preserve"> </w:t>
      </w:r>
      <w:r>
        <w:t xml:space="preserve">effective than awareness campaigns to make consumers aware about chemical hazards when buying</w:t>
      </w:r>
      <w:r>
        <w:t xml:space="preserve"> </w:t>
      </w:r>
      <w:r>
        <w:t xml:space="preserve">online since it will help ensuring that online traders and platforms abide by their obligations of</w:t>
      </w:r>
      <w:r>
        <w:t xml:space="preserve"> </w:t>
      </w:r>
      <w:r>
        <w:t xml:space="preserve">providing chemical safety information when offering or advertising. Consumers might not</w:t>
      </w:r>
      <w:r>
        <w:t xml:space="preserve"> </w:t>
      </w:r>
      <w:r>
        <w:t xml:space="preserve">remember the content of the awareness campaigns when buying online. Ensuring that there is a</w:t>
      </w:r>
      <w:r>
        <w:t xml:space="preserve"> </w:t>
      </w:r>
      <w:r>
        <w:t xml:space="preserve">responsible economic operator is the only viable measure for ensuring the compliance of chemicals</w:t>
      </w:r>
      <w:r>
        <w:t xml:space="preserve"> </w:t>
      </w:r>
      <w:r>
        <w:t xml:space="preserve">sold from outside EU via online sales with CLP requirements and making that economic actor</w:t>
      </w:r>
      <w:r>
        <w:t xml:space="preserve"> </w:t>
      </w:r>
      <w:r>
        <w:t xml:space="preserve">liable in the EU in cases where imported products directly reach the consumer.</w:t>
      </w:r>
      <w:r>
        <w:br/>
      </w:r>
      <w:r>
        <w:t xml:space="preserve">In addressing legal gaps and ambiguities on online sales related matters, PO3b including measures</w:t>
      </w:r>
      <w:r>
        <w:t xml:space="preserve"> </w:t>
      </w:r>
      <w:r>
        <w:t xml:space="preserve">#17 and #18 is the strongest option given that they are more effective and efficient than PO3a.</w:t>
      </w:r>
      <w:r>
        <w:br/>
      </w:r>
      <w:r>
        <w:t xml:space="preserve">In addressing legal ambiguities for poison centres, PO3c and measure #21 is the best option.</w:t>
      </w:r>
    </w:p>
    <w:p>
      <w:pPr>
        <w:pStyle w:val="BodyText"/>
      </w:pPr>
      <w:r>
        <w:t xml:space="preserve">129 See recital 12 of CLP advocating for a consistent use of the terms and definitions under REACH and CLP. Based on</w:t>
      </w:r>
      <w:r>
        <w:t xml:space="preserve"> </w:t>
      </w:r>
      <w:r>
        <w:t xml:space="preserve">REACH Guidance for downstream users, re-branders, which are actors who affix their own brand to a product that</w:t>
      </w:r>
      <w:r>
        <w:t xml:space="preserve"> </w:t>
      </w:r>
      <w:r>
        <w:t xml:space="preserve">somebody else has manufacturer, are distributors.</w:t>
      </w:r>
    </w:p>
    <w:p>
      <w:pPr>
        <w:pStyle w:val="BodyText"/>
      </w:pPr>
      <w:r>
        <w:t xml:space="preserve">46</w:t>
      </w:r>
    </w:p>
    <w:p>
      <w:pPr>
        <w:pStyle w:val="BodyText"/>
      </w:pPr>
      <w:r>
        <w:t xml:space="preserve">Table 14: Comparison of measures to improve the hazard classification of chemicals (annualised one-costs and annual recurrent ones, € million)</w:t>
      </w:r>
      <w:r>
        <w:t xml:space="preserve"> </w:t>
      </w:r>
      <w:r>
        <w:t xml:space="preserve">Options</w:t>
      </w:r>
      <w:r>
        <w:t xml:space="preserve"> </w:t>
      </w:r>
      <w:r>
        <w:t xml:space="preserve">Effectiveness</w:t>
      </w:r>
      <w:r>
        <w:t xml:space="preserve"> </w:t>
      </w:r>
      <w:r>
        <w:t xml:space="preserve">Key impacts</w:t>
      </w:r>
      <w:r>
        <w:t xml:space="preserve"> </w:t>
      </w:r>
      <w:r>
        <w:t xml:space="preserve">Benefit/cost</w:t>
      </w:r>
      <w:r>
        <w:t xml:space="preserve"> </w:t>
      </w:r>
      <w:r>
        <w:t xml:space="preserve">ratio</w:t>
      </w:r>
      <w:r>
        <w:t xml:space="preserve"> </w:t>
      </w:r>
      <w:r>
        <w:t xml:space="preserve">Efficiency</w:t>
      </w:r>
      <w:r>
        <w:t xml:space="preserve"> </w:t>
      </w:r>
      <w:r>
        <w:t xml:space="preserve">Coherence</w:t>
      </w:r>
      <w:r>
        <w:t xml:space="preserve"> </w:t>
      </w:r>
      <w:r>
        <w:t xml:space="preserve">Consistency with climate</w:t>
      </w:r>
      <w:r>
        <w:t xml:space="preserve"> </w:t>
      </w:r>
      <w:r>
        <w:t xml:space="preserve">objectives</w:t>
      </w:r>
      <w:r>
        <w:t xml:space="preserve"> </w:t>
      </w:r>
      <w:r>
        <w:t xml:space="preserve">Economic</w:t>
      </w:r>
      <w:r>
        <w:t xml:space="preserve"> </w:t>
      </w:r>
      <w:r>
        <w:t xml:space="preserve">Social</w:t>
      </w:r>
      <w:r>
        <w:t xml:space="preserve"> </w:t>
      </w:r>
      <w:r>
        <w:t xml:space="preserve">Environmental</w:t>
      </w:r>
      <w:r>
        <w:t xml:space="preserve"> </w:t>
      </w:r>
      <w:r>
        <w:t xml:space="preserve">PO1a New hazard</w:t>
      </w:r>
      <w:r>
        <w:t xml:space="preserve"> </w:t>
      </w:r>
      <w:r>
        <w:t xml:space="preserve">classes</w:t>
      </w:r>
      <w:r>
        <w:t xml:space="preserve"> </w:t>
      </w:r>
      <w:r>
        <w:t xml:space="preserve">High, more than</w:t>
      </w:r>
      <w:r>
        <w:t xml:space="preserve"> </w:t>
      </w:r>
      <w:r>
        <w:t xml:space="preserve">twice</w:t>
      </w:r>
      <w:r>
        <w:t xml:space="preserve"> </w:t>
      </w:r>
      <w:r>
        <w:t xml:space="preserve">more</w:t>
      </w:r>
      <w:r>
        <w:t xml:space="preserve"> </w:t>
      </w:r>
      <w:r>
        <w:t xml:space="preserve">substances</w:t>
      </w:r>
      <w:r>
        <w:t xml:space="preserve"> </w:t>
      </w:r>
      <w:r>
        <w:t xml:space="preserve">identified</w:t>
      </w:r>
      <w:r>
        <w:t xml:space="preserve"> </w:t>
      </w:r>
      <w:r>
        <w:t xml:space="preserve">compared to the</w:t>
      </w:r>
      <w:r>
        <w:t xml:space="preserve"> </w:t>
      </w:r>
      <w:r>
        <w:t xml:space="preserve">current</w:t>
      </w:r>
      <w:r>
        <w:t xml:space="preserve"> </w:t>
      </w:r>
      <w:r>
        <w:t xml:space="preserve">situation.</w:t>
      </w:r>
      <w:r>
        <w:t xml:space="preserve"> </w:t>
      </w:r>
      <w:r>
        <w:t xml:space="preserve">Negative:</w:t>
      </w:r>
      <w:r>
        <w:t xml:space="preserve"> </w:t>
      </w:r>
      <w:r>
        <w:t xml:space="preserve">costs</w:t>
      </w:r>
      <w:r>
        <w:t xml:space="preserve"> </w:t>
      </w:r>
      <w:r>
        <w:t xml:space="preserve">for</w:t>
      </w:r>
      <w:r>
        <w:t xml:space="preserve"> </w:t>
      </w:r>
      <w:r>
        <w:t xml:space="preserve">industry</w:t>
      </w:r>
      <w:r>
        <w:t xml:space="preserve"> </w:t>
      </w:r>
      <w:r>
        <w:t xml:space="preserve">between €39.4 and €84.2 million.</w:t>
      </w:r>
      <w:r>
        <w:t xml:space="preserve"> </w:t>
      </w:r>
      <w:r>
        <w:t xml:space="preserve">Possible temporary impact on</w:t>
      </w:r>
      <w:r>
        <w:t xml:space="preserve"> </w:t>
      </w:r>
      <w:r>
        <w:t xml:space="preserve">chemical trade</w:t>
      </w:r>
      <w:r>
        <w:t xml:space="preserve"> </w:t>
      </w:r>
      <w:r>
        <w:t xml:space="preserve">Positive: EU chemical industry at</w:t>
      </w:r>
      <w:r>
        <w:t xml:space="preserve"> </w:t>
      </w:r>
      <w:r>
        <w:t xml:space="preserve">the</w:t>
      </w:r>
      <w:r>
        <w:t xml:space="preserve"> </w:t>
      </w:r>
      <w:r>
        <w:t xml:space="preserve">global</w:t>
      </w:r>
      <w:r>
        <w:t xml:space="preserve"> </w:t>
      </w:r>
      <w:r>
        <w:t xml:space="preserve">forefront</w:t>
      </w:r>
      <w:r>
        <w:t xml:space="preserve"> </w:t>
      </w:r>
      <w:r>
        <w:t xml:space="preserve">for</w:t>
      </w:r>
      <w:r>
        <w:t xml:space="preserve"> </w:t>
      </w:r>
      <w:r>
        <w:t xml:space="preserve">sustainable chemistry</w:t>
      </w:r>
      <w:r>
        <w:t xml:space="preserve"> </w:t>
      </w:r>
      <w:r>
        <w:t xml:space="preserve">Highly</w:t>
      </w:r>
      <w:r>
        <w:t xml:space="preserve"> </w:t>
      </w:r>
      <w:r>
        <w:t xml:space="preserve">positive,</w:t>
      </w:r>
      <w:r>
        <w:t xml:space="preserve"> </w:t>
      </w:r>
      <w:r>
        <w:t xml:space="preserve">considering</w:t>
      </w:r>
      <w:r>
        <w:t xml:space="preserve"> </w:t>
      </w:r>
      <w:r>
        <w:t xml:space="preserve">the</w:t>
      </w:r>
      <w:r>
        <w:t xml:space="preserve"> </w:t>
      </w:r>
      <w:r>
        <w:t xml:space="preserve">number of identified</w:t>
      </w:r>
      <w:r>
        <w:t xml:space="preserve"> </w:t>
      </w:r>
      <w:r>
        <w:t xml:space="preserve">substances</w:t>
      </w:r>
      <w:r>
        <w:t xml:space="preserve"> </w:t>
      </w:r>
      <w:r>
        <w:t xml:space="preserve">and</w:t>
      </w:r>
      <w:r>
        <w:t xml:space="preserve"> </w:t>
      </w:r>
      <w:r>
        <w:t xml:space="preserve">voluntary substituted</w:t>
      </w:r>
      <w:r>
        <w:t xml:space="preserve"> </w:t>
      </w:r>
      <w:r>
        <w:t xml:space="preserve">mixtures</w:t>
      </w:r>
      <w:r>
        <w:t xml:space="preserve"> </w:t>
      </w:r>
      <w:r>
        <w:t xml:space="preserve">Highly</w:t>
      </w:r>
      <w:r>
        <w:t xml:space="preserve"> </w:t>
      </w:r>
      <w:r>
        <w:t xml:space="preserve">positive,</w:t>
      </w:r>
      <w:r>
        <w:t xml:space="preserve"> </w:t>
      </w:r>
      <w:r>
        <w:t xml:space="preserve">considering</w:t>
      </w:r>
      <w:r>
        <w:t xml:space="preserve"> </w:t>
      </w:r>
      <w:r>
        <w:t xml:space="preserve">the</w:t>
      </w:r>
      <w:r>
        <w:t xml:space="preserve"> </w:t>
      </w:r>
      <w:r>
        <w:t xml:space="preserve">number of identified</w:t>
      </w:r>
      <w:r>
        <w:t xml:space="preserve"> </w:t>
      </w:r>
      <w:r>
        <w:t xml:space="preserve">substances</w:t>
      </w:r>
      <w:r>
        <w:t xml:space="preserve"> </w:t>
      </w:r>
      <w:r>
        <w:t xml:space="preserve">and</w:t>
      </w:r>
      <w:r>
        <w:t xml:space="preserve"> </w:t>
      </w:r>
      <w:r>
        <w:t xml:space="preserve">voluntary</w:t>
      </w:r>
      <w:r>
        <w:t xml:space="preserve"> </w:t>
      </w:r>
      <w:r>
        <w:t xml:space="preserve">substituted mixtures</w:t>
      </w:r>
      <w:r>
        <w:t xml:space="preserve"> </w:t>
      </w:r>
      <w:r>
        <w:t xml:space="preserve">High</w:t>
      </w:r>
      <w:r>
        <w:t xml:space="preserve"> </w:t>
      </w:r>
      <w:r>
        <w:t xml:space="preserve">Medium</w:t>
      </w:r>
      <w:r>
        <w:t xml:space="preserve"> </w:t>
      </w:r>
      <w:r>
        <w:t xml:space="preserve">(without</w:t>
      </w:r>
      <w:r>
        <w:t xml:space="preserve"> </w:t>
      </w:r>
      <w:r>
        <w:t xml:space="preserve">prioritisation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new</w:t>
      </w:r>
      <w:r>
        <w:t xml:space="preserve"> </w:t>
      </w:r>
      <w:r>
        <w:t xml:space="preserve">hazard</w:t>
      </w:r>
      <w:r>
        <w:t xml:space="preserve"> </w:t>
      </w:r>
      <w:r>
        <w:t xml:space="preserve">classes,</w:t>
      </w:r>
      <w:r>
        <w:t xml:space="preserve"> </w:t>
      </w:r>
      <w:r>
        <w:t xml:space="preserve">see</w:t>
      </w:r>
      <w:r>
        <w:t xml:space="preserve"> </w:t>
      </w:r>
      <w:r>
        <w:t xml:space="preserve">PO1c)</w:t>
      </w:r>
      <w:r>
        <w:t xml:space="preserve"> </w:t>
      </w:r>
      <w:r>
        <w:t xml:space="preserve">Strong</w:t>
      </w:r>
      <w:r>
        <w:t xml:space="preserve"> </w:t>
      </w:r>
      <w:r>
        <w:t xml:space="preserve">(high</w:t>
      </w:r>
      <w:r>
        <w:t xml:space="preserve"> </w:t>
      </w:r>
      <w:r>
        <w:t xml:space="preserve">level</w:t>
      </w:r>
      <w:r>
        <w:t xml:space="preserve"> </w:t>
      </w:r>
      <w:r>
        <w:t xml:space="preserve">of</w:t>
      </w:r>
      <w:r>
        <w:t xml:space="preserve"> </w:t>
      </w:r>
      <w:r>
        <w:t xml:space="preserve">protection</w:t>
      </w:r>
      <w:r>
        <w:t xml:space="preserve"> </w:t>
      </w:r>
      <w:r>
        <w:t xml:space="preserve">of</w:t>
      </w:r>
      <w:r>
        <w:t xml:space="preserve"> </w:t>
      </w:r>
      <w:r>
        <w:t xml:space="preserve">human</w:t>
      </w:r>
      <w:r>
        <w:t xml:space="preserve"> </w:t>
      </w:r>
      <w:r>
        <w:t xml:space="preserve">health</w:t>
      </w:r>
      <w:r>
        <w:t xml:space="preserve"> </w:t>
      </w:r>
      <w:r>
        <w:t xml:space="preserve">and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environment)</w:t>
      </w:r>
      <w:r>
        <w:t xml:space="preserve"> </w:t>
      </w:r>
      <w:r>
        <w:t xml:space="preserve">No</w:t>
      </w:r>
      <w:r>
        <w:t xml:space="preserve"> </w:t>
      </w:r>
      <w:r>
        <w:t xml:space="preserve">inconsistencies.</w:t>
      </w:r>
      <w:r>
        <w:t xml:space="preserve"> </w:t>
      </w:r>
      <w:r>
        <w:t xml:space="preserve">Relabelling</w:t>
      </w:r>
      <w:r>
        <w:t xml:space="preserve"> </w:t>
      </w:r>
      <w:r>
        <w:t xml:space="preserve">(recalling</w:t>
      </w:r>
      <w:r>
        <w:t xml:space="preserve"> </w:t>
      </w:r>
      <w:r>
        <w:t xml:space="preserve">chemicals in the supply chain</w:t>
      </w:r>
      <w:r>
        <w:t xml:space="preserve"> </w:t>
      </w:r>
      <w:r>
        <w:t xml:space="preserve">to label them and shipping</w:t>
      </w:r>
      <w:r>
        <w:t xml:space="preserve"> </w:t>
      </w:r>
      <w:r>
        <w:t xml:space="preserve">them again) may generate</w:t>
      </w:r>
      <w:r>
        <w:t xml:space="preserve"> </w:t>
      </w:r>
      <w:r>
        <w:t xml:space="preserve">some</w:t>
      </w:r>
      <w:r>
        <w:t xml:space="preserve"> </w:t>
      </w:r>
      <w:r>
        <w:t xml:space="preserve">CO2</w:t>
      </w:r>
      <w:r>
        <w:t xml:space="preserve"> </w:t>
      </w:r>
      <w:r>
        <w:t xml:space="preserve">emissions.</w:t>
      </w:r>
      <w:r>
        <w:t xml:space="preserve"> </w:t>
      </w:r>
      <w:r>
        <w:t xml:space="preserve">Chemicals</w:t>
      </w:r>
      <w:r>
        <w:t xml:space="preserve"> </w:t>
      </w:r>
      <w:r>
        <w:t xml:space="preserve">which</w:t>
      </w:r>
      <w:r>
        <w:t xml:space="preserve"> </w:t>
      </w:r>
      <w:r>
        <w:t xml:space="preserve">are</w:t>
      </w:r>
      <w:r>
        <w:t xml:space="preserve"> </w:t>
      </w:r>
      <w:r>
        <w:t xml:space="preserve">voluntarily substituted may</w:t>
      </w:r>
      <w:r>
        <w:t xml:space="preserve"> </w:t>
      </w:r>
      <w:r>
        <w:t xml:space="preserve">be</w:t>
      </w:r>
      <w:r>
        <w:t xml:space="preserve"> </w:t>
      </w:r>
      <w:r>
        <w:t xml:space="preserve">destroyed,</w:t>
      </w:r>
      <w:r>
        <w:t xml:space="preserve"> </w:t>
      </w:r>
      <w:r>
        <w:t xml:space="preserve">generating</w:t>
      </w:r>
      <w:r>
        <w:t xml:space="preserve"> </w:t>
      </w:r>
      <w:r>
        <w:t xml:space="preserve">some CO2 emissions.</w:t>
      </w:r>
      <w:r>
        <w:t xml:space="preserve"> </w:t>
      </w:r>
      <w:r>
        <w:t xml:space="preserve">A mandatory biennial update</w:t>
      </w:r>
      <w:r>
        <w:t xml:space="preserve"> </w:t>
      </w:r>
      <w:r>
        <w:t xml:space="preserve">may generate some CO2</w:t>
      </w:r>
      <w:r>
        <w:t xml:space="preserve"> </w:t>
      </w:r>
      <w:r>
        <w:t xml:space="preserve">emissions</w:t>
      </w:r>
      <w:r>
        <w:t xml:space="preserve"> </w:t>
      </w:r>
      <w:r>
        <w:t xml:space="preserve">without</w:t>
      </w:r>
      <w:r>
        <w:t xml:space="preserve"> </w:t>
      </w:r>
      <w:r>
        <w:t xml:space="preserve">added</w:t>
      </w:r>
      <w:r>
        <w:t xml:space="preserve"> </w:t>
      </w:r>
      <w:r>
        <w:t xml:space="preserve">value</w:t>
      </w:r>
      <w:r>
        <w:t xml:space="preserve"> </w:t>
      </w:r>
      <w:r>
        <w:t xml:space="preserve">(see</w:t>
      </w:r>
      <w:r>
        <w:t xml:space="preserve"> </w:t>
      </w:r>
      <w:r>
        <w:t xml:space="preserve">effectiveness)</w:t>
      </w:r>
      <w:r>
        <w:t xml:space="preserve"> </w:t>
      </w:r>
      <w:r>
        <w:t xml:space="preserve">Identification of hazardous</w:t>
      </w:r>
      <w:r>
        <w:t xml:space="preserve"> </w:t>
      </w:r>
      <w:r>
        <w:t xml:space="preserve">substances</w:t>
      </w:r>
      <w:r>
        <w:t xml:space="preserve"> </w:t>
      </w:r>
      <w:r>
        <w:t xml:space="preserve">may</w:t>
      </w:r>
      <w:r>
        <w:t xml:space="preserve"> </w:t>
      </w:r>
      <w:r>
        <w:t xml:space="preserve">slightly</w:t>
      </w:r>
      <w:r>
        <w:t xml:space="preserve"> </w:t>
      </w:r>
      <w:r>
        <w:t xml:space="preserve">contribute to an environment</w:t>
      </w:r>
      <w:r>
        <w:t xml:space="preserve"> </w:t>
      </w:r>
      <w:r>
        <w:t xml:space="preserve">more resilient to climate</w:t>
      </w:r>
      <w:r>
        <w:t xml:space="preserve"> </w:t>
      </w:r>
      <w:r>
        <w:t xml:space="preserve">changes</w:t>
      </w:r>
      <w:r>
        <w:t xml:space="preserve"> </w:t>
      </w:r>
      <w:r>
        <w:t xml:space="preserve">PO1b</w:t>
      </w:r>
      <w:r>
        <w:t xml:space="preserve"> </w:t>
      </w:r>
      <w:r>
        <w:t xml:space="preserve">Consistent</w:t>
      </w:r>
      <w:r>
        <w:t xml:space="preserve"> </w:t>
      </w:r>
      <w:r>
        <w:t xml:space="preserve">self-classification</w:t>
      </w:r>
      <w:r>
        <w:t xml:space="preserve"> </w:t>
      </w:r>
      <w:r>
        <w:t xml:space="preserve">and</w:t>
      </w:r>
      <w:r>
        <w:t xml:space="preserve"> </w:t>
      </w:r>
      <w:r>
        <w:t xml:space="preserve">improving</w:t>
      </w:r>
      <w:r>
        <w:t xml:space="preserve"> </w:t>
      </w:r>
      <w:r>
        <w:t xml:space="preserve">transparency</w:t>
      </w:r>
      <w:r>
        <w:t xml:space="preserve"> </w:t>
      </w:r>
      <w:r>
        <w:t xml:space="preserve">Medium (large</w:t>
      </w:r>
      <w:r>
        <w:t xml:space="preserve"> </w:t>
      </w:r>
      <w:r>
        <w:t xml:space="preserve">companies)</w:t>
      </w:r>
      <w:r>
        <w:t xml:space="preserve"> </w:t>
      </w:r>
      <w:r>
        <w:t xml:space="preserve">to</w:t>
      </w:r>
      <w:r>
        <w:t xml:space="preserve"> </w:t>
      </w:r>
      <w:r>
        <w:t xml:space="preserve">very</w:t>
      </w:r>
      <w:r>
        <w:t xml:space="preserve"> </w:t>
      </w:r>
      <w:r>
        <w:t xml:space="preserve">high</w:t>
      </w:r>
      <w:r>
        <w:t xml:space="preserve"> </w:t>
      </w:r>
      <w:r>
        <w:t xml:space="preserve">(SMEs)</w:t>
      </w:r>
      <w:r>
        <w:t xml:space="preserve"> </w:t>
      </w:r>
      <w:r>
        <w:t xml:space="preserve">Slightly negative to positive:</w:t>
      </w:r>
      <w:r>
        <w:t xml:space="preserve"> </w:t>
      </w:r>
      <w:r>
        <w:t xml:space="preserve">Between a cost €0.93 million and</w:t>
      </w:r>
      <w:r>
        <w:t xml:space="preserve"> </w:t>
      </w:r>
      <w:r>
        <w:t xml:space="preserve">savings up to €4.97 million,</w:t>
      </w:r>
      <w:r>
        <w:t xml:space="preserve"> </w:t>
      </w:r>
      <w:r>
        <w:t xml:space="preserve">mainly for SMEs</w:t>
      </w:r>
      <w:r>
        <w:t xml:space="preserve"> </w:t>
      </w:r>
      <w:r>
        <w:t xml:space="preserve">Improve the level playing field in</w:t>
      </w:r>
      <w:r>
        <w:t xml:space="preserve"> </w:t>
      </w:r>
      <w:r>
        <w:t xml:space="preserve">the internal market for chemicals.</w:t>
      </w:r>
      <w:r>
        <w:t xml:space="preserve"> </w:t>
      </w:r>
      <w:r>
        <w:t xml:space="preserve">SMEs will benefit from this more</w:t>
      </w:r>
      <w:r>
        <w:t xml:space="preserve"> </w:t>
      </w:r>
      <w:r>
        <w:t xml:space="preserve">than larger companies</w:t>
      </w:r>
      <w:r>
        <w:t xml:space="preserve"> </w:t>
      </w:r>
      <w:r>
        <w:t xml:space="preserve">Slightly positive (as</w:t>
      </w:r>
      <w:r>
        <w:t xml:space="preserve"> </w:t>
      </w:r>
      <w:r>
        <w:t xml:space="preserve">the number of agreed</w:t>
      </w:r>
      <w:r>
        <w:t xml:space="preserve"> </w:t>
      </w:r>
      <w:r>
        <w:t xml:space="preserve">and</w:t>
      </w:r>
      <w:r>
        <w:t xml:space="preserve"> </w:t>
      </w:r>
      <w:r>
        <w:t xml:space="preserve">possibly</w:t>
      </w:r>
      <w:r>
        <w:t xml:space="preserve"> </w:t>
      </w:r>
      <w:r>
        <w:t xml:space="preserve">more</w:t>
      </w:r>
      <w:r>
        <w:t xml:space="preserve"> </w:t>
      </w:r>
      <w:r>
        <w:t xml:space="preserve">accurate</w:t>
      </w:r>
      <w:r>
        <w:t xml:space="preserve"> </w:t>
      </w:r>
      <w:r>
        <w:t xml:space="preserve">self-</w:t>
      </w:r>
      <w:r>
        <w:t xml:space="preserve"> </w:t>
      </w:r>
      <w:r>
        <w:t xml:space="preserve">classifications</w:t>
      </w:r>
      <w:r>
        <w:t xml:space="preserve"> </w:t>
      </w:r>
      <w:r>
        <w:t xml:space="preserve">will</w:t>
      </w:r>
      <w:r>
        <w:t xml:space="preserve"> </w:t>
      </w:r>
      <w:r>
        <w:t xml:space="preserve">increase)</w:t>
      </w:r>
      <w:r>
        <w:t xml:space="preserve"> </w:t>
      </w:r>
      <w:r>
        <w:t xml:space="preserve">Slightly positive (as</w:t>
      </w:r>
      <w:r>
        <w:t xml:space="preserve"> </w:t>
      </w:r>
      <w:r>
        <w:t xml:space="preserve">the</w:t>
      </w:r>
      <w:r>
        <w:t xml:space="preserve"> </w:t>
      </w:r>
      <w:r>
        <w:t xml:space="preserve">number</w:t>
      </w:r>
      <w:r>
        <w:t xml:space="preserve"> </w:t>
      </w:r>
      <w:r>
        <w:t xml:space="preserve">of</w:t>
      </w:r>
      <w:r>
        <w:t xml:space="preserve"> </w:t>
      </w:r>
      <w:r>
        <w:t xml:space="preserve">agreed and possibly</w:t>
      </w:r>
      <w:r>
        <w:t xml:space="preserve"> </w:t>
      </w:r>
      <w:r>
        <w:t xml:space="preserve">more accurate self-</w:t>
      </w:r>
      <w:r>
        <w:t xml:space="preserve"> </w:t>
      </w:r>
      <w:r>
        <w:t xml:space="preserve">classifications</w:t>
      </w:r>
      <w:r>
        <w:t xml:space="preserve"> </w:t>
      </w:r>
      <w:r>
        <w:t xml:space="preserve">will</w:t>
      </w:r>
      <w:r>
        <w:t xml:space="preserve"> </w:t>
      </w:r>
      <w:r>
        <w:t xml:space="preserve">increase)</w:t>
      </w:r>
      <w:r>
        <w:t xml:space="preserve"> </w:t>
      </w:r>
      <w:r>
        <w:t xml:space="preserve">High</w:t>
      </w:r>
      <w:r>
        <w:t xml:space="preserve"> </w:t>
      </w:r>
      <w:r>
        <w:t xml:space="preserve">Medium</w:t>
      </w:r>
      <w:r>
        <w:t xml:space="preserve"> </w:t>
      </w:r>
      <w:r>
        <w:t xml:space="preserve">Strong</w:t>
      </w:r>
      <w:r>
        <w:t xml:space="preserve"> </w:t>
      </w:r>
      <w:r>
        <w:t xml:space="preserve">(improved</w:t>
      </w:r>
      <w:r>
        <w:t xml:space="preserve"> </w:t>
      </w:r>
      <w:r>
        <w:t xml:space="preserve">internal market),</w:t>
      </w:r>
      <w:r>
        <w:br/>
      </w:r>
      <w:r>
        <w:t xml:space="preserve">PO1c</w:t>
      </w:r>
      <w:r>
        <w:t xml:space="preserve"> </w:t>
      </w:r>
      <w:r>
        <w:t xml:space="preserve">More</w:t>
      </w:r>
      <w:r>
        <w:t xml:space="preserve"> </w:t>
      </w:r>
      <w:r>
        <w:t xml:space="preserve">and</w:t>
      </w:r>
      <w:r>
        <w:t xml:space="preserve"> </w:t>
      </w:r>
      <w:r>
        <w:t xml:space="preserve">prioritised</w:t>
      </w:r>
      <w:r>
        <w:t xml:space="preserve"> </w:t>
      </w:r>
      <w:r>
        <w:t xml:space="preserve">harmonised</w:t>
      </w:r>
      <w:r>
        <w:t xml:space="preserve"> </w:t>
      </w:r>
      <w:r>
        <w:t xml:space="preserve">classification</w:t>
      </w:r>
      <w:r>
        <w:t xml:space="preserve"> </w:t>
      </w:r>
      <w:r>
        <w:t xml:space="preserve">Low (in case of</w:t>
      </w:r>
      <w:r>
        <w:t xml:space="preserve"> </w:t>
      </w:r>
      <w:r>
        <w:t xml:space="preserve">late</w:t>
      </w:r>
      <w:r>
        <w:t xml:space="preserve"> </w:t>
      </w:r>
      <w:r>
        <w:t xml:space="preserve">prioritisation) to</w:t>
      </w:r>
      <w:r>
        <w:t xml:space="preserve"> </w:t>
      </w:r>
      <w:r>
        <w:t xml:space="preserve">high (in case of</w:t>
      </w:r>
      <w:r>
        <w:t xml:space="preserve"> </w:t>
      </w:r>
      <w:r>
        <w:t xml:space="preserve">early</w:t>
      </w:r>
      <w:r>
        <w:t xml:space="preserve"> </w:t>
      </w:r>
      <w:r>
        <w:t xml:space="preserve">prioritisation)</w:t>
      </w:r>
      <w:r>
        <w:br/>
      </w:r>
      <w:r>
        <w:t xml:space="preserve">Negative: costs between €0.75</w:t>
      </w:r>
      <w:r>
        <w:t xml:space="preserve"> </w:t>
      </w:r>
      <w:r>
        <w:t xml:space="preserve">and 4.71 million euros</w:t>
      </w:r>
      <w:r>
        <w:t xml:space="preserve"> </w:t>
      </w:r>
      <w:r>
        <w:t xml:space="preserve">Fostering the level playing field</w:t>
      </w:r>
      <w:r>
        <w:t xml:space="preserve"> </w:t>
      </w:r>
      <w:r>
        <w:t xml:space="preserve">as</w:t>
      </w:r>
      <w:r>
        <w:t xml:space="preserve"> </w:t>
      </w:r>
      <w:r>
        <w:t xml:space="preserve">harmonised</w:t>
      </w:r>
      <w:r>
        <w:t xml:space="preserve"> </w:t>
      </w:r>
      <w:r>
        <w:t xml:space="preserve">classification</w:t>
      </w:r>
      <w:r>
        <w:t xml:space="preserve"> </w:t>
      </w:r>
      <w:r>
        <w:t xml:space="preserve">applies to all companies of the</w:t>
      </w:r>
      <w:r>
        <w:t xml:space="preserve"> </w:t>
      </w:r>
      <w:r>
        <w:t xml:space="preserve">same substance, whether SMEs or</w:t>
      </w:r>
      <w:r>
        <w:t xml:space="preserve"> </w:t>
      </w:r>
      <w:r>
        <w:t xml:space="preserve">larger companies</w:t>
      </w:r>
      <w:r>
        <w:t xml:space="preserve"> </w:t>
      </w:r>
      <w:r>
        <w:t xml:space="preserve">Slightly positive to</w:t>
      </w:r>
      <w:r>
        <w:t xml:space="preserve"> </w:t>
      </w:r>
      <w:r>
        <w:t xml:space="preserve">very</w:t>
      </w:r>
      <w:r>
        <w:t xml:space="preserve"> </w:t>
      </w:r>
      <w:r>
        <w:t xml:space="preserve">positive</w:t>
      </w:r>
      <w:r>
        <w:t xml:space="preserve"> </w:t>
      </w:r>
      <w:r>
        <w:t xml:space="preserve">depending</w:t>
      </w:r>
      <w:r>
        <w:t xml:space="preserve"> </w:t>
      </w:r>
      <w:r>
        <w:t xml:space="preserve">on</w:t>
      </w:r>
      <w:r>
        <w:t xml:space="preserve"> </w:t>
      </w:r>
      <w:r>
        <w:t xml:space="preserve">the</w:t>
      </w:r>
      <w:r>
        <w:t xml:space="preserve"> </w:t>
      </w:r>
      <w:r>
        <w:t xml:space="preserve">number of substances</w:t>
      </w:r>
      <w:r>
        <w:t xml:space="preserve"> </w:t>
      </w:r>
      <w:r>
        <w:t xml:space="preserve">with</w:t>
      </w:r>
      <w:r>
        <w:t xml:space="preserve"> </w:t>
      </w:r>
      <w:r>
        <w:t xml:space="preserve">accurate</w:t>
      </w:r>
      <w:r>
        <w:t xml:space="preserve"> </w:t>
      </w:r>
      <w:r>
        <w:t xml:space="preserve">harmonised</w:t>
      </w:r>
      <w:r>
        <w:t xml:space="preserve"> </w:t>
      </w:r>
      <w:r>
        <w:t xml:space="preserve">classification</w:t>
      </w:r>
      <w:r>
        <w:br/>
      </w:r>
      <w:r>
        <w:t xml:space="preserve">Slightly positive to</w:t>
      </w:r>
      <w:r>
        <w:t xml:space="preserve"> </w:t>
      </w:r>
      <w:r>
        <w:t xml:space="preserve">very</w:t>
      </w:r>
      <w:r>
        <w:t xml:space="preserve"> </w:t>
      </w:r>
      <w:r>
        <w:t xml:space="preserve">positive</w:t>
      </w:r>
      <w:r>
        <w:t xml:space="preserve"> </w:t>
      </w:r>
      <w:r>
        <w:t xml:space="preserve">depending on the</w:t>
      </w:r>
      <w:r>
        <w:t xml:space="preserve"> </w:t>
      </w:r>
      <w:r>
        <w:t xml:space="preserve">number</w:t>
      </w:r>
      <w:r>
        <w:t xml:space="preserve"> </w:t>
      </w:r>
      <w:r>
        <w:t xml:space="preserve">of</w:t>
      </w:r>
      <w:r>
        <w:t xml:space="preserve"> </w:t>
      </w:r>
      <w:r>
        <w:t xml:space="preserve">substances</w:t>
      </w:r>
      <w:r>
        <w:t xml:space="preserve"> </w:t>
      </w:r>
      <w:r>
        <w:t xml:space="preserve">with</w:t>
      </w:r>
      <w:r>
        <w:t xml:space="preserve"> </w:t>
      </w:r>
      <w:r>
        <w:t xml:space="preserve">accurate harmonised</w:t>
      </w:r>
      <w:r>
        <w:t xml:space="preserve"> </w:t>
      </w:r>
      <w:r>
        <w:t xml:space="preserve">classification</w:t>
      </w:r>
      <w:r>
        <w:br/>
      </w:r>
      <w:r>
        <w:t xml:space="preserve">High</w:t>
      </w:r>
      <w:r>
        <w:t xml:space="preserve"> </w:t>
      </w:r>
      <w:r>
        <w:t xml:space="preserve">High</w:t>
      </w:r>
      <w:r>
        <w:t xml:space="preserve"> </w:t>
      </w:r>
      <w:r>
        <w:t xml:space="preserve">(as</w:t>
      </w:r>
      <w:r>
        <w:t xml:space="preserve"> </w:t>
      </w:r>
      <w:r>
        <w:t xml:space="preserve">building up on</w:t>
      </w:r>
      <w:r>
        <w:t xml:space="preserve"> </w:t>
      </w:r>
      <w:r>
        <w:t xml:space="preserve">increased</w:t>
      </w:r>
      <w:r>
        <w:t xml:space="preserve"> </w:t>
      </w:r>
      <w:r>
        <w:t xml:space="preserve">benefits from</w:t>
      </w:r>
      <w:r>
        <w:t xml:space="preserve"> </w:t>
      </w:r>
      <w:r>
        <w:t xml:space="preserve">self-</w:t>
      </w:r>
      <w:r>
        <w:t xml:space="preserve"> </w:t>
      </w:r>
      <w:r>
        <w:t xml:space="preserve">classification</w:t>
      </w:r>
      <w:r>
        <w:t xml:space="preserve"> </w:t>
      </w:r>
      <w:r>
        <w:t xml:space="preserve">and the new</w:t>
      </w:r>
      <w:r>
        <w:t xml:space="preserve"> </w:t>
      </w:r>
      <w:r>
        <w:t xml:space="preserve">hazard</w:t>
      </w:r>
      <w:r>
        <w:t xml:space="preserve"> </w:t>
      </w:r>
      <w:r>
        <w:t xml:space="preserve">classes)</w:t>
      </w:r>
      <w:r>
        <w:t xml:space="preserve"> </w:t>
      </w:r>
      <w:r>
        <w:t xml:space="preserve">Strong</w:t>
      </w:r>
      <w:r>
        <w:t xml:space="preserve"> </w:t>
      </w:r>
      <w:r>
        <w:t xml:space="preserve">(harmonisation</w:t>
      </w:r>
      <w:r>
        <w:t xml:space="preserve"> </w:t>
      </w:r>
      <w:r>
        <w:t xml:space="preserve">at EU level)</w:t>
      </w:r>
      <w:r>
        <w:t xml:space="preserve"> </w:t>
      </w:r>
      <w:r>
        <w:t xml:space="preserve">PO1d</w:t>
      </w:r>
      <w:r>
        <w:t xml:space="preserve"> </w:t>
      </w:r>
      <w:r>
        <w:t xml:space="preserve">Complementing</w:t>
      </w:r>
      <w:r>
        <w:t xml:space="preserve"> </w:t>
      </w:r>
      <w:r>
        <w:t xml:space="preserve">hazard identification</w:t>
      </w:r>
      <w:r>
        <w:t xml:space="preserve"> </w:t>
      </w:r>
      <w:r>
        <w:t xml:space="preserve">with</w:t>
      </w:r>
      <w:r>
        <w:t xml:space="preserve"> </w:t>
      </w:r>
      <w:r>
        <w:t xml:space="preserve">hazard</w:t>
      </w:r>
      <w:r>
        <w:t xml:space="preserve"> </w:t>
      </w:r>
      <w:r>
        <w:t xml:space="preserve">quantification</w:t>
      </w:r>
      <w:r>
        <w:t xml:space="preserve"> </w:t>
      </w:r>
      <w:r>
        <w:t xml:space="preserve">Medium</w:t>
      </w:r>
      <w:r>
        <w:t xml:space="preserve"> </w:t>
      </w:r>
      <w:r>
        <w:t xml:space="preserve">Neutral, up to slightly positive if</w:t>
      </w:r>
      <w:r>
        <w:t xml:space="preserve"> </w:t>
      </w:r>
      <w:r>
        <w:t xml:space="preserve">industry uses the harmonised</w:t>
      </w:r>
      <w:r>
        <w:t xml:space="preserve"> </w:t>
      </w:r>
      <w:r>
        <w:t xml:space="preserve">reference values</w:t>
      </w:r>
      <w:r>
        <w:t xml:space="preserve"> </w:t>
      </w:r>
      <w:r>
        <w:t xml:space="preserve">Slightly positive</w:t>
      </w:r>
      <w:r>
        <w:t xml:space="preserve"> </w:t>
      </w:r>
      <w:r>
        <w:t xml:space="preserve">Slightly positive</w:t>
      </w:r>
      <w:r>
        <w:t xml:space="preserve"> </w:t>
      </w:r>
      <w:r>
        <w:t xml:space="preserve">Weakly</w:t>
      </w:r>
      <w:r>
        <w:t xml:space="preserve"> </w:t>
      </w:r>
      <w:r>
        <w:t xml:space="preserve">positive</w:t>
      </w:r>
      <w:r>
        <w:t xml:space="preserve"> </w:t>
      </w:r>
      <w:r>
        <w:t xml:space="preserve">Weak</w:t>
      </w:r>
      <w:r>
        <w:t xml:space="preserve"> </w:t>
      </w:r>
      <w:r>
        <w:t xml:space="preserve">Weak</w:t>
      </w:r>
    </w:p>
    <w:p>
      <w:pPr>
        <w:pStyle w:val="BodyText"/>
      </w:pPr>
      <w:r>
        <w:t xml:space="preserve">47</w:t>
      </w:r>
    </w:p>
    <w:p>
      <w:pPr>
        <w:pStyle w:val="BodyText"/>
      </w:pPr>
      <w:r>
        <w:t xml:space="preserve">Table 15: Comparison of policy options for hazard communication.</w:t>
      </w:r>
      <w:r>
        <w:t xml:space="preserve"> </w:t>
      </w:r>
      <w:r>
        <w:t xml:space="preserve">Options</w:t>
      </w:r>
      <w:r>
        <w:t xml:space="preserve"> </w:t>
      </w:r>
      <w:r>
        <w:t xml:space="preserve">Effectiveness</w:t>
      </w:r>
      <w:r>
        <w:t xml:space="preserve"> </w:t>
      </w:r>
      <w:r>
        <w:t xml:space="preserve">Key impacts</w:t>
      </w:r>
      <w:r>
        <w:t xml:space="preserve"> </w:t>
      </w:r>
      <w:r>
        <w:t xml:space="preserve">Benefit/cost</w:t>
      </w:r>
      <w:r>
        <w:t xml:space="preserve"> </w:t>
      </w:r>
      <w:r>
        <w:t xml:space="preserve">ratio</w:t>
      </w:r>
      <w:r>
        <w:t xml:space="preserve"> </w:t>
      </w:r>
      <w:r>
        <w:t xml:space="preserve">Efficiency</w:t>
      </w:r>
      <w:r>
        <w:t xml:space="preserve"> </w:t>
      </w:r>
      <w:r>
        <w:t xml:space="preserve">Coherence</w:t>
      </w:r>
      <w:r>
        <w:t xml:space="preserve"> </w:t>
      </w:r>
      <w:r>
        <w:t xml:space="preserve">Consistency with climate</w:t>
      </w:r>
      <w:r>
        <w:t xml:space="preserve"> </w:t>
      </w:r>
      <w:r>
        <w:t xml:space="preserve">objectives</w:t>
      </w:r>
      <w:r>
        <w:t xml:space="preserve"> </w:t>
      </w:r>
      <w:r>
        <w:t xml:space="preserve">Economic</w:t>
      </w:r>
      <w:r>
        <w:t xml:space="preserve"> </w:t>
      </w:r>
      <w:r>
        <w:t xml:space="preserve">Social</w:t>
      </w:r>
      <w:r>
        <w:t xml:space="preserve"> </w:t>
      </w:r>
      <w:r>
        <w:t xml:space="preserve">Environmental</w:t>
      </w:r>
      <w:r>
        <w:t xml:space="preserve"> </w:t>
      </w:r>
      <w:r>
        <w:t xml:space="preserve">PO2a</w:t>
      </w:r>
      <w:r>
        <w:t xml:space="preserve"> </w:t>
      </w:r>
      <w:r>
        <w:t xml:space="preserve">Update/prepare</w:t>
      </w:r>
      <w:r>
        <w:t xml:space="preserve"> </w:t>
      </w:r>
      <w:r>
        <w:t xml:space="preserve">guidance</w:t>
      </w:r>
      <w:r>
        <w:br/>
      </w:r>
      <w:r>
        <w:t xml:space="preserve">Limited</w:t>
      </w:r>
      <w:r>
        <w:t xml:space="preserve"> </w:t>
      </w:r>
      <w:r>
        <w:t xml:space="preserve">extension</w:t>
      </w:r>
      <w:r>
        <w:t xml:space="preserve"> </w:t>
      </w:r>
      <w:r>
        <w:t xml:space="preserve">of</w:t>
      </w:r>
      <w:r>
        <w:t xml:space="preserve"> </w:t>
      </w:r>
      <w:r>
        <w:t xml:space="preserve">clarifications</w:t>
      </w:r>
      <w:r>
        <w:br/>
      </w:r>
      <w:r>
        <w:t xml:space="preserve">Neutral</w:t>
      </w:r>
      <w:r>
        <w:t xml:space="preserve"> </w:t>
      </w:r>
      <w:r>
        <w:t xml:space="preserve">to</w:t>
      </w:r>
      <w:r>
        <w:t xml:space="preserve"> </w:t>
      </w:r>
      <w:r>
        <w:t xml:space="preserve">weakly</w:t>
      </w:r>
      <w:r>
        <w:t xml:space="preserve"> </w:t>
      </w:r>
      <w:r>
        <w:t xml:space="preserve">positive</w:t>
      </w:r>
      <w:r>
        <w:t xml:space="preserve"> </w:t>
      </w:r>
      <w:r>
        <w:t xml:space="preserve">as (existing)</w:t>
      </w:r>
      <w:r>
        <w:t xml:space="preserve"> </w:t>
      </w:r>
      <w:r>
        <w:t xml:space="preserve">guidance is not always</w:t>
      </w:r>
      <w:r>
        <w:t xml:space="preserve"> </w:t>
      </w:r>
      <w:r>
        <w:t xml:space="preserve">implemented</w:t>
      </w:r>
      <w:r>
        <w:t xml:space="preserve"> </w:t>
      </w:r>
      <w:r>
        <w:t xml:space="preserve">Minimal positive</w:t>
      </w:r>
      <w:r>
        <w:t xml:space="preserve"> </w:t>
      </w:r>
      <w:r>
        <w:t xml:space="preserve">Minimal positive</w:t>
      </w:r>
      <w:r>
        <w:t xml:space="preserve"> </w:t>
      </w:r>
      <w:r>
        <w:t xml:space="preserve">Very</w:t>
      </w:r>
      <w:r>
        <w:t xml:space="preserve"> </w:t>
      </w:r>
      <w:r>
        <w:t xml:space="preserve">limited</w:t>
      </w:r>
      <w:r>
        <w:t xml:space="preserve"> </w:t>
      </w:r>
      <w:r>
        <w:t xml:space="preserve">benefits</w:t>
      </w:r>
      <w:r>
        <w:t xml:space="preserve"> </w:t>
      </w:r>
      <w:r>
        <w:t xml:space="preserve">with</w:t>
      </w:r>
      <w:r>
        <w:t xml:space="preserve"> </w:t>
      </w:r>
      <w:r>
        <w:t xml:space="preserve">very</w:t>
      </w:r>
      <w:r>
        <w:t xml:space="preserve"> </w:t>
      </w:r>
      <w:r>
        <w:t xml:space="preserve">limited</w:t>
      </w:r>
      <w:r>
        <w:t xml:space="preserve"> </w:t>
      </w:r>
      <w:r>
        <w:t xml:space="preserve">costs</w:t>
      </w:r>
      <w:r>
        <w:t xml:space="preserve"> </w:t>
      </w:r>
      <w:r>
        <w:t xml:space="preserve">Low</w:t>
      </w:r>
      <w:r>
        <w:t xml:space="preserve"> </w:t>
      </w:r>
      <w:r>
        <w:t xml:space="preserve">Neutral</w:t>
      </w:r>
      <w:r>
        <w:t xml:space="preserve"> </w:t>
      </w:r>
      <w:r>
        <w:t xml:space="preserve">Neutral as minimal changes</w:t>
      </w:r>
      <w:r>
        <w:t xml:space="preserve"> </w:t>
      </w:r>
      <w:r>
        <w:t xml:space="preserve">are foreseen</w:t>
      </w:r>
      <w:r>
        <w:t xml:space="preserve"> </w:t>
      </w:r>
      <w:r>
        <w:t xml:space="preserve">PO2b Improving</w:t>
      </w:r>
      <w:r>
        <w:t xml:space="preserve"> </w:t>
      </w:r>
      <w:r>
        <w:t xml:space="preserve">and</w:t>
      </w:r>
      <w:r>
        <w:t xml:space="preserve"> </w:t>
      </w:r>
      <w:r>
        <w:t xml:space="preserve">making</w:t>
      </w:r>
      <w:r>
        <w:t xml:space="preserve"> </w:t>
      </w:r>
      <w:r>
        <w:t xml:space="preserve">more</w:t>
      </w:r>
      <w:r>
        <w:t xml:space="preserve"> </w:t>
      </w:r>
      <w:r>
        <w:t xml:space="preserve">flexible</w:t>
      </w:r>
      <w:r>
        <w:t xml:space="preserve"> </w:t>
      </w:r>
      <w:r>
        <w:t xml:space="preserve">existing rules</w:t>
      </w:r>
      <w:r>
        <w:br/>
      </w:r>
      <w:r>
        <w:t xml:space="preserve">High</w:t>
      </w:r>
      <w:r>
        <w:t xml:space="preserve"> </w:t>
      </w:r>
      <w:r>
        <w:t xml:space="preserve">–</w:t>
      </w:r>
      <w:r>
        <w:t xml:space="preserve"> </w:t>
      </w:r>
      <w:r>
        <w:t xml:space="preserve">in</w:t>
      </w:r>
      <w:r>
        <w:t xml:space="preserve"> </w:t>
      </w:r>
      <w:r>
        <w:t xml:space="preserve">tackling</w:t>
      </w:r>
      <w:r>
        <w:t xml:space="preserve"> </w:t>
      </w:r>
      <w:r>
        <w:t xml:space="preserve">absence</w:t>
      </w:r>
      <w:r>
        <w:t xml:space="preserve"> </w:t>
      </w:r>
      <w:r>
        <w:t xml:space="preserve">of</w:t>
      </w:r>
      <w:r>
        <w:t xml:space="preserve"> </w:t>
      </w:r>
      <w:r>
        <w:t xml:space="preserve">labels</w:t>
      </w:r>
      <w:r>
        <w:t xml:space="preserve"> </w:t>
      </w:r>
      <w:r>
        <w:t xml:space="preserve">and</w:t>
      </w:r>
      <w:r>
        <w:t xml:space="preserve"> </w:t>
      </w:r>
      <w:r>
        <w:t xml:space="preserve">increased</w:t>
      </w:r>
      <w:r>
        <w:t xml:space="preserve"> </w:t>
      </w:r>
      <w:r>
        <w:t xml:space="preserve">readability and</w:t>
      </w:r>
      <w:r>
        <w:t xml:space="preserve"> </w:t>
      </w:r>
      <w:r>
        <w:t xml:space="preserve">burden</w:t>
      </w:r>
      <w:r>
        <w:t xml:space="preserve"> </w:t>
      </w:r>
      <w:r>
        <w:t xml:space="preserve">reduction and</w:t>
      </w:r>
      <w:r>
        <w:t xml:space="preserve"> </w:t>
      </w:r>
      <w:r>
        <w:t xml:space="preserve">cost savings</w:t>
      </w:r>
      <w:r>
        <w:t xml:space="preserve"> </w:t>
      </w:r>
      <w:r>
        <w:t xml:space="preserve">Highly</w:t>
      </w:r>
      <w:r>
        <w:t xml:space="preserve"> </w:t>
      </w:r>
      <w:r>
        <w:t xml:space="preserve">positive:</w:t>
      </w:r>
      <w:r>
        <w:t xml:space="preserve"> </w:t>
      </w:r>
      <w:r>
        <w:t xml:space="preserve">the</w:t>
      </w:r>
      <w:r>
        <w:t xml:space="preserve"> </w:t>
      </w:r>
      <w:r>
        <w:t xml:space="preserve">limited negative impacts</w:t>
      </w:r>
      <w:r>
        <w:t xml:space="preserve"> </w:t>
      </w:r>
      <w:r>
        <w:t xml:space="preserve">are offset by savings (up</w:t>
      </w:r>
      <w:r>
        <w:t xml:space="preserve"> </w:t>
      </w:r>
      <w:r>
        <w:t xml:space="preserve">to €59 million) from</w:t>
      </w:r>
      <w:r>
        <w:t xml:space="preserve"> </w:t>
      </w:r>
      <w:r>
        <w:t xml:space="preserve">labelling simplification.</w:t>
      </w:r>
      <w:r>
        <w:t xml:space="preserve"> </w:t>
      </w:r>
      <w:r>
        <w:t xml:space="preserve">The savings may be</w:t>
      </w:r>
      <w:r>
        <w:t xml:space="preserve"> </w:t>
      </w:r>
      <w:r>
        <w:t xml:space="preserve">higher</w:t>
      </w:r>
      <w:r>
        <w:t xml:space="preserve"> </w:t>
      </w:r>
      <w:r>
        <w:t xml:space="preserve">for</w:t>
      </w:r>
      <w:r>
        <w:t xml:space="preserve"> </w:t>
      </w:r>
      <w:r>
        <w:t xml:space="preserve">larger</w:t>
      </w:r>
      <w:r>
        <w:t xml:space="preserve"> </w:t>
      </w:r>
      <w:r>
        <w:t xml:space="preserve">companies than SMEs.</w:t>
      </w:r>
    </w:p>
    <w:p>
      <w:pPr>
        <w:pStyle w:val="BodyText"/>
      </w:pPr>
      <w:r>
        <w:t xml:space="preserve">Highly positive (increased</w:t>
      </w:r>
      <w:r>
        <w:t xml:space="preserve"> </w:t>
      </w:r>
      <w:r>
        <w:t xml:space="preserve">safety</w:t>
      </w:r>
      <w:r>
        <w:t xml:space="preserve"> </w:t>
      </w:r>
      <w:r>
        <w:t xml:space="preserve">information</w:t>
      </w:r>
      <w:r>
        <w:t xml:space="preserve"> </w:t>
      </w:r>
      <w:r>
        <w:t xml:space="preserve">available to users and</w:t>
      </w:r>
      <w:r>
        <w:t xml:space="preserve"> </w:t>
      </w:r>
      <w:r>
        <w:t xml:space="preserve">simplification</w:t>
      </w:r>
      <w:r>
        <w:t xml:space="preserve"> </w:t>
      </w:r>
      <w:r>
        <w:t xml:space="preserve">provided</w:t>
      </w:r>
      <w:r>
        <w:t xml:space="preserve"> </w:t>
      </w:r>
      <w:r>
        <w:t xml:space="preserve">without</w:t>
      </w:r>
      <w:r>
        <w:t xml:space="preserve"> </w:t>
      </w:r>
      <w:r>
        <w:t xml:space="preserve">significantly</w:t>
      </w:r>
      <w:r>
        <w:t xml:space="preserve"> </w:t>
      </w:r>
      <w:r>
        <w:t xml:space="preserve">lowering safety)</w:t>
      </w:r>
      <w:r>
        <w:t xml:space="preserve"> </w:t>
      </w:r>
      <w:r>
        <w:t xml:space="preserve">Slightly</w:t>
      </w:r>
      <w:r>
        <w:t xml:space="preserve"> </w:t>
      </w:r>
      <w:r>
        <w:t xml:space="preserve">positive</w:t>
      </w:r>
      <w:r>
        <w:t xml:space="preserve"> </w:t>
      </w:r>
      <w:r>
        <w:t xml:space="preserve">(e.g. </w:t>
      </w:r>
      <w:r>
        <w:t xml:space="preserve"> </w:t>
      </w:r>
      <w:r>
        <w:t xml:space="preserve">through</w:t>
      </w:r>
      <w:r>
        <w:t xml:space="preserve"> </w:t>
      </w:r>
      <w:r>
        <w:t xml:space="preserve">increased</w:t>
      </w:r>
      <w:r>
        <w:t xml:space="preserve"> </w:t>
      </w:r>
      <w:r>
        <w:t xml:space="preserve">awareness of impacts of</w:t>
      </w:r>
      <w:r>
        <w:t xml:space="preserve"> </w:t>
      </w:r>
      <w:r>
        <w:t xml:space="preserve">dispersion</w:t>
      </w:r>
      <w:r>
        <w:t xml:space="preserve"> </w:t>
      </w:r>
      <w:r>
        <w:t xml:space="preserve">of</w:t>
      </w:r>
      <w:r>
        <w:t xml:space="preserve"> </w:t>
      </w:r>
      <w:r>
        <w:t xml:space="preserve">harmful</w:t>
      </w:r>
      <w:r>
        <w:t xml:space="preserve"> </w:t>
      </w:r>
      <w:r>
        <w:t xml:space="preserve">substances in the natural</w:t>
      </w:r>
      <w:r>
        <w:t xml:space="preserve"> </w:t>
      </w:r>
      <w:r>
        <w:t xml:space="preserve">environment)</w:t>
      </w:r>
      <w:r>
        <w:t xml:space="preserve"> </w:t>
      </w:r>
      <w:r>
        <w:t xml:space="preserve">Highly positive</w:t>
      </w:r>
      <w:r>
        <w:br/>
      </w:r>
      <w:r>
        <w:t xml:space="preserve">High</w:t>
      </w:r>
      <w:r>
        <w:t xml:space="preserve"> </w:t>
      </w:r>
      <w:r>
        <w:t xml:space="preserve">Highly</w:t>
      </w:r>
      <w:r>
        <w:t xml:space="preserve"> </w:t>
      </w:r>
      <w:r>
        <w:t xml:space="preserve">positive</w:t>
      </w:r>
      <w:r>
        <w:t xml:space="preserve"> </w:t>
      </w:r>
      <w:r>
        <w:t xml:space="preserve">In the long term, it would</w:t>
      </w:r>
      <w:r>
        <w:t xml:space="preserve"> </w:t>
      </w:r>
      <w:r>
        <w:t xml:space="preserve">reduce CO2 emissions thanks</w:t>
      </w:r>
      <w:r>
        <w:t xml:space="preserve"> </w:t>
      </w:r>
      <w:r>
        <w:t xml:space="preserve">to</w:t>
      </w:r>
      <w:r>
        <w:t xml:space="preserve"> </w:t>
      </w:r>
      <w:r>
        <w:t xml:space="preserve">legislative</w:t>
      </w:r>
      <w:r>
        <w:t xml:space="preserve"> </w:t>
      </w:r>
      <w:r>
        <w:t xml:space="preserve">streamlining.</w:t>
      </w:r>
      <w:r>
        <w:t xml:space="preserve"> </w:t>
      </w:r>
      <w:r>
        <w:t xml:space="preserve">Refilling would bring benefits</w:t>
      </w:r>
      <w:r>
        <w:t xml:space="preserve"> </w:t>
      </w:r>
      <w:r>
        <w:t xml:space="preserve">in terms of packaging waste</w:t>
      </w:r>
      <w:r>
        <w:t xml:space="preserve"> </w:t>
      </w:r>
      <w:r>
        <w:t xml:space="preserve">reduction, hence energy saved.</w:t>
      </w:r>
      <w:r>
        <w:t xml:space="preserve"> </w:t>
      </w:r>
      <w:r>
        <w:t xml:space="preserve">PO2c</w:t>
      </w:r>
      <w:r>
        <w:t xml:space="preserve"> </w:t>
      </w:r>
      <w:r>
        <w:t xml:space="preserve">Digital</w:t>
      </w:r>
      <w:r>
        <w:t xml:space="preserve"> </w:t>
      </w:r>
      <w:r>
        <w:t xml:space="preserve">labelling</w:t>
      </w:r>
      <w:r>
        <w:t xml:space="preserve"> </w:t>
      </w:r>
      <w:r>
        <w:t xml:space="preserve">Weakly</w:t>
      </w:r>
      <w:r>
        <w:t xml:space="preserve"> </w:t>
      </w:r>
      <w:r>
        <w:t xml:space="preserve">positive</w:t>
      </w:r>
      <w:r>
        <w:t xml:space="preserve"> </w:t>
      </w:r>
      <w:r>
        <w:t xml:space="preserve">Weakly positive, as the</w:t>
      </w:r>
      <w:r>
        <w:t xml:space="preserve"> </w:t>
      </w:r>
      <w:r>
        <w:t xml:space="preserve">application would be</w:t>
      </w:r>
      <w:r>
        <w:t xml:space="preserve"> </w:t>
      </w:r>
      <w:r>
        <w:t xml:space="preserve">voluntary</w:t>
      </w:r>
      <w:r>
        <w:t xml:space="preserve"> </w:t>
      </w:r>
      <w:r>
        <w:t xml:space="preserve">(application</w:t>
      </w:r>
      <w:r>
        <w:t xml:space="preserve"> </w:t>
      </w:r>
      <w:r>
        <w:t xml:space="preserve">where</w:t>
      </w:r>
      <w:r>
        <w:t xml:space="preserve"> </w:t>
      </w:r>
      <w:r>
        <w:t xml:space="preserve">companies’</w:t>
      </w:r>
      <w:r>
        <w:t xml:space="preserve"> </w:t>
      </w:r>
      <w:r>
        <w:t xml:space="preserve">benefits outweigh their</w:t>
      </w:r>
      <w:r>
        <w:t xml:space="preserve"> </w:t>
      </w:r>
      <w:r>
        <w:t xml:space="preserve">costs). The volunteer</w:t>
      </w:r>
      <w:r>
        <w:t xml:space="preserve"> </w:t>
      </w:r>
      <w:r>
        <w:t xml:space="preserve">companies</w:t>
      </w:r>
      <w:r>
        <w:t xml:space="preserve"> </w:t>
      </w:r>
      <w:r>
        <w:t xml:space="preserve">would</w:t>
      </w:r>
      <w:r>
        <w:t xml:space="preserve"> </w:t>
      </w:r>
      <w:r>
        <w:t xml:space="preserve">be</w:t>
      </w:r>
      <w:r>
        <w:t xml:space="preserve"> </w:t>
      </w:r>
      <w:r>
        <w:t xml:space="preserve">digital/future</w:t>
      </w:r>
      <w:r>
        <w:t xml:space="preserve"> </w:t>
      </w:r>
      <w:r>
        <w:t xml:space="preserve">proofed</w:t>
      </w:r>
      <w:r>
        <w:t xml:space="preserve"> </w:t>
      </w:r>
      <w:r>
        <w:t xml:space="preserve">front-runners</w:t>
      </w:r>
      <w:r>
        <w:t xml:space="preserve"> </w:t>
      </w:r>
      <w:r>
        <w:t xml:space="preserve">Highly positive (digital</w:t>
      </w:r>
      <w:r>
        <w:t xml:space="preserve"> </w:t>
      </w:r>
      <w:r>
        <w:t xml:space="preserve">information complements</w:t>
      </w:r>
      <w:r>
        <w:t xml:space="preserve"> </w:t>
      </w:r>
      <w:r>
        <w:t xml:space="preserve">the information on labels)</w:t>
      </w:r>
      <w:r>
        <w:t xml:space="preserve"> </w:t>
      </w:r>
      <w:r>
        <w:t xml:space="preserve">Weakly positive</w:t>
      </w:r>
      <w:r>
        <w:t xml:space="preserve"> </w:t>
      </w:r>
      <w:r>
        <w:t xml:space="preserve">Highly positive</w:t>
      </w:r>
      <w:r>
        <w:t xml:space="preserve"> </w:t>
      </w:r>
      <w:r>
        <w:t xml:space="preserve">(companies</w:t>
      </w:r>
      <w:r>
        <w:t xml:space="preserve"> </w:t>
      </w:r>
      <w:r>
        <w:t xml:space="preserve">would</w:t>
      </w:r>
      <w:r>
        <w:t xml:space="preserve"> </w:t>
      </w:r>
      <w:r>
        <w:t xml:space="preserve">implement</w:t>
      </w:r>
      <w:r>
        <w:t xml:space="preserve"> </w:t>
      </w:r>
      <w:r>
        <w:t xml:space="preserve">this</w:t>
      </w:r>
      <w:r>
        <w:t xml:space="preserve"> </w:t>
      </w:r>
      <w:r>
        <w:t xml:space="preserve">on a voluntary</w:t>
      </w:r>
      <w:r>
        <w:t xml:space="preserve"> </w:t>
      </w:r>
      <w:r>
        <w:t xml:space="preserve">basis,</w:t>
      </w:r>
      <w:r>
        <w:t xml:space="preserve"> </w:t>
      </w:r>
      <w:r>
        <w:t xml:space="preserve">meaning</w:t>
      </w:r>
      <w:r>
        <w:t xml:space="preserve"> </w:t>
      </w:r>
      <w:r>
        <w:t xml:space="preserve">in cases where</w:t>
      </w:r>
      <w:r>
        <w:t xml:space="preserve"> </w:t>
      </w:r>
      <w:r>
        <w:t xml:space="preserve">their</w:t>
      </w:r>
      <w:r>
        <w:t xml:space="preserve"> </w:t>
      </w:r>
      <w:r>
        <w:t xml:space="preserve">benefits</w:t>
      </w:r>
      <w:r>
        <w:t xml:space="preserve"> </w:t>
      </w:r>
      <w:r>
        <w:t xml:space="preserve">outweigh</w:t>
      </w:r>
      <w:r>
        <w:t xml:space="preserve"> </w:t>
      </w:r>
      <w:r>
        <w:t xml:space="preserve">their</w:t>
      </w:r>
      <w:r>
        <w:t xml:space="preserve"> </w:t>
      </w:r>
      <w:r>
        <w:t xml:space="preserve">costs)</w:t>
      </w:r>
      <w:r>
        <w:t xml:space="preserve"> </w:t>
      </w:r>
      <w:r>
        <w:t xml:space="preserve">Neutral</w:t>
      </w:r>
      <w:r>
        <w:t xml:space="preserve"> </w:t>
      </w:r>
      <w:r>
        <w:t xml:space="preserve">Highly</w:t>
      </w:r>
      <w:r>
        <w:t xml:space="preserve"> </w:t>
      </w:r>
      <w:r>
        <w:t xml:space="preserve">positive</w:t>
      </w:r>
      <w:r>
        <w:t xml:space="preserve"> </w:t>
      </w:r>
      <w:r>
        <w:t xml:space="preserve">Neutral</w:t>
      </w:r>
    </w:p>
    <w:p>
      <w:pPr>
        <w:pStyle w:val="BodyText"/>
      </w:pPr>
      <w:r>
        <w:t xml:space="preserve">48</w:t>
      </w:r>
    </w:p>
    <w:p>
      <w:pPr>
        <w:pStyle w:val="BodyText"/>
      </w:pPr>
      <w:r>
        <w:t xml:space="preserve">Table 16: Comparison of policy options to address the non-compliance of online sales of chemicals and insufficient information to poison centres</w:t>
      </w:r>
      <w:r>
        <w:t xml:space="preserve"> </w:t>
      </w:r>
      <w:r>
        <w:t xml:space="preserve">Options</w:t>
      </w:r>
      <w:r>
        <w:t xml:space="preserve"> </w:t>
      </w:r>
      <w:r>
        <w:t xml:space="preserve">Effectivenes</w:t>
      </w:r>
      <w:r>
        <w:t xml:space="preserve"> </w:t>
      </w:r>
      <w:r>
        <w:t xml:space="preserve">s</w:t>
      </w:r>
      <w:r>
        <w:t xml:space="preserve"> </w:t>
      </w:r>
      <w:r>
        <w:t xml:space="preserve">Key impacts</w:t>
      </w:r>
      <w:r>
        <w:t xml:space="preserve"> </w:t>
      </w:r>
      <w:r>
        <w:t xml:space="preserve">Benefit/cost</w:t>
      </w:r>
      <w:r>
        <w:t xml:space="preserve"> </w:t>
      </w:r>
      <w:r>
        <w:t xml:space="preserve">ratio</w:t>
      </w:r>
      <w:r>
        <w:t xml:space="preserve"> </w:t>
      </w:r>
      <w:r>
        <w:t xml:space="preserve">Efficiency</w:t>
      </w:r>
      <w:r>
        <w:t xml:space="preserve"> </w:t>
      </w:r>
      <w:r>
        <w:t xml:space="preserve">Coherence</w:t>
      </w:r>
      <w:r>
        <w:t xml:space="preserve"> </w:t>
      </w:r>
      <w:r>
        <w:t xml:space="preserve">Consistency with climate</w:t>
      </w:r>
      <w:r>
        <w:t xml:space="preserve"> </w:t>
      </w:r>
      <w:r>
        <w:t xml:space="preserve">objectives</w:t>
      </w:r>
      <w:r>
        <w:t xml:space="preserve"> </w:t>
      </w:r>
      <w:r>
        <w:t xml:space="preserve">Economic</w:t>
      </w:r>
      <w:r>
        <w:t xml:space="preserve"> </w:t>
      </w:r>
      <w:r>
        <w:t xml:space="preserve">Social</w:t>
      </w:r>
      <w:r>
        <w:t xml:space="preserve"> </w:t>
      </w:r>
      <w:r>
        <w:t xml:space="preserve">Environmental</w:t>
      </w:r>
      <w:r>
        <w:t xml:space="preserve"> </w:t>
      </w:r>
      <w:r>
        <w:t xml:space="preserve">PO3a</w:t>
      </w:r>
      <w:r>
        <w:t xml:space="preserve"> </w:t>
      </w:r>
      <w:r>
        <w:t xml:space="preserve">Awareness</w:t>
      </w:r>
      <w:r>
        <w:t xml:space="preserve"> </w:t>
      </w:r>
      <w:r>
        <w:t xml:space="preserve">campaigns</w:t>
      </w:r>
      <w:r>
        <w:t xml:space="preserve"> </w:t>
      </w:r>
      <w:r>
        <w:t xml:space="preserve">Very low</w:t>
      </w:r>
      <w:r>
        <w:t xml:space="preserve"> </w:t>
      </w:r>
      <w:r>
        <w:t xml:space="preserve">Very small to moderately</w:t>
      </w:r>
      <w:r>
        <w:t xml:space="preserve"> </w:t>
      </w:r>
      <w:r>
        <w:t xml:space="preserve">negative</w:t>
      </w:r>
      <w:r>
        <w:t xml:space="preserve"> </w:t>
      </w:r>
      <w:r>
        <w:t xml:space="preserve">Weakly positive.</w:t>
      </w:r>
      <w:r>
        <w:t xml:space="preserve"> </w:t>
      </w:r>
      <w:r>
        <w:t xml:space="preserve">Weakly positive</w:t>
      </w:r>
      <w:r>
        <w:br/>
      </w:r>
      <w:r>
        <w:t xml:space="preserve">Limited</w:t>
      </w:r>
      <w:r>
        <w:t xml:space="preserve"> </w:t>
      </w:r>
      <w:r>
        <w:t xml:space="preserve">benefits/small</w:t>
      </w:r>
      <w:r>
        <w:t xml:space="preserve"> </w:t>
      </w:r>
      <w:r>
        <w:t xml:space="preserve">costs</w:t>
      </w:r>
      <w:r>
        <w:br/>
      </w:r>
      <w:r>
        <w:t xml:space="preserve">Rather low</w:t>
      </w:r>
      <w:r>
        <w:t xml:space="preserve"> </w:t>
      </w:r>
      <w:r>
        <w:t xml:space="preserve">Coherent</w:t>
      </w:r>
      <w:r>
        <w:t xml:space="preserve"> </w:t>
      </w:r>
      <w:r>
        <w:t xml:space="preserve">with</w:t>
      </w:r>
      <w:r>
        <w:t xml:space="preserve"> </w:t>
      </w:r>
      <w:r>
        <w:t xml:space="preserve">Digital Agenda</w:t>
      </w:r>
      <w:r>
        <w:br/>
      </w:r>
      <w:r>
        <w:t xml:space="preserve">Neutral</w:t>
      </w:r>
      <w:r>
        <w:t xml:space="preserve"> </w:t>
      </w:r>
      <w:r>
        <w:t xml:space="preserve">PO3b</w:t>
      </w:r>
      <w:r>
        <w:t xml:space="preserve"> </w:t>
      </w:r>
      <w:r>
        <w:t xml:space="preserve">Provisions and</w:t>
      </w:r>
      <w:r>
        <w:t xml:space="preserve"> </w:t>
      </w:r>
      <w:r>
        <w:t xml:space="preserve">clear</w:t>
      </w:r>
      <w:r>
        <w:t xml:space="preserve"> </w:t>
      </w:r>
      <w:r>
        <w:t xml:space="preserve">responsibilities</w:t>
      </w:r>
      <w:r>
        <w:t xml:space="preserve"> </w:t>
      </w:r>
      <w:r>
        <w:t xml:space="preserve">for online sales</w:t>
      </w:r>
      <w:r>
        <w:t xml:space="preserve"> </w:t>
      </w:r>
      <w:r>
        <w:t xml:space="preserve">and imports</w:t>
      </w:r>
      <w:r>
        <w:t xml:space="preserve"> </w:t>
      </w:r>
      <w:r>
        <w:t xml:space="preserve">High</w:t>
      </w:r>
      <w:r>
        <w:t xml:space="preserve"> </w:t>
      </w:r>
      <w:r>
        <w:t xml:space="preserve">for</w:t>
      </w:r>
      <w:r>
        <w:t xml:space="preserve"> </w:t>
      </w:r>
      <w:r>
        <w:t xml:space="preserve">PO3b.</w:t>
      </w:r>
      <w:r>
        <w:t xml:space="preserve"> </w:t>
      </w:r>
      <w:r>
        <w:t xml:space="preserve">Positive – limited costs for</w:t>
      </w:r>
      <w:r>
        <w:t xml:space="preserve"> </w:t>
      </w:r>
      <w:r>
        <w:t xml:space="preserve">EU industry and online actors</w:t>
      </w:r>
      <w:r>
        <w:t xml:space="preserve"> </w:t>
      </w:r>
      <w:r>
        <w:t xml:space="preserve">while</w:t>
      </w:r>
      <w:r>
        <w:t xml:space="preserve"> </w:t>
      </w:r>
      <w:r>
        <w:t xml:space="preserve">providing</w:t>
      </w:r>
      <w:r>
        <w:t xml:space="preserve"> </w:t>
      </w:r>
      <w:r>
        <w:t xml:space="preserve">a</w:t>
      </w:r>
      <w:r>
        <w:t xml:space="preserve"> </w:t>
      </w:r>
      <w:r>
        <w:t xml:space="preserve">level</w:t>
      </w:r>
      <w:r>
        <w:t xml:space="preserve"> </w:t>
      </w:r>
      <w:r>
        <w:t xml:space="preserve">playing field between EU and</w:t>
      </w:r>
      <w:r>
        <w:t xml:space="preserve"> </w:t>
      </w:r>
      <w:r>
        <w:t xml:space="preserve">3rd country actors.</w:t>
      </w:r>
      <w:r>
        <w:br/>
      </w:r>
      <w:r>
        <w:t xml:space="preserve">Positive – increased</w:t>
      </w:r>
      <w:r>
        <w:t xml:space="preserve"> </w:t>
      </w:r>
      <w:r>
        <w:t xml:space="preserve">level of information</w:t>
      </w:r>
      <w:r>
        <w:t xml:space="preserve"> </w:t>
      </w:r>
      <w:r>
        <w:t xml:space="preserve">and</w:t>
      </w:r>
      <w:r>
        <w:t xml:space="preserve"> </w:t>
      </w:r>
      <w:r>
        <w:t xml:space="preserve">enforceability,</w:t>
      </w:r>
      <w:r>
        <w:t xml:space="preserve"> </w:t>
      </w:r>
      <w:r>
        <w:t xml:space="preserve">reinforcing</w:t>
      </w:r>
      <w:r>
        <w:t xml:space="preserve"> </w:t>
      </w:r>
      <w:r>
        <w:t xml:space="preserve">the</w:t>
      </w:r>
      <w:r>
        <w:t xml:space="preserve"> </w:t>
      </w:r>
      <w:r>
        <w:t xml:space="preserve">protection of citizens</w:t>
      </w:r>
      <w:r>
        <w:t xml:space="preserve"> </w:t>
      </w:r>
      <w:r>
        <w:t xml:space="preserve">Positive – increased level</w:t>
      </w:r>
      <w:r>
        <w:t xml:space="preserve"> </w:t>
      </w:r>
      <w:r>
        <w:t xml:space="preserve">of</w:t>
      </w:r>
      <w:r>
        <w:t xml:space="preserve"> </w:t>
      </w:r>
      <w:r>
        <w:t xml:space="preserve">information</w:t>
      </w:r>
      <w:r>
        <w:t xml:space="preserve"> </w:t>
      </w:r>
      <w:r>
        <w:t xml:space="preserve">and</w:t>
      </w:r>
      <w:r>
        <w:t xml:space="preserve"> </w:t>
      </w:r>
      <w:r>
        <w:t xml:space="preserve">enforceability, reinforcing</w:t>
      </w:r>
      <w:r>
        <w:t xml:space="preserve"> </w:t>
      </w:r>
      <w:r>
        <w:t xml:space="preserve">the</w:t>
      </w:r>
      <w:r>
        <w:t xml:space="preserve"> </w:t>
      </w:r>
      <w:r>
        <w:t xml:space="preserve">protection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enviroment</w:t>
      </w:r>
      <w:r>
        <w:t xml:space="preserve"> </w:t>
      </w:r>
      <w:r>
        <w:t xml:space="preserve">High as there</w:t>
      </w:r>
      <w:r>
        <w:t xml:space="preserve"> </w:t>
      </w:r>
      <w:r>
        <w:t xml:space="preserve">are no costs but</w:t>
      </w:r>
      <w:r>
        <w:t xml:space="preserve"> </w:t>
      </w:r>
      <w:r>
        <w:t xml:space="preserve">some benefits</w:t>
      </w:r>
      <w:r>
        <w:t xml:space="preserve"> </w:t>
      </w:r>
      <w:r>
        <w:t xml:space="preserve">high</w:t>
      </w:r>
      <w:r>
        <w:t xml:space="preserve"> </w:t>
      </w:r>
      <w:r>
        <w:t xml:space="preserve">Coherent</w:t>
      </w:r>
      <w:r>
        <w:t xml:space="preserve"> </w:t>
      </w:r>
      <w:r>
        <w:t xml:space="preserve">with</w:t>
      </w:r>
      <w:r>
        <w:t xml:space="preserve"> </w:t>
      </w:r>
      <w:r>
        <w:t xml:space="preserve">Digital Agenda</w:t>
      </w:r>
      <w:r>
        <w:t xml:space="preserve"> </w:t>
      </w:r>
      <w:r>
        <w:t xml:space="preserve">and</w:t>
      </w:r>
      <w:r>
        <w:t xml:space="preserve"> </w:t>
      </w:r>
      <w:r>
        <w:t xml:space="preserve">with</w:t>
      </w:r>
      <w:r>
        <w:t xml:space="preserve"> </w:t>
      </w:r>
      <w:r>
        <w:t xml:space="preserve">the</w:t>
      </w:r>
      <w:r>
        <w:t xml:space="preserve"> </w:t>
      </w:r>
      <w:r>
        <w:t xml:space="preserve">competitiveness</w:t>
      </w:r>
      <w:r>
        <w:t xml:space="preserve"> </w:t>
      </w:r>
      <w:r>
        <w:t xml:space="preserve">of EU online</w:t>
      </w:r>
      <w:r>
        <w:t xml:space="preserve"> </w:t>
      </w:r>
      <w:r>
        <w:t xml:space="preserve">and brick and</w:t>
      </w:r>
      <w:r>
        <w:t xml:space="preserve"> </w:t>
      </w:r>
      <w:r>
        <w:t xml:space="preserve">mortar actors.</w:t>
      </w:r>
      <w:r>
        <w:t xml:space="preserve"> </w:t>
      </w:r>
      <w:r>
        <w:t xml:space="preserve">Neutral</w:t>
      </w:r>
      <w:r>
        <w:t xml:space="preserve"> </w:t>
      </w:r>
      <w:r>
        <w:t xml:space="preserve">PO3c Clarifying</w:t>
      </w:r>
      <w:r>
        <w:t xml:space="preserve"> </w:t>
      </w:r>
      <w:r>
        <w:t xml:space="preserve">provisions</w:t>
      </w:r>
      <w:r>
        <w:t xml:space="preserve"> </w:t>
      </w:r>
      <w:r>
        <w:t xml:space="preserve">for</w:t>
      </w:r>
      <w:r>
        <w:t xml:space="preserve"> </w:t>
      </w:r>
      <w:r>
        <w:t xml:space="preserve">notifications to</w:t>
      </w:r>
      <w:r>
        <w:t xml:space="preserve"> </w:t>
      </w:r>
      <w:r>
        <w:t xml:space="preserve">poison centres</w:t>
      </w:r>
      <w:r>
        <w:t xml:space="preserve"> </w:t>
      </w:r>
      <w:r>
        <w:t xml:space="preserve">Highly</w:t>
      </w:r>
      <w:r>
        <w:t xml:space="preserve"> </w:t>
      </w:r>
      <w:r>
        <w:t xml:space="preserve">effective but</w:t>
      </w:r>
      <w:r>
        <w:t xml:space="preserve"> </w:t>
      </w:r>
      <w:r>
        <w:t xml:space="preserve">very</w:t>
      </w:r>
      <w:r>
        <w:t xml:space="preserve"> </w:t>
      </w:r>
      <w:r>
        <w:t xml:space="preserve">burdensome</w:t>
      </w:r>
      <w:r>
        <w:t xml:space="preserve"> </w:t>
      </w:r>
      <w:r>
        <w:t xml:space="preserve">Very negative for industry,</w:t>
      </w:r>
      <w:r>
        <w:t xml:space="preserve"> </w:t>
      </w:r>
      <w:r>
        <w:t xml:space="preserve">negative</w:t>
      </w:r>
      <w:r>
        <w:t xml:space="preserve"> </w:t>
      </w:r>
      <w:r>
        <w:t xml:space="preserve">for</w:t>
      </w:r>
      <w:r>
        <w:t xml:space="preserve"> </w:t>
      </w:r>
      <w:r>
        <w:t xml:space="preserve">national</w:t>
      </w:r>
      <w:r>
        <w:t xml:space="preserve"> </w:t>
      </w:r>
      <w:r>
        <w:t xml:space="preserve">authorities;</w:t>
      </w:r>
      <w:r>
        <w:t xml:space="preserve"> </w:t>
      </w:r>
      <w:r>
        <w:t xml:space="preserve">Positive</w:t>
      </w:r>
      <w:r>
        <w:t xml:space="preserve"> </w:t>
      </w:r>
      <w:r>
        <w:t xml:space="preserve">N/A</w:t>
      </w:r>
      <w:r>
        <w:t xml:space="preserve"> </w:t>
      </w:r>
      <w:r>
        <w:t xml:space="preserve">High costs/high</w:t>
      </w:r>
      <w:r>
        <w:t xml:space="preserve"> </w:t>
      </w:r>
      <w:r>
        <w:t xml:space="preserve">benefits</w:t>
      </w:r>
      <w:r>
        <w:t xml:space="preserve"> </w:t>
      </w:r>
      <w:r>
        <w:t xml:space="preserve">Moderate</w:t>
      </w:r>
      <w:r>
        <w:t xml:space="preserve"> </w:t>
      </w:r>
      <w:r>
        <w:t xml:space="preserve">N/A</w:t>
      </w:r>
      <w:r>
        <w:t xml:space="preserve"> </w:t>
      </w:r>
      <w:r>
        <w:t xml:space="preserve">Neutral</w:t>
      </w:r>
      <w:r>
        <w:t xml:space="preserve"> </w:t>
      </w:r>
      <w:r>
        <w:t xml:space="preserve">Solves only</w:t>
      </w:r>
      <w:r>
        <w:t xml:space="preserve"> </w:t>
      </w:r>
      <w:r>
        <w:t xml:space="preserve">part of the</w:t>
      </w:r>
      <w:r>
        <w:t xml:space="preserve"> </w:t>
      </w:r>
      <w:r>
        <w:t xml:space="preserve">problem</w:t>
      </w:r>
      <w:r>
        <w:t xml:space="preserve"> </w:t>
      </w:r>
      <w:r>
        <w:t xml:space="preserve">Moderately</w:t>
      </w:r>
      <w:r>
        <w:t xml:space="preserve"> </w:t>
      </w:r>
      <w:r>
        <w:t xml:space="preserve">negative</w:t>
      </w:r>
      <w:r>
        <w:t xml:space="preserve"> </w:t>
      </w:r>
      <w:r>
        <w:t xml:space="preserve">for</w:t>
      </w:r>
      <w:r>
        <w:t xml:space="preserve"> </w:t>
      </w:r>
      <w:r>
        <w:t xml:space="preserve">industry and authorities</w:t>
      </w:r>
      <w:r>
        <w:t xml:space="preserve"> </w:t>
      </w:r>
      <w:r>
        <w:t xml:space="preserve">Positive</w:t>
      </w:r>
      <w:r>
        <w:t xml:space="preserve"> </w:t>
      </w:r>
      <w:r>
        <w:t xml:space="preserve">Moderate</w:t>
      </w:r>
      <w:r>
        <w:t xml:space="preserve"> </w:t>
      </w:r>
      <w:r>
        <w:t xml:space="preserve">costs/moderate</w:t>
      </w:r>
      <w:r>
        <w:t xml:space="preserve"> </w:t>
      </w:r>
      <w:r>
        <w:t xml:space="preserve">benefits</w:t>
      </w:r>
      <w:r>
        <w:t xml:space="preserve"> </w:t>
      </w:r>
      <w:r>
        <w:t xml:space="preserve">Moderate</w:t>
      </w:r>
      <w:r>
        <w:t xml:space="preserve"> </w:t>
      </w:r>
      <w:r>
        <w:t xml:space="preserve">High</w:t>
      </w:r>
      <w:r>
        <w:t xml:space="preserve"> </w:t>
      </w:r>
      <w:r>
        <w:t xml:space="preserve">Negative for industry, neutral</w:t>
      </w:r>
      <w:r>
        <w:t xml:space="preserve"> </w:t>
      </w:r>
      <w:r>
        <w:t xml:space="preserve">to moderately negative for</w:t>
      </w:r>
      <w:r>
        <w:t xml:space="preserve"> </w:t>
      </w:r>
      <w:r>
        <w:t xml:space="preserve">authorities</w:t>
      </w:r>
      <w:r>
        <w:t xml:space="preserve"> </w:t>
      </w:r>
      <w:r>
        <w:t xml:space="preserve">Moderately positive</w:t>
      </w:r>
      <w:r>
        <w:t xml:space="preserve"> </w:t>
      </w:r>
      <w:r>
        <w:t xml:space="preserve">Moderate</w:t>
      </w:r>
      <w:r>
        <w:t xml:space="preserve"> </w:t>
      </w:r>
      <w:r>
        <w:t xml:space="preserve">costs/high</w:t>
      </w:r>
      <w:r>
        <w:t xml:space="preserve"> </w:t>
      </w:r>
      <w:r>
        <w:t xml:space="preserve">benefits</w:t>
      </w:r>
      <w:r>
        <w:t xml:space="preserve"> </w:t>
      </w:r>
      <w:r>
        <w:t xml:space="preserve">High</w:t>
      </w:r>
    </w:p>
    <w:p>
      <w:pPr>
        <w:pStyle w:val="BodyText"/>
      </w:pPr>
      <w:r>
        <w:t xml:space="preserve">49</w:t>
      </w:r>
    </w:p>
    <w:p>
      <w:pPr>
        <w:pStyle w:val="BodyText"/>
      </w:pPr>
      <w:r>
        <w:t xml:space="preserve">8</w:t>
      </w:r>
      <w:r>
        <w:t xml:space="preserve"> </w:t>
      </w:r>
      <w:r>
        <w:t xml:space="preserve">PREFERRED OPTION</w:t>
      </w:r>
      <w:r>
        <w:t xml:space="preserve"> </w:t>
      </w:r>
      <w:r>
        <w:t xml:space="preserve">8.1</w:t>
      </w:r>
      <w:r>
        <w:t xml:space="preserve"> </w:t>
      </w:r>
      <w:r>
        <w:t xml:space="preserve">Description of combined preferred option</w:t>
      </w:r>
      <w:r>
        <w:t xml:space="preserve"> </w:t>
      </w:r>
      <w:r>
        <w:t xml:space="preserve">Table 17 below lists the options and list of measures retained in the preferred policy</w:t>
      </w:r>
      <w:r>
        <w:t xml:space="preserve"> </w:t>
      </w:r>
      <w:r>
        <w:t xml:space="preserve">package.</w:t>
      </w:r>
      <w:r>
        <w:t xml:space="preserve"> </w:t>
      </w:r>
      <w:r>
        <w:t xml:space="preserve">Table 17: Preferred policy options and related measures</w:t>
      </w:r>
      <w:r>
        <w:br/>
      </w:r>
      <w:r>
        <w:t xml:space="preserve">Classification of chemical hazards</w:t>
      </w:r>
      <w:r>
        <w:t xml:space="preserve"> </w:t>
      </w:r>
      <w:r>
        <w:t xml:space="preserve">PO1a,</w:t>
      </w:r>
      <w:r>
        <w:br/>
      </w:r>
      <w:r>
        <w:t xml:space="preserve">PO1b and PO1c</w:t>
      </w:r>
      <w:r>
        <w:br/>
      </w:r>
      <w:r>
        <w:t xml:space="preserve"></w:t>
      </w:r>
      <w:r>
        <w:t xml:space="preserve"> </w:t>
      </w:r>
      <w:r>
        <w:t xml:space="preserve">Add new hazard classes in CLP for substances with ED, PBT, vPvB, PMT,</w:t>
      </w:r>
      <w:r>
        <w:t xml:space="preserve"> </w:t>
      </w:r>
      <w:r>
        <w:t xml:space="preserve">vPvM properties and prioritise them for harmonised classification</w:t>
      </w:r>
      <w:r>
        <w:t xml:space="preserve"> </w:t>
      </w:r>
      <w:r>
        <w:t xml:space="preserve"></w:t>
      </w:r>
      <w:r>
        <w:t xml:space="preserve"> </w:t>
      </w:r>
      <w:r>
        <w:t xml:space="preserve">Request and make available in ECHA’s classification and labelling inventory</w:t>
      </w:r>
      <w:r>
        <w:t xml:space="preserve"> </w:t>
      </w:r>
      <w:r>
        <w:t xml:space="preserve">the reasons for diverging notified self-classifications and make the names of</w:t>
      </w:r>
      <w:r>
        <w:t xml:space="preserve"> </w:t>
      </w:r>
      <w:r>
        <w:t xml:space="preserve">notifiers public</w:t>
      </w:r>
      <w:r>
        <w:t xml:space="preserve"> </w:t>
      </w:r>
      <w:r>
        <w:t xml:space="preserve"></w:t>
      </w:r>
      <w:r>
        <w:t xml:space="preserve"> </w:t>
      </w:r>
      <w:r>
        <w:t xml:space="preserve">Require updates of notifications of self-classifications within a certain deadline</w:t>
      </w:r>
      <w:r>
        <w:br/>
      </w:r>
      <w:r>
        <w:t xml:space="preserve"></w:t>
      </w:r>
      <w:r>
        <w:t xml:space="preserve"> </w:t>
      </w:r>
      <w:r>
        <w:t xml:space="preserve">Reinforce prioritisation for harmonise classification at an early stage</w:t>
      </w:r>
      <w:r>
        <w:t xml:space="preserve"> </w:t>
      </w:r>
      <w:r>
        <w:t xml:space="preserve"></w:t>
      </w:r>
      <w:r>
        <w:t xml:space="preserve"> </w:t>
      </w:r>
      <w:r>
        <w:t xml:space="preserve">Allow the Commission to initiate and fund more harmonised classification and</w:t>
      </w:r>
      <w:r>
        <w:t xml:space="preserve"> </w:t>
      </w:r>
      <w:r>
        <w:t xml:space="preserve">labelling dossiers, including by mandate to ECHA</w:t>
      </w:r>
      <w:r>
        <w:t xml:space="preserve"> </w:t>
      </w:r>
      <w:r>
        <w:t xml:space="preserve">Communication of chemical hazards</w:t>
      </w:r>
      <w:r>
        <w:t xml:space="preserve"> </w:t>
      </w:r>
      <w:r>
        <w:t xml:space="preserve">PO2b and</w:t>
      </w:r>
      <w:r>
        <w:br/>
      </w:r>
      <w:r>
        <w:t xml:space="preserve">PO2c</w:t>
      </w:r>
      <w:r>
        <w:br/>
      </w:r>
      <w:r>
        <w:t xml:space="preserve"></w:t>
      </w:r>
      <w:r>
        <w:t xml:space="preserve"> </w:t>
      </w:r>
      <w:r>
        <w:t xml:space="preserve">Explicitly address the concept of refill and labelling obligation of chemicals in</w:t>
      </w:r>
      <w:r>
        <w:t xml:space="preserve"> </w:t>
      </w:r>
      <w:r>
        <w:t xml:space="preserve">the CLP and limit this practice to mild hazards only</w:t>
      </w:r>
      <w:r>
        <w:br/>
      </w:r>
      <w:r>
        <w:t xml:space="preserve"></w:t>
      </w:r>
      <w:r>
        <w:t xml:space="preserve"> </w:t>
      </w:r>
      <w:r>
        <w:t xml:space="preserve">Increase readability of CLP labels for chemicals introducing specific</w:t>
      </w:r>
      <w:r>
        <w:t xml:space="preserve"> </w:t>
      </w:r>
      <w:r>
        <w:t xml:space="preserve">formatting requirements for CLP labels as currently already outlined in</w:t>
      </w:r>
      <w:r>
        <w:t xml:space="preserve"> </w:t>
      </w:r>
      <w:r>
        <w:t xml:space="preserve">guidance</w:t>
      </w:r>
      <w:r>
        <w:t xml:space="preserve"> </w:t>
      </w:r>
      <w:r>
        <w:t xml:space="preserve"></w:t>
      </w:r>
      <w:r>
        <w:t xml:space="preserve"> </w:t>
      </w:r>
      <w:r>
        <w:t xml:space="preserve">Allow some supplemental information to go digital only where their physical</w:t>
      </w:r>
      <w:r>
        <w:t xml:space="preserve"> </w:t>
      </w:r>
      <w:r>
        <w:t xml:space="preserve">availability on the label is not instrumental for the protection of health and the</w:t>
      </w:r>
      <w:r>
        <w:t xml:space="preserve"> </w:t>
      </w:r>
      <w:r>
        <w:t xml:space="preserve">environment. In addition, this measure would create a framework for further</w:t>
      </w:r>
      <w:r>
        <w:t xml:space="preserve"> </w:t>
      </w:r>
      <w:r>
        <w:t xml:space="preserve">digital labelling of this information. Yet, information that is obligatory under</w:t>
      </w:r>
      <w:r>
        <w:t xml:space="preserve"> </w:t>
      </w:r>
      <w:r>
        <w:t xml:space="preserve">GHS would remain on the physical label.</w:t>
      </w:r>
      <w:r>
        <w:br/>
      </w:r>
      <w:r>
        <w:t xml:space="preserve"></w:t>
      </w:r>
      <w:r>
        <w:t xml:space="preserve"> </w:t>
      </w:r>
      <w:r>
        <w:t xml:space="preserve">Allow broader use of fold-out labels for chemicals traded in several EU</w:t>
      </w:r>
      <w:r>
        <w:t xml:space="preserve"> </w:t>
      </w:r>
      <w:r>
        <w:t xml:space="preserve">countries</w:t>
      </w:r>
      <w:r>
        <w:t xml:space="preserve"> </w:t>
      </w:r>
      <w:r>
        <w:t xml:space="preserve"></w:t>
      </w:r>
      <w:r>
        <w:t xml:space="preserve"> </w:t>
      </w:r>
      <w:r>
        <w:t xml:space="preserve">Provide derogation from labelling requirements for chemicals sold to</w:t>
      </w:r>
      <w:r>
        <w:t xml:space="preserve"> </w:t>
      </w:r>
      <w:r>
        <w:t xml:space="preserve">consumers in bulk (e.g. fuel) and in very small packaging (e.g. writing</w:t>
      </w:r>
      <w:r>
        <w:t xml:space="preserve"> </w:t>
      </w:r>
      <w:r>
        <w:t xml:space="preserve">instruments)</w:t>
      </w:r>
      <w:r>
        <w:t xml:space="preserve"> </w:t>
      </w:r>
      <w:r>
        <w:t xml:space="preserve">Addressing main legal gaps and ambiguities</w:t>
      </w:r>
      <w:r>
        <w:t xml:space="preserve"> </w:t>
      </w:r>
      <w:r>
        <w:t xml:space="preserve">PO3b and</w:t>
      </w:r>
      <w:r>
        <w:t xml:space="preserve"> </w:t>
      </w:r>
      <w:r>
        <w:t xml:space="preserve">PO3c</w:t>
      </w:r>
      <w:r>
        <w:br/>
      </w:r>
      <w:r>
        <w:t xml:space="preserve"></w:t>
      </w:r>
      <w:r>
        <w:t xml:space="preserve"> </w:t>
      </w:r>
      <w:r>
        <w:t xml:space="preserve">Clarify rules for online offerings and advertisings</w:t>
      </w:r>
      <w:r>
        <w:br/>
      </w:r>
      <w:r>
        <w:t xml:space="preserve"></w:t>
      </w:r>
      <w:r>
        <w:t xml:space="preserve"> </w:t>
      </w:r>
      <w:r>
        <w:t xml:space="preserve">Introduce a responsible economic actor by default</w:t>
      </w:r>
      <w:r>
        <w:br/>
      </w:r>
      <w:r>
        <w:t xml:space="preserve"></w:t>
      </w:r>
      <w:r>
        <w:t xml:space="preserve"> </w:t>
      </w:r>
      <w:r>
        <w:t xml:space="preserve">Targeted notifications to poison centres</w:t>
      </w:r>
    </w:p>
    <w:p>
      <w:pPr>
        <w:pStyle w:val="BodyText"/>
      </w:pPr>
      <w:r>
        <w:t xml:space="preserve">50</w:t>
      </w:r>
    </w:p>
    <w:p>
      <w:pPr>
        <w:pStyle w:val="BodyText"/>
      </w:pPr>
      <w:r>
        <w:t xml:space="preserve">The preferred policy package will generate significant and positive health and</w:t>
      </w:r>
      <w:r>
        <w:t xml:space="preserve"> </w:t>
      </w:r>
      <w:r>
        <w:t xml:space="preserve">environmental impacts (especially from PO1a and PO2b) and incur limited negative</w:t>
      </w:r>
      <w:r>
        <w:t xml:space="preserve"> </w:t>
      </w:r>
      <w:r>
        <w:t xml:space="preserve">economic impacts (considering all retained policy options). Overall costs will be largely</w:t>
      </w:r>
      <w:r>
        <w:t xml:space="preserve"> </w:t>
      </w:r>
      <w:r>
        <w:t xml:space="preserve">outweighed by the benefits, whilst the problems identified by the previous policy</w:t>
      </w:r>
      <w:r>
        <w:t xml:space="preserve"> </w:t>
      </w:r>
      <w:r>
        <w:t xml:space="preserve">evaluations would be comprehensively addressed. The package would strongly</w:t>
      </w:r>
      <w:r>
        <w:t xml:space="preserve"> </w:t>
      </w:r>
      <w:r>
        <w:t xml:space="preserve">contribute to achieving the EU’s ambition embedded in the European Green Deal and the</w:t>
      </w:r>
      <w:r>
        <w:t xml:space="preserve"> </w:t>
      </w:r>
      <w:r>
        <w:t xml:space="preserve">Chemicals Strategy for Sustainability in terms of moving toward a toxic free-</w:t>
      </w:r>
      <w:r>
        <w:t xml:space="preserve"> </w:t>
      </w:r>
      <w:r>
        <w:t xml:space="preserve">environment, as well as to supporting the green and digital transition of industry, as</w:t>
      </w:r>
      <w:r>
        <w:t xml:space="preserve"> </w:t>
      </w:r>
      <w:r>
        <w:t xml:space="preserve">defined in the Industrial Strategy. Also, an overall improvement of certain legal</w:t>
      </w:r>
      <w:r>
        <w:t xml:space="preserve"> </w:t>
      </w:r>
      <w:r>
        <w:t xml:space="preserve">provisions and the closure of identified legal gaps would lead to better implementation,</w:t>
      </w:r>
      <w:r>
        <w:t xml:space="preserve"> </w:t>
      </w:r>
      <w:r>
        <w:t xml:space="preserve">simplification and compliance (expected through PO3b and PO3c but also by</w:t>
      </w:r>
      <w:r>
        <w:t xml:space="preserve"> </w:t>
      </w:r>
      <w:r>
        <w:t xml:space="preserve">simplification/clarification of labelling provisions under PO2b and c) bringing about</w:t>
      </w:r>
      <w:r>
        <w:t xml:space="preserve"> </w:t>
      </w:r>
      <w:r>
        <w:t xml:space="preserve">environment/health benefits as well as fostering the level playing field for EU</w:t>
      </w:r>
      <w:r>
        <w:t xml:space="preserve"> </w:t>
      </w:r>
      <w:r>
        <w:t xml:space="preserve">companies and thereby enhancing competitiveness (including for SMEs). The impact</w:t>
      </w:r>
      <w:r>
        <w:t xml:space="preserve"> </w:t>
      </w:r>
      <w:r>
        <w:t xml:space="preserve">assessment concludes that policy options 1d, 2a and 3a and some measures within PO3c</w:t>
      </w:r>
      <w:r>
        <w:t xml:space="preserve"> </w:t>
      </w:r>
      <w:r>
        <w:t xml:space="preserve">(measures #19 and 20) will not materialise in benefits and increased effectiveness. Those</w:t>
      </w:r>
      <w:r>
        <w:t xml:space="preserve"> </w:t>
      </w:r>
      <w:r>
        <w:t xml:space="preserve">options are dropped, even if they do not contain significant costs.</w:t>
      </w:r>
      <w:r>
        <w:t xml:space="preserve"> </w:t>
      </w:r>
      <w:r>
        <w:t xml:space="preserve">Health and environmental benefits would stem in particular from ensuring that</w:t>
      </w:r>
      <w:r>
        <w:t xml:space="preserve"> </w:t>
      </w:r>
      <w:r>
        <w:t xml:space="preserve">adequate provisions exist for identifying and classifying for the most critical hazards, so</w:t>
      </w:r>
      <w:r>
        <w:t xml:space="preserve"> </w:t>
      </w:r>
      <w:r>
        <w:t xml:space="preserve">that other actors can take adequate risk management measures, and so that processes can</w:t>
      </w:r>
      <w:r>
        <w:t xml:space="preserve"> </w:t>
      </w:r>
      <w:r>
        <w:t xml:space="preserve">deliver outcomes faster (e.g. through the mandate to the Commission to initiate</w:t>
      </w:r>
      <w:r>
        <w:t xml:space="preserve"> </w:t>
      </w:r>
      <w:r>
        <w:t xml:space="preserve">harmonised classifications dossiers). Other relevant expected benefits for health and the</w:t>
      </w:r>
      <w:r>
        <w:t xml:space="preserve"> </w:t>
      </w:r>
      <w:r>
        <w:t xml:space="preserve">environment would stem from the expected improvement in the consumers’</w:t>
      </w:r>
      <w:r>
        <w:t xml:space="preserve"> </w:t>
      </w:r>
      <w:r>
        <w:t xml:space="preserve">understanding of the health and environmental hazards of chemicals (and ultimately of</w:t>
      </w:r>
      <w:r>
        <w:t xml:space="preserve"> </w:t>
      </w:r>
      <w:r>
        <w:t xml:space="preserve">their ability to make informed choices), thanks to improved labelling. This includes a</w:t>
      </w:r>
      <w:r>
        <w:t xml:space="preserve"> </w:t>
      </w:r>
      <w:r>
        <w:t xml:space="preserve">voluntary and harmonised scheme to facilitate and promote digital labelling - as well as</w:t>
      </w:r>
      <w:r>
        <w:t xml:space="preserve"> </w:t>
      </w:r>
      <w:r>
        <w:t xml:space="preserve">addressing legal gaps and ambiguities in the CLP rules for online sales and imports.</w:t>
      </w:r>
      <w:r>
        <w:t xml:space="preserve"> </w:t>
      </w:r>
      <w:r>
        <w:t xml:space="preserve">Further benefits on health would be guaranteed by ensuring that comprehensive</w:t>
      </w:r>
      <w:r>
        <w:t xml:space="preserve"> </w:t>
      </w:r>
      <w:r>
        <w:t xml:space="preserve">information on chemical hazards effectively reaches poison centres.</w:t>
      </w:r>
      <w:r>
        <w:t xml:space="preserve"> </w:t>
      </w:r>
      <w:r>
        <w:t xml:space="preserve">Economic impacts are estimated to be significant for industry and authorities, in</w:t>
      </w:r>
      <w:r>
        <w:t xml:space="preserve"> </w:t>
      </w:r>
      <w:r>
        <w:t xml:space="preserve">particular for PO1. Inevitably, the new hazard classes will come along with additional</w:t>
      </w:r>
      <w:r>
        <w:t xml:space="preserve"> </w:t>
      </w:r>
      <w:r>
        <w:t xml:space="preserve">costs for the industry compared with status quo (direct costs, which will be borne</w:t>
      </w:r>
      <w:r>
        <w:t xml:space="preserve"> </w:t>
      </w:r>
      <w:r>
        <w:t xml:space="preserve">progressively as substances to be classified for the new hazard classes are identified,</w:t>
      </w:r>
      <w:r>
        <w:t xml:space="preserve"> </w:t>
      </w:r>
      <w:r>
        <w:t xml:space="preserve">mainly thanks to REACH, BPR and PPPR, and indirect costs such as voluntary</w:t>
      </w:r>
      <w:r>
        <w:t xml:space="preserve"> </w:t>
      </w:r>
      <w:r>
        <w:t xml:space="preserve">substitution). The European chemicals industry is ready to bear those costs130, as long as</w:t>
      </w:r>
      <w:r>
        <w:t xml:space="preserve"> </w:t>
      </w:r>
      <w:r>
        <w:t xml:space="preserve">the EU policy maker ensures investment predictability on which chemicals will</w:t>
      </w:r>
      <w:r>
        <w:t xml:space="preserve"> </w:t>
      </w:r>
      <w:r>
        <w:t xml:space="preserve">undergo regulatory measures and when. The identification will be coordinated and</w:t>
      </w:r>
      <w:r>
        <w:t xml:space="preserve"> </w:t>
      </w:r>
      <w:r>
        <w:t xml:space="preserve">communicated at EU level, in order to provide investment predictability in the single</w:t>
      </w:r>
      <w:r>
        <w:t xml:space="preserve"> </w:t>
      </w:r>
      <w:r>
        <w:t xml:space="preserve">market. Targeted initiatives by the Commission will ensure such predictability131.</w:t>
      </w:r>
      <w:r>
        <w:t xml:space="preserve"> </w:t>
      </w:r>
      <w:r>
        <w:t xml:space="preserve">Concerning costs for authorities, PO1 will imply certain costs which would amount to</w:t>
      </w:r>
      <w:r>
        <w:t xml:space="preserve"> </w:t>
      </w:r>
      <w:r>
        <w:t xml:space="preserve">between €39.4 and 84.2 million (central estimates) also for them to adapt to changes</w:t>
      </w:r>
      <w:r>
        <w:t xml:space="preserve"> </w:t>
      </w:r>
      <w:r>
        <w:t xml:space="preserve">involving classification criteria for new hazard classes (minor costs), improvements of</w:t>
      </w:r>
      <w:r>
        <w:t xml:space="preserve"> </w:t>
      </w:r>
      <w:r>
        <w:t xml:space="preserve">the classification and labelling inventory (moderate costs) and the prioritisation schemes</w:t>
      </w:r>
      <w:r>
        <w:t xml:space="preserve"> </w:t>
      </w:r>
      <w:r>
        <w:t xml:space="preserve">(moderate costs).</w:t>
      </w:r>
    </w:p>
    <w:p>
      <w:pPr>
        <w:pStyle w:val="BodyText"/>
      </w:pPr>
      <w:r>
        <w:t xml:space="preserve">130 CEFIC, Chemicals Strategy for Sustainability - cefic.org.</w:t>
      </w:r>
      <w:r>
        <w:br/>
      </w:r>
      <w:r>
        <w:t xml:space="preserve">131 E.g., see the planned transition pathway for chemicals that CEFIC fully supports; CEFIC, Chemicals</w:t>
      </w:r>
      <w:r>
        <w:t xml:space="preserve"> </w:t>
      </w:r>
      <w:r>
        <w:t xml:space="preserve">Transition Pathway.</w:t>
      </w:r>
    </w:p>
    <w:p>
      <w:pPr>
        <w:pStyle w:val="BodyText"/>
      </w:pPr>
      <w:r>
        <w:t xml:space="preserve">51</w:t>
      </w:r>
    </w:p>
    <w:p>
      <w:pPr>
        <w:pStyle w:val="BodyText"/>
      </w:pPr>
      <w:r>
        <w:t xml:space="preserve">Efficiency gains – for authorities as well as for companies - would be generated by an</w:t>
      </w:r>
      <w:r>
        <w:t xml:space="preserve"> </w:t>
      </w:r>
      <w:r>
        <w:t xml:space="preserve">overall improvement of the classification processes, but also by the simplification and</w:t>
      </w:r>
      <w:r>
        <w:t xml:space="preserve"> </w:t>
      </w:r>
      <w:r>
        <w:t xml:space="preserve">clarification of the labelling requirements. This will warranty a fully harmonised internal</w:t>
      </w:r>
      <w:r>
        <w:t xml:space="preserve"> </w:t>
      </w:r>
      <w:r>
        <w:t xml:space="preserve">market for chemicals. Labelling requirements will become easier to apply translating into</w:t>
      </w:r>
      <w:r>
        <w:t xml:space="preserve"> </w:t>
      </w:r>
      <w:r>
        <w:t xml:space="preserve">less compliance costs for industry abiding by the rules as well as into easier</w:t>
      </w:r>
      <w:r>
        <w:t xml:space="preserve"> </w:t>
      </w:r>
      <w:r>
        <w:t xml:space="preserve">enforceability by authorities of non-compliant competitors. The preferred package under</w:t>
      </w:r>
      <w:r>
        <w:t xml:space="preserve"> </w:t>
      </w:r>
      <w:r>
        <w:t xml:space="preserve">PO1 would also significantly promote synergies and coherence of EU legislation on</w:t>
      </w:r>
      <w:r>
        <w:t xml:space="preserve"> </w:t>
      </w:r>
      <w:r>
        <w:t xml:space="preserve">chemicals, in line also with the overall process of ‘One substance, one assessment’</w:t>
      </w:r>
      <w:r>
        <w:t xml:space="preserve"> </w:t>
      </w:r>
      <w:r>
        <w:t xml:space="preserve">initiated with the Chemicals Strategy for Sustainability across EU legislation and aimed</w:t>
      </w:r>
      <w:r>
        <w:t xml:space="preserve"> </w:t>
      </w:r>
      <w:r>
        <w:t xml:space="preserve">at harmonising safety assessments on chemicals. In particular, harmonised identification</w:t>
      </w:r>
      <w:r>
        <w:t xml:space="preserve"> </w:t>
      </w:r>
      <w:r>
        <w:t xml:space="preserve">and classification for the most critical hazards, but also ensuring stronger convergence of</w:t>
      </w:r>
      <w:r>
        <w:t xml:space="preserve"> </w:t>
      </w:r>
      <w:r>
        <w:t xml:space="preserve">self-classifications by industry as well as greater transparency, are essential to achieve</w:t>
      </w:r>
      <w:r>
        <w:t xml:space="preserve"> </w:t>
      </w:r>
      <w:r>
        <w:t xml:space="preserve">this goal.</w:t>
      </w:r>
      <w:r>
        <w:br/>
      </w:r>
      <w:r>
        <w:t xml:space="preserve">Furthermore, actions on digital labelling under PO2 and online sales under PO3 will</w:t>
      </w:r>
      <w:r>
        <w:t xml:space="preserve"> </w:t>
      </w:r>
      <w:r>
        <w:t xml:space="preserve">encourage the use of digital tools for improving consumer awareness on chemicals</w:t>
      </w:r>
      <w:r>
        <w:t xml:space="preserve"> </w:t>
      </w:r>
      <w:r>
        <w:t xml:space="preserve">hazards, while at the same time managing the challenges posed by increased</w:t>
      </w:r>
      <w:r>
        <w:t xml:space="preserve"> </w:t>
      </w:r>
      <w:r>
        <w:t xml:space="preserve">digitalisation and globalisation and new trends in sales of consumer products.</w:t>
      </w:r>
      <w:r>
        <w:br/>
      </w:r>
      <w:r>
        <w:t xml:space="preserve">The overall impact of the preferred option is summarised in Annex 3.</w:t>
      </w:r>
      <w:r>
        <w:br/>
      </w:r>
      <w:r>
        <w:t xml:space="preserve">8.2</w:t>
      </w:r>
      <w:r>
        <w:t xml:space="preserve"> </w:t>
      </w:r>
      <w:r>
        <w:t xml:space="preserve">Potential for burden reduction and simplification</w:t>
      </w:r>
      <w:r>
        <w:t xml:space="preserve"> </w:t>
      </w:r>
      <w:r>
        <w:t xml:space="preserve">Measures included in PO1b and PO2c, in particular, are expected to bring high benefits</w:t>
      </w:r>
      <w:r>
        <w:t xml:space="preserve"> </w:t>
      </w:r>
      <w:r>
        <w:t xml:space="preserve">in terms of burden reduction and cost savings for industry, as well as stronger basis</w:t>
      </w:r>
      <w:r>
        <w:t xml:space="preserve"> </w:t>
      </w:r>
      <w:r>
        <w:t xml:space="preserve">for Member States’ Enforcement Authorities. They are indeed expected to simplify the</w:t>
      </w:r>
      <w:r>
        <w:t xml:space="preserve"> </w:t>
      </w:r>
      <w:r>
        <w:t xml:space="preserve">burden of economic operators in terms of hazard classification (without lowering on</w:t>
      </w:r>
      <w:r>
        <w:t xml:space="preserve"> </w:t>
      </w:r>
      <w:r>
        <w:t xml:space="preserve">safety), in particular through a simplified and easy to search inventory (savings estimated</w:t>
      </w:r>
      <w:r>
        <w:t xml:space="preserve"> </w:t>
      </w:r>
      <w:r>
        <w:t xml:space="preserve">slightly less than €9 million). On the side of hazard communication, a broader use of</w:t>
      </w:r>
      <w:r>
        <w:t xml:space="preserve"> </w:t>
      </w:r>
      <w:r>
        <w:t xml:space="preserve">multilingual fold-out labels (savings estimated to about €48.5 million considering the</w:t>
      </w:r>
      <w:r>
        <w:t xml:space="preserve"> </w:t>
      </w:r>
      <w:r>
        <w:t xml:space="preserve">detergent industry only) and introducing exemptions to labelling requirements for some</w:t>
      </w:r>
      <w:r>
        <w:t xml:space="preserve"> </w:t>
      </w:r>
      <w:r>
        <w:t xml:space="preserve">chemicals (savings amounting to more than €10 million) will also add up. This preferred</w:t>
      </w:r>
      <w:r>
        <w:t xml:space="preserve"> </w:t>
      </w:r>
      <w:r>
        <w:t xml:space="preserve">option will therefore also contribute to the ‘one in, one out’ commitment of the European</w:t>
      </w:r>
      <w:r>
        <w:t xml:space="preserve"> </w:t>
      </w:r>
      <w:r>
        <w:t xml:space="preserve">Commission. As experience and confidence is gained, increasing the amount of</w:t>
      </w:r>
      <w:r>
        <w:t xml:space="preserve"> </w:t>
      </w:r>
      <w:r>
        <w:t xml:space="preserve">information available digitally may further increase the simplification potential for</w:t>
      </w:r>
      <w:r>
        <w:t xml:space="preserve"> </w:t>
      </w:r>
      <w:r>
        <w:t xml:space="preserve">industry, provided that this possibility exists without violating EU commitments under</w:t>
      </w:r>
      <w:r>
        <w:t xml:space="preserve"> </w:t>
      </w:r>
      <w:r>
        <w:t xml:space="preserve">GHS.</w:t>
      </w:r>
      <w:r>
        <w:t xml:space="preserve"> </w:t>
      </w:r>
      <w:r>
        <w:t xml:space="preserve">Measures related to self-classification under PO1b, i.e. to improve the Classification and</w:t>
      </w:r>
      <w:r>
        <w:t xml:space="preserve"> </w:t>
      </w:r>
      <w:r>
        <w:t xml:space="preserve">Labelling Inventory will bring about simplification. Strengthened rules to come to an</w:t>
      </w:r>
      <w:r>
        <w:t xml:space="preserve"> </w:t>
      </w:r>
      <w:r>
        <w:t xml:space="preserve">agreed entry will level the playing field also for the vast majority of substances that do</w:t>
      </w:r>
      <w:r>
        <w:t xml:space="preserve"> </w:t>
      </w:r>
      <w:r>
        <w:t xml:space="preserve">not have a harmonised classification. This is particularly important for SMEs who notify</w:t>
      </w:r>
      <w:r>
        <w:t xml:space="preserve"> </w:t>
      </w:r>
      <w:r>
        <w:t xml:space="preserve">substances that are not subject to REACH registrations because they are manufacturing</w:t>
      </w:r>
      <w:r>
        <w:t xml:space="preserve"> </w:t>
      </w:r>
      <w:r>
        <w:t xml:space="preserve">or importing them below one ton. Hence, the data provided in the inventory regarding</w:t>
      </w:r>
      <w:r>
        <w:t xml:space="preserve"> </w:t>
      </w:r>
      <w:r>
        <w:t xml:space="preserve">those notifications is the only benchmark for SMEs dealing with the same substance.</w:t>
      </w:r>
      <w:r>
        <w:t xml:space="preserve"> </w:t>
      </w:r>
      <w:r>
        <w:t xml:space="preserve">Indeed, if notifiers know each other’s name, they will spend less time navigating the</w:t>
      </w:r>
      <w:r>
        <w:t xml:space="preserve"> </w:t>
      </w:r>
      <w:r>
        <w:t xml:space="preserve">inventory. Also, providing a maximum of 6 months to update a notification after a change</w:t>
      </w:r>
      <w:r>
        <w:t xml:space="preserve"> </w:t>
      </w:r>
      <w:r>
        <w:t xml:space="preserve">of classification has been decided, will trigger a burden reduction and simplification as</w:t>
      </w:r>
      <w:r>
        <w:t xml:space="preserve"> </w:t>
      </w:r>
      <w:r>
        <w:t xml:space="preserve">companies are given more time to re-notify. Measures under PO1a do not directly imply</w:t>
      </w:r>
      <w:r>
        <w:t xml:space="preserve"> </w:t>
      </w:r>
      <w:r>
        <w:t xml:space="preserve">a burden reduction for companies, but they might if one would take into account the costs</w:t>
      </w:r>
      <w:r>
        <w:t xml:space="preserve"> </w:t>
      </w:r>
      <w:r>
        <w:t xml:space="preserve">of non-Europe. A coherent, EU-wide framework will prevent national initiatives putting</w:t>
      </w:r>
      <w:r>
        <w:t xml:space="preserve"> </w:t>
      </w:r>
      <w:r>
        <w:t xml:space="preserve">at risk the internal market for chemicals, which we have already seen from some Member</w:t>
      </w:r>
    </w:p>
    <w:p>
      <w:pPr>
        <w:pStyle w:val="BodyText"/>
      </w:pPr>
      <w:r>
        <w:t xml:space="preserve">52</w:t>
      </w:r>
    </w:p>
    <w:p>
      <w:pPr>
        <w:pStyle w:val="BodyText"/>
      </w:pPr>
      <w:r>
        <w:t xml:space="preserve">States, and which would no doubt proliferate if the Commission would remain inert132.</w:t>
      </w:r>
      <w:r>
        <w:t xml:space="preserve"> </w:t>
      </w:r>
      <w:r>
        <w:t xml:space="preserve">Also, pushing the EU model on new hazard classes forward at GHS will translate into the</w:t>
      </w:r>
      <w:r>
        <w:t xml:space="preserve"> </w:t>
      </w:r>
      <w:r>
        <w:t xml:space="preserve">EU industry being the global front-runner in health and environmental standards, driving</w:t>
      </w:r>
      <w:r>
        <w:t xml:space="preserve"> </w:t>
      </w:r>
      <w:r>
        <w:t xml:space="preserve">the EU industry’s leadership in producing and using sustainable chemicals, and thereby</w:t>
      </w:r>
      <w:r>
        <w:t xml:space="preserve"> </w:t>
      </w:r>
      <w:r>
        <w:t xml:space="preserve">giving it a competitive advantage allowing it to increase its global market share for</w:t>
      </w:r>
      <w:r>
        <w:t xml:space="preserve"> </w:t>
      </w:r>
      <w:r>
        <w:t xml:space="preserve">chemicals. In the long run, this should be a burden reduction.</w:t>
      </w:r>
      <w:r>
        <w:br/>
      </w:r>
      <w:r>
        <w:t xml:space="preserve">Measures under PO3b on online sales will not directly reduce the burden for EU industry,</w:t>
      </w:r>
      <w:r>
        <w:t xml:space="preserve"> </w:t>
      </w:r>
      <w:r>
        <w:t xml:space="preserve">but they will protect it from non-EU free-riders undermining competitiveness. Whilst EU</w:t>
      </w:r>
      <w:r>
        <w:t xml:space="preserve"> </w:t>
      </w:r>
      <w:r>
        <w:t xml:space="preserve">industry will not have any additional burden, non-EU actors will have to appoint a</w:t>
      </w:r>
      <w:r>
        <w:t xml:space="preserve"> </w:t>
      </w:r>
      <w:r>
        <w:t xml:space="preserve">responsible economic actor in the EU if they want to continue placing their chemicals on</w:t>
      </w:r>
      <w:r>
        <w:t xml:space="preserve"> </w:t>
      </w:r>
      <w:r>
        <w:t xml:space="preserve">the market. In other words, the burden will be levelled.</w:t>
      </w:r>
    </w:p>
    <w:p>
      <w:pPr>
        <w:pStyle w:val="BodyText"/>
      </w:pPr>
      <w:r>
        <w:t xml:space="preserve">8.3</w:t>
      </w:r>
      <w:r>
        <w:t xml:space="preserve"> </w:t>
      </w:r>
      <w:r>
        <w:t xml:space="preserve">Application of the ‘one in, one out’ (OIOO) approach</w:t>
      </w:r>
      <w:r>
        <w:br/>
      </w:r>
      <w:r>
        <w:t xml:space="preserve">The recurrent and one-off costs and savings for businesses, citizens and public authorities</w:t>
      </w:r>
      <w:r>
        <w:t xml:space="preserve"> </w:t>
      </w:r>
      <w:r>
        <w:t xml:space="preserve">are presented below:</w:t>
      </w:r>
      <w:r>
        <w:t xml:space="preserve"> </w:t>
      </w:r>
      <w:r>
        <w:t xml:space="preserve">Table 18: Administrative costs for businesses, citizens, and public authorities for the preferred policy</w:t>
      </w:r>
      <w:r>
        <w:t xml:space="preserve"> </w:t>
      </w:r>
      <w:r>
        <w:t xml:space="preserve">option</w:t>
      </w:r>
    </w:p>
    <w:p>
      <w:pPr>
        <w:pStyle w:val="BodyText"/>
      </w:pPr>
      <w:r>
        <w:t xml:space="preserve">New Recurrent</w:t>
      </w:r>
      <w:r>
        <w:t xml:space="preserve"> </w:t>
      </w:r>
      <w:r>
        <w:t xml:space="preserve">costs (m€)</w:t>
      </w:r>
      <w:r>
        <w:t xml:space="preserve"> </w:t>
      </w:r>
      <w:r>
        <w:t xml:space="preserve">Savings</w:t>
      </w:r>
      <w:r>
        <w:t xml:space="preserve"> </w:t>
      </w:r>
      <w:r>
        <w:t xml:space="preserve">in</w:t>
      </w:r>
      <w:r>
        <w:t xml:space="preserve"> </w:t>
      </w:r>
      <w:r>
        <w:t xml:space="preserve">recurrent</w:t>
      </w:r>
      <w:r>
        <w:t xml:space="preserve"> </w:t>
      </w:r>
      <w:r>
        <w:t xml:space="preserve">costs</w:t>
      </w:r>
      <w:r>
        <w:t xml:space="preserve"> </w:t>
      </w:r>
      <w:r>
        <w:t xml:space="preserve">(m€)</w:t>
      </w:r>
      <w:r>
        <w:t xml:space="preserve"> </w:t>
      </w:r>
      <w:r>
        <w:t xml:space="preserve">New-one</w:t>
      </w:r>
      <w:r>
        <w:t xml:space="preserve"> </w:t>
      </w:r>
      <w:r>
        <w:t xml:space="preserve">off</w:t>
      </w:r>
      <w:r>
        <w:t xml:space="preserve"> </w:t>
      </w:r>
      <w:r>
        <w:t xml:space="preserve">costs (Total in</w:t>
      </w:r>
      <w:r>
        <w:t xml:space="preserve"> </w:t>
      </w:r>
      <w:r>
        <w:t xml:space="preserve">m€)</w:t>
      </w:r>
      <w:r>
        <w:t xml:space="preserve"> </w:t>
      </w:r>
      <w:r>
        <w:t xml:space="preserve">One-off</w:t>
      </w:r>
      <w:r>
        <w:t xml:space="preserve"> </w:t>
      </w:r>
      <w:r>
        <w:t xml:space="preserve">savings</w:t>
      </w:r>
      <w:r>
        <w:t xml:space="preserve"> </w:t>
      </w:r>
      <w:r>
        <w:t xml:space="preserve">(Total in m€)</w:t>
      </w:r>
      <w:r>
        <w:t xml:space="preserve"> </w:t>
      </w:r>
      <w:r>
        <w:t xml:space="preserve">Within the scope of ‘one-in-one-out’</w:t>
      </w:r>
      <w:r>
        <w:t xml:space="preserve"> </w:t>
      </w:r>
      <w:r>
        <w:t xml:space="preserve">Business</w:t>
      </w:r>
      <w:r>
        <w:t xml:space="preserve"> </w:t>
      </w:r>
      <w:r>
        <w:t xml:space="preserve">23.2</w:t>
      </w:r>
      <w:r>
        <w:t xml:space="preserve"> </w:t>
      </w:r>
      <w:r>
        <w:t xml:space="preserve">57.4</w:t>
      </w:r>
      <w:r>
        <w:t xml:space="preserve"> </w:t>
      </w:r>
      <w:r>
        <w:t xml:space="preserve">258.7</w:t>
      </w:r>
      <w:r>
        <w:t xml:space="preserve"> </w:t>
      </w:r>
      <w:r>
        <w:t xml:space="preserve">13.5</w:t>
      </w:r>
      <w:r>
        <w:t xml:space="preserve"> </w:t>
      </w:r>
      <w:r>
        <w:t xml:space="preserve">Citizens</w:t>
      </w:r>
      <w:r>
        <w:t xml:space="preserve"> </w:t>
      </w:r>
      <w:r>
        <w:t xml:space="preserve">8.6</w:t>
      </w:r>
      <w:r>
        <w:t xml:space="preserve"> </w:t>
      </w:r>
      <w:r>
        <w:t xml:space="preserve">0.0</w:t>
      </w:r>
      <w:r>
        <w:t xml:space="preserve"> </w:t>
      </w:r>
      <w:r>
        <w:t xml:space="preserve">0.0</w:t>
      </w:r>
      <w:r>
        <w:t xml:space="preserve"> </w:t>
      </w:r>
      <w:r>
        <w:t xml:space="preserve">0.0</w:t>
      </w:r>
      <w:r>
        <w:t xml:space="preserve"> </w:t>
      </w:r>
      <w:r>
        <w:t xml:space="preserve">Total</w:t>
      </w:r>
      <w:r>
        <w:t xml:space="preserve"> </w:t>
      </w:r>
      <w:r>
        <w:t xml:space="preserve">31.8</w:t>
      </w:r>
      <w:r>
        <w:t xml:space="preserve"> </w:t>
      </w:r>
      <w:r>
        <w:t xml:space="preserve">57.4</w:t>
      </w:r>
      <w:r>
        <w:t xml:space="preserve"> </w:t>
      </w:r>
      <w:r>
        <w:t xml:space="preserve">258.7</w:t>
      </w:r>
      <w:r>
        <w:t xml:space="preserve"> </w:t>
      </w:r>
      <w:r>
        <w:t xml:space="preserve">13.5</w:t>
      </w:r>
      <w:r>
        <w:t xml:space="preserve"> </w:t>
      </w:r>
      <w:r>
        <w:t xml:space="preserve">Outside of the scope of ‘one-in-one-out’</w:t>
      </w:r>
      <w:r>
        <w:t xml:space="preserve"> </w:t>
      </w:r>
      <w:r>
        <w:t xml:space="preserve">Public</w:t>
      </w:r>
      <w:r>
        <w:t xml:space="preserve"> </w:t>
      </w:r>
      <w:r>
        <w:t xml:space="preserve">authorities</w:t>
      </w:r>
      <w:r>
        <w:t xml:space="preserve"> </w:t>
      </w:r>
      <w:r>
        <w:t xml:space="preserve">1.0</w:t>
      </w:r>
      <w:r>
        <w:t xml:space="preserve"> </w:t>
      </w:r>
      <w:r>
        <w:t xml:space="preserve">0.3</w:t>
      </w:r>
      <w:r>
        <w:t xml:space="preserve"> </w:t>
      </w:r>
      <w:r>
        <w:t xml:space="preserve">13.5</w:t>
      </w:r>
      <w:r>
        <w:t xml:space="preserve"> </w:t>
      </w:r>
      <w:r>
        <w:t xml:space="preserve">0.00</w:t>
      </w:r>
      <w:r>
        <w:t xml:space="preserve"> </w:t>
      </w:r>
      <w:r>
        <w:t xml:space="preserve">The preferred option would create net savings in recurrent administrative costs on</w:t>
      </w:r>
      <w:r>
        <w:t xml:space="preserve"> </w:t>
      </w:r>
      <w:r>
        <w:t xml:space="preserve">businesses and citizens of 25.6 million EURO per annum. The preferred option would</w:t>
      </w:r>
      <w:r>
        <w:t xml:space="preserve"> </w:t>
      </w:r>
      <w:r>
        <w:t xml:space="preserve">however impose net (total) one-off administrative costs on businesses and citizens of</w:t>
      </w:r>
      <w:r>
        <w:t xml:space="preserve"> </w:t>
      </w:r>
      <w:r>
        <w:t xml:space="preserve">245.2 million EURO. Public authorities will be expected to have slightly increased</w:t>
      </w:r>
      <w:r>
        <w:t xml:space="preserve"> </w:t>
      </w:r>
      <w:r>
        <w:t xml:space="preserve">recurrent administrative costs of 0.7 million EURO and additional one-off administrative</w:t>
      </w:r>
      <w:r>
        <w:t xml:space="preserve"> </w:t>
      </w:r>
      <w:r>
        <w:t xml:space="preserve">costs of 13.5 million EURO.</w:t>
      </w:r>
      <w:r>
        <w:t xml:space="preserve"> </w:t>
      </w:r>
      <w:r>
        <w:t xml:space="preserve">9</w:t>
      </w:r>
      <w:r>
        <w:t xml:space="preserve"> </w:t>
      </w:r>
      <w:r>
        <w:t xml:space="preserve">HOW WILL ACTUAL IMPACTS BE MONITORED AND EVALUATED?</w:t>
      </w:r>
      <w:r>
        <w:t xml:space="preserve"> </w:t>
      </w:r>
      <w:r>
        <w:t xml:space="preserve">The Chemicals Strategy for Sustainability recognises the need to improve knowledge on</w:t>
      </w:r>
      <w:r>
        <w:t xml:space="preserve"> </w:t>
      </w:r>
      <w:r>
        <w:t xml:space="preserve">chemicals and commits to develop by 2024 a ‘framework of indicators to monitor the</w:t>
      </w:r>
      <w:r>
        <w:t xml:space="preserve"> </w:t>
      </w:r>
      <w:r>
        <w:t xml:space="preserve">drivers and impacts of chemical pollution and to measure the effectiveness of chemicals</w:t>
      </w:r>
    </w:p>
    <w:p>
      <w:pPr>
        <w:pStyle w:val="BodyText"/>
      </w:pPr>
      <w:r>
        <w:t xml:space="preserve">132 Five Member States (Belgium, Denmark, France, The Netherlands and Sweden) launched a website in</w:t>
      </w:r>
      <w:r>
        <w:t xml:space="preserve"> </w:t>
      </w:r>
      <w:r>
        <w:t xml:space="preserve">June 2020 having the aim of informing stakeholders about the current status of substances identified as</w:t>
      </w:r>
      <w:r>
        <w:t xml:space="preserve"> </w:t>
      </w:r>
      <w:r>
        <w:t xml:space="preserve">EDs to increase the knowledge base on them (https://edlists.org/about-this-site). Those Member States call</w:t>
      </w:r>
      <w:r>
        <w:t xml:space="preserve"> </w:t>
      </w:r>
      <w:r>
        <w:t xml:space="preserve">for</w:t>
      </w:r>
      <w:r>
        <w:t xml:space="preserve"> </w:t>
      </w:r>
      <w:r>
        <w:t xml:space="preserve">action</w:t>
      </w:r>
      <w:r>
        <w:t xml:space="preserve"> </w:t>
      </w:r>
      <w:r>
        <w:t xml:space="preserve">at</w:t>
      </w:r>
      <w:r>
        <w:t xml:space="preserve"> </w:t>
      </w:r>
      <w:r>
        <w:t xml:space="preserve">EU</w:t>
      </w:r>
      <w:r>
        <w:t xml:space="preserve"> </w:t>
      </w:r>
      <w:r>
        <w:t xml:space="preserve">level</w:t>
      </w:r>
      <w:r>
        <w:t xml:space="preserve"> </w:t>
      </w:r>
      <w:r>
        <w:t xml:space="preserve">(https://www.wemos.nl/wp-</w:t>
      </w:r>
      <w:r>
        <w:t xml:space="preserve"> </w:t>
      </w:r>
      <w:r>
        <w:t xml:space="preserve">content/uploads/2016/06/Measures_against_endocrine_disrupting_chemicals_June2016.pdf).</w:t>
      </w:r>
      <w:r>
        <w:t xml:space="preserve"> </w:t>
      </w:r>
      <w:r>
        <w:t xml:space="preserve">France</w:t>
      </w:r>
      <w:r>
        <w:t xml:space="preserve"> </w:t>
      </w:r>
      <w:r>
        <w:t xml:space="preserve">already adopted a decree on ED identification (Article L541-9-1 of the French Public Health Code).</w:t>
      </w:r>
    </w:p>
    <w:p>
      <w:pPr>
        <w:pStyle w:val="BodyText"/>
      </w:pPr>
      <w:r>
        <w:t xml:space="preserve">53</w:t>
      </w:r>
    </w:p>
    <w:p>
      <w:pPr>
        <w:pStyle w:val="BodyText"/>
      </w:pPr>
      <w:r>
        <w:t xml:space="preserve">legislation’. The development of this framework is currently ongoing, with the close</w:t>
      </w:r>
      <w:r>
        <w:t xml:space="preserve"> </w:t>
      </w:r>
      <w:r>
        <w:t xml:space="preserve">involvement of the expertise of all relevant services, in particular the European</w:t>
      </w:r>
      <w:r>
        <w:t xml:space="preserve"> </w:t>
      </w:r>
      <w:r>
        <w:t xml:space="preserve">Environment Agency (EEA) and ECHA. This framework of indicators under</w:t>
      </w:r>
      <w:r>
        <w:t xml:space="preserve"> </w:t>
      </w:r>
      <w:r>
        <w:t xml:space="preserve">development is flexible in the medium to long term and will be able to align with</w:t>
      </w:r>
      <w:r>
        <w:t xml:space="preserve"> </w:t>
      </w:r>
      <w:r>
        <w:t xml:space="preserve">ongoing revisions of the chemicals legislation, in order to ensure that specific objectives</w:t>
      </w:r>
      <w:r>
        <w:t xml:space="preserve"> </w:t>
      </w:r>
      <w:r>
        <w:t xml:space="preserve">of those can be duly monitored. A number of areas and potential indicators have been</w:t>
      </w:r>
      <w:r>
        <w:t xml:space="preserve"> </w:t>
      </w:r>
      <w:r>
        <w:t xml:space="preserve">identified for further technical work amongst which the following are relevant for the</w:t>
      </w:r>
      <w:r>
        <w:t xml:space="preserve"> </w:t>
      </w:r>
      <w:r>
        <w:t xml:space="preserve">CLP revision, in addition to the existing ones on consumption and production of</w:t>
      </w:r>
      <w:r>
        <w:t xml:space="preserve"> </w:t>
      </w:r>
      <w:r>
        <w:t xml:space="preserve">hazardous chemicals:</w:t>
      </w:r>
      <w:r>
        <w:t xml:space="preserve"> </w:t>
      </w:r>
      <w:r>
        <w:t xml:space="preserve"> Production and consumption of chemicals, including in terms of turnover,</w:t>
      </w:r>
      <w:r>
        <w:t xml:space="preserve"> </w:t>
      </w:r>
      <w:r>
        <w:t xml:space="preserve">consumer expenditure etc., with a focus on SMEs, online sales, and non-EU sales;</w:t>
      </w:r>
      <w:r>
        <w:t xml:space="preserve"> </w:t>
      </w:r>
      <w:r>
        <w:t xml:space="preserve"> Safe and sustainable by design chemicals including key performance indicators</w:t>
      </w:r>
      <w:r>
        <w:t xml:space="preserve"> </w:t>
      </w:r>
      <w:r>
        <w:t xml:space="preserve">on the industrial transition to safe and sustainable chemicals;</w:t>
      </w:r>
      <w:r>
        <w:t xml:space="preserve"> </w:t>
      </w:r>
      <w:r>
        <w:t xml:space="preserve"> Consumption footprint, chemicals in products and in the Circular Economy;</w:t>
      </w:r>
      <w:r>
        <w:t xml:space="preserve"> </w:t>
      </w:r>
      <w:r>
        <w:t xml:space="preserve"> Environmental and human (bio)monitoring;</w:t>
      </w:r>
      <w:r>
        <w:t xml:space="preserve"> </w:t>
      </w:r>
      <w:r>
        <w:t xml:space="preserve"> Enforcement of REACH and CLP.133</w:t>
      </w:r>
      <w:r>
        <w:t xml:space="preserve"> </w:t>
      </w:r>
      <w:r>
        <w:t xml:space="preserve">This framework will be fully aligned – as well as complementing - the Monitoring and</w:t>
      </w:r>
      <w:r>
        <w:t xml:space="preserve"> </w:t>
      </w:r>
      <w:r>
        <w:t xml:space="preserve">Outlook Framework for the EU Zero Pollution Action Plan and the monitoring</w:t>
      </w:r>
      <w:r>
        <w:t xml:space="preserve"> </w:t>
      </w:r>
      <w:r>
        <w:t xml:space="preserve">framework of the Environmental Action Programme to 2030 (8th EAP).</w:t>
      </w:r>
      <w:r>
        <w:t xml:space="preserve"> </w:t>
      </w:r>
      <w:r>
        <w:t xml:space="preserve">In terms of some specific objectives of the CLP revision, a number of additional streams</w:t>
      </w:r>
      <w:r>
        <w:t xml:space="preserve"> </w:t>
      </w:r>
      <w:r>
        <w:t xml:space="preserve">will also be extremely relevant and would feed into a future evaluation of the revised</w:t>
      </w:r>
      <w:r>
        <w:t xml:space="preserve"> </w:t>
      </w:r>
      <w:r>
        <w:t xml:space="preserve">CLP:</w:t>
      </w:r>
      <w:r>
        <w:t xml:space="preserve"> </w:t>
      </w:r>
      <w:r>
        <w:t xml:space="preserve"> Identification and classification of hazards: It is foreseen to periodically (once</w:t>
      </w:r>
      <w:r>
        <w:t xml:space="preserve"> </w:t>
      </w:r>
      <w:r>
        <w:t xml:space="preserve">a year) assess via the Integrated Regulatory Strategy performed by ECHA the</w:t>
      </w:r>
      <w:r>
        <w:t xml:space="preserve"> </w:t>
      </w:r>
      <w:r>
        <w:t xml:space="preserve">number of substances for which harmonised classification is needed for the most</w:t>
      </w:r>
      <w:r>
        <w:t xml:space="preserve"> </w:t>
      </w:r>
      <w:r>
        <w:t xml:space="preserve">critical hazard classes and take stock of the number of substances for which the</w:t>
      </w:r>
      <w:r>
        <w:t xml:space="preserve"> </w:t>
      </w:r>
      <w:r>
        <w:t xml:space="preserve">classification was harmonised. The Classification and Labelling Inventory will be</w:t>
      </w:r>
      <w:r>
        <w:t xml:space="preserve"> </w:t>
      </w:r>
      <w:r>
        <w:t xml:space="preserve">analysed periodically to identify the level of harmonisation of self-classification,</w:t>
      </w:r>
      <w:r>
        <w:t xml:space="preserve"> </w:t>
      </w:r>
      <w:r>
        <w:t xml:space="preserve">the number of updated notifications as well the number of substances newly</w:t>
      </w:r>
      <w:r>
        <w:t xml:space="preserve"> </w:t>
      </w:r>
      <w:r>
        <w:t xml:space="preserve">classified for the new hazard classes. Compliance check of registration dossiers</w:t>
      </w:r>
      <w:r>
        <w:t xml:space="preserve"> </w:t>
      </w:r>
      <w:r>
        <w:t xml:space="preserve">performed under REACH could also be used to assess the adequacy of the</w:t>
      </w:r>
      <w:r>
        <w:t xml:space="preserve"> </w:t>
      </w:r>
      <w:r>
        <w:t xml:space="preserve">classification of registered substances for the new hazard classes.</w:t>
      </w:r>
      <w:r>
        <w:t xml:space="preserve"> </w:t>
      </w:r>
      <w:r>
        <w:t xml:space="preserve"> EU barometer surveys: Eurobarometer surveys provide very useful information</w:t>
      </w:r>
      <w:r>
        <w:t xml:space="preserve"> </w:t>
      </w:r>
      <w:r>
        <w:t xml:space="preserve">on how citizens/consumers feel well informed about the dangers and safety of</w:t>
      </w:r>
      <w:r>
        <w:t xml:space="preserve"> </w:t>
      </w:r>
      <w:r>
        <w:t xml:space="preserve">chemicals and on their level of understanding of labelling. As the last</w:t>
      </w:r>
      <w:r>
        <w:t xml:space="preserve"> </w:t>
      </w:r>
      <w:r>
        <w:t xml:space="preserve">Eurobarometer survey found that about 55% of the interviewers felt not well</w:t>
      </w:r>
      <w:r>
        <w:t xml:space="preserve"> </w:t>
      </w:r>
      <w:r>
        <w:t xml:space="preserve">informed, it is proposed that after 5 years from the entry into force of the new</w:t>
      </w:r>
      <w:r>
        <w:t xml:space="preserve"> </w:t>
      </w:r>
      <w:r>
        <w:t xml:space="preserve">measures a new survey includes questions to assess progress on the level of</w:t>
      </w:r>
      <w:r>
        <w:t xml:space="preserve"> </w:t>
      </w:r>
      <w:r>
        <w:t xml:space="preserve">knowledge and understating on the safety of chemicals.</w:t>
      </w:r>
      <w:r>
        <w:t xml:space="preserve"> </w:t>
      </w:r>
      <w:r>
        <w:t xml:space="preserve"> EU enforcement projects: the level of compliance with CLP rules is regulatory</w:t>
      </w:r>
      <w:r>
        <w:t xml:space="preserve"> </w:t>
      </w:r>
      <w:r>
        <w:t xml:space="preserve">monitored by ECHA’s Forum for Exchange of Information on Enforcement (the</w:t>
      </w:r>
      <w:r>
        <w:t xml:space="preserve"> </w:t>
      </w:r>
      <w:r>
        <w:t xml:space="preserve">Forum), a body of the Agency that constitutes a network of authorities</w:t>
      </w:r>
    </w:p>
    <w:p>
      <w:pPr>
        <w:pStyle w:val="BodyText"/>
      </w:pPr>
      <w:r>
        <w:t xml:space="preserve">133 Although purely enforcement related matters of CLP will not be dealt with in this impact assessment as</w:t>
      </w:r>
      <w:r>
        <w:t xml:space="preserve"> </w:t>
      </w:r>
      <w:r>
        <w:t xml:space="preserve">outlined under 5.1.4.</w:t>
      </w:r>
    </w:p>
    <w:p>
      <w:pPr>
        <w:pStyle w:val="BodyText"/>
      </w:pPr>
      <w:r>
        <w:t xml:space="preserve">54</w:t>
      </w:r>
    </w:p>
    <w:p>
      <w:pPr>
        <w:pStyle w:val="BodyText"/>
      </w:pPr>
      <w:r>
        <w:t xml:space="preserve">responsible for the enforcement of REACH, CLP, the ‘Prior Informed Consent</w:t>
      </w:r>
      <w:r>
        <w:t xml:space="preserve"> </w:t>
      </w:r>
      <w:r>
        <w:t xml:space="preserve">Regulation’134, the ‘Persistent Organic Pollutants Regulation’135 and the ‘Biocidal</w:t>
      </w:r>
      <w:r>
        <w:t xml:space="preserve"> </w:t>
      </w:r>
      <w:r>
        <w:t xml:space="preserve">Product Regulation’. The Forum has been driving in the past years a number of</w:t>
      </w:r>
      <w:r>
        <w:t xml:space="preserve"> </w:t>
      </w:r>
      <w:r>
        <w:t xml:space="preserve">EU wide enforcement studies (led by ECHA’s secretariat), which have been</w:t>
      </w:r>
      <w:r>
        <w:t xml:space="preserve"> </w:t>
      </w:r>
      <w:r>
        <w:t xml:space="preserve">instrumental to identify the level of non-compliance of CLP across EU Member</w:t>
      </w:r>
      <w:r>
        <w:t xml:space="preserve"> </w:t>
      </w:r>
      <w:r>
        <w:t xml:space="preserve">States. Those studies were also widely used for the evidence collected for this</w:t>
      </w:r>
      <w:r>
        <w:t xml:space="preserve"> </w:t>
      </w:r>
      <w:r>
        <w:t xml:space="preserve">impact assessment, in particular to identify the communication gaps on labelling</w:t>
      </w:r>
      <w:r>
        <w:t xml:space="preserve"> </w:t>
      </w:r>
      <w:r>
        <w:t xml:space="preserve">and the implementation gaps for online sales and imported articles. As the</w:t>
      </w:r>
      <w:r>
        <w:t xml:space="preserve"> </w:t>
      </w:r>
      <w:r>
        <w:t xml:space="preserve">Chemicals Strategy for Sustainability also prioritises those areas for further action</w:t>
      </w:r>
      <w:r>
        <w:t xml:space="preserve"> </w:t>
      </w:r>
      <w:r>
        <w:t xml:space="preserve">by Member States and the Forum, it is proposed to monitor progress on those</w:t>
      </w:r>
      <w:r>
        <w:t xml:space="preserve"> </w:t>
      </w:r>
      <w:r>
        <w:t xml:space="preserve">through targeted Forum activities. Those data will also feed into the overall</w:t>
      </w:r>
      <w:r>
        <w:t xml:space="preserve"> </w:t>
      </w:r>
      <w:r>
        <w:t xml:space="preserve">enforcement and compliance indicators as part of the future framework of</w:t>
      </w:r>
      <w:r>
        <w:t xml:space="preserve"> </w:t>
      </w:r>
      <w:r>
        <w:t xml:space="preserve">indicators on chemicals (currently under development).</w:t>
      </w:r>
    </w:p>
    <w:p>
      <w:pPr>
        <w:pStyle w:val="BodyText"/>
      </w:pPr>
      <w:r>
        <w:t xml:space="preserve">134 Regulation (EU) No 649/2012.</w:t>
      </w:r>
      <w:r>
        <w:t xml:space="preserve"> </w:t>
      </w:r>
      <w:r>
        <w:t xml:space="preserve">135 Regulation (EU) 2019/1021.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2023">
    <w:nsid w:val="A99412023"/>
    <w:multiLevelType w:val="multilevel"/>
    <w:lvl w:ilvl="0">
      <w:start w:val="2023"/>
      <w:numFmt w:val="decimal"/>
      <w:lvlText w:val="%1."/>
      <w:lvlJc w:val="left"/>
      <w:pPr>
        <w:ind w:left="720" w:hanging="360"/>
      </w:pPr>
    </w:lvl>
    <w:lvl w:ilvl="1">
      <w:start w:val="2023"/>
      <w:numFmt w:val="decimal"/>
      <w:lvlText w:val="%2."/>
      <w:lvlJc w:val="left"/>
      <w:pPr>
        <w:ind w:left="1440" w:hanging="360"/>
      </w:pPr>
    </w:lvl>
    <w:lvl w:ilvl="2">
      <w:start w:val="2023"/>
      <w:numFmt w:val="decimal"/>
      <w:lvlText w:val="%3."/>
      <w:lvlJc w:val="left"/>
      <w:pPr>
        <w:ind w:left="2160" w:hanging="360"/>
      </w:pPr>
    </w:lvl>
    <w:lvl w:ilvl="3">
      <w:start w:val="2023"/>
      <w:numFmt w:val="decimal"/>
      <w:lvlText w:val="%4."/>
      <w:lvlJc w:val="left"/>
      <w:pPr>
        <w:ind w:left="2880" w:hanging="360"/>
      </w:pPr>
    </w:lvl>
    <w:lvl w:ilvl="4">
      <w:start w:val="2023"/>
      <w:numFmt w:val="decimal"/>
      <w:lvlText w:val="%5."/>
      <w:lvlJc w:val="left"/>
      <w:pPr>
        <w:ind w:left="3600" w:hanging="360"/>
      </w:pPr>
    </w:lvl>
    <w:lvl w:ilvl="5">
      <w:start w:val="2023"/>
      <w:numFmt w:val="decimal"/>
      <w:lvlText w:val="%6."/>
      <w:lvlJc w:val="left"/>
      <w:pPr>
        <w:ind w:left="4320" w:hanging="360"/>
      </w:pPr>
    </w:lvl>
    <w:lvl w:ilvl="6">
      <w:start w:val="2023"/>
      <w:numFmt w:val="decimal"/>
      <w:lvlText w:val="%7."/>
      <w:lvlJc w:val="left"/>
      <w:pPr>
        <w:ind w:left="5040" w:hanging="360"/>
      </w:pPr>
    </w:lvl>
    <w:lvl w:ilvl="7">
      <w:start w:val="2023"/>
      <w:numFmt w:val="decimal"/>
      <w:lvlText w:val="%8."/>
      <w:lvlJc w:val="left"/>
      <w:pPr>
        <w:ind w:left="5760" w:hanging="360"/>
      </w:pPr>
    </w:lvl>
    <w:lvl w:ilvl="8">
      <w:start w:val="2023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2023"/>
    <w:lvlOverride w:ilvl="0">
      <w:startOverride w:val="2023"/>
    </w:lvlOverride>
    <w:lvlOverride w:ilvl="1">
      <w:startOverride w:val="2023"/>
    </w:lvlOverride>
    <w:lvlOverride w:ilvl="2">
      <w:startOverride w:val="2023"/>
    </w:lvlOverride>
    <w:lvlOverride w:ilvl="3">
      <w:startOverride w:val="2023"/>
    </w:lvlOverride>
    <w:lvlOverride w:ilvl="4">
      <w:startOverride w:val="2023"/>
    </w:lvlOverride>
    <w:lvlOverride w:ilvl="5">
      <w:startOverride w:val="2023"/>
    </w:lvlOverride>
    <w:lvlOverride w:ilvl="6">
      <w:startOverride w:val="2023"/>
    </w:lvlOverride>
    <w:lvlOverride w:ilvl="7">
      <w:startOverride w:val="2023"/>
    </w:lvlOverride>
    <w:lvlOverride w:ilvl="8">
      <w:startOverride w:val="2023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2026-07-31T16:47:35Z</dcterms:created>
  <dcterms:modified xsi:type="dcterms:W3CDTF">2026-07-31T16:47:35Z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