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19.12.2022</w:t>
      </w:r>
      <w:r>
        <w:br/>
      </w:r>
      <w:r>
        <w:t xml:space="preserve">SWD(2022) 435 final</w:t>
      </w:r>
      <w:r>
        <w:t xml:space="preserve"> </w:t>
      </w:r>
      <w:r>
        <w:t xml:space="preserve">PART 2/5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</w:p>
    <w:p>
      <w:pPr>
        <w:pStyle w:val="BodyText"/>
      </w:pPr>
      <w:r>
        <w:t xml:space="preserve">amending Regulation (EC) No 1272/2008 of the European Parliament and of the Council</w:t>
      </w:r>
      <w:r>
        <w:t xml:space="preserve"> </w:t>
      </w:r>
      <w:r>
        <w:t xml:space="preserve">on classification, labelling and packaging of substances and mixtures</w:t>
      </w:r>
      <w:r>
        <w:t xml:space="preserve"> </w:t>
      </w:r>
      <w:r>
        <w:t xml:space="preserve">{COM(2022) 748 final} - {SEC(2022) 452 final} - {SWD(2022) 434 final} -</w:t>
      </w:r>
      <w:r>
        <w:t xml:space="preserve"> </w:t>
      </w:r>
      <w:r>
        <w:t xml:space="preserve">{SWD(2022) 436 final}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Annex 1 – Procedural information</w:t>
      </w:r>
    </w:p>
    <w:p>
      <w:pPr>
        <w:pStyle w:val="BodyText"/>
      </w:pPr>
      <w:r>
        <w:t xml:space="preserve">LEAD DG, DECIDE PLANNING/CWP REFERENCES</w:t>
      </w:r>
      <w:r>
        <w:t xml:space="preserve"> </w:t>
      </w:r>
      <w:r>
        <w:t xml:space="preserve">The preparation of this Impact Assessment Report was led by DG Environment (ENV) and DG</w:t>
      </w:r>
      <w:r>
        <w:t xml:space="preserve"> </w:t>
      </w:r>
      <w:r>
        <w:t xml:space="preserve">Internal Market, Industry, Entrepreneurship and SMEs (GROW).</w:t>
      </w:r>
      <w:r>
        <w:t xml:space="preserve"> </w:t>
      </w:r>
      <w:r>
        <w:t xml:space="preserve">The agenda planning reference is PLAN/2021/10629.</w:t>
      </w:r>
      <w:r>
        <w:t xml:space="preserve"> </w:t>
      </w:r>
      <w:r>
        <w:t xml:space="preserve">The initiative, to which this impact assessment relates, is referenced in the 2022 Commission</w:t>
      </w:r>
      <w:r>
        <w:t xml:space="preserve"> </w:t>
      </w:r>
      <w:r>
        <w:t xml:space="preserve">Work Programme1, under the policy objective 1. Zero pollution package.</w:t>
      </w:r>
    </w:p>
    <w:p>
      <w:pPr>
        <w:pStyle w:val="BodyText"/>
      </w:pPr>
      <w:r>
        <w:t xml:space="preserve">ORGANISATION AND TIMING</w:t>
      </w:r>
      <w:r>
        <w:t xml:space="preserve"> </w:t>
      </w:r>
      <w:r>
        <w:t xml:space="preserve">The revision of the CLP Regulation (Regulation (EC) No 1272/2008 on the classification,</w:t>
      </w:r>
      <w:r>
        <w:t xml:space="preserve"> </w:t>
      </w:r>
      <w:r>
        <w:t xml:space="preserve">labelling, and packaging of substances and mixtures) is a core deliverable under the European</w:t>
      </w:r>
      <w:r>
        <w:t xml:space="preserve"> </w:t>
      </w:r>
      <w:r>
        <w:t xml:space="preserve">Green Deal and the Chemicals Strategy for Sustainability.</w:t>
      </w:r>
      <w:r>
        <w:t xml:space="preserve"> </w:t>
      </w:r>
      <w:r>
        <w:t xml:space="preserve">The Inception Impact Assessment was published on the “Have your say” website on</w:t>
      </w:r>
      <w:r>
        <w:t xml:space="preserve"> </w:t>
      </w:r>
      <w:r>
        <w:t xml:space="preserve">4 May 2021 with a feedback period until 1 June 20212. 182 comments were received and taken</w:t>
      </w:r>
      <w:r>
        <w:t xml:space="preserve"> </w:t>
      </w:r>
      <w:r>
        <w:t xml:space="preserve">into account to develop the impact assessment.</w:t>
      </w:r>
      <w:r>
        <w:t xml:space="preserve"> </w:t>
      </w:r>
      <w:r>
        <w:t xml:space="preserve">The Inter Service Steering Group (ISSG) for the Impact Assessment was set up by DG ENV</w:t>
      </w:r>
      <w:r>
        <w:t xml:space="preserve"> </w:t>
      </w:r>
      <w:r>
        <w:t xml:space="preserve">and DG GROW, who are co-responsible for CLP. It included the following DGs and services:</w:t>
      </w:r>
      <w:r>
        <w:t xml:space="preserve"> </w:t>
      </w:r>
      <w:r>
        <w:t xml:space="preserve">BUDG</w:t>
      </w:r>
      <w:r>
        <w:t xml:space="preserve"> </w:t>
      </w:r>
      <w:r>
        <w:t xml:space="preserve">(Budget),</w:t>
      </w:r>
      <w:r>
        <w:t xml:space="preserve"> </w:t>
      </w:r>
      <w:r>
        <w:t xml:space="preserve">CLIMA</w:t>
      </w:r>
      <w:r>
        <w:t xml:space="preserve"> </w:t>
      </w:r>
      <w:r>
        <w:t xml:space="preserve">(Climate</w:t>
      </w:r>
      <w:r>
        <w:t xml:space="preserve"> </w:t>
      </w:r>
      <w:r>
        <w:t xml:space="preserve">Action),</w:t>
      </w:r>
      <w:r>
        <w:t xml:space="preserve"> </w:t>
      </w:r>
      <w:r>
        <w:t xml:space="preserve">COMP</w:t>
      </w:r>
      <w:r>
        <w:t xml:space="preserve"> </w:t>
      </w:r>
      <w:r>
        <w:t xml:space="preserve">(Competition),</w:t>
      </w:r>
      <w:r>
        <w:t xml:space="preserve"> </w:t>
      </w:r>
      <w:r>
        <w:t xml:space="preserve">CONNECT</w:t>
      </w:r>
      <w:r>
        <w:t xml:space="preserve"> </w:t>
      </w:r>
      <w:r>
        <w:t xml:space="preserve">(Communications Networks, Content and Technology), ECFIN (Economic and Financial</w:t>
      </w:r>
      <w:r>
        <w:t xml:space="preserve"> </w:t>
      </w:r>
      <w:r>
        <w:t xml:space="preserve">Affairs), EEAS (European External Action Service), EMPL (Employment, Social Affairs and</w:t>
      </w:r>
      <w:r>
        <w:t xml:space="preserve"> </w:t>
      </w:r>
      <w:r>
        <w:t xml:space="preserve">Inclusion), ENER (Energy), Eurostat, FPI (Foreign Policy Instruments), INTPA (International</w:t>
      </w:r>
      <w:r>
        <w:t xml:space="preserve"> </w:t>
      </w:r>
      <w:r>
        <w:t xml:space="preserve">Partnerships), JRC (Joint Research Centre), JUST (Justice and Consumers), MARE (Maritime</w:t>
      </w:r>
      <w:r>
        <w:t xml:space="preserve"> </w:t>
      </w:r>
      <w:r>
        <w:t xml:space="preserve">Affairs and Fisheries), MOVE (Mobility and Transport), NEAR (European Neighbourhood</w:t>
      </w:r>
      <w:r>
        <w:t xml:space="preserve"> </w:t>
      </w:r>
      <w:r>
        <w:t xml:space="preserve">and Enlargement Negotiations), OLAF (European Anti-Fraud Office), REGIO (Regional and</w:t>
      </w:r>
      <w:r>
        <w:t xml:space="preserve"> </w:t>
      </w:r>
      <w:r>
        <w:t xml:space="preserve">Urban Policy), RTD (Research and Innovation), SANTE (Health and Food Safety), SG</w:t>
      </w:r>
      <w:r>
        <w:t xml:space="preserve"> </w:t>
      </w:r>
      <w:r>
        <w:t xml:space="preserve">(Secretariat-General), TAXUD (Taxation and Customs Union), TRADE, as well as ECHA</w:t>
      </w:r>
      <w:r>
        <w:t xml:space="preserve"> </w:t>
      </w:r>
      <w:r>
        <w:t xml:space="preserve">(European Chemicals Agency) and EFSA (European Food Safety Authority). A total of 7</w:t>
      </w:r>
      <w:r>
        <w:t xml:space="preserve"> </w:t>
      </w:r>
      <w:r>
        <w:t xml:space="preserve">meetings of the ISSG were organised between spring 2021 and spring 2022: more specifically,</w:t>
      </w:r>
      <w:r>
        <w:t xml:space="preserve"> </w:t>
      </w:r>
      <w:r>
        <w:t xml:space="preserve">meetings were held on 31/05/21, 15/10/21, 18/01/22, 17/02/22, 14/03/22, 28/03/2022 and</w:t>
      </w:r>
      <w:r>
        <w:t xml:space="preserve"> </w:t>
      </w:r>
      <w:r>
        <w:t xml:space="preserve">06/04/2022.</w:t>
      </w:r>
      <w:r>
        <w:br/>
      </w:r>
      <w:r>
        <w:t xml:space="preserve">The ISSG meetings discussed the main milestones in the process, in particular the following:</w:t>
      </w:r>
      <w:r>
        <w:t xml:space="preserve"> </w:t>
      </w:r>
      <w:r>
        <w:t xml:space="preserve">the Inception Impact Assessment, evidence gathering, coherence with other ongoing draft</w:t>
      </w:r>
      <w:r>
        <w:t xml:space="preserve"> </w:t>
      </w:r>
      <w:r>
        <w:t xml:space="preserve">legislative initiatives, the consultation strategy and main stakeholder consultation activities.</w:t>
      </w:r>
      <w:r>
        <w:t xml:space="preserve"> </w:t>
      </w:r>
      <w:r>
        <w:t xml:space="preserve">An open public consultation, intended to gather opinions on the revision, was open for a</w:t>
      </w:r>
      <w:r>
        <w:t xml:space="preserve"> </w:t>
      </w:r>
      <w:r>
        <w:t xml:space="preserve">duration of 14 weeks from 9 August 2021 to 15 November 2021. Moreover, a targeted</w:t>
      </w:r>
      <w:r>
        <w:t xml:space="preserve"> </w:t>
      </w:r>
      <w:r>
        <w:t xml:space="preserve">stakeholder survey was open for a duration of 6 weeks, from 10 November to 22 December</w:t>
      </w:r>
      <w:r>
        <w:t xml:space="preserve"> </w:t>
      </w:r>
      <w:r>
        <w:t xml:space="preserve">2021. The latter was intended to gather opinions on the CLP revision from Member State</w:t>
      </w:r>
    </w:p>
    <w:p>
      <w:pPr>
        <w:pStyle w:val="BodyText"/>
      </w:pPr>
      <w:r>
        <w:t xml:space="preserve">1 COM(2021) 645</w:t>
      </w:r>
      <w:r>
        <w:t xml:space="preserve"> </w:t>
      </w:r>
      <w:r>
        <w:t xml:space="preserve">2 European Commission, Revision of EU legislation on hazard classification, labelling and packaging of</w:t>
      </w:r>
      <w:r>
        <w:t xml:space="preserve"> </w:t>
      </w:r>
      <w:r>
        <w:t xml:space="preserve">chemicals, available at: https://ec.europa.eu/info/law/better-regulation/have-your-say/initiatives/12975-Revision-</w:t>
      </w:r>
      <w:r>
        <w:t xml:space="preserve"> </w:t>
      </w:r>
      <w:r>
        <w:t xml:space="preserve">of-EU-legislation-on-hazard-classification-labelling-and-packaging-of-chemicals_en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authorities/competent bodies, representatives of EU industry associations/EU- and national-</w:t>
      </w:r>
      <w:r>
        <w:t xml:space="preserve"> </w:t>
      </w:r>
      <w:r>
        <w:t xml:space="preserve">level worker representative groups/trade unions, NGOs/environmental charities and consumer</w:t>
      </w:r>
      <w:r>
        <w:t xml:space="preserve"> </w:t>
      </w:r>
      <w:r>
        <w:t xml:space="preserve">associations, academics/experts, as well as SMEs and retail.</w:t>
      </w:r>
      <w:r>
        <w:t xml:space="preserve"> </w:t>
      </w:r>
      <w:r>
        <w:t xml:space="preserve">In addition, the progress and updates of the impact assessment activities were presented at the</w:t>
      </w:r>
      <w:r>
        <w:t xml:space="preserve"> </w:t>
      </w:r>
      <w:r>
        <w:t xml:space="preserve">following open session meetings of the Competent Authorities for REACH and CLP</w:t>
      </w:r>
      <w:r>
        <w:t xml:space="preserve"> </w:t>
      </w:r>
      <w:r>
        <w:t xml:space="preserve">(CARACAL)3 expert group: CARACAL-40 (29-30 June 2021) and CARACAL-42 (17-18</w:t>
      </w:r>
      <w:r>
        <w:t xml:space="preserve"> </w:t>
      </w:r>
      <w:r>
        <w:t xml:space="preserve">November 2021). These meetings were attended by Member State Competent Authorities and</w:t>
      </w:r>
      <w:r>
        <w:t xml:space="preserve"> </w:t>
      </w:r>
      <w:r>
        <w:t xml:space="preserve">accredited stakeholder organisations, and in their framework discussions were held and</w:t>
      </w:r>
      <w:r>
        <w:t xml:space="preserve"> </w:t>
      </w:r>
      <w:r>
        <w:t xml:space="preserve">feedback was given.</w:t>
      </w:r>
      <w:r>
        <w:br/>
      </w:r>
      <w:r>
        <w:t xml:space="preserve">Furthermore, extensive discussions on specific issues of CLP revision were held in 4 ad hoc</w:t>
      </w:r>
      <w:r>
        <w:t xml:space="preserve"> </w:t>
      </w:r>
      <w:r>
        <w:t xml:space="preserve">meetings of CARACAL on CLP revision, with wide Member State and stakeholder</w:t>
      </w:r>
      <w:r>
        <w:t xml:space="preserve"> </w:t>
      </w:r>
      <w:r>
        <w:t xml:space="preserve">participation: CARACAL on Persistent, Mobile and Toxic, very Persistent and very Mobile,</w:t>
      </w:r>
      <w:r>
        <w:t xml:space="preserve"> </w:t>
      </w:r>
      <w:r>
        <w:t xml:space="preserve">Persistent, Bioaccumulative and Toxic, very Persistent and very Bioaccumulative (PMT, vPvM</w:t>
      </w:r>
      <w:r>
        <w:t xml:space="preserve"> </w:t>
      </w:r>
      <w:r>
        <w:t xml:space="preserve">and PBT, vPvB) substances (30 September 2021), CARACAL on Annex VIII (Poison Centres)</w:t>
      </w:r>
      <w:r>
        <w:t xml:space="preserve"> </w:t>
      </w:r>
      <w:r>
        <w:t xml:space="preserve">and Online Sales (27 October 2021), CARACAL on harmonised classification and labelling</w:t>
      </w:r>
      <w:r>
        <w:t xml:space="preserve"> </w:t>
      </w:r>
      <w:r>
        <w:t xml:space="preserve">(CLH) prioritisation, Predicted No-Effect Concentration (PNEC), Derived No-Effect Level</w:t>
      </w:r>
      <w:r>
        <w:t xml:space="preserve"> </w:t>
      </w:r>
      <w:r>
        <w:t xml:space="preserve">(DNEL), Derived Minimal Effect Level (DMEL) and Labelling (6 December 2021) and</w:t>
      </w:r>
      <w:r>
        <w:t xml:space="preserve"> </w:t>
      </w:r>
      <w:r>
        <w:t xml:space="preserve">CARACAL on New Hazard Classes, More than One Constituent Substances (MOCS) and Self-</w:t>
      </w:r>
      <w:r>
        <w:t xml:space="preserve"> </w:t>
      </w:r>
      <w:r>
        <w:t xml:space="preserve">classification, (14 December 2021). Relevant discussions on specific topics covered by this</w:t>
      </w:r>
      <w:r>
        <w:t xml:space="preserve"> </w:t>
      </w:r>
      <w:r>
        <w:t xml:space="preserve">Staff Working Document were also held previously in CARACAL meetings (e.g. self-</w:t>
      </w:r>
      <w:r>
        <w:t xml:space="preserve"> </w:t>
      </w:r>
      <w:r>
        <w:t xml:space="preserve">classification, labelling, poison centres) or in meetings of specific groups as e.g. the Competent</w:t>
      </w:r>
      <w:r>
        <w:t xml:space="preserve"> </w:t>
      </w:r>
      <w:r>
        <w:t xml:space="preserve">Authorities Sub-Group on Endocrine Disruptors and the ECHA PBT Expert Group where</w:t>
      </w:r>
      <w:r>
        <w:t xml:space="preserve"> </w:t>
      </w:r>
      <w:r>
        <w:t xml:space="preserve">stakeholder representatives were also present. Finally, a stakeholder workshop on the</w:t>
      </w:r>
      <w:r>
        <w:t xml:space="preserve"> </w:t>
      </w:r>
      <w:r>
        <w:t xml:space="preserve">simplification and digitalisation of labelling requirements for chemicals was held on 26</w:t>
      </w:r>
      <w:r>
        <w:t xml:space="preserve"> </w:t>
      </w:r>
      <w:r>
        <w:t xml:space="preserve">November 2021.</w:t>
      </w:r>
    </w:p>
    <w:p>
      <w:pPr>
        <w:pStyle w:val="BodyText"/>
      </w:pPr>
      <w:r>
        <w:t xml:space="preserve">CONSULTATION OF THE RSB</w:t>
      </w:r>
      <w:r>
        <w:t xml:space="preserve"> </w:t>
      </w:r>
      <w:r>
        <w:t xml:space="preserve">An informal upstream meeting with the RSB took place on 6 October 2021. The feedback after</w:t>
      </w:r>
      <w:r>
        <w:t xml:space="preserve"> </w:t>
      </w:r>
      <w:r>
        <w:t xml:space="preserve">this this meeting is provided below. It will be deleted and replaced with the opinion that will</w:t>
      </w:r>
      <w:r>
        <w:t xml:space="preserve"> </w:t>
      </w:r>
      <w:r>
        <w:t xml:space="preserve">be delivered after the meeting with the Board on 11 May 2022.</w:t>
      </w:r>
      <w:r>
        <w:t xml:space="preserve"> </w:t>
      </w:r>
      <w:r>
        <w:t xml:space="preserve">Context</w:t>
      </w:r>
      <w:r>
        <w:t xml:space="preserve"> </w:t>
      </w:r>
      <w:r>
        <w:t xml:space="preserve"> The IA needs to differentiate between the political context emerging from the</w:t>
      </w:r>
      <w:r>
        <w:t xml:space="preserve"> </w:t>
      </w:r>
      <w:r>
        <w:t xml:space="preserve">Chemicals Strategy and the available evidence of the problems, which the initiative</w:t>
      </w:r>
      <w:r>
        <w:t xml:space="preserve"> </w:t>
      </w:r>
      <w:r>
        <w:t xml:space="preserve">aims to tackle. The impact assessment should be based on robust evidence.</w:t>
      </w:r>
      <w:r>
        <w:t xml:space="preserve"> </w:t>
      </w:r>
      <w:r>
        <w:t xml:space="preserve"> The interrelationship of the different pieces of upstream and downstream legislation</w:t>
      </w:r>
      <w:r>
        <w:t xml:space="preserve"> </w:t>
      </w:r>
      <w:r>
        <w:t xml:space="preserve">and their respective roles should be well described in the IA report.</w:t>
      </w:r>
      <w:r>
        <w:t xml:space="preserve"> </w:t>
      </w:r>
      <w:r>
        <w:t xml:space="preserve"> The report should be very clear on the correlation and links of this proposal with</w:t>
      </w:r>
      <w:r>
        <w:t xml:space="preserve"> </w:t>
      </w:r>
      <w:r>
        <w:t xml:space="preserve">REACH and other legislation and initiatives, including on digital services. The</w:t>
      </w:r>
      <w:r>
        <w:t xml:space="preserve"> </w:t>
      </w:r>
      <w:r>
        <w:t xml:space="preserve">correlation of this proposal with the initiative on digital labelling and simplification (for</w:t>
      </w:r>
      <w:r>
        <w:t xml:space="preserve"> </w:t>
      </w:r>
      <w:r>
        <w:t xml:space="preserve">CLP, fertilisers and detergents) should be spelled out.</w:t>
      </w:r>
    </w:p>
    <w:p>
      <w:pPr>
        <w:pStyle w:val="BodyText"/>
      </w:pPr>
      <w:r>
        <w:t xml:space="preserve">3 REACH Competent authorities, available at:</w:t>
      </w:r>
      <w:r>
        <w:t xml:space="preserve"> </w:t>
      </w:r>
      <w:r>
        <w:t xml:space="preserve">https://ec.europa.eu/environment/chemicals/reach/competent_authorities_en.htm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The report should provide robust evidence showing that consumers demand more</w:t>
      </w:r>
      <w:r>
        <w:t xml:space="preserve"> </w:t>
      </w:r>
      <w:r>
        <w:t xml:space="preserve">comprehensive chemical information and, as there is incomplete information, this impacts their</w:t>
      </w:r>
      <w:r>
        <w:t xml:space="preserve"> </w:t>
      </w:r>
      <w:r>
        <w:t xml:space="preserve">consumer behaviour (as stated in the intervention logic).</w:t>
      </w:r>
      <w:r>
        <w:br/>
      </w:r>
      <w:r>
        <w:t xml:space="preserve">Policy options</w:t>
      </w:r>
      <w:r>
        <w:t xml:space="preserve"> </w:t>
      </w:r>
      <w:r>
        <w:t xml:space="preserve">The baseline should not be presented as a policy option and should be seen as dynamic</w:t>
      </w:r>
      <w:r>
        <w:t xml:space="preserve"> </w:t>
      </w:r>
      <w:r>
        <w:t xml:space="preserve">evolution of the current situation. It could, for example, already include possible non-regulatory</w:t>
      </w:r>
      <w:r>
        <w:t xml:space="preserve"> </w:t>
      </w:r>
      <w:r>
        <w:t xml:space="preserve">measures, currently conceived as option 2. The baseline should cover all existing and proposed</w:t>
      </w:r>
      <w:r>
        <w:t xml:space="preserve"> </w:t>
      </w:r>
      <w:r>
        <w:t xml:space="preserve">legislation at the time of finalising the impact assessment.</w:t>
      </w:r>
      <w:r>
        <w:t xml:space="preserve"> </w:t>
      </w:r>
      <w:r>
        <w:t xml:space="preserve">Options should bring out clearly what choices have to be made and what alternatives are</w:t>
      </w:r>
      <w:r>
        <w:t xml:space="preserve"> </w:t>
      </w:r>
      <w:r>
        <w:t xml:space="preserve">available.</w:t>
      </w:r>
      <w:r>
        <w:t xml:space="preserve"> </w:t>
      </w:r>
      <w:r>
        <w:t xml:space="preserve">The currently presented option 3 may need to be unbundled. Options can be designed per</w:t>
      </w:r>
      <w:r>
        <w:t xml:space="preserve"> </w:t>
      </w:r>
      <w:r>
        <w:t xml:space="preserve">problem area and integrated in packages which can contain regulatory and non-regulatory</w:t>
      </w:r>
      <w:r>
        <w:t xml:space="preserve"> </w:t>
      </w:r>
      <w:r>
        <w:t xml:space="preserve">measures. Options should address all problems identified.</w:t>
      </w:r>
      <w:r>
        <w:t xml:space="preserve"> </w:t>
      </w:r>
      <w:r>
        <w:t xml:space="preserve">The simplification and burden reduction potential should be thoroughly assessed, given the</w:t>
      </w:r>
      <w:r>
        <w:t xml:space="preserve"> </w:t>
      </w:r>
      <w:r>
        <w:t xml:space="preserve">REFIT nature of the initiative.</w:t>
      </w:r>
      <w:r>
        <w:br/>
      </w:r>
      <w:r>
        <w:t xml:space="preserve">Analysis and impacts</w:t>
      </w:r>
      <w:r>
        <w:t xml:space="preserve"> </w:t>
      </w:r>
      <w:r>
        <w:t xml:space="preserve">The impact analysis should assess unavoidable impacts (costs and benefits) on downstream</w:t>
      </w:r>
      <w:r>
        <w:t xml:space="preserve"> </w:t>
      </w:r>
      <w:r>
        <w:t xml:space="preserve">legislation following the proposed changes in the CLP. If discretion is possible in the revision</w:t>
      </w:r>
      <w:r>
        <w:t xml:space="preserve"> </w:t>
      </w:r>
      <w:r>
        <w:t xml:space="preserve">of downstream legislation, this should be clearly indicated.</w:t>
      </w:r>
      <w:r>
        <w:br/>
      </w:r>
      <w:r>
        <w:t xml:space="preserve">The report should assess how the changes in the CLP legislation will impact industry and sales</w:t>
      </w:r>
      <w:r>
        <w:t xml:space="preserve"> </w:t>
      </w:r>
      <w:r>
        <w:t xml:space="preserve">and if this will lead to less or more use of hazardous substances. How will the success look</w:t>
      </w:r>
      <w:r>
        <w:t xml:space="preserve"> </w:t>
      </w:r>
      <w:r>
        <w:t xml:space="preserve">like? (a decrease in demand for products with high health and environmental hazard?)</w:t>
      </w:r>
      <w:r>
        <w:br/>
      </w:r>
      <w:r>
        <w:t xml:space="preserve">The impact of changing a label on consumer behaviour should be assessed.</w:t>
      </w:r>
      <w:r>
        <w:br/>
      </w:r>
      <w:r>
        <w:t xml:space="preserve">The impact on international competitiveness should be assessed, in particular when EU rules</w:t>
      </w:r>
      <w:r>
        <w:t xml:space="preserve"> </w:t>
      </w:r>
      <w:r>
        <w:t xml:space="preserve">deviate from internationally agreed standards. When international standards are followed, this</w:t>
      </w:r>
      <w:r>
        <w:t xml:space="preserve"> </w:t>
      </w:r>
      <w:r>
        <w:t xml:space="preserve">should be justified.</w:t>
      </w:r>
      <w:r>
        <w:br/>
      </w:r>
      <w:r>
        <w:t xml:space="preserve">Specific attention should be drawn on impacts for SMEs and possible ways to mitigate these</w:t>
      </w:r>
      <w:r>
        <w:t xml:space="preserve"> </w:t>
      </w:r>
      <w:r>
        <w:t xml:space="preserve">impacts.</w:t>
      </w:r>
      <w:r>
        <w:t xml:space="preserve"> </w:t>
      </w:r>
      <w:r>
        <w:t xml:space="preserve">The administrative burden should be analysed quantitatively with a view to the one-in-one-</w:t>
      </w:r>
      <w:r>
        <w:t xml:space="preserve"> </w:t>
      </w:r>
      <w:r>
        <w:t xml:space="preserve">out approach.</w:t>
      </w:r>
      <w:r>
        <w:t xml:space="preserve"> </w:t>
      </w:r>
      <w:r>
        <w:t xml:space="preserve">All suggestions above from the RSB were taken into account when developing this Staff</w:t>
      </w:r>
      <w:r>
        <w:t xml:space="preserve"> </w:t>
      </w:r>
      <w:r>
        <w:t xml:space="preserve">Working Document.</w:t>
      </w:r>
      <w:r>
        <w:t xml:space="preserve"> </w:t>
      </w:r>
      <w:r>
        <w:t xml:space="preserve">Table 1 below provides an overview of the RSB suggestions at the Upstream meeting and</w:t>
      </w:r>
      <w:r>
        <w:t xml:space="preserve"> </w:t>
      </w:r>
      <w:r>
        <w:t xml:space="preserve">how they have been addressed.</w:t>
      </w:r>
      <w:r>
        <w:t xml:space="preserve"> </w:t>
      </w:r>
      <w:r>
        <w:t xml:space="preserve">Table 1: Overview of the RSB suggestions and follow-up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RSB suggestions on draft IA</w:t>
      </w:r>
      <w:r>
        <w:t xml:space="preserve"> </w:t>
      </w:r>
      <w:r>
        <w:t xml:space="preserve">Follow-up of RSB suggestions in the IA</w:t>
      </w:r>
      <w:r>
        <w:t xml:space="preserve"> </w:t>
      </w:r>
      <w:r>
        <w:t xml:space="preserve">Distinguish with CSS and provide robust</w:t>
      </w:r>
      <w:r>
        <w:t xml:space="preserve"> </w:t>
      </w:r>
      <w:r>
        <w:t xml:space="preserve">evidence</w:t>
      </w:r>
      <w:r>
        <w:t xml:space="preserve"> </w:t>
      </w:r>
      <w:r>
        <w:t xml:space="preserve">Envisaged measures were impact assessed</w:t>
      </w:r>
      <w:r>
        <w:t xml:space="preserve"> </w:t>
      </w:r>
      <w:r>
        <w:t xml:space="preserve">and preferred option determined on that basis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interrelationship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upstream and downstream legislation</w:t>
      </w:r>
      <w:r>
        <w:t xml:space="preserve"> </w:t>
      </w:r>
      <w:r>
        <w:t xml:space="preserve">See Annex 5</w:t>
      </w:r>
      <w:r>
        <w:t xml:space="preserve"> </w:t>
      </w:r>
      <w:r>
        <w:t xml:space="preserve">Correlation with other legislative initiatives</w:t>
      </w:r>
      <w:r>
        <w:t xml:space="preserve"> </w:t>
      </w:r>
      <w:r>
        <w:t xml:space="preserve">(REACH,</w:t>
      </w:r>
      <w:r>
        <w:t xml:space="preserve"> </w:t>
      </w:r>
      <w:r>
        <w:t xml:space="preserve">digital</w:t>
      </w:r>
      <w:r>
        <w:t xml:space="preserve"> </w:t>
      </w:r>
      <w:r>
        <w:t xml:space="preserve">services,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labelling…)</w:t>
      </w:r>
      <w:r>
        <w:t xml:space="preserve"> </w:t>
      </w:r>
      <w:r>
        <w:t xml:space="preserve">See point 5.1.4., further detailed in Annex 5</w:t>
      </w:r>
      <w:r>
        <w:t xml:space="preserve"> </w:t>
      </w:r>
      <w:r>
        <w:t xml:space="preserve">and in Annex 8 (REACH), Annex 13</w:t>
      </w:r>
      <w:r>
        <w:t xml:space="preserve"> </w:t>
      </w:r>
      <w:r>
        <w:t xml:space="preserve">(digital labelling) and Annex 15 (on-line</w:t>
      </w:r>
      <w:r>
        <w:t xml:space="preserve"> </w:t>
      </w:r>
      <w:r>
        <w:t xml:space="preserve">sales)</w:t>
      </w:r>
      <w:r>
        <w:br/>
      </w:r>
      <w:r>
        <w:t xml:space="preserve">Consumer demand more information and</w:t>
      </w:r>
      <w:r>
        <w:t xml:space="preserve"> </w:t>
      </w:r>
      <w:r>
        <w:t xml:space="preserve">this impacts their behaviour</w:t>
      </w:r>
      <w:r>
        <w:t xml:space="preserve"> </w:t>
      </w:r>
      <w:r>
        <w:t xml:space="preserve">There are no measures proposed which are</w:t>
      </w:r>
      <w:r>
        <w:t xml:space="preserve"> </w:t>
      </w:r>
      <w:r>
        <w:t xml:space="preserve">expected to increase the level of consumer</w:t>
      </w:r>
      <w:r>
        <w:t xml:space="preserve"> </w:t>
      </w:r>
      <w:r>
        <w:t xml:space="preserve">information compared to the current legal</w:t>
      </w:r>
      <w:r>
        <w:t xml:space="preserve"> </w:t>
      </w:r>
      <w:r>
        <w:t xml:space="preserve">text; However desk research performed on</w:t>
      </w:r>
      <w:r>
        <w:t xml:space="preserve"> </w:t>
      </w:r>
      <w:r>
        <w:t xml:space="preserve">the scope of CLP did not identify a possible</w:t>
      </w:r>
      <w:r>
        <w:t xml:space="preserve"> </w:t>
      </w:r>
      <w:r>
        <w:t xml:space="preserve">impact from CLP on consumer behaviour.</w:t>
      </w:r>
      <w:r>
        <w:t xml:space="preserve"> </w:t>
      </w:r>
      <w:r>
        <w:t xml:space="preserve">Therefore this problem will not be</w:t>
      </w:r>
      <w:r>
        <w:t xml:space="preserve"> </w:t>
      </w:r>
      <w:r>
        <w:t xml:space="preserve">addressed by this assessment.</w:t>
      </w:r>
      <w:r>
        <w:t xml:space="preserve"> </w:t>
      </w:r>
      <w:r>
        <w:t xml:space="preserve">Baseline should not include policy option</w:t>
      </w:r>
      <w:r>
        <w:t xml:space="preserve"> </w:t>
      </w:r>
      <w:r>
        <w:t xml:space="preserve">We have taken care of describing a dynamic</w:t>
      </w:r>
      <w:r>
        <w:t xml:space="preserve"> </w:t>
      </w:r>
      <w:r>
        <w:t xml:space="preserve">baseline (Section 5 and Annex 7)</w:t>
      </w:r>
      <w:r>
        <w:t xml:space="preserve"> </w:t>
      </w:r>
      <w:r>
        <w:t xml:space="preserve">Options to be clear on choices made and</w:t>
      </w:r>
      <w:r>
        <w:t xml:space="preserve"> </w:t>
      </w:r>
      <w:r>
        <w:t xml:space="preserve">available alternatives</w:t>
      </w:r>
      <w:r>
        <w:t xml:space="preserve"> </w:t>
      </w:r>
      <w:r>
        <w:t xml:space="preserve">Where alternatives were available and not</w:t>
      </w:r>
      <w:r>
        <w:t xml:space="preserve"> </w:t>
      </w:r>
      <w:r>
        <w:t xml:space="preserve">pursued, these have been clearly motivated</w:t>
      </w:r>
      <w:r>
        <w:t xml:space="preserve"> </w:t>
      </w:r>
      <w:r>
        <w:t xml:space="preserve">Option 3 should be unbundled - options can</w:t>
      </w:r>
      <w:r>
        <w:t xml:space="preserve"> </w:t>
      </w:r>
      <w:r>
        <w:t xml:space="preserve">be designed per area and integrated in</w:t>
      </w:r>
      <w:r>
        <w:t xml:space="preserve"> </w:t>
      </w:r>
      <w:r>
        <w:t xml:space="preserve">packages</w:t>
      </w:r>
      <w:r>
        <w:t xml:space="preserve"> </w:t>
      </w:r>
      <w:r>
        <w:t xml:space="preserve">Policy options were unbundled and packed</w:t>
      </w:r>
      <w:r>
        <w:t xml:space="preserve"> </w:t>
      </w:r>
      <w:r>
        <w:t xml:space="preserve">again – See intervention logic</w:t>
      </w:r>
      <w:r>
        <w:t xml:space="preserve"> </w:t>
      </w:r>
      <w:r>
        <w:t xml:space="preserve">Options</w:t>
      </w:r>
      <w:r>
        <w:t xml:space="preserve"> </w:t>
      </w:r>
      <w:r>
        <w:t xml:space="preserve">should</w:t>
      </w:r>
      <w:r>
        <w:t xml:space="preserve"> </w:t>
      </w:r>
      <w:r>
        <w:t xml:space="preserve">address</w:t>
      </w:r>
      <w:r>
        <w:t xml:space="preserve"> </w:t>
      </w:r>
      <w:r>
        <w:t xml:space="preserve">all</w:t>
      </w:r>
      <w:r>
        <w:t xml:space="preserve"> </w:t>
      </w:r>
      <w:r>
        <w:t xml:space="preserve">problems</w:t>
      </w:r>
      <w:r>
        <w:t xml:space="preserve"> </w:t>
      </w:r>
      <w:r>
        <w:t xml:space="preserve">identified</w:t>
      </w:r>
      <w:r>
        <w:t xml:space="preserve"> </w:t>
      </w:r>
      <w:r>
        <w:t xml:space="preserve">See new version of the intervention logic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potential (REFIT initiative)</w:t>
      </w:r>
      <w:r>
        <w:t xml:space="preserve"> </w:t>
      </w:r>
      <w:r>
        <w:t xml:space="preserve">See section 8.2</w:t>
      </w:r>
      <w:r>
        <w:t xml:space="preserve"> </w:t>
      </w:r>
      <w:r>
        <w:t xml:space="preserve">Unavoidable impacts (cost/benefits) on</w:t>
      </w:r>
      <w:r>
        <w:t xml:space="preserve"> </w:t>
      </w:r>
      <w:r>
        <w:t xml:space="preserve">downstream legislation + indication if</w:t>
      </w:r>
      <w:r>
        <w:t xml:space="preserve"> </w:t>
      </w:r>
      <w:r>
        <w:t xml:space="preserve">discretion is possible in revision of</w:t>
      </w:r>
      <w:r>
        <w:t xml:space="preserve"> </w:t>
      </w:r>
      <w:r>
        <w:t xml:space="preserve">downstream legislation</w:t>
      </w:r>
      <w:r>
        <w:br/>
      </w:r>
      <w:r>
        <w:t xml:space="preserve">See chapter 6 and 7 and Annex 8 and 10</w:t>
      </w:r>
      <w:r>
        <w:t xml:space="preserve"> </w:t>
      </w:r>
      <w:r>
        <w:t xml:space="preserve">Impact on industry and sales – less or more</w:t>
      </w:r>
      <w:r>
        <w:t xml:space="preserve"> </w:t>
      </w:r>
      <w:r>
        <w:t xml:space="preserve">use of hazardous substances</w:t>
      </w:r>
      <w:r>
        <w:t xml:space="preserve"> </w:t>
      </w:r>
      <w:r>
        <w:t xml:space="preserve">Impacts on industry have been assessed in</w:t>
      </w:r>
      <w:r>
        <w:t xml:space="preserve"> </w:t>
      </w:r>
      <w:r>
        <w:t xml:space="preserve">all annexes– the impact on use of hazardous</w:t>
      </w:r>
      <w:r>
        <w:t xml:space="preserve"> </w:t>
      </w:r>
      <w:r>
        <w:t xml:space="preserve">substances has been assessed in Annex 8</w:t>
      </w:r>
      <w:r>
        <w:t xml:space="preserve"> </w:t>
      </w:r>
      <w:r>
        <w:t xml:space="preserve">and 10. Direct administrative costs,</w:t>
      </w:r>
      <w:r>
        <w:t xml:space="preserve"> </w:t>
      </w:r>
      <w:r>
        <w:t xml:space="preserve">adjustment costs and impact on trade are</w:t>
      </w:r>
      <w:r>
        <w:t xml:space="preserve"> </w:t>
      </w:r>
      <w:r>
        <w:t xml:space="preserve">reported in sections 6 and 7.</w:t>
      </w:r>
      <w:r>
        <w:t xml:space="preserve"> </w:t>
      </w:r>
      <w:r>
        <w:t xml:space="preserve">Impact of changing a label on consumer</w:t>
      </w:r>
      <w:r>
        <w:t xml:space="preserve"> </w:t>
      </w:r>
      <w:r>
        <w:t xml:space="preserve">behaviour</w:t>
      </w:r>
      <w:r>
        <w:t xml:space="preserve"> </w:t>
      </w:r>
      <w:r>
        <w:t xml:space="preserve">This is covered by the study on digital</w:t>
      </w:r>
      <w:r>
        <w:t xml:space="preserve"> </w:t>
      </w:r>
      <w:r>
        <w:t xml:space="preserve">labelling, which is reported in Annex 13, as</w:t>
      </w:r>
      <w:r>
        <w:t xml:space="preserve"> </w:t>
      </w:r>
      <w:r>
        <w:t xml:space="preserve">well as Annexes 2 and 4.</w:t>
      </w:r>
      <w:r>
        <w:t xml:space="preserve"> </w:t>
      </w:r>
      <w:r>
        <w:t xml:space="preserve">International competitiveness impact to be</w:t>
      </w:r>
      <w:r>
        <w:t xml:space="preserve"> </w:t>
      </w:r>
      <w:r>
        <w:t xml:space="preserve">assessed (when international standards are</w:t>
      </w:r>
      <w:r>
        <w:t xml:space="preserve"> </w:t>
      </w:r>
      <w:r>
        <w:t xml:space="preserve">deviated from)</w:t>
      </w:r>
      <w:r>
        <w:t xml:space="preserve"> </w:t>
      </w:r>
      <w:r>
        <w:t xml:space="preserve">See Chapter 6.1.1 and Annex 8</w:t>
      </w:r>
      <w:r>
        <w:t xml:space="preserve"> </w:t>
      </w:r>
      <w:r>
        <w:t xml:space="preserve">In case international standards are followed</w:t>
      </w:r>
      <w:r>
        <w:t xml:space="preserve"> </w:t>
      </w:r>
      <w:r>
        <w:t xml:space="preserve">this should be justified</w:t>
      </w:r>
      <w:r>
        <w:t xml:space="preserve"> </w:t>
      </w:r>
      <w:r>
        <w:t xml:space="preserve">This is the case for ED criteria which have</w:t>
      </w:r>
      <w:r>
        <w:t xml:space="preserve"> </w:t>
      </w:r>
      <w:r>
        <w:t xml:space="preserve">be designed using WHO standards. This is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also the case for the starting point on digital</w:t>
      </w:r>
      <w:r>
        <w:t xml:space="preserve"> </w:t>
      </w:r>
      <w:r>
        <w:t xml:space="preserve">labelling. Elements required by the GHS on</w:t>
      </w:r>
      <w:r>
        <w:t xml:space="preserve"> </w:t>
      </w:r>
      <w:r>
        <w:t xml:space="preserve">a physical label would not be moved to a</w:t>
      </w:r>
      <w:r>
        <w:t xml:space="preserve"> </w:t>
      </w:r>
      <w:r>
        <w:t xml:space="preserve">digital one.</w:t>
      </w:r>
      <w:r>
        <w:t xml:space="preserve"> </w:t>
      </w:r>
      <w:r>
        <w:t xml:space="preserve">Impacts on SMEs and ways to mitigate them The impacts on SMEs have been assessed –</w:t>
      </w:r>
      <w:r>
        <w:t xml:space="preserve"> </w:t>
      </w:r>
      <w:r>
        <w:t xml:space="preserve">mitigating measures in case of increased</w:t>
      </w:r>
      <w:r>
        <w:t xml:space="preserve"> </w:t>
      </w:r>
      <w:r>
        <w:t xml:space="preserve">burden will consist essentially in additional</w:t>
      </w:r>
      <w:r>
        <w:t xml:space="preserve"> </w:t>
      </w:r>
      <w:r>
        <w:t xml:space="preserve">support, which could be implemented in the</w:t>
      </w:r>
      <w:r>
        <w:t xml:space="preserve"> </w:t>
      </w:r>
      <w:r>
        <w:t xml:space="preserve">framework of EU SME tools developed</w:t>
      </w:r>
      <w:r>
        <w:t xml:space="preserve"> </w:t>
      </w:r>
      <w:r>
        <w:t xml:space="preserve">within DG GROW and support by ECHA</w:t>
      </w:r>
      <w:r>
        <w:t xml:space="preserve"> </w:t>
      </w:r>
      <w:r>
        <w:t xml:space="preserve">Quantitative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(one-in-one-out-approach)</w:t>
      </w:r>
      <w:r>
        <w:t xml:space="preserve"> </w:t>
      </w:r>
      <w:r>
        <w:t xml:space="preserve">Impact on administrative burden for industry</w:t>
      </w:r>
      <w:r>
        <w:t xml:space="preserve"> </w:t>
      </w:r>
      <w:r>
        <w:t xml:space="preserve">and authorities has been assessed.</w:t>
      </w:r>
    </w:p>
    <w:p>
      <w:pPr>
        <w:pStyle w:val="BodyText"/>
      </w:pPr>
      <w:r>
        <w:t xml:space="preserve">Following the RSB opinion on 11 May 2022, DG ENV and GROW updated this SWD in the</w:t>
      </w:r>
      <w:r>
        <w:t xml:space="preserve"> </w:t>
      </w:r>
      <w:r>
        <w:t xml:space="preserve">following areas:</w:t>
      </w:r>
      <w:r>
        <w:t xml:space="preserve"> </w:t>
      </w:r>
      <w:r>
        <w:t xml:space="preserve">Table 2: Overview of the RSB comments and follow-up</w:t>
      </w:r>
      <w:r>
        <w:t xml:space="preserve"> </w:t>
      </w:r>
      <w:r>
        <w:t xml:space="preserve">RSB suggestions on the SWD</w:t>
      </w:r>
      <w:r>
        <w:t xml:space="preserve"> </w:t>
      </w:r>
      <w:r>
        <w:t xml:space="preserve">Follow-up of RSB suggestions in the</w:t>
      </w:r>
      <w:r>
        <w:t xml:space="preserve"> </w:t>
      </w:r>
      <w:r>
        <w:t xml:space="preserve">revised SWD</w:t>
      </w:r>
      <w:r>
        <w:t xml:space="preserve"> </w:t>
      </w:r>
      <w:r>
        <w:t xml:space="preserve">(1) The analysis of the costs and benefits</w:t>
      </w:r>
      <w:r>
        <w:t xml:space="preserve"> </w:t>
      </w:r>
      <w:r>
        <w:t xml:space="preserve">should be presented in a clear and transparent</w:t>
      </w:r>
      <w:r>
        <w:t xml:space="preserve"> </w:t>
      </w:r>
      <w:r>
        <w:t xml:space="preserve">manner. The totals, bringing together all</w:t>
      </w:r>
      <w:r>
        <w:t xml:space="preserve"> </w:t>
      </w:r>
      <w:r>
        <w:t xml:space="preserve">quantified costs and benefits, should be set</w:t>
      </w:r>
      <w:r>
        <w:t xml:space="preserve"> </w:t>
      </w:r>
      <w:r>
        <w:t xml:space="preserve">out in the report in present values and</w:t>
      </w:r>
      <w:r>
        <w:t xml:space="preserve"> </w:t>
      </w:r>
      <w:r>
        <w:t xml:space="preserve">annualised. The figures in the annexes and</w:t>
      </w:r>
      <w:r>
        <w:t xml:space="preserve"> </w:t>
      </w:r>
      <w:r>
        <w:t xml:space="preserve">the main report should be clearly referenced</w:t>
      </w:r>
      <w:r>
        <w:t xml:space="preserve"> </w:t>
      </w:r>
      <w:r>
        <w:t xml:space="preserve">and coherent with each other. The report</w:t>
      </w:r>
      <w:r>
        <w:t xml:space="preserve"> </w:t>
      </w:r>
      <w:r>
        <w:t xml:space="preserve">should be clearer on the methodology of the</w:t>
      </w:r>
      <w:r>
        <w:t xml:space="preserve"> </w:t>
      </w:r>
      <w:r>
        <w:t xml:space="preserve">cost benefit analysis including explaining</w:t>
      </w:r>
      <w:r>
        <w:t xml:space="preserve"> </w:t>
      </w:r>
      <w:r>
        <w:t xml:space="preserve">why the 20-year appraisal period was chosen.</w:t>
      </w:r>
      <w:r>
        <w:t xml:space="preserve"> </w:t>
      </w:r>
      <w:r>
        <w:t xml:space="preserve">The revised SWD now contains more</w:t>
      </w:r>
      <w:r>
        <w:t xml:space="preserve"> </w:t>
      </w:r>
      <w:r>
        <w:t xml:space="preserve">information about how the costs and benefits</w:t>
      </w:r>
      <w:r>
        <w:t xml:space="preserve"> </w:t>
      </w:r>
      <w:r>
        <w:t xml:space="preserve">break down (see e.g. Table 10 in section</w:t>
      </w:r>
      <w:r>
        <w:t xml:space="preserve"> </w:t>
      </w:r>
      <w:r>
        <w:t xml:space="preserve">6.1.1.1). Each section under section 6 holds a</w:t>
      </w:r>
      <w:r>
        <w:t xml:space="preserve"> </w:t>
      </w:r>
      <w:r>
        <w:t xml:space="preserve">table with a grand total per policy option.</w:t>
      </w:r>
      <w:r>
        <w:t xml:space="preserve"> </w:t>
      </w:r>
      <w:r>
        <w:t xml:space="preserve">Annexes now report clearer quantifications</w:t>
      </w:r>
      <w:r>
        <w:t xml:space="preserve"> </w:t>
      </w:r>
      <w:r>
        <w:t xml:space="preserve">of both costs and benefits, where impacts can</w:t>
      </w:r>
      <w:r>
        <w:t xml:space="preserve"> </w:t>
      </w:r>
      <w:r>
        <w:t xml:space="preserve">be quantified (see, e.g., section on economic</w:t>
      </w:r>
      <w:r>
        <w:t xml:space="preserve"> </w:t>
      </w:r>
      <w:r>
        <w:t xml:space="preserve">impacts of policy measure 1a, p. 175 Annex</w:t>
      </w:r>
      <w:r>
        <w:t xml:space="preserve"> </w:t>
      </w:r>
      <w:r>
        <w:t xml:space="preserve">8).</w:t>
      </w:r>
      <w:r>
        <w:t xml:space="preserve"> </w:t>
      </w:r>
      <w:r>
        <w:t xml:space="preserve">When it comes to benefits, we now provide</w:t>
      </w:r>
      <w:r>
        <w:t xml:space="preserve"> </w:t>
      </w:r>
      <w:r>
        <w:t xml:space="preserve">various calculations to frame the possible</w:t>
      </w:r>
      <w:r>
        <w:t xml:space="preserve"> </w:t>
      </w:r>
      <w:r>
        <w:t xml:space="preserve">positive impacts on human health and on the</w:t>
      </w:r>
      <w:r>
        <w:t xml:space="preserve"> </w:t>
      </w:r>
      <w:r>
        <w:t xml:space="preserve">environment (see pages 175 to 199 Annex 8</w:t>
      </w:r>
      <w:r>
        <w:t xml:space="preserve"> </w:t>
      </w:r>
      <w:r>
        <w:t xml:space="preserve">and more specifically tables 69 and 70). This</w:t>
      </w:r>
      <w:r>
        <w:t xml:space="preserve"> </w:t>
      </w:r>
      <w:r>
        <w:t xml:space="preserve">order of scale is reported in the body of this</w:t>
      </w:r>
      <w:r>
        <w:t xml:space="preserve"> </w:t>
      </w:r>
      <w:r>
        <w:t xml:space="preserve">SWD.</w:t>
      </w:r>
      <w:r>
        <w:t xml:space="preserve"> </w:t>
      </w:r>
      <w:r>
        <w:t xml:space="preserve">The justification of the 20-year appraisal</w:t>
      </w:r>
      <w:r>
        <w:t xml:space="preserve"> </w:t>
      </w:r>
      <w:r>
        <w:t xml:space="preserve">period is better developed (see section 5.1).</w:t>
      </w:r>
      <w:r>
        <w:t xml:space="preserve"> </w:t>
      </w:r>
      <w:r>
        <w:t xml:space="preserve">A new heading in annex 4 (p. 90) summarises</w:t>
      </w:r>
      <w:r>
        <w:t xml:space="preserve"> </w:t>
      </w:r>
      <w:r>
        <w:t xml:space="preserve">the general principles applied for the cost</w:t>
      </w:r>
      <w:r>
        <w:t xml:space="preserve"> </w:t>
      </w:r>
      <w:r>
        <w:t xml:space="preserve">(and savings) analysis. Specific details for</w:t>
      </w:r>
      <w:r>
        <w:t xml:space="preserve"> </w:t>
      </w:r>
      <w:r>
        <w:t xml:space="preserve">each measure or group thereof are provided</w:t>
      </w:r>
      <w:r>
        <w:t xml:space="preserve"> </w:t>
      </w:r>
      <w:r>
        <w:t xml:space="preserve">in the respective annexes (see e.g.,</w:t>
      </w:r>
      <w:r>
        <w:br/>
      </w:r>
      <w:r>
        <w:t xml:space="preserve">(2) The report should transparently present</w:t>
      </w:r>
      <w:r>
        <w:t xml:space="preserve"> </w:t>
      </w:r>
      <w:r>
        <w:t xml:space="preserve">the distributional impacts across all affected</w:t>
      </w:r>
      <w:r>
        <w:t xml:space="preserve"> </w:t>
      </w:r>
      <w:r>
        <w:t xml:space="preserve">groups. In particular, this should cover the</w:t>
      </w:r>
      <w:r>
        <w:t xml:space="preserve"> </w:t>
      </w:r>
      <w:r>
        <w:t xml:space="preserve">overall impact on businesses including a</w:t>
      </w:r>
      <w:r>
        <w:t xml:space="preserve"> </w:t>
      </w:r>
      <w:r>
        <w:t xml:space="preserve">We updated tables 14 to 16. We now provide</w:t>
      </w:r>
      <w:r>
        <w:t xml:space="preserve"> </w:t>
      </w:r>
      <w:r>
        <w:t xml:space="preserve">the same level of information, including on</w:t>
      </w:r>
      <w:r>
        <w:t xml:space="preserve"> </w:t>
      </w:r>
      <w:r>
        <w:t xml:space="preserve">SMEs, consumers and competitiveness,</w:t>
      </w:r>
      <w:r>
        <w:t xml:space="preserve"> </w:t>
      </w:r>
      <w:r>
        <w:t xml:space="preserve">where possible.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separate analysis of the impacts on SMEs.</w:t>
      </w:r>
      <w:r>
        <w:t xml:space="preserve"> </w:t>
      </w:r>
      <w:r>
        <w:t xml:space="preserve">The report should clarify the expected impact</w:t>
      </w:r>
      <w:r>
        <w:t xml:space="preserve"> </w:t>
      </w:r>
      <w:r>
        <w:t xml:space="preserve">of labelling on consumer behaviour. It should</w:t>
      </w:r>
      <w:r>
        <w:t xml:space="preserve"> </w:t>
      </w:r>
      <w:r>
        <w:t xml:space="preserve">also provide more detail on the impact on the</w:t>
      </w:r>
      <w:r>
        <w:t xml:space="preserve"> </w:t>
      </w:r>
      <w:r>
        <w:t xml:space="preserve">competitiveness of EU businesses. A</w:t>
      </w:r>
      <w:r>
        <w:t xml:space="preserve"> </w:t>
      </w:r>
      <w:r>
        <w:t xml:space="preserve">dedicated section of the administrative costs</w:t>
      </w:r>
      <w:r>
        <w:t xml:space="preserve"> </w:t>
      </w:r>
      <w:r>
        <w:t xml:space="preserve">and savings in scope of the ‘one in, one out’</w:t>
      </w:r>
      <w:r>
        <w:t xml:space="preserve"> </w:t>
      </w:r>
      <w:r>
        <w:t xml:space="preserve">approach should be further clarified. It</w:t>
      </w:r>
      <w:r>
        <w:t xml:space="preserve"> </w:t>
      </w:r>
      <w:r>
        <w:t xml:space="preserve">should differentiate between one-off and</w:t>
      </w:r>
      <w:r>
        <w:t xml:space="preserve"> </w:t>
      </w:r>
      <w:r>
        <w:t xml:space="preserve">recurrent costs and cost savings and the</w:t>
      </w:r>
      <w:r>
        <w:t xml:space="preserve"> </w:t>
      </w:r>
      <w:r>
        <w:t xml:space="preserve">figures should be recalculated to eliminate</w:t>
      </w:r>
      <w:r>
        <w:t xml:space="preserve"> </w:t>
      </w:r>
      <w:r>
        <w:t xml:space="preserve">the mistakes.</w:t>
      </w:r>
      <w:r>
        <w:t xml:space="preserve"> </w:t>
      </w:r>
      <w:r>
        <w:t xml:space="preserve">Since the study could not be extended to fully</w:t>
      </w:r>
      <w:r>
        <w:t xml:space="preserve"> </w:t>
      </w:r>
      <w:r>
        <w:t xml:space="preserve">cover consumer behaviour, we can only</w:t>
      </w:r>
      <w:r>
        <w:t xml:space="preserve"> </w:t>
      </w:r>
      <w:r>
        <w:t xml:space="preserve">report guestestimate on the impact on the</w:t>
      </w:r>
      <w:r>
        <w:t xml:space="preserve"> </w:t>
      </w:r>
      <w:r>
        <w:t xml:space="preserve">consumer behaviour. This is clarified in</w:t>
      </w:r>
      <w:r>
        <w:t xml:space="preserve"> </w:t>
      </w:r>
      <w:r>
        <w:t xml:space="preserve">section 6.2.2.</w:t>
      </w:r>
      <w:r>
        <w:t xml:space="preserve"> </w:t>
      </w:r>
      <w:r>
        <w:t xml:space="preserve">The section on OIOO has been revised,</w:t>
      </w:r>
      <w:r>
        <w:t xml:space="preserve"> </w:t>
      </w:r>
      <w:r>
        <w:t xml:space="preserve">developed and checked. The period of</w:t>
      </w:r>
      <w:r>
        <w:t xml:space="preserve"> </w:t>
      </w:r>
      <w:r>
        <w:t xml:space="preserve">analysis is clarified and justified. Annex 3</w:t>
      </w:r>
      <w:r>
        <w:t xml:space="preserve"> </w:t>
      </w:r>
      <w:r>
        <w:t xml:space="preserve">reports the analysis developed for the OIOO</w:t>
      </w:r>
      <w:r>
        <w:t xml:space="preserve"> </w:t>
      </w:r>
      <w:r>
        <w:t xml:space="preserve">calculator for both 10 years and 20 years.</w:t>
      </w:r>
      <w:r>
        <w:t xml:space="preserve"> </w:t>
      </w:r>
      <w:r>
        <w:t xml:space="preserve">(3) The report should explain why it is not</w:t>
      </w:r>
      <w:r>
        <w:t xml:space="preserve"> </w:t>
      </w:r>
      <w:r>
        <w:t xml:space="preserve">possible to quantify the expected significant</w:t>
      </w:r>
      <w:r>
        <w:t xml:space="preserve"> </w:t>
      </w:r>
      <w:r>
        <w:t xml:space="preserve">health and environment benefits. Even if</w:t>
      </w:r>
      <w:r>
        <w:t xml:space="preserve"> </w:t>
      </w:r>
      <w:r>
        <w:t xml:space="preserve">causality cannot be demonstrated, the report</w:t>
      </w:r>
      <w:r>
        <w:t xml:space="preserve"> </w:t>
      </w:r>
      <w:r>
        <w:t xml:space="preserve">should provide qualitative evidence that the</w:t>
      </w:r>
      <w:r>
        <w:t xml:space="preserve"> </w:t>
      </w:r>
      <w:r>
        <w:t xml:space="preserve">exposure of users and of the environment to</w:t>
      </w:r>
      <w:r>
        <w:t xml:space="preserve"> </w:t>
      </w:r>
      <w:r>
        <w:t xml:space="preserve">the identified hazardous substances will</w:t>
      </w:r>
      <w:r>
        <w:t xml:space="preserve"> </w:t>
      </w:r>
      <w:r>
        <w:t xml:space="preserve">decrease as a result of this initiative. The</w:t>
      </w:r>
      <w:r>
        <w:t xml:space="preserve"> </w:t>
      </w:r>
      <w:r>
        <w:t xml:space="preserve">report should provide a robust qualitative</w:t>
      </w:r>
      <w:r>
        <w:t xml:space="preserve"> </w:t>
      </w:r>
      <w:r>
        <w:t xml:space="preserve">analysis of the expected benefits, including</w:t>
      </w:r>
      <w:r>
        <w:t xml:space="preserve"> </w:t>
      </w:r>
      <w:r>
        <w:t xml:space="preserve">an indication of the order of magnitude of</w:t>
      </w:r>
      <w:r>
        <w:t xml:space="preserve"> </w:t>
      </w:r>
      <w:r>
        <w:t xml:space="preserve">these benefits, to justify the conclusion that</w:t>
      </w:r>
      <w:r>
        <w:t xml:space="preserve"> </w:t>
      </w:r>
      <w:r>
        <w:t xml:space="preserve">the benefits outweigh the costs for this</w:t>
      </w:r>
      <w:r>
        <w:t xml:space="preserve"> </w:t>
      </w:r>
      <w:r>
        <w:t xml:space="preserve">initiative.</w:t>
      </w:r>
      <w:r>
        <w:t xml:space="preserve"> </w:t>
      </w:r>
      <w:r>
        <w:t xml:space="preserve">See changes implemented for comment (1)</w:t>
      </w:r>
      <w:r>
        <w:t xml:space="preserve"> </w:t>
      </w:r>
      <w:r>
        <w:t xml:space="preserve">above.</w:t>
      </w:r>
      <w:r>
        <w:br/>
      </w:r>
      <w:r>
        <w:t xml:space="preserve">When it comes to benefits, we now provide</w:t>
      </w:r>
      <w:r>
        <w:t xml:space="preserve"> </w:t>
      </w:r>
      <w:r>
        <w:t xml:space="preserve">various calculations to frame the possible</w:t>
      </w:r>
      <w:r>
        <w:t xml:space="preserve"> </w:t>
      </w:r>
      <w:r>
        <w:t xml:space="preserve">positive impacts on human health and on the</w:t>
      </w:r>
      <w:r>
        <w:t xml:space="preserve"> </w:t>
      </w:r>
      <w:r>
        <w:t xml:space="preserve">environment (see pages 175 to 187 Annex 8</w:t>
      </w:r>
      <w:r>
        <w:t xml:space="preserve"> </w:t>
      </w:r>
      <w:r>
        <w:t xml:space="preserve">and more specifically tables 69 and 70). This</w:t>
      </w:r>
      <w:r>
        <w:t xml:space="preserve"> </w:t>
      </w:r>
      <w:r>
        <w:t xml:space="preserve">order of scale is reported in the body of this</w:t>
      </w:r>
      <w:r>
        <w:t xml:space="preserve"> </w:t>
      </w:r>
      <w:r>
        <w:t xml:space="preserve">SWD.</w:t>
      </w:r>
      <w:r>
        <w:t xml:space="preserve"> </w:t>
      </w:r>
      <w:r>
        <w:t xml:space="preserve">(4) The report should make greater use of the</w:t>
      </w:r>
      <w:r>
        <w:t xml:space="preserve"> </w:t>
      </w:r>
      <w:r>
        <w:t xml:space="preserve">cost-benefit analysis, both quantitative and</w:t>
      </w:r>
      <w:r>
        <w:t xml:space="preserve"> </w:t>
      </w:r>
      <w:r>
        <w:t xml:space="preserve">qualitative, and strengthen the justification of</w:t>
      </w:r>
      <w:r>
        <w:t xml:space="preserve"> </w:t>
      </w:r>
      <w:r>
        <w:t xml:space="preserve">the preferred option.</w:t>
      </w:r>
      <w:r>
        <w:t xml:space="preserve"> </w:t>
      </w:r>
      <w:r>
        <w:t xml:space="preserve">See changes introduced to address comment</w:t>
      </w:r>
      <w:r>
        <w:t xml:space="preserve"> </w:t>
      </w:r>
      <w:r>
        <w:t xml:space="preserve">(1) as well.</w:t>
      </w:r>
      <w:r>
        <w:t xml:space="preserve"> </w:t>
      </w:r>
      <w:r>
        <w:t xml:space="preserve">(5) The report should clearly describe the</w:t>
      </w:r>
      <w:r>
        <w:t xml:space="preserve"> </w:t>
      </w:r>
      <w:r>
        <w:t xml:space="preserve">links and overlaps of the CLP Regulation</w:t>
      </w:r>
      <w:r>
        <w:t xml:space="preserve"> </w:t>
      </w:r>
      <w:r>
        <w:t xml:space="preserve">with other chemical legislation, notably</w:t>
      </w:r>
      <w:r>
        <w:t xml:space="preserve"> </w:t>
      </w:r>
      <w:r>
        <w:t xml:space="preserve">REACH, articulate its purpose and pinpoint</w:t>
      </w:r>
      <w:r>
        <w:t xml:space="preserve"> </w:t>
      </w:r>
      <w:r>
        <w:t xml:space="preserve">the remaining regulatory gaps compared to</w:t>
      </w:r>
      <w:r>
        <w:t xml:space="preserve"> </w:t>
      </w:r>
      <w:r>
        <w:t xml:space="preserve">related measures, such as the General</w:t>
      </w:r>
      <w:r>
        <w:t xml:space="preserve"> </w:t>
      </w:r>
      <w:r>
        <w:t xml:space="preserve">Product Safety Regulation, the Market</w:t>
      </w:r>
      <w:r>
        <w:t xml:space="preserve"> </w:t>
      </w:r>
      <w:r>
        <w:t xml:space="preserve">Surveillance Regulation and the Digital</w:t>
      </w:r>
      <w:r>
        <w:t xml:space="preserve"> </w:t>
      </w:r>
      <w:r>
        <w:t xml:space="preserve">Services Act.</w:t>
      </w:r>
      <w:r>
        <w:t xml:space="preserve"> </w:t>
      </w:r>
      <w:r>
        <w:t xml:space="preserve">Improved link and references between</w:t>
      </w:r>
      <w:r>
        <w:t xml:space="preserve"> </w:t>
      </w:r>
      <w:r>
        <w:t xml:space="preserve">sections 7 and 8.</w:t>
      </w:r>
      <w:r>
        <w:br/>
      </w:r>
      <w:r>
        <w:t xml:space="preserve">Figure 1 deleted and Figure 2 updated in</w:t>
      </w:r>
      <w:r>
        <w:t xml:space="preserve"> </w:t>
      </w:r>
      <w:r>
        <w:t xml:space="preserve">Section 1 of the SWD. Section 5.1.4</w:t>
      </w:r>
      <w:r>
        <w:t xml:space="preserve"> </w:t>
      </w:r>
      <w:r>
        <w:t xml:space="preserve">describes in more details the on-going</w:t>
      </w:r>
      <w:r>
        <w:t xml:space="preserve"> </w:t>
      </w:r>
      <w:r>
        <w:t xml:space="preserve">changes and how they cover or not CLP-</w:t>
      </w:r>
      <w:r>
        <w:t xml:space="preserve"> </w:t>
      </w:r>
      <w:r>
        <w:t xml:space="preserve">related issues. Clarification is brought in</w:t>
      </w:r>
      <w:r>
        <w:t xml:space="preserve"> </w:t>
      </w:r>
      <w:r>
        <w:t xml:space="preserve">Annex 5.</w:t>
      </w:r>
      <w:r>
        <w:t xml:space="preserve"> </w:t>
      </w:r>
      <w:r>
        <w:t xml:space="preserve">Some more technical comments have been</w:t>
      </w:r>
      <w:r>
        <w:t xml:space="preserve"> </w:t>
      </w:r>
      <w:r>
        <w:t xml:space="preserve">sent directly to the author DGs.</w:t>
      </w:r>
      <w:r>
        <w:t xml:space="preserve"> </w:t>
      </w:r>
      <w:r>
        <w:t xml:space="preserve">The report was improved according to the</w:t>
      </w:r>
      <w:r>
        <w:t xml:space="preserve"> </w:t>
      </w:r>
      <w:r>
        <w:t xml:space="preserve">comments received.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Two studies were contracted to update, confirm and gather more information on the findings</w:t>
      </w:r>
      <w:r>
        <w:t xml:space="preserve"> </w:t>
      </w:r>
      <w:r>
        <w:t xml:space="preserve">of the two Fitness Checks published in 2019 and 2020. For more information, see annex 6.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CLP revision study</w:t>
      </w:r>
      <w:r>
        <w:br/>
      </w:r>
      <w:r>
        <w:t xml:space="preserve">The Commission was assisted by an external contractor through a service contract on specific</w:t>
      </w:r>
      <w:r>
        <w:t xml:space="preserve"> </w:t>
      </w:r>
      <w:r>
        <w:t xml:space="preserve">aspects of the CLP revision,4 both for the data collection and the analysis phase of the different</w:t>
      </w:r>
      <w:r>
        <w:t xml:space="preserve"> </w:t>
      </w:r>
      <w:r>
        <w:t xml:space="preserve">policy options in the impact assessment.</w:t>
      </w:r>
      <w:r>
        <w:t xml:space="preserve"> </w:t>
      </w:r>
      <w:r>
        <w:t xml:space="preserve">The tasks of the contractor were the following:</w:t>
      </w:r>
    </w:p>
    <w:p>
      <w:pPr>
        <w:pStyle w:val="BodyText"/>
      </w:pPr>
      <w:r>
        <w:t xml:space="preserve">Provide support in defining the problems (including the scale of the problems and scope</w:t>
      </w:r>
      <w:r>
        <w:t xml:space="preserve"> </w:t>
      </w:r>
      <w:r>
        <w:t xml:space="preserve">of those affected, the subsidiarity and the EU dimension) that the revision of CLP</w:t>
      </w:r>
      <w:r>
        <w:t xml:space="preserve"> </w:t>
      </w:r>
      <w:r>
        <w:t xml:space="preserve">intends to solve, and the intervention logic of the impact assessment.</w:t>
      </w:r>
    </w:p>
    <w:p>
      <w:pPr>
        <w:pStyle w:val="BodyText"/>
      </w:pPr>
      <w:r>
        <w:t xml:space="preserve">Refine the baseline and further develop the policy options.</w:t>
      </w:r>
    </w:p>
    <w:p>
      <w:pPr>
        <w:pStyle w:val="BodyText"/>
      </w:pPr>
      <w:r>
        <w:t xml:space="preserve">Compile information from previous and ongoing studies.</w:t>
      </w:r>
    </w:p>
    <w:p>
      <w:pPr>
        <w:pStyle w:val="BodyText"/>
      </w:pPr>
      <w:r>
        <w:t xml:space="preserve">Process and analyse the outcome of the open public consultation.</w:t>
      </w:r>
    </w:p>
    <w:p>
      <w:pPr>
        <w:pStyle w:val="BodyText"/>
      </w:pPr>
      <w:r>
        <w:t xml:space="preserve">Conduct targeted consultations with representatives from Small and Medium sized</w:t>
      </w:r>
      <w:r>
        <w:t xml:space="preserve"> </w:t>
      </w:r>
      <w:r>
        <w:t xml:space="preserve">Enterprises, retailers/importers and other sectors of the chemical industry.</w:t>
      </w:r>
    </w:p>
    <w:p>
      <w:pPr>
        <w:pStyle w:val="BodyText"/>
      </w:pPr>
      <w:r>
        <w:t xml:space="preserve">Analyse the impact of the refined options taking into account solutions identified from</w:t>
      </w:r>
      <w:r>
        <w:t xml:space="preserve"> </w:t>
      </w:r>
      <w:r>
        <w:t xml:space="preserve">the consultation strategies.</w:t>
      </w:r>
      <w:r>
        <w:t xml:space="preserve"> </w:t>
      </w:r>
      <w:r>
        <w:t xml:space="preserve">Draft a synopsis report of all consultation activities.</w:t>
      </w:r>
      <w:r>
        <w:t xml:space="preserve"> </w:t>
      </w:r>
      <w:r>
        <w:t xml:space="preserve">The contractor participated in the ISSG meetings that were held after the signature of the</w:t>
      </w:r>
      <w:r>
        <w:t xml:space="preserve"> </w:t>
      </w:r>
      <w:r>
        <w:t xml:space="preserve">contract as well as in the CARACAL meetings. In addition, the contractor worked in close</w:t>
      </w:r>
      <w:r>
        <w:t xml:space="preserve"> </w:t>
      </w:r>
      <w:r>
        <w:t xml:space="preserve">cooperation with the Commission throughout the different phases, particularly in the latter</w:t>
      </w:r>
      <w:r>
        <w:t xml:space="preserve"> </w:t>
      </w:r>
      <w:r>
        <w:t xml:space="preserve">stages of assembling a coherent evidence base and in assessing and adjusting policy options.</w:t>
      </w:r>
      <w:r>
        <w:t xml:space="preserve"> </w:t>
      </w:r>
      <w:r>
        <w:t xml:space="preserve">On this basis, evidence was compiled by the contractor for the seven potential intervention</w:t>
      </w:r>
      <w:r>
        <w:t xml:space="preserve"> </w:t>
      </w:r>
      <w:r>
        <w:t xml:space="preserve">areas: new hazard classes (hazard identification); toxicity reference values and harmonised</w:t>
      </w:r>
      <w:r>
        <w:t xml:space="preserve"> </w:t>
      </w:r>
      <w:r>
        <w:t xml:space="preserve">classification and labelling; self-classification; labelling; CLP scope exemptions; online sales</w:t>
      </w:r>
      <w:r>
        <w:t xml:space="preserve"> </w:t>
      </w:r>
      <w:r>
        <w:t xml:space="preserve">of chemicals; poison centres.</w:t>
      </w:r>
      <w:r>
        <w:br/>
      </w:r>
      <w:r>
        <w:t xml:space="preserve">For two of these areas – new hazard classes (hazard identification) and CLP scope exemptions</w:t>
      </w:r>
      <w:r>
        <w:t xml:space="preserve"> </w:t>
      </w:r>
      <w:r>
        <w:t xml:space="preserve">– extensive supporting studies were carried out. These supporting studies used the following</w:t>
      </w:r>
      <w:r>
        <w:t xml:space="preserve"> </w:t>
      </w:r>
      <w:r>
        <w:t xml:space="preserve">methods: rapid literature review methodology (also known as rapid evidence assessment) for</w:t>
      </w:r>
      <w:r>
        <w:t xml:space="preserve"> </w:t>
      </w:r>
      <w:r>
        <w:t xml:space="preserve">data collection and interpretation, legislative document analysis (for the CLP scope</w:t>
      </w:r>
      <w:r>
        <w:t xml:space="preserve"> </w:t>
      </w:r>
      <w:r>
        <w:t xml:space="preserve">exemptions) and data analysis (for the new hazard classes).</w:t>
      </w:r>
      <w:r>
        <w:br/>
      </w:r>
      <w:r>
        <w:t xml:space="preserve">Evidence was also collected from the various consultation activities, by means of the following</w:t>
      </w:r>
      <w:r>
        <w:t xml:space="preserve"> </w:t>
      </w:r>
      <w:r>
        <w:t xml:space="preserve">methods: questionnaire survey, for the general public and experts, including the main</w:t>
      </w:r>
      <w:r>
        <w:t xml:space="preserve"> </w:t>
      </w:r>
      <w:r>
        <w:t xml:space="preserve">stakeholders; semi-structured interviews with civil society associations, public authorities,</w:t>
      </w:r>
      <w:r>
        <w:t xml:space="preserve"> </w:t>
      </w:r>
      <w:r>
        <w:t xml:space="preserve">academia, and business entities and associations; as well as observation and document analysis</w:t>
      </w:r>
      <w:r>
        <w:t xml:space="preserve"> </w:t>
      </w:r>
      <w:r>
        <w:t xml:space="preserve">for collecting the opinions of CARACAL and its sub-group members and observers.</w:t>
      </w:r>
      <w:r>
        <w:t xml:space="preserve"> </w:t>
      </w:r>
      <w:r>
        <w:t xml:space="preserve">Annex 4 provides detailed descriptions of the methodology used for the collection and analysis</w:t>
      </w:r>
      <w:r>
        <w:t xml:space="preserve"> </w:t>
      </w:r>
      <w:r>
        <w:t xml:space="preserve">of the evidence. Moreover, detailed information regarding the evidence compiled by the</w:t>
      </w:r>
      <w:r>
        <w:t xml:space="preserve"> </w:t>
      </w:r>
      <w:r>
        <w:t xml:space="preserve">external contractor, is given in the respective Annexes that address the respective intervention</w:t>
      </w:r>
      <w:r>
        <w:t xml:space="preserve"> </w:t>
      </w:r>
      <w:r>
        <w:t xml:space="preserve">areas.</w:t>
      </w:r>
    </w:p>
    <w:p>
      <w:pPr>
        <w:pStyle w:val="BodyText"/>
      </w:pPr>
      <w:r>
        <w:t xml:space="preserve">4 Service contract “Technical and Scientific Support to the Commission’s Impact Assessment for the revision of</w:t>
      </w:r>
      <w:r>
        <w:t xml:space="preserve"> </w:t>
      </w:r>
      <w:r>
        <w:t xml:space="preserve">the Regulation on Classification, Labelling and Packaging of substances and mixtures”, under the framework</w:t>
      </w:r>
      <w:r>
        <w:t xml:space="preserve"> </w:t>
      </w:r>
      <w:r>
        <w:t xml:space="preserve">contract No. ENV.B.2/FRA/2020/0010 (group led by RPA Europe S.R.L.), “Scientific and technical assistance</w:t>
      </w:r>
      <w:r>
        <w:t xml:space="preserve"> </w:t>
      </w:r>
      <w:r>
        <w:t xml:space="preserve">for the implementation of chemicals legislations on REACH, CLP, PIC and POPs”.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Digital labelling study</w:t>
      </w:r>
      <w:r>
        <w:br/>
      </w:r>
      <w:r>
        <w:t xml:space="preserve">Regarding digital labelling, the Commission launched a different contract than the service</w:t>
      </w:r>
      <w:r>
        <w:t xml:space="preserve"> </w:t>
      </w:r>
      <w:r>
        <w:t xml:space="preserve">contract mentioned above on the “simplification of labelling and the use of IT tools to</w:t>
      </w:r>
      <w:r>
        <w:t xml:space="preserve"> </w:t>
      </w:r>
      <w:r>
        <w:t xml:space="preserve">communicate hazard and safety information on chemicals as well as use instructions to</w:t>
      </w:r>
      <w:r>
        <w:t xml:space="preserve"> </w:t>
      </w:r>
      <w:r>
        <w:t xml:space="preserve">consumers”5.</w:t>
      </w:r>
      <w:r>
        <w:br/>
      </w:r>
      <w:r>
        <w:t xml:space="preserve">This led to the initiative on “simplification and digitalisation of labelling requirements” with</w:t>
      </w:r>
      <w:r>
        <w:t xml:space="preserve"> </w:t>
      </w:r>
      <w:r>
        <w:t xml:space="preserve">an inception impact assessment commenting period lasting from 14 July to 20 September 2021</w:t>
      </w:r>
      <w:r>
        <w:t xml:space="preserve"> </w:t>
      </w:r>
      <w:r>
        <w:t xml:space="preserve">and the open public consultation from 24 November 2021 to 17 February 20226.</w:t>
      </w:r>
      <w:r>
        <w:br/>
      </w:r>
      <w:r>
        <w:t xml:space="preserve">CLP relevant parts of this initiative are part of this impact assessment.</w:t>
      </w:r>
      <w:r>
        <w:br/>
      </w:r>
      <w:r>
        <w:t xml:space="preserve">In addition to the evidence gathering above mentioned for the CLP revision study (stakeholders</w:t>
      </w:r>
      <w:r>
        <w:t xml:space="preserve"> </w:t>
      </w:r>
      <w:r>
        <w:t xml:space="preserve">surveys etc.), the study on simplification and digitalisation of labelling requirements included</w:t>
      </w:r>
      <w:r>
        <w:t xml:space="preserve"> </w:t>
      </w:r>
      <w:r>
        <w:t xml:space="preserve">a behavioural experiment (see Annex 4 – Analytical Methods, Part VI).</w:t>
      </w:r>
      <w:r>
        <w:br/>
      </w:r>
      <w:r>
        <w:t xml:space="preserve">Annex 4 provides detailed descriptions of the methodology used for the collection and analysis</w:t>
      </w:r>
      <w:r>
        <w:t xml:space="preserve"> </w:t>
      </w:r>
      <w:r>
        <w:t xml:space="preserve">of the evidence. Moreover, detailed information regarding the evidence compiled by the</w:t>
      </w:r>
      <w:r>
        <w:t xml:space="preserve"> </w:t>
      </w:r>
      <w:r>
        <w:t xml:space="preserve">external contractor is given in the respective Annexes that address the respective intervention</w:t>
      </w:r>
      <w:r>
        <w:t xml:space="preserve"> </w:t>
      </w:r>
      <w:r>
        <w:t xml:space="preserve">areas.</w:t>
      </w:r>
    </w:p>
    <w:p>
      <w:pPr>
        <w:pStyle w:val="BodyText"/>
      </w:pPr>
      <w:r>
        <w:t xml:space="preserve">5 https://ted.europa.eu/udl?uri=TED:NOTICE:363150-2019:PDF:EN:HTML</w:t>
      </w:r>
      <w:r>
        <w:br/>
      </w:r>
      <w:r>
        <w:t xml:space="preserve">6 Chemicals – simplification and digitalisation of labelling requirements (europa.eu)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Annex 2 – Stakeholder consultation (Synopsis</w:t>
      </w:r>
      <w:r>
        <w:t xml:space="preserve"> </w:t>
      </w:r>
      <w:r>
        <w:t xml:space="preserve">report)</w:t>
      </w:r>
      <w:r>
        <w:t xml:space="preserve"> </w:t>
      </w:r>
      <w:r>
        <w:t xml:space="preserve">The synopsis report summarises the results of all consultation activities (open public</w:t>
      </w:r>
      <w:r>
        <w:t xml:space="preserve"> </w:t>
      </w:r>
      <w:r>
        <w:t xml:space="preserve">consultation, targeted stakeholder consultation, interviews and workshops) conducted as part</w:t>
      </w:r>
      <w:r>
        <w:t xml:space="preserve"> </w:t>
      </w:r>
      <w:r>
        <w:t xml:space="preserve">of ‘Technical and Scientific Support to the Commission’s Impact Assessment for the Revision</w:t>
      </w:r>
      <w:r>
        <w:t xml:space="preserve"> </w:t>
      </w:r>
      <w:r>
        <w:t xml:space="preserve">of the Regulation on Classification, Labelling and Packaging of Substances and Mixtures</w:t>
      </w:r>
      <w:r>
        <w:t xml:space="preserve"> </w:t>
      </w:r>
      <w:r>
        <w:t xml:space="preserve">(CLP)’ on the one hand and of ‘Impact Assessment Study on the Simplification of the Labelling</w:t>
      </w:r>
      <w:r>
        <w:t xml:space="preserve"> </w:t>
      </w:r>
      <w:r>
        <w:t xml:space="preserve">Requirements for Chemicals and the Use of e-Labelling’ on the other hand. The aim is twofold:</w:t>
      </w:r>
    </w:p>
    <w:p>
      <w:pPr>
        <w:pStyle w:val="BodyText"/>
      </w:pPr>
      <w:r>
        <w:t xml:space="preserve">To inform policymaking on the outcome of all consultation activities;</w:t>
      </w:r>
      <w:r>
        <w:t xml:space="preserve"> </w:t>
      </w:r>
      <w:r>
        <w:t xml:space="preserve">To inform stakeholders on how their input was taken into account.</w:t>
      </w:r>
      <w:r>
        <w:t xml:space="preserve"> </w:t>
      </w:r>
      <w:r>
        <w:t xml:space="preserve">As this impact assessment also relies on another initiative on digital labelling of chemicals,</w:t>
      </w:r>
      <w:r>
        <w:t xml:space="preserve"> </w:t>
      </w:r>
      <w:r>
        <w:t xml:space="preserve">including detergents, a separate consultation with its own strategy has been conducted and is</w:t>
      </w:r>
      <w:r>
        <w:t xml:space="preserve"> </w:t>
      </w:r>
      <w:r>
        <w:t xml:space="preserve">included in this annex.</w:t>
      </w:r>
    </w:p>
    <w:p>
      <w:pPr>
        <w:pStyle w:val="BodyText"/>
      </w:pPr>
      <w:r>
        <w:t xml:space="preserve">OUTLINE OF THE CONSULTATION STRATEGY</w:t>
      </w:r>
      <w:r>
        <w:t xml:space="preserve"> </w:t>
      </w:r>
      <w:r>
        <w:t xml:space="preserve">The aim of the consultation activities was to gather stakeholder opinions on the revision of the</w:t>
      </w:r>
      <w:r>
        <w:t xml:space="preserve"> </w:t>
      </w:r>
      <w:r>
        <w:t xml:space="preserve">CLP, and to ensure that stakeholders’ views, practical experience and data were considered in</w:t>
      </w:r>
      <w:r>
        <w:t xml:space="preserve"> </w:t>
      </w:r>
      <w:r>
        <w:t xml:space="preserve">the policy development process, ensuring higher quality and balanced analysis of arguments</w:t>
      </w:r>
      <w:r>
        <w:t xml:space="preserve"> </w:t>
      </w:r>
      <w:r>
        <w:t xml:space="preserve">from different sources, and greater transparency for the policy development process.</w:t>
      </w:r>
      <w:r>
        <w:t xml:space="preserve"> </w:t>
      </w:r>
      <w:r>
        <w:t xml:space="preserve">Information was sought in relation to seven intervention areas. The consultation activities</w:t>
      </w:r>
      <w:r>
        <w:t xml:space="preserve"> </w:t>
      </w:r>
      <w:r>
        <w:t xml:space="preserve">covered the following intervention areas:</w:t>
      </w:r>
    </w:p>
    <w:p>
      <w:pPr>
        <w:pStyle w:val="BodyText"/>
      </w:pPr>
      <w:r>
        <w:t xml:space="preserve">Hazard identification.</w:t>
      </w:r>
    </w:p>
    <w:p>
      <w:pPr>
        <w:pStyle w:val="BodyText"/>
      </w:pPr>
      <w:r>
        <w:t xml:space="preserve">Toxicity reference values and harmonised classification and labelling.</w:t>
      </w:r>
    </w:p>
    <w:p>
      <w:pPr>
        <w:pStyle w:val="BodyText"/>
      </w:pPr>
      <w:r>
        <w:t xml:space="preserve">Self-classification.</w:t>
      </w:r>
    </w:p>
    <w:p>
      <w:pPr>
        <w:pStyle w:val="BodyText"/>
      </w:pPr>
      <w:r>
        <w:t xml:space="preserve">Labelling.</w:t>
      </w:r>
    </w:p>
    <w:p>
      <w:pPr>
        <w:pStyle w:val="BodyText"/>
      </w:pPr>
      <w:r>
        <w:t xml:space="preserve">Digital labelling.</w:t>
      </w:r>
    </w:p>
    <w:p>
      <w:pPr>
        <w:pStyle w:val="BodyText"/>
      </w:pPr>
      <w:r>
        <w:t xml:space="preserve">CLP scope exemptions.</w:t>
      </w:r>
    </w:p>
    <w:p>
      <w:pPr>
        <w:pStyle w:val="BodyText"/>
      </w:pPr>
      <w:r>
        <w:t xml:space="preserve">Online sales of chemicals.</w:t>
      </w:r>
      <w:r>
        <w:t xml:space="preserve"> </w:t>
      </w:r>
      <w:r>
        <w:t xml:space="preserve">Poison centres.</w:t>
      </w:r>
      <w:r>
        <w:t xml:space="preserve"> </w:t>
      </w:r>
      <w:r>
        <w:t xml:space="preserve">For each area, the study team collected opinions about the nature of problems in an area,</w:t>
      </w:r>
      <w:r>
        <w:t xml:space="preserve"> </w:t>
      </w:r>
      <w:r>
        <w:t xml:space="preserve">possible measures to tackle the problem, impacts of measures to various target audiences,</w:t>
      </w:r>
      <w:r>
        <w:t xml:space="preserve"> </w:t>
      </w:r>
      <w:r>
        <w:t xml:space="preserve">benefits and costs of the measures.</w:t>
      </w:r>
      <w:r>
        <w:t xml:space="preserve"> </w:t>
      </w:r>
      <w:r>
        <w:t xml:space="preserve">The information collected on the respondents’ profile included stakeholder type, geographical</w:t>
      </w:r>
      <w:r>
        <w:t xml:space="preserve"> </w:t>
      </w:r>
      <w:r>
        <w:t xml:space="preserve">location, organisation size, level of knowledge of the Regulation.</w:t>
      </w:r>
      <w:r>
        <w:t xml:space="preserve"> </w:t>
      </w:r>
      <w:r>
        <w:t xml:space="preserve">In the case of the open public consultations (OPC), different questions were provided for</w:t>
      </w:r>
      <w:r>
        <w:t xml:space="preserve"> </w:t>
      </w:r>
      <w:r>
        <w:t xml:space="preserve">experts and non-experts, to ensure that the questions were appropriately targeted to the</w:t>
      </w:r>
      <w:r>
        <w:t xml:space="preserve"> </w:t>
      </w:r>
      <w:r>
        <w:t xml:space="preserve">different audiences. In the case of the targeted stakeholder surveys (TSS), question logic was</w:t>
      </w:r>
      <w:r>
        <w:t xml:space="preserve"> </w:t>
      </w:r>
      <w:r>
        <w:t xml:space="preserve">applied to ensure that questions displayed were relevant to the given stakeholder group. The</w:t>
      </w:r>
      <w:r>
        <w:t xml:space="preserve"> </w:t>
      </w:r>
      <w:r>
        <w:t xml:space="preserve">interview templates were developed to complement, validate and enrich data collected</w:t>
      </w:r>
      <w:r>
        <w:t xml:space="preserve"> </w:t>
      </w:r>
      <w:r>
        <w:t xml:space="preserve">through quantitative surveys. Finally, the behavioural experiment investigated consumers’</w:t>
      </w:r>
      <w:r>
        <w:t xml:space="preserve"> </w:t>
      </w:r>
      <w:r>
        <w:t xml:space="preserve">understanding of chemical and detergents labels, the importance of different label elements as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well as their interpretation with respect to safe use. Furthermore, the experiment tested</w:t>
      </w:r>
      <w:r>
        <w:t xml:space="preserve"> </w:t>
      </w:r>
      <w:r>
        <w:t xml:space="preserve">potentials ways to simplify labels and whether the introduction of digital tools could support</w:t>
      </w:r>
      <w:r>
        <w:t xml:space="preserve"> </w:t>
      </w:r>
      <w:r>
        <w:t xml:space="preserve">consumers.</w:t>
      </w:r>
      <w:r>
        <w:t xml:space="preserve"> </w:t>
      </w:r>
      <w:r>
        <w:t xml:space="preserve">Table 2 below summarises the consultation tools and strategies applied by stakeholder group.</w:t>
      </w:r>
      <w:r>
        <w:t xml:space="preserve"> </w:t>
      </w:r>
      <w:r>
        <w:t xml:space="preserve">Table 2: Consultation tools and strategies applied for by stakeholder groups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Consultation tools and strategies applied</w:t>
      </w:r>
      <w:r>
        <w:t xml:space="preserve"> </w:t>
      </w:r>
      <w:r>
        <w:t xml:space="preserve">General public/consumers</w:t>
      </w:r>
      <w:r>
        <w:t xml:space="preserve"> </w:t>
      </w:r>
      <w:r>
        <w:t xml:space="preserve">OPC, behavioural experiment, online survey</w:t>
      </w:r>
      <w:r>
        <w:t xml:space="preserve"> </w:t>
      </w:r>
      <w:r>
        <w:t xml:space="preserve">Representatives of the</w:t>
      </w:r>
      <w:r>
        <w:br/>
      </w:r>
      <w:r>
        <w:t xml:space="preserve">Commission and EU agencies (e.g.,</w:t>
      </w:r>
      <w:r>
        <w:t xml:space="preserve"> </w:t>
      </w:r>
      <w:r>
        <w:t xml:space="preserve">European Medicines Agency, European</w:t>
      </w:r>
      <w:r>
        <w:t xml:space="preserve"> </w:t>
      </w:r>
      <w:r>
        <w:t xml:space="preserve">Food Safety Authority, etc.),</w:t>
      </w:r>
      <w:r>
        <w:br/>
      </w:r>
      <w:r>
        <w:t xml:space="preserve">relevant EU committees (e.g., CARACAL</w:t>
      </w:r>
      <w:r>
        <w:t xml:space="preserve"> </w:t>
      </w:r>
      <w:r>
        <w:t xml:space="preserve">and its CASG sub-committee), experts</w:t>
      </w:r>
      <w:r>
        <w:t xml:space="preserve"> </w:t>
      </w:r>
      <w:r>
        <w:t xml:space="preserve">(e.g., academic institutions, CARACAL</w:t>
      </w:r>
      <w:r>
        <w:t xml:space="preserve"> </w:t>
      </w:r>
      <w:r>
        <w:t xml:space="preserve">observers, etc.)</w:t>
      </w:r>
      <w:r>
        <w:t xml:space="preserve"> </w:t>
      </w:r>
      <w:r>
        <w:t xml:space="preserve">Targeted consultation, in-depth interviews</w:t>
      </w:r>
      <w:r>
        <w:t xml:space="preserve"> </w:t>
      </w:r>
      <w:r>
        <w:t xml:space="preserve">and ad-hoc consultation, online surveys</w:t>
      </w:r>
      <w:r>
        <w:t xml:space="preserve"> </w:t>
      </w:r>
      <w:r>
        <w:t xml:space="preserve">Relevant Member State Authorities</w:t>
      </w:r>
      <w:r>
        <w:t xml:space="preserve"> </w:t>
      </w:r>
      <w:r>
        <w:t xml:space="preserve">OPC,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consultation,</w:t>
      </w:r>
      <w:r>
        <w:t xml:space="preserve"> </w:t>
      </w:r>
      <w:r>
        <w:t xml:space="preserve">follow-up</w:t>
      </w:r>
      <w:r>
        <w:t xml:space="preserve"> </w:t>
      </w:r>
      <w:r>
        <w:t xml:space="preserve">interviews, online surveys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industry</w:t>
      </w:r>
      <w:r>
        <w:t xml:space="preserve"> </w:t>
      </w:r>
      <w:r>
        <w:t xml:space="preserve">associations/CLP consortia</w:t>
      </w:r>
      <w:r>
        <w:t xml:space="preserve"> </w:t>
      </w:r>
      <w:r>
        <w:t xml:space="preserve">OPC, targeted consultation, interviews,</w:t>
      </w:r>
      <w:r>
        <w:t xml:space="preserve"> </w:t>
      </w:r>
      <w:r>
        <w:t xml:space="preserve">online surveys</w:t>
      </w:r>
      <w:r>
        <w:t xml:space="preserve"> </w:t>
      </w:r>
      <w: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t xml:space="preserve">national-level</w:t>
      </w:r>
      <w:r>
        <w:t xml:space="preserve"> </w:t>
      </w:r>
      <w:r>
        <w:t xml:space="preserve">worker</w:t>
      </w:r>
      <w:r>
        <w:t xml:space="preserve"> </w:t>
      </w:r>
      <w:r>
        <w:t xml:space="preserve">representative groups/trade unions</w:t>
      </w:r>
      <w:r>
        <w:t xml:space="preserve"> </w:t>
      </w:r>
      <w:r>
        <w:t xml:space="preserve">OPC, targeted consultation, interviews,</w:t>
      </w:r>
      <w:r>
        <w:t xml:space="preserve"> </w:t>
      </w:r>
      <w:r>
        <w:t xml:space="preserve">online surveys</w:t>
      </w:r>
      <w:r>
        <w:t xml:space="preserve"> </w:t>
      </w:r>
      <w:r>
        <w:t xml:space="preserve">Interested NGOs/environmental charities</w:t>
      </w:r>
      <w:r>
        <w:t xml:space="preserve"> </w:t>
      </w:r>
      <w:r>
        <w:t xml:space="preserve">and</w:t>
      </w:r>
      <w:r>
        <w:t xml:space="preserve"> </w:t>
      </w:r>
      <w:r>
        <w:t xml:space="preserve">consumer</w:t>
      </w:r>
      <w:r>
        <w:t xml:space="preserve"> </w:t>
      </w:r>
      <w:r>
        <w:t xml:space="preserve">associations,</w:t>
      </w:r>
      <w:r>
        <w:t xml:space="preserve"> </w:t>
      </w:r>
      <w:r>
        <w:t xml:space="preserve">academics/experts</w:t>
      </w:r>
      <w:r>
        <w:t xml:space="preserve"> </w:t>
      </w:r>
      <w:r>
        <w:t xml:space="preserve">OPC, targeted consultation, interviews,</w:t>
      </w:r>
      <w:r>
        <w:t xml:space="preserve"> </w:t>
      </w:r>
      <w:r>
        <w:t xml:space="preserve">online surveys</w:t>
      </w:r>
    </w:p>
    <w:p>
      <w:pPr>
        <w:pStyle w:val="BodyText"/>
      </w:pPr>
      <w:r>
        <w:t xml:space="preserve">Consultation activities</w:t>
      </w:r>
      <w:r>
        <w:t xml:space="preserve"> </w:t>
      </w:r>
      <w:r>
        <w:t xml:space="preserve">The planning of the consultation activities was informed by the general principles and</w:t>
      </w:r>
      <w:r>
        <w:t xml:space="preserve"> </w:t>
      </w:r>
      <w:r>
        <w:t xml:space="preserve">minimum standards for consultation of interested parties by the Commission.7</w:t>
      </w:r>
      <w:r>
        <w:br/>
      </w:r>
      <w:r>
        <w:t xml:space="preserve">The OPC on CLP was open for 14 weeks from 9 August 2021 to 15 November 2021. The</w:t>
      </w:r>
      <w:r>
        <w:t xml:space="preserve"> </w:t>
      </w:r>
      <w:r>
        <w:t xml:space="preserve">OPC questionnaire was prepared by the Commission and distributed using the EU Have Your</w:t>
      </w:r>
      <w:r>
        <w:t xml:space="preserve"> </w:t>
      </w:r>
      <w:r>
        <w:t xml:space="preserve">Say portal. The aim of the OPC was to gather opinions on the revision of the CLP Regulation</w:t>
      </w:r>
      <w:r>
        <w:t xml:space="preserve"> </w:t>
      </w:r>
      <w:r>
        <w:t xml:space="preserve">from a broad range of stakeholders. The OPC was open to anyone interested in CLP e.g.; EU</w:t>
      </w:r>
      <w:r>
        <w:t xml:space="preserve"> </w:t>
      </w:r>
      <w:r>
        <w:t xml:space="preserve">(and non-EU) citizens, researchers, businesses (including small and medium-sized enterprises</w:t>
      </w:r>
      <w:r>
        <w:t xml:space="preserve"> </w:t>
      </w:r>
      <w:r>
        <w:t xml:space="preserve">(SMEs)), industry, industrial/business associations and trade bodies, governmental and non-</w:t>
      </w:r>
      <w:r>
        <w:t xml:space="preserve"> </w:t>
      </w:r>
      <w:r>
        <w:t xml:space="preserve">governmental organisations (international, European, national and local), as well as social</w:t>
      </w:r>
      <w:r>
        <w:t xml:space="preserve"> </w:t>
      </w:r>
      <w:r>
        <w:t xml:space="preserve">partners and actors. Respondents were able to provide a response to the questionnaire on behalf</w:t>
      </w:r>
      <w:r>
        <w:t xml:space="preserve"> </w:t>
      </w:r>
      <w:r>
        <w:t xml:space="preserve">of organisations/institutions (i.e. as one of the organisations stated above), or as individuals.</w:t>
      </w:r>
      <w:r>
        <w:t xml:space="preserve"> </w:t>
      </w:r>
      <w:r>
        <w:t xml:space="preserve">Respondents registered with the EU Survey portal were able to submit additional position</w:t>
      </w:r>
      <w:r>
        <w:t xml:space="preserve"> </w:t>
      </w:r>
      <w:r>
        <w:t xml:space="preserve">papers to supplement their answers. Several additional papers were submitted via email without</w:t>
      </w:r>
      <w:r>
        <w:t xml:space="preserve"> </w:t>
      </w:r>
      <w:r>
        <w:t xml:space="preserve">providing a questionnaire response. The questionnaire was split into two sections, one</w:t>
      </w:r>
    </w:p>
    <w:p>
      <w:pPr>
        <w:pStyle w:val="BodyText"/>
      </w:pPr>
      <w:r>
        <w:t xml:space="preserve">7 EC (2002): Communication from the Commission. Towards a reinforced culture of consultation and dialogue -</w:t>
      </w:r>
      <w:r>
        <w:t xml:space="preserve"> </w:t>
      </w:r>
      <w:r>
        <w:t xml:space="preserve">General principles and minimum standards for consultation of interested parties by the Commission. Brussels,</w:t>
      </w:r>
      <w:r>
        <w:t xml:space="preserve"> </w:t>
      </w:r>
      <w:r>
        <w:t xml:space="preserve">11.12.2002 COM(2002) 704 final.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containing 11 questions for the general public, and one containing 37 questions for experts in</w:t>
      </w:r>
      <w:r>
        <w:t xml:space="preserve"> </w:t>
      </w:r>
      <w:r>
        <w:t xml:space="preserve">the subject matter. Both sections allowed respondents to provide position papers.</w:t>
      </w:r>
      <w:r>
        <w:t xml:space="preserve"> </w:t>
      </w:r>
      <w:r>
        <w:t xml:space="preserve">The OPC on simplification and digitalization of labels on chemicals was open for 12 weeks. It</w:t>
      </w:r>
      <w:r>
        <w:t xml:space="preserve"> </w:t>
      </w:r>
      <w:r>
        <w:t xml:space="preserve">aimed to gather experiences and opinions on a possible introduction of digital labelling of many</w:t>
      </w:r>
      <w:r>
        <w:t xml:space="preserve"> </w:t>
      </w:r>
      <w:r>
        <w:t xml:space="preserve">daily used products such as glues, laundry and dishwashing detergents and fertilising products,</w:t>
      </w:r>
      <w:r>
        <w:t xml:space="preserve"> </w:t>
      </w:r>
      <w:r>
        <w:t xml:space="preserve">under CLP, the Detergents Regulation and the Fertilising Products Regulation. The findings</w:t>
      </w:r>
      <w:r>
        <w:t xml:space="preserve"> </w:t>
      </w:r>
      <w:r>
        <w:t xml:space="preserve">presented in this synopsis report and integrated in the report represents an analysis of the</w:t>
      </w:r>
      <w:r>
        <w:t xml:space="preserve"> </w:t>
      </w:r>
      <w:r>
        <w:t xml:space="preserve">responses collected on 17 February, with 205 respondents. For the purpose of this synopsis</w:t>
      </w:r>
      <w:r>
        <w:t xml:space="preserve"> </w:t>
      </w:r>
      <w:r>
        <w:t xml:space="preserve">report, only the answers to the questions related to CLP have been taken into account. The full</w:t>
      </w:r>
      <w:r>
        <w:t xml:space="preserve"> </w:t>
      </w:r>
      <w:r>
        <w:t xml:space="preserve">analysis integrating findings to the questions related to detergents products will be presented</w:t>
      </w:r>
      <w:r>
        <w:t xml:space="preserve"> </w:t>
      </w:r>
      <w:r>
        <w:t xml:space="preserve">in the next report. These answers have been divided by stakeholder categories: 141 from the</w:t>
      </w:r>
      <w:r>
        <w:t xml:space="preserve"> </w:t>
      </w:r>
      <w:r>
        <w:t xml:space="preserve">private sector (companies, business associations, trade unions), 11 from public authorities, and</w:t>
      </w:r>
      <w:r>
        <w:t xml:space="preserve"> </w:t>
      </w:r>
      <w:r>
        <w:t xml:space="preserve">53 from consumers’ representatives (48 citizens, 4 consumer association and 1 NGO).</w:t>
      </w:r>
      <w:r>
        <w:t xml:space="preserve"> </w:t>
      </w:r>
      <w:r>
        <w:t xml:space="preserve">Similarly as the interview analysis, the imbalance of representation among stakeholders groups</w:t>
      </w:r>
      <w:r>
        <w:t xml:space="preserve"> </w:t>
      </w:r>
      <w:r>
        <w:t xml:space="preserve">and their different interests has been taken into account when processing the answers.</w:t>
      </w:r>
      <w:r>
        <w:t xml:space="preserve"> </w:t>
      </w:r>
      <w:r>
        <w:t xml:space="preserve">The TSS on CLP was open for six weeks from 10 November to 22 December 2021. It was</w:t>
      </w:r>
      <w:r>
        <w:t xml:space="preserve"> </w:t>
      </w:r>
      <w:r>
        <w:t xml:space="preserve">uploaded in a questionnaire format and was distributed using Alchemer®. The aim of the TSS</w:t>
      </w:r>
      <w:r>
        <w:t xml:space="preserve"> </w:t>
      </w:r>
      <w:r>
        <w:t xml:space="preserve">was to gather opinions on the revision of the CLP from an expert audience, e.g., MSCAs</w:t>
      </w:r>
      <w:r>
        <w:t xml:space="preserve"> </w:t>
      </w:r>
      <w:r>
        <w:t xml:space="preserve">involved in the implementation and enforcement of the Regulation, duty-holders and their</w:t>
      </w:r>
      <w:r>
        <w:t xml:space="preserve"> </w:t>
      </w:r>
      <w:r>
        <w:t xml:space="preserve">representing associations, NGOs and academics active on chemical risk management and the</w:t>
      </w:r>
      <w:r>
        <w:t xml:space="preserve"> </w:t>
      </w:r>
      <w:r>
        <w:t xml:space="preserve">regulatory framework. A stakeholder mapping exercise was performed to identify key target</w:t>
      </w:r>
      <w:r>
        <w:t xml:space="preserve"> </w:t>
      </w:r>
      <w:r>
        <w:t xml:space="preserve">groups. The list included those stakeholders that provided feedback to the inception impact</w:t>
      </w:r>
      <w:r>
        <w:t xml:space="preserve"> </w:t>
      </w:r>
      <w:r>
        <w:t xml:space="preserve">assessment report, as well as key stakeholders in relevant sectors that have previously</w:t>
      </w:r>
      <w:r>
        <w:t xml:space="preserve"> </w:t>
      </w:r>
      <w:r>
        <w:t xml:space="preserve">participated in similar consultations (e.g., Consultation on the regulatory fitness of chemicals</w:t>
      </w:r>
      <w:r>
        <w:t xml:space="preserve"> </w:t>
      </w:r>
      <w:r>
        <w:t xml:space="preserve">legislation (excluding REACH)). Additional stakeholder sources included National CLP</w:t>
      </w:r>
      <w:r>
        <w:t xml:space="preserve"> </w:t>
      </w:r>
      <w:r>
        <w:t xml:space="preserve">Helpdesks, poison centres and competent authorities. The mapping exercise identified a total</w:t>
      </w:r>
      <w:r>
        <w:t xml:space="preserve"> </w:t>
      </w:r>
      <w:r>
        <w:t xml:space="preserve">of 548 stakeholders, of which 80% were companies and business associations, ten percent were</w:t>
      </w:r>
      <w:r>
        <w:t xml:space="preserve"> </w:t>
      </w:r>
      <w:r>
        <w:t xml:space="preserve">public authorities, and the remaining ten percent were stakeholders from the civil society.</w:t>
      </w:r>
      <w:r>
        <w:t xml:space="preserve"> </w:t>
      </w:r>
      <w:r>
        <w:t xml:space="preserve">Particular effort was put to identify companies and business associations, given the broad range</w:t>
      </w:r>
      <w:r>
        <w:t xml:space="preserve"> </w:t>
      </w:r>
      <w:r>
        <w:t xml:space="preserve">of sectors impacted by the Regulation. The questionnaire was split into two sections depending</w:t>
      </w:r>
      <w:r>
        <w:t xml:space="preserve"> </w:t>
      </w:r>
      <w:r>
        <w:t xml:space="preserve">on the stakeholder type: one section containing questions for companies/business associations</w:t>
      </w:r>
      <w:r>
        <w:t xml:space="preserve"> </w:t>
      </w:r>
      <w:r>
        <w:t xml:space="preserve">and civil society (all other stakeholders), and one containing questions for public authorities.</w:t>
      </w:r>
      <w:r>
        <w:br/>
      </w:r>
      <w:r>
        <w:t xml:space="preserve">The section for companies/business associations and civil society (all other stakeholders)</w:t>
      </w:r>
      <w:r>
        <w:t xml:space="preserve"> </w:t>
      </w:r>
      <w:r>
        <w:t xml:space="preserve">contained 61 questions (36 closed and 25 open text questions) and the section for public</w:t>
      </w:r>
      <w:r>
        <w:t xml:space="preserve"> </w:t>
      </w:r>
      <w:r>
        <w:t xml:space="preserve">authorities contained 58 questions (33 closed questions and 25 open questions); both sections</w:t>
      </w:r>
      <w:r>
        <w:t xml:space="preserve"> </w:t>
      </w:r>
      <w:r>
        <w:t xml:space="preserve">allowed respondents to provide position papers.</w:t>
      </w:r>
      <w:r>
        <w:br/>
      </w:r>
      <w:r>
        <w:t xml:space="preserve">Two online surveys, one on policy options for digitalization and for information from</w:t>
      </w:r>
      <w:r>
        <w:t xml:space="preserve"> </w:t>
      </w:r>
      <w:r>
        <w:t xml:space="preserve">professionals and industry users, were conducted. The consultation on policy options aimed at</w:t>
      </w:r>
      <w:r>
        <w:t xml:space="preserve"> </w:t>
      </w:r>
      <w:r>
        <w:t xml:space="preserve">gathering the opinion of the various stakeholders (consumers, professional and non-</w:t>
      </w:r>
      <w:r>
        <w:t xml:space="preserve"> </w:t>
      </w:r>
      <w:r>
        <w:t xml:space="preserve">professional product users, industry, civil society organisations, national authorities and any</w:t>
      </w:r>
      <w:r>
        <w:t xml:space="preserve"> </w:t>
      </w:r>
      <w:r>
        <w:t xml:space="preserve">other interested stakeholders) on the latest version of policy options analysed in this study. This</w:t>
      </w:r>
      <w:r>
        <w:t xml:space="preserve"> </w:t>
      </w:r>
      <w:r>
        <w:t xml:space="preserve">survey allowed stakeholders to provide a punctual opinion on the measures taken into</w:t>
      </w:r>
      <w:r>
        <w:t xml:space="preserve"> </w:t>
      </w:r>
      <w:r>
        <w:t xml:space="preserve">consideration for this analysis. The answers have been divided by stakeholder category: 12</w:t>
      </w:r>
      <w:r>
        <w:t xml:space="preserve"> </w:t>
      </w:r>
      <w:r>
        <w:t xml:space="preserve">Member State authorities, 1 consumer organisation, 43 industry representatives (industry</w:t>
      </w:r>
      <w:r>
        <w:t xml:space="preserve"> </w:t>
      </w:r>
      <w:r>
        <w:t xml:space="preserve">associations, businesses). The online survey for professionals and industry users collected</w:t>
      </w:r>
      <w:r>
        <w:t xml:space="preserve"> </w:t>
      </w:r>
      <w:r>
        <w:t xml:space="preserve">information from the stakeholders representing professionals and the industry on the</w:t>
      </w:r>
      <w:r>
        <w:t xml:space="preserve"> </w:t>
      </w:r>
      <w:r>
        <w:t xml:space="preserve">importance of having certain pieces of information1 on the packaging of the specific chemical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products8 as well as the easiness to understand the information concerning these elements in</w:t>
      </w:r>
      <w:r>
        <w:t xml:space="preserve"> </w:t>
      </w:r>
      <w:r>
        <w:t xml:space="preserve">these products.</w:t>
      </w:r>
      <w:r>
        <w:br/>
      </w:r>
      <w:r>
        <w:t xml:space="preserve">Between September and December 2021, the Commission organised CARACAL and CASG</w:t>
      </w:r>
      <w:r>
        <w:t xml:space="preserve"> </w:t>
      </w:r>
      <w:r>
        <w:t xml:space="preserve">ad-hoc consultations on the different intervention areas, discussing problems and possible</w:t>
      </w:r>
      <w:r>
        <w:t xml:space="preserve"> </w:t>
      </w:r>
      <w:r>
        <w:t xml:space="preserve">ways forward. One-day long events were organised on:</w:t>
      </w:r>
    </w:p>
    <w:p>
      <w:pPr>
        <w:pStyle w:val="BodyText"/>
      </w:pPr>
      <w:r>
        <w:t xml:space="preserve">CASG ad-hoc consultation on endocrine disruptors (13/09/2021).</w:t>
      </w:r>
    </w:p>
    <w:p>
      <w:pPr>
        <w:pStyle w:val="BodyText"/>
      </w:pPr>
      <w:r>
        <w:t xml:space="preserve">CARACAL ad-hoc consultation on PMT/vPvM and PBT/vPvB (30/09/2021).</w:t>
      </w:r>
    </w:p>
    <w:p>
      <w:pPr>
        <w:pStyle w:val="BodyText"/>
      </w:pPr>
      <w:r>
        <w:t xml:space="preserve">CARACAL ad-hoc consultation on Annex VIII CLP (Poison centres) and online sales</w:t>
      </w:r>
      <w:r>
        <w:t xml:space="preserve"> </w:t>
      </w:r>
      <w:r>
        <w:t xml:space="preserve">(27/10/2021).</w:t>
      </w:r>
    </w:p>
    <w:p>
      <w:pPr>
        <w:pStyle w:val="BodyText"/>
      </w:pPr>
      <w:r>
        <w:t xml:space="preserve">CARACAL ad-hoc consultation on CLH prioritisation, PNEC, DNEL, DMEL,</w:t>
      </w:r>
      <w:r>
        <w:t xml:space="preserve"> </w:t>
      </w:r>
      <w:r>
        <w:t xml:space="preserve">labelling, including digital labelling (06/12/2021).</w:t>
      </w:r>
      <w:r>
        <w:t xml:space="preserve"> </w:t>
      </w:r>
      <w:r>
        <w:t xml:space="preserve">CARACAL on new hazard classes, MOCS, self-classification (14/12/2021).</w:t>
      </w:r>
      <w:r>
        <w:t xml:space="preserve"> </w:t>
      </w:r>
      <w:r>
        <w:t xml:space="preserve">It should be noted that some of the issues have been discussed by CARACAL for a number of</w:t>
      </w:r>
      <w:r>
        <w:t xml:space="preserve"> </w:t>
      </w:r>
      <w:r>
        <w:t xml:space="preserve">years (e.g., criteria on endocrine disruptors). The study team observed the discussions during</w:t>
      </w:r>
      <w:r>
        <w:t xml:space="preserve"> </w:t>
      </w:r>
      <w:r>
        <w:t xml:space="preserve">each meeting and reviewed all written feedback provided by CARACAL and CASG members</w:t>
      </w:r>
      <w:r>
        <w:t xml:space="preserve"> </w:t>
      </w:r>
      <w:r>
        <w:t xml:space="preserve">to get a more comprehensive understanding of the problems, their drivers as well as possible</w:t>
      </w:r>
      <w:r>
        <w:t xml:space="preserve"> </w:t>
      </w:r>
      <w:r>
        <w:t xml:space="preserve">measures to tackle the problems and their impacts. The study team followed up with some of</w:t>
      </w:r>
      <w:r>
        <w:t xml:space="preserve"> </w:t>
      </w:r>
      <w:r>
        <w:t xml:space="preserve">the CARACAL members through semi-structured interviews.</w:t>
      </w:r>
      <w:r>
        <w:t xml:space="preserve"> </w:t>
      </w:r>
      <w:r>
        <w:t xml:space="preserve">Twenty-two interviews were conducted between December 2021 and February 2022. The aim</w:t>
      </w:r>
      <w:r>
        <w:t xml:space="preserve"> </w:t>
      </w:r>
      <w:r>
        <w:t xml:space="preserve">was to complement the findings of the TSS and OPC and the views provided by CARACAL</w:t>
      </w:r>
      <w:r>
        <w:t xml:space="preserve"> </w:t>
      </w:r>
      <w:r>
        <w:t xml:space="preserve">members and observers. Interviews were targeted to representatives from a sufficiently diverse</w:t>
      </w:r>
      <w:r>
        <w:t xml:space="preserve"> </w:t>
      </w:r>
      <w:r>
        <w:t xml:space="preserve">group of stakeholders, while also eliciting participation from those stakeholder categories</w:t>
      </w:r>
      <w:r>
        <w:t xml:space="preserve"> </w:t>
      </w:r>
      <w:r>
        <w:t xml:space="preserve">underrepresented in OPC and TSS responses.</w:t>
      </w:r>
    </w:p>
    <w:p>
      <w:pPr>
        <w:pStyle w:val="BodyText"/>
      </w:pPr>
      <w:r>
        <w:t xml:space="preserve">METHODOLOGIES AND TOOLS TO PROCESS DATA</w:t>
      </w:r>
      <w:r>
        <w:t xml:space="preserve"> </w:t>
      </w:r>
      <w:r>
        <w:t xml:space="preserve">The OPC and TSS surveys were designed and launched via online survey tools (EUSurvey</w:t>
      </w:r>
      <w:r>
        <w:t xml:space="preserve"> </w:t>
      </w:r>
      <w:r>
        <w:t xml:space="preserve">for the OPC and Alchemer for the TSS). These online survey tools enable surveys to be</w:t>
      </w:r>
      <w:r>
        <w:t xml:space="preserve"> </w:t>
      </w:r>
      <w:r>
        <w:t xml:space="preserve">distributed and read widely online (including via smartphones), offer a variety of question types</w:t>
      </w:r>
      <w:r>
        <w:t xml:space="preserve"> </w:t>
      </w:r>
      <w:r>
        <w:t xml:space="preserve">and ensures flexible access by allowing participants to save their contribution as a draft and</w:t>
      </w:r>
      <w:r>
        <w:t xml:space="preserve"> </w:t>
      </w:r>
      <w:r>
        <w:t xml:space="preserve">continue at a later date. The accessibility mode was also activated on EUSurvey to enable the</w:t>
      </w:r>
      <w:r>
        <w:t xml:space="preserve"> </w:t>
      </w:r>
      <w:r>
        <w:t xml:space="preserve">format to be adapted for the visually impaired. Results were downloaded in Excel spreadsheets,</w:t>
      </w:r>
      <w:r>
        <w:t xml:space="preserve"> </w:t>
      </w:r>
      <w:r>
        <w:t xml:space="preserve">and then added to an analytical master spreadsheet to create statistical summaries (via tables</w:t>
      </w:r>
      <w:r>
        <w:t xml:space="preserve"> </w:t>
      </w:r>
      <w:r>
        <w:t xml:space="preserve">and graphs) of the responses received. The statistical summaries were anonymised and</w:t>
      </w:r>
      <w:r>
        <w:t xml:space="preserve"> </w:t>
      </w:r>
      <w:r>
        <w:t xml:space="preserve">aggregated per stakeholder group and Member State.</w:t>
      </w:r>
      <w:r>
        <w:t xml:space="preserve"> </w:t>
      </w:r>
      <w:r>
        <w:t xml:space="preserve">All data were checked for campaigns prior to analysis to prevent the overall results being</w:t>
      </w:r>
      <w:r>
        <w:t xml:space="preserve"> </w:t>
      </w:r>
      <w:r>
        <w:t xml:space="preserve">skewed to a particular interest group. The study team used the qualitative data analysis software</w:t>
      </w:r>
      <w:r>
        <w:t xml:space="preserve"> </w:t>
      </w:r>
      <w:r>
        <w:t xml:space="preserve">NVivo® to calculate the level of similarity between the responses (by assessing the Jaccard</w:t>
      </w:r>
      <w:r>
        <w:t xml:space="preserve"> </w:t>
      </w:r>
      <w:r>
        <w:t xml:space="preserve">correlation of word similarity to produce coefficients between responses) and to ensure a</w:t>
      </w:r>
      <w:r>
        <w:t xml:space="preserve"> </w:t>
      </w:r>
      <w:r>
        <w:t xml:space="preserve">systematic approach to identifying campaigns. Where text was identified as having a high level</w:t>
      </w:r>
      <w:r>
        <w:t xml:space="preserve"> </w:t>
      </w:r>
      <w:r>
        <w:t xml:space="preserve">of correlation (between 0.5 to 1), responses were grouped for manual review and an analysis</w:t>
      </w:r>
      <w:r>
        <w:t xml:space="preserve"> </w:t>
      </w:r>
      <w:r>
        <w:t xml:space="preserve">of the campaigns identified was provided separately for both the OPC and the TSS. The total</w:t>
      </w:r>
    </w:p>
    <w:p>
      <w:pPr>
        <w:pStyle w:val="BodyText"/>
      </w:pPr>
      <w:r>
        <w:t xml:space="preserve">8 Laundry detergents; Cleaning detergents; Glues; Paints; Sealants or fillers.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number of identified answers had to be equal or above five percent (≥ 5%) of the total number</w:t>
      </w:r>
      <w:r>
        <w:t xml:space="preserve"> </w:t>
      </w:r>
      <w:r>
        <w:t xml:space="preserve">of responses to be considered as a campaign.</w:t>
      </w:r>
      <w:r>
        <w:t xml:space="preserve"> </w:t>
      </w:r>
      <w:r>
        <w:t xml:space="preserve">All position papers received in the OPC and the TSS were read manually; themes identified</w:t>
      </w:r>
      <w:r>
        <w:t xml:space="preserve"> </w:t>
      </w:r>
      <w:r>
        <w:t xml:space="preserve">were coded in Excel and a summary of position paper responses was provided (in an</w:t>
      </w:r>
      <w:r>
        <w:t xml:space="preserve"> </w:t>
      </w:r>
      <w:r>
        <w:t xml:space="preserve">anonymised format) for both the OPC and TSS separately. To ensure an efficient approach,</w:t>
      </w:r>
      <w:r>
        <w:t xml:space="preserve"> </w:t>
      </w:r>
      <w:r>
        <w:t xml:space="preserve">where identical papers had already been provided by respondents under the OPC, or where</w:t>
      </w:r>
      <w:r>
        <w:t xml:space="preserve"> </w:t>
      </w:r>
      <w:r>
        <w:t xml:space="preserve">themes had already been covered, these were not taken forward for analysis in the TSS.</w:t>
      </w:r>
      <w:r>
        <w:t xml:space="preserve"> </w:t>
      </w:r>
      <w:r>
        <w:t xml:space="preserve">Interviews were carried out employing virtual platforms (Ms Teams and Webex). To develop</w:t>
      </w:r>
      <w:r>
        <w:t xml:space="preserve"> </w:t>
      </w:r>
      <w:r>
        <w:t xml:space="preserve">a sufficiently diverse expert sample, the study team combined convenience and purposive</w:t>
      </w:r>
      <w:r>
        <w:t xml:space="preserve"> </w:t>
      </w:r>
      <w:r>
        <w:t xml:space="preserve">sampling. Experts were identified by analysing the answers to the consultation surveys and by</w:t>
      </w:r>
      <w:r>
        <w:t xml:space="preserve"> </w:t>
      </w:r>
      <w:r>
        <w:t xml:space="preserve">area of expertise —through the analysis of initiatives and projects, publications and</w:t>
      </w:r>
      <w:r>
        <w:t xml:space="preserve"> </w:t>
      </w:r>
      <w:r>
        <w:t xml:space="preserve">membership to expert groups. The semi-structured interview approach was applied to achieve</w:t>
      </w:r>
      <w:r>
        <w:t xml:space="preserve"> </w:t>
      </w:r>
      <w:r>
        <w:t xml:space="preserve">the maximum level of detail on each topic and get comparable results from different interviews.</w:t>
      </w:r>
      <w:r>
        <w:t xml:space="preserve"> </w:t>
      </w:r>
      <w:r>
        <w:t xml:space="preserve">For interpretation of the interviews, thematic analysis was applied. Questions were provided to</w:t>
      </w:r>
      <w:r>
        <w:t xml:space="preserve"> </w:t>
      </w:r>
      <w:r>
        <w:t xml:space="preserve">all participants in advance. All interviews were recorded, and transcripts automatically</w:t>
      </w:r>
      <w:r>
        <w:t xml:space="preserve"> </w:t>
      </w:r>
      <w:r>
        <w:t xml:space="preserve">generated by MS Teams® were cleaned and analysed thematically. The main limitation is the</w:t>
      </w:r>
      <w:r>
        <w:t xml:space="preserve"> </w:t>
      </w:r>
      <w:r>
        <w:t xml:space="preserve">limited number of interviews carried out on each intervention area, as these are complex and</w:t>
      </w:r>
      <w:r>
        <w:t xml:space="preserve"> </w:t>
      </w:r>
      <w:r>
        <w:t xml:space="preserve">cover a wide range of topics. As mitigation measure, interviewees were asked to comment on</w:t>
      </w:r>
      <w:r>
        <w:t xml:space="preserve"> </w:t>
      </w:r>
      <w:r>
        <w:t xml:space="preserve">several areas and to submit their views in writing where appropriate.</w:t>
      </w:r>
    </w:p>
    <w:p>
      <w:pPr>
        <w:pStyle w:val="BodyText"/>
      </w:pPr>
      <w:r>
        <w:t xml:space="preserve">RESULTS OF CONSULTATION ACTIVITIES FOR THE CLP REVISION (EXCLUDING</w:t>
      </w:r>
      <w:r>
        <w:t xml:space="preserve"> </w:t>
      </w:r>
      <w:r>
        <w:t xml:space="preserve">DIGITAL LABELLING)</w:t>
      </w:r>
      <w:r>
        <w:t xml:space="preserve"> </w:t>
      </w:r>
      <w:r>
        <w:t xml:space="preserve">Number of respondents and respondent profiles</w:t>
      </w:r>
      <w:r>
        <w:t xml:space="preserve"> </w:t>
      </w:r>
      <w:r>
        <w:t xml:space="preserve">Open Public Consultation for the CLP</w:t>
      </w:r>
      <w:r>
        <w:br/>
      </w:r>
      <w:r>
        <w:t xml:space="preserve">All responses were clustered according to the following broad stakeholder categories to</w:t>
      </w:r>
      <w:r>
        <w:t xml:space="preserve"> </w:t>
      </w:r>
      <w:r>
        <w:t xml:space="preserve">facilitate visualisation:</w:t>
      </w:r>
    </w:p>
    <w:p>
      <w:pPr>
        <w:pStyle w:val="BodyText"/>
      </w:pPr>
      <w:r>
        <w:t xml:space="preserve">Companies – companies and business associations;</w:t>
      </w:r>
    </w:p>
    <w:p>
      <w:pPr>
        <w:pStyle w:val="BodyText"/>
      </w:pPr>
      <w:r>
        <w:t xml:space="preserve">Citizens – EU and non-EU;</w:t>
      </w:r>
    </w:p>
    <w:p>
      <w:pPr>
        <w:pStyle w:val="BodyText"/>
      </w:pPr>
      <w:r>
        <w:t xml:space="preserve">Public authorities; and</w:t>
      </w:r>
      <w:r>
        <w:t xml:space="preserve"> </w:t>
      </w:r>
      <w:r>
        <w:t xml:space="preserve">Civil society (all other stakeholders) consisting of academic/research institutions; consumer</w:t>
      </w:r>
      <w:r>
        <w:t xml:space="preserve"> </w:t>
      </w:r>
      <w:r>
        <w:t xml:space="preserve">organisations; environmental organisations; Non-Governmental Organisations (NGOs); trade</w:t>
      </w:r>
      <w:r>
        <w:t xml:space="preserve"> </w:t>
      </w:r>
      <w:r>
        <w:t xml:space="preserve">unions; and other.</w:t>
      </w:r>
      <w:r>
        <w:t xml:space="preserve"> </w:t>
      </w:r>
      <w:r>
        <w:t xml:space="preserve">Under the stakeholder group ‘Civil society (all other stakeholders)’, respondents were grouped</w:t>
      </w:r>
      <w:r>
        <w:t xml:space="preserve"> </w:t>
      </w:r>
      <w:r>
        <w:t xml:space="preserve">together due to the comparatively low response rates, to ensure meaningful conclusions could</w:t>
      </w:r>
      <w:r>
        <w:t xml:space="preserve"> </w:t>
      </w:r>
      <w:r>
        <w:t xml:space="preserve">be drawn from the data. A total of 625 responses to the OPC were received, most from</w:t>
      </w:r>
      <w:r>
        <w:t xml:space="preserve"> </w:t>
      </w:r>
      <w:r>
        <w:t xml:space="preserve">companies and business associations (45%), and EU and non-EU citizens (39%) (Figure 1).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Figure 1: Number of responses to the OPC by stakeholder categories – Total: 625</w:t>
      </w:r>
    </w:p>
    <w:p>
      <w:pPr>
        <w:pStyle w:val="BodyText"/>
      </w:pPr>
      <w:r>
        <w:t xml:space="preserve">Figure 2 provides a breakdown of the 383 responses from businesses by company size. SMEs</w:t>
      </w:r>
      <w:r>
        <w:t xml:space="preserve"> </w:t>
      </w:r>
      <w:r>
        <w:t xml:space="preserve">provided almost 69% of responses.</w:t>
      </w:r>
    </w:p>
    <w:p>
      <w:pPr>
        <w:pStyle w:val="BodyText"/>
      </w:pPr>
      <w:r>
        <w:t xml:space="preserve">Figure 2: Number of OPC responses from businesses by company size – Total business responses: 383</w:t>
      </w:r>
    </w:p>
    <w:p>
      <w:pPr>
        <w:pStyle w:val="BodyText"/>
      </w:pPr>
      <w:r>
        <w:t xml:space="preserve">Figure 3 shows the total number of OPC responses by country. Most responses were received</w:t>
      </w:r>
      <w:r>
        <w:t xml:space="preserve"> </w:t>
      </w:r>
      <w:r>
        <w:t xml:space="preserve">from France (28%) and Germany (20%). No campaigns were identified in these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Figure 3: Number of OPC responses per country (worldwide and Europe) – Total: 625</w:t>
      </w:r>
    </w:p>
    <w:p>
      <w:pPr>
        <w:pStyle w:val="BodyText"/>
      </w:pPr>
      <w:r>
        <w:t xml:space="preserve">Position papers</w:t>
      </w:r>
      <w:r>
        <w:t xml:space="preserve"> </w:t>
      </w:r>
      <w:r>
        <w:t xml:space="preserve">The OPC participants uploaded 144 position papers. Of these, four were duplicates and were</w:t>
      </w:r>
      <w:r>
        <w:t xml:space="preserve"> </w:t>
      </w:r>
      <w:r>
        <w:t xml:space="preserve">therefore removed from the analysis. Subsequently, there were 140 valid position papers which</w:t>
      </w:r>
      <w:r>
        <w:t xml:space="preserve"> </w:t>
      </w:r>
      <w:r>
        <w:t xml:space="preserve">the study team reviewed manually and checked for key themes. Figure 4 shows the number of</w:t>
      </w:r>
      <w:r>
        <w:t xml:space="preserve"> </w:t>
      </w:r>
      <w:r>
        <w:t xml:space="preserve">position papers submitted by different stakeholders.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Figure 4: Position papers received per stakeholder group – Total: 140 valid position papers</w:t>
      </w:r>
    </w:p>
    <w:p>
      <w:pPr>
        <w:pStyle w:val="BodyText"/>
      </w:pPr>
      <w:r>
        <w:t xml:space="preserve">Campaigns</w:t>
      </w:r>
      <w:r>
        <w:t xml:space="preserve"> </w:t>
      </w:r>
      <w:r>
        <w:t xml:space="preserve">The analysis of the OPC results revealed only one campaign. In total 47 responses were</w:t>
      </w:r>
      <w:r>
        <w:t xml:space="preserve"> </w:t>
      </w:r>
      <w:r>
        <w:t xml:space="preserve">identified as having high levels of similarity across their responses and were referred to as</w:t>
      </w:r>
      <w:r>
        <w:t xml:space="preserve"> </w:t>
      </w:r>
      <w:r>
        <w:t xml:space="preserve">‘Campaign 1’. Campaign 1 primarily consisted of business associations (49%) and companies</w:t>
      </w:r>
      <w:r>
        <w:t xml:space="preserve"> </w:t>
      </w:r>
      <w:r>
        <w:t xml:space="preserve">(47%). Additional members of this campaign were from academic/research institutions (2%),</w:t>
      </w:r>
      <w:r>
        <w:t xml:space="preserve"> </w:t>
      </w:r>
      <w:r>
        <w:t xml:space="preserve">and ‘other’ (2%). There were no consistencies across their countries of origin, and businesses’</w:t>
      </w:r>
      <w:r>
        <w:t xml:space="preserve"> </w:t>
      </w:r>
      <w:r>
        <w:t xml:space="preserve">responses part of Campaign 1 were provided by companies of different size: micro (21%),</w:t>
      </w:r>
      <w:r>
        <w:t xml:space="preserve"> </w:t>
      </w:r>
      <w:r>
        <w:t xml:space="preserve">small (26%), medium (9%), and large (45%). While no information on the industry sector was</w:t>
      </w:r>
      <w:r>
        <w:t xml:space="preserve"> </w:t>
      </w:r>
      <w:r>
        <w:t xml:space="preserve">collected through the questionnaire, from the screening of the organisation names, it was</w:t>
      </w:r>
      <w:r>
        <w:t xml:space="preserve"> </w:t>
      </w:r>
      <w:r>
        <w:t xml:space="preserve">possible to broadly define the campaign as originating from a business association relating to</w:t>
      </w:r>
      <w:r>
        <w:t xml:space="preserve"> </w:t>
      </w:r>
      <w:r>
        <w:t xml:space="preserve">chemical products, comprising from large chemical manufacturers to smaller formulators of</w:t>
      </w:r>
      <w:r>
        <w:t xml:space="preserve"> </w:t>
      </w:r>
      <w:r>
        <w:t xml:space="preserve">household chemical products. This cluster was identified as a complex campaign, as the</w:t>
      </w:r>
      <w:r>
        <w:t xml:space="preserve"> </w:t>
      </w:r>
      <w:r>
        <w:t xml:space="preserve">positions held in each area of interest often differed according to sectors.</w:t>
      </w:r>
      <w:r>
        <w:t xml:space="preserve"> </w:t>
      </w:r>
      <w:r>
        <w:t xml:space="preserve">Targeted Stakeholder Survey</w:t>
      </w:r>
      <w:r>
        <w:t xml:space="preserve"> </w:t>
      </w:r>
      <w:r>
        <w:t xml:space="preserve">The TSS received a total of 167 responses. Figure 5 (overleaf) shows the number of responses</w:t>
      </w:r>
      <w:r>
        <w:t xml:space="preserve"> </w:t>
      </w:r>
      <w:r>
        <w:t xml:space="preserve">to the TSS per stakeholder group and the breakdown of business responses (82) by company</w:t>
      </w:r>
      <w:r>
        <w:t xml:space="preserve"> </w:t>
      </w:r>
      <w:r>
        <w:t xml:space="preserve">size. Almost 60% (64 out of 108) of the businesses and industry associations indicated that</w:t>
      </w:r>
      <w:r>
        <w:t xml:space="preserve"> </w:t>
      </w:r>
      <w:r>
        <w:t xml:space="preserve">their primary business sector is the manufacturing of chemicals and chemical products. Over</w:t>
      </w:r>
      <w:r>
        <w:t xml:space="preserve"> </w:t>
      </w:r>
      <w:r>
        <w:t xml:space="preserve">18% (32 out of 108) were active in downstream sectors (e.g. manufacture of textiles and other</w:t>
      </w:r>
      <w:r>
        <w:t xml:space="preserve"> </w:t>
      </w:r>
      <w:r>
        <w:t xml:space="preserve">manufacturing), over 6% (7 out of 108) in upstream sectors (e.g. manufacture of coke and</w:t>
      </w:r>
      <w:r>
        <w:t xml:space="preserve"> </w:t>
      </w:r>
      <w:r>
        <w:t xml:space="preserve">refined petroleum products and manufacture of basic chemicals), and five contributions (4.6%)</w:t>
      </w:r>
      <w:r>
        <w:t xml:space="preserve"> </w:t>
      </w:r>
      <w:r>
        <w:t xml:space="preserve">came from businesses/associations which final products are exempted by CLP (manufacturing</w:t>
      </w:r>
      <w:r>
        <w:t xml:space="preserve"> </w:t>
      </w:r>
      <w:r>
        <w:t xml:space="preserve">of food products and manufacturing of basic pharmaceutical products and pharmaceutical</w:t>
      </w:r>
      <w:r>
        <w:t xml:space="preserve"> </w:t>
      </w:r>
      <w:r>
        <w:t xml:space="preserve">preparations). Three responses (2.8%) were provided by entities in retail trade and two (1.8%)</w:t>
      </w:r>
      <w:r>
        <w:t xml:space="preserve"> </w:t>
      </w:r>
      <w:r>
        <w:t xml:space="preserve">from entities in other professional, scientific and technical activities. When asked about their</w:t>
      </w:r>
      <w:r>
        <w:t xml:space="preserve"> </w:t>
      </w:r>
      <w:r>
        <w:t xml:space="preserve">activities in relation to chemical products (to understand the type of duty-holders), 43% (58 out</w:t>
      </w:r>
      <w:r>
        <w:t xml:space="preserve"> </w:t>
      </w:r>
      <w:r>
        <w:t xml:space="preserve">of 136) indicated to be active in the manufacture of chemical substances, 74% (101 out of 136)</w:t>
      </w:r>
      <w:r>
        <w:t xml:space="preserve"> </w:t>
      </w:r>
      <w:r>
        <w:t xml:space="preserve">in the manufacture of mixtures, 63% (86 out of 136) in the import of chemical substances and</w:t>
      </w:r>
      <w:r>
        <w:t xml:space="preserve"> </w:t>
      </w:r>
      <w:r>
        <w:t xml:space="preserve">mixtures, 54% (74 out of 136) in the distribution of substances and mixtures, 51% (70 out of</w:t>
      </w:r>
      <w:r>
        <w:t xml:space="preserve"> </w:t>
      </w:r>
      <w:r>
        <w:t xml:space="preserve">136) in the use of chemical products.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Figure 5: Number of TSS responses by stakeholder category – Total: 167 and number of TSS business</w:t>
      </w:r>
      <w:r>
        <w:t xml:space="preserve"> </w:t>
      </w:r>
      <w:r>
        <w:t xml:space="preserve">responses by company size – Total business responses: 82</w:t>
      </w:r>
    </w:p>
    <w:p>
      <w:pPr>
        <w:pStyle w:val="BodyText"/>
      </w:pPr>
      <w:r>
        <w:t xml:space="preserve">Two responses were provided by national helpdesks, one from a poison centre, five from</w:t>
      </w:r>
      <w:r>
        <w:t xml:space="preserve"> </w:t>
      </w:r>
      <w:r>
        <w:t xml:space="preserve">competent authorities for the implementation of CLP, two from authorities competent for the</w:t>
      </w:r>
      <w:r>
        <w:t xml:space="preserve"> </w:t>
      </w:r>
      <w:r>
        <w:t xml:space="preserve">enforcement of CLP and one from a competent authority on workers’ health and safety. Figure</w:t>
      </w:r>
      <w:r>
        <w:t xml:space="preserve"> </w:t>
      </w:r>
      <w:r>
        <w:t xml:space="preserve">6 shows the number of responses received in response to the TSS by Member State. Eighteen</w:t>
      </w:r>
      <w:r>
        <w:br/>
      </w:r>
      <w:r>
        <w:t xml:space="preserve">responses were received by organisations operating EU-wide and 10 responses from</w:t>
      </w:r>
      <w:r>
        <w:t xml:space="preserve"> </w:t>
      </w:r>
      <w:r>
        <w:t xml:space="preserve">organisations outside the EU. The results show a large number of responses from Germany</w:t>
      </w:r>
      <w:r>
        <w:t xml:space="preserve"> </w:t>
      </w:r>
      <w:r>
        <w:t xml:space="preserve">(33% of the total), which include a campaign of German industry associations (additional</w:t>
      </w:r>
      <w:r>
        <w:t xml:space="preserve"> </w:t>
      </w:r>
      <w:r>
        <w:t xml:space="preserve">details are provided in the subsection ‘campaigns’).</w:t>
      </w:r>
    </w:p>
    <w:p>
      <w:pPr>
        <w:pStyle w:val="BodyText"/>
      </w:pPr>
      <w:r>
        <w:t xml:space="preserve">Figure 6: Number of TSS responses by country – Total: 167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Position papers</w:t>
      </w:r>
      <w:r>
        <w:t xml:space="preserve"> </w:t>
      </w:r>
      <w:r>
        <w:t xml:space="preserve">A total of 39 documents were uploaded in response to the TSS. Each document was reviewed</w:t>
      </w:r>
      <w:r>
        <w:t xml:space="preserve"> </w:t>
      </w:r>
      <w:r>
        <w:t xml:space="preserve">for key information. Around 30 documents were already provided during the OPC and were</w:t>
      </w:r>
      <w:r>
        <w:t xml:space="preserve"> </w:t>
      </w:r>
      <w:r>
        <w:t xml:space="preserve">therefore excluded from the analysis. The remaining 9 documents were submitted by 8 business</w:t>
      </w:r>
      <w:r>
        <w:t xml:space="preserve"> </w:t>
      </w:r>
      <w:r>
        <w:t xml:space="preserve">associations and one NGO.</w:t>
      </w:r>
      <w:r>
        <w:br/>
      </w:r>
      <w:r>
        <w:t xml:space="preserve">Campaigns</w:t>
      </w:r>
      <w:r>
        <w:t xml:space="preserve"> </w:t>
      </w:r>
      <w:r>
        <w:t xml:space="preserve">Overall, 4 main campaigns (48 replies in total) originating from industry associations were</w:t>
      </w:r>
      <w:r>
        <w:t xml:space="preserve"> </w:t>
      </w:r>
      <w:r>
        <w:t xml:space="preserve">identified based on similarities of replies to the open text questions (using NVivo and applying</w:t>
      </w:r>
      <w:r>
        <w:t xml:space="preserve"> </w:t>
      </w:r>
      <w:r>
        <w:t xml:space="preserve">a Jaccard coefficient larger than 0.5). Three of the campaigns (A, B and C) met the criteria of</w:t>
      </w:r>
      <w:r>
        <w:t xml:space="preserve"> </w:t>
      </w:r>
      <w:r>
        <w:t xml:space="preserve">more than 5% of the total number of replies. However, one further campaign was identified</w:t>
      </w:r>
      <w:r>
        <w:t xml:space="preserve"> </w:t>
      </w:r>
      <w:r>
        <w:t xml:space="preserve">(D) with six replies and was included for transparency. Campaign A consisted of 19 replies,</w:t>
      </w:r>
      <w:r>
        <w:t xml:space="preserve"> </w:t>
      </w:r>
      <w:r>
        <w:t xml:space="preserve">and originated from European chemicals associations. Campaign B consisted of 15 replies,</w:t>
      </w:r>
      <w:r>
        <w:t xml:space="preserve"> </w:t>
      </w:r>
      <w:r>
        <w:t xml:space="preserve">and originated from German industry associations. Campaign C consisted of 8 replies</w:t>
      </w:r>
      <w:r>
        <w:t xml:space="preserve"> </w:t>
      </w:r>
      <w:r>
        <w:t xml:space="preserve">originating from European and German paint associations and companies. Campaign D</w:t>
      </w:r>
      <w:r>
        <w:t xml:space="preserve"> </w:t>
      </w:r>
      <w:r>
        <w:t xml:space="preserve">consisted of 6 replies originating from cosmetics associations and industries.</w:t>
      </w:r>
      <w:r>
        <w:t xml:space="preserve"> </w:t>
      </w:r>
      <w:r>
        <w:t xml:space="preserve">Interviews</w:t>
      </w:r>
      <w:r>
        <w:t xml:space="preserve"> </w:t>
      </w:r>
      <w:r>
        <w:t xml:space="preserve">The study team carried out 22 semi-structured interviews with experts who represented: public</w:t>
      </w:r>
      <w:r>
        <w:t xml:space="preserve"> </w:t>
      </w:r>
      <w:r>
        <w:t xml:space="preserve">authorities (5), EU agencies (2), business entities and associations (10), civil societies (3),</w:t>
      </w:r>
      <w:r>
        <w:t xml:space="preserve"> </w:t>
      </w:r>
      <w:r>
        <w:t xml:space="preserve">academic researchers (1), professional organisations (1). Nine conversations were group</w:t>
      </w:r>
      <w:r>
        <w:t xml:space="preserve"> </w:t>
      </w:r>
      <w:r>
        <w:t xml:space="preserve">interviews, while 13 – individual interviews.</w:t>
      </w:r>
    </w:p>
    <w:p>
      <w:pPr>
        <w:pStyle w:val="BodyText"/>
      </w:pPr>
      <w:r>
        <w:t xml:space="preserve">CONSULTATION ACTIVITIES ON DIGITAL LABELLING OF CHEMICALS</w:t>
      </w:r>
      <w:r>
        <w:t xml:space="preserve"> </w:t>
      </w:r>
      <w:r>
        <w:t xml:space="preserve">Interviews</w:t>
      </w:r>
      <w:r>
        <w:t xml:space="preserve"> </w:t>
      </w:r>
      <w:r>
        <w:t xml:space="preserve">Firstly, the study team conducted 10 scoping interviews with EU and international experts on</w:t>
      </w:r>
      <w:r>
        <w:t xml:space="preserve"> </w:t>
      </w:r>
      <w:r>
        <w:t xml:space="preserve">labelling requirements and the use of digital tools to communicate hazard and safety</w:t>
      </w:r>
      <w:r>
        <w:t xml:space="preserve"> </w:t>
      </w:r>
      <w:r>
        <w:t xml:space="preserve">information and instructions to users. Scoping interviews help to familiarise further with the</w:t>
      </w:r>
      <w:r>
        <w:t xml:space="preserve"> </w:t>
      </w:r>
      <w:r>
        <w:t xml:space="preserve">topic and understand its main challenges. The objectives of the scoping interviews were to:</w:t>
      </w:r>
    </w:p>
    <w:p>
      <w:pPr>
        <w:pStyle w:val="BodyText"/>
      </w:pPr>
      <w:r>
        <w:t xml:space="preserve">Ensure that the study team is aware of all relevant background documentation and latest</w:t>
      </w:r>
      <w:r>
        <w:t xml:space="preserve"> </w:t>
      </w:r>
      <w:r>
        <w:t xml:space="preserve">regulatory developments in the field;</w:t>
      </w:r>
    </w:p>
    <w:p>
      <w:pPr>
        <w:pStyle w:val="BodyText"/>
      </w:pPr>
      <w:r>
        <w:t xml:space="preserve">Collect contact details of relevant stakeholders to be contacted during the data</w:t>
      </w:r>
      <w:r>
        <w:t xml:space="preserve"> </w:t>
      </w:r>
      <w:r>
        <w:t xml:space="preserve">collections exercises (i.e., identifying potential future interviewees);</w:t>
      </w:r>
      <w:r>
        <w:br/>
      </w:r>
      <w:r>
        <w:t xml:space="preserve">Raise awareness among stakeholders of the study and its benefits and enlist their future</w:t>
      </w:r>
      <w:r>
        <w:t xml:space="preserve"> </w:t>
      </w:r>
      <w:r>
        <w:t xml:space="preserve">cooperation.</w:t>
      </w:r>
      <w:r>
        <w:t xml:space="preserve"> </w:t>
      </w:r>
      <w:r>
        <w:t xml:space="preserve">In a second phase, interviews were conducted with various types of stakeholders involved in</w:t>
      </w:r>
      <w:r>
        <w:t xml:space="preserve"> </w:t>
      </w:r>
      <w:r>
        <w:t xml:space="preserve">labelling requirements of chemicals and the use of digital tools to communicate hazard and</w:t>
      </w:r>
      <w:r>
        <w:t xml:space="preserve"> </w:t>
      </w:r>
      <w:r>
        <w:t xml:space="preserve">safety information and instructions to users.</w:t>
      </w:r>
      <w:r>
        <w:t xml:space="preserve"> </w:t>
      </w:r>
      <w:r>
        <w:t xml:space="preserve">The objectives of the interviews were to collect stakeholders’ feedback on different topics</w:t>
      </w:r>
      <w:r>
        <w:t xml:space="preserve"> </w:t>
      </w:r>
      <w:r>
        <w:t xml:space="preserve">related to the labelling of chemical products and e-labelling, including:</w:t>
      </w:r>
    </w:p>
    <w:p>
      <w:pPr>
        <w:pStyle w:val="BodyText"/>
      </w:pPr>
      <w:r>
        <w:t xml:space="preserve">Perceived current understanding of chemical labels by different categories of users;</w:t>
      </w:r>
    </w:p>
    <w:p>
      <w:pPr>
        <w:pStyle w:val="BodyText"/>
      </w:pPr>
      <w:r>
        <w:t xml:space="preserve">The usefulness and relevance of information provided currently on chemical labels;</w:t>
      </w:r>
    </w:p>
    <w:p>
      <w:pPr>
        <w:pStyle w:val="BodyText"/>
      </w:pPr>
      <w:r>
        <w:t xml:space="preserve">The assessment of labelling requirements and needs of users;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The analysis of existing IT solutions available for e-labelling;</w:t>
      </w:r>
      <w:r>
        <w:t xml:space="preserve"> </w:t>
      </w:r>
      <w:r>
        <w:t xml:space="preserve">Identification of information that should remain on the physical label and suggestions of</w:t>
      </w:r>
      <w:r>
        <w:t xml:space="preserve"> </w:t>
      </w:r>
      <w:r>
        <w:t xml:space="preserve">information to put on an e-label for chemical products.</w:t>
      </w:r>
      <w:r>
        <w:t xml:space="preserve"> </w:t>
      </w:r>
      <w:r>
        <w:t xml:space="preserve">In total 41 interviews have been conducted with the following categories of stakeholders:</w:t>
      </w:r>
    </w:p>
    <w:p>
      <w:pPr>
        <w:pStyle w:val="BodyText"/>
      </w:pPr>
      <w:r>
        <w:t xml:space="preserve">5 European and national authorities;</w:t>
      </w:r>
    </w:p>
    <w:p>
      <w:pPr>
        <w:pStyle w:val="BodyText"/>
      </w:pPr>
      <w:r>
        <w:t xml:space="preserve">11 NGOs, including 8 consumer associations;</w:t>
      </w:r>
      <w:r>
        <w:t xml:space="preserve"> </w:t>
      </w:r>
      <w:r>
        <w:t xml:space="preserve">25 Business representatives (from business associations and companies).</w:t>
      </w:r>
      <w:r>
        <w:t xml:space="preserve"> </w:t>
      </w:r>
      <w:r>
        <w:t xml:space="preserve">While all categories of stakeholders targeted for this stakeholder consultation have been</w:t>
      </w:r>
      <w:r>
        <w:t xml:space="preserve"> </w:t>
      </w:r>
      <w:r>
        <w:t xml:space="preserve">reached, it must be noted that, among the respondents, a majority of them are representing the</w:t>
      </w:r>
      <w:r>
        <w:t xml:space="preserve"> </w:t>
      </w:r>
      <w:r>
        <w:t xml:space="preserve">interests of the industry. This imbalance and the interests represented by this category of</w:t>
      </w:r>
      <w:r>
        <w:t xml:space="preserve"> </w:t>
      </w:r>
      <w:r>
        <w:t xml:space="preserve">stakeholders have been taken into account in the analysis of the findings of the interviews.</w:t>
      </w:r>
      <w:r>
        <w:t xml:space="preserve"> </w:t>
      </w:r>
      <w:r>
        <w:t xml:space="preserve">Behavioural experiment</w:t>
      </w:r>
      <w:r>
        <w:t xml:space="preserve"> </w:t>
      </w:r>
      <w:r>
        <w:t xml:space="preserve">The aim of the behavioural experiment was to investigate consumers’ understanding of</w:t>
      </w:r>
      <w:r>
        <w:t xml:space="preserve"> </w:t>
      </w:r>
      <w:r>
        <w:t xml:space="preserve">chemical and detergents labels, the importance of different label elements as well as their</w:t>
      </w:r>
      <w:r>
        <w:t xml:space="preserve"> </w:t>
      </w:r>
      <w:r>
        <w:t xml:space="preserve">interpretation with respect to safe use. Furthermore, the experiment tested potentials ways to</w:t>
      </w:r>
      <w:r>
        <w:t xml:space="preserve"> </w:t>
      </w:r>
      <w:r>
        <w:t xml:space="preserve">simplify labels and whether the introduction of digital tools could support consumers.</w:t>
      </w:r>
      <w:r>
        <w:br/>
      </w:r>
      <w:r>
        <w:t xml:space="preserve">Therefore, a state-of-the-art online experiment was designed that included six treatments, i.e. </w:t>
      </w:r>
      <w:r>
        <w:t xml:space="preserve"> </w:t>
      </w:r>
      <w:r>
        <w:t xml:space="preserve">two different products (laundry detergent and glue) as well as three different labelling options</w:t>
      </w:r>
      <w:r>
        <w:t xml:space="preserve"> </w:t>
      </w:r>
      <w:r>
        <w:t xml:space="preserve">(Status Quo Label in accordance with current regulation, Simplified Label with QR-Code and</w:t>
      </w:r>
      <w:r>
        <w:t xml:space="preserve"> </w:t>
      </w:r>
      <w:r>
        <w:t xml:space="preserve">No Label Baseline). Participants were incentivised for taking part in the study as well as for</w:t>
      </w:r>
      <w:r>
        <w:t xml:space="preserve"> </w:t>
      </w:r>
      <w:r>
        <w:t xml:space="preserve">their decisions in the different tasks. Furthermore, the treatment assignment was fully</w:t>
      </w:r>
      <w:r>
        <w:t xml:space="preserve"> </w:t>
      </w:r>
      <w:r>
        <w:t xml:space="preserve">randomised.</w:t>
      </w:r>
      <w:r>
        <w:br/>
      </w:r>
      <w:r>
        <w:t xml:space="preserve">Although representative products and labels were used in the experimental design and</w:t>
      </w:r>
      <w:r>
        <w:t xml:space="preserve"> </w:t>
      </w:r>
      <w:r>
        <w:t xml:space="preserve">participants were tracked when consulting the labels presented on screen, it must be noted that</w:t>
      </w:r>
      <w:r>
        <w:t xml:space="preserve"> </w:t>
      </w:r>
      <w:r>
        <w:t xml:space="preserve">the experiment can only mimic reality, i.e. a situation of consulting a label in everyday life.</w:t>
      </w:r>
      <w:r>
        <w:t xml:space="preserve"> </w:t>
      </w:r>
      <w:r>
        <w:t xml:space="preserve">Main data collection was conducted in four Member States, i.e. DE, EL, FR and RO, and a</w:t>
      </w:r>
      <w:r>
        <w:t xml:space="preserve"> </w:t>
      </w:r>
      <w:r>
        <w:t xml:space="preserve">total of 4,003 consumers took a part in the study.</w:t>
      </w:r>
      <w:r>
        <w:br/>
      </w:r>
      <w:r>
        <w:t xml:space="preserve">Participants were recruited from an actively managed online panel and quotas to reach</w:t>
      </w:r>
      <w:r>
        <w:t xml:space="preserve"> </w:t>
      </w:r>
      <w:r>
        <w:t xml:space="preserve">representativeness of the country-specific samples were used.</w:t>
      </w:r>
      <w:r>
        <w:t xml:space="preserve"> </w:t>
      </w:r>
      <w:r>
        <w:t xml:space="preserve">Open Public Consultation - Simplification and digitalisation of labels on chemicals</w:t>
      </w:r>
      <w:r>
        <w:t xml:space="preserve"> </w:t>
      </w:r>
      <w:r>
        <w:t xml:space="preserve">The findings presented in this Annex represents an analysis of the responses collected on 17</w:t>
      </w:r>
      <w:r>
        <w:t xml:space="preserve"> </w:t>
      </w:r>
      <w:r>
        <w:t xml:space="preserve">February, with 205 respondents. Only the answers to the questions related to the CLP-</w:t>
      </w:r>
      <w:r>
        <w:t xml:space="preserve"> </w:t>
      </w:r>
      <w:r>
        <w:t xml:space="preserve">regulation have been taken into account.</w:t>
      </w:r>
      <w:r>
        <w:t xml:space="preserve"> </w:t>
      </w:r>
      <w:r>
        <w:t xml:space="preserve">These answers have been divided by stakeholder categories: 141 from the private sector</w:t>
      </w:r>
      <w:r>
        <w:t xml:space="preserve"> </w:t>
      </w:r>
      <w:r>
        <w:t xml:space="preserve">(companies, business associations, trade unions), 11 from public authorities, and 53 from</w:t>
      </w:r>
      <w:r>
        <w:t xml:space="preserve"> </w:t>
      </w:r>
      <w:r>
        <w:t xml:space="preserve">consumers’ representatives (48 citizens, 4 consumer association and 1 NGO). Similarly as the</w:t>
      </w:r>
      <w:r>
        <w:t xml:space="preserve"> </w:t>
      </w:r>
      <w:r>
        <w:t xml:space="preserve">interview analysis, the imbalance of representation among stakeholders groups and their</w:t>
      </w:r>
      <w:r>
        <w:t xml:space="preserve"> </w:t>
      </w:r>
      <w:r>
        <w:t xml:space="preserve">different interests has been taken into account when processing the answers.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Online survey on policy option</w:t>
      </w:r>
      <w:r>
        <w:t xml:space="preserve"> </w:t>
      </w:r>
      <w:r>
        <w:t xml:space="preserve">This consultation, run by VVA, aimed at gathering the opinion of the various stakeholders</w:t>
      </w:r>
      <w:r>
        <w:t xml:space="preserve"> </w:t>
      </w:r>
      <w:r>
        <w:t xml:space="preserve">(consumers, professional and non-professional product users, industry, civil society</w:t>
      </w:r>
      <w:r>
        <w:t xml:space="preserve"> </w:t>
      </w:r>
      <w:r>
        <w:t xml:space="preserve">organisations, national authorities and any other interested stakeholders) on the latest version</w:t>
      </w:r>
      <w:r>
        <w:t xml:space="preserve"> </w:t>
      </w:r>
      <w:r>
        <w:t xml:space="preserve">of policy options analysed in this study. This survey allowed stakeholders to provide a punctual</w:t>
      </w:r>
      <w:r>
        <w:t xml:space="preserve"> </w:t>
      </w:r>
      <w:r>
        <w:t xml:space="preserve">opinion on the measures taken into consideration for this analysis.</w:t>
      </w:r>
      <w:r>
        <w:t xml:space="preserve"> </w:t>
      </w:r>
      <w:r>
        <w:t xml:space="preserve">The answers have been divided by stakeholder category: 12 Member State authorities, 1</w:t>
      </w:r>
      <w:r>
        <w:t xml:space="preserve"> </w:t>
      </w:r>
      <w:r>
        <w:t xml:space="preserve">consumer organisation, 43 industry representatives (industry associations, businesses).</w:t>
      </w:r>
      <w:r>
        <w:t xml:space="preserve"> </w:t>
      </w:r>
      <w:r>
        <w:t xml:space="preserve">Online survey for professionals and industry users</w:t>
      </w:r>
      <w:r>
        <w:t xml:space="preserve"> </w:t>
      </w:r>
      <w:r>
        <w:t xml:space="preserve">The aim of the survey was to collect information from the stakeholders representing</w:t>
      </w:r>
      <w:r>
        <w:t xml:space="preserve"> </w:t>
      </w:r>
      <w:r>
        <w:t xml:space="preserve">professionals and the industry on the importance of having certain pieces of information9 on</w:t>
      </w:r>
      <w:r>
        <w:t xml:space="preserve"> </w:t>
      </w:r>
      <w:r>
        <w:t xml:space="preserve">the packaging of the specific chemical products10 as well as the easiness to understand the</w:t>
      </w:r>
      <w:r>
        <w:t xml:space="preserve"> </w:t>
      </w:r>
      <w:r>
        <w:t xml:space="preserve">information concerning these elements in these products.</w:t>
      </w:r>
    </w:p>
    <w:p>
      <w:pPr>
        <w:pStyle w:val="BodyText"/>
      </w:pPr>
      <w:r>
        <w:t xml:space="preserve">STAKEHOLDERS’ VIEWS</w:t>
      </w:r>
      <w:r>
        <w:t xml:space="preserve"> </w:t>
      </w:r>
      <w:r>
        <w:t xml:space="preserve">Area 1: Hazard identification</w:t>
      </w:r>
      <w:r>
        <w:t xml:space="preserve"> </w:t>
      </w:r>
      <w:r>
        <w:t xml:space="preserve">The OPC results show that opinions about the introduction of new hazard classes</w:t>
      </w:r>
      <w:r>
        <w:t xml:space="preserve"> </w:t>
      </w:r>
      <w:r>
        <w:t xml:space="preserve">substantially varied between different stakeholder groups:</w:t>
      </w:r>
      <w:r>
        <w:br/>
      </w:r>
      <w:r>
        <w:t xml:space="preserve">Civil societies, public authorities and citizens were in favour of ‘a sub-categorisation for</w:t>
      </w:r>
      <w:r>
        <w:t xml:space="preserve"> </w:t>
      </w:r>
      <w:r>
        <w:t xml:space="preserve">chemicals with a high level of certainty on their endocrine-disrupting properties’, while 63%</w:t>
      </w:r>
      <w:r>
        <w:t xml:space="preserve"> </w:t>
      </w:r>
      <w:r>
        <w:t xml:space="preserve">of companies and business associations were not in favour.</w:t>
      </w:r>
      <w:r>
        <w:br/>
      </w:r>
      <w:r>
        <w:t xml:space="preserve">Most respondents (69% overall) did not believe that a category for suspected PBT (and one for</w:t>
      </w:r>
      <w:r>
        <w:t xml:space="preserve"> </w:t>
      </w:r>
      <w:r>
        <w:t xml:space="preserve">suspected vPvB) would be needed. However, citizens were polarised in their responses (44%</w:t>
      </w:r>
      <w:r>
        <w:t xml:space="preserve"> </w:t>
      </w:r>
      <w:r>
        <w:t xml:space="preserve">yes, 56% no). Stakeholders’ views also varied regarding whether categories for suspected PMT</w:t>
      </w:r>
      <w:r>
        <w:t xml:space="preserve"> </w:t>
      </w:r>
      <w:r>
        <w:t xml:space="preserve">and vPvM would be needed: companies and business associations were mostly not in favour</w:t>
      </w:r>
      <w:r>
        <w:t xml:space="preserve"> </w:t>
      </w:r>
      <w:r>
        <w:t xml:space="preserve">(75%), while most respondents of the other stakeholder groups were in favour (civil society,</w:t>
      </w:r>
      <w:r>
        <w:t xml:space="preserve"> </w:t>
      </w:r>
      <w:r>
        <w:t xml:space="preserve">79%; citizens, 62%; and public authorities, 53%).</w:t>
      </w:r>
      <w:r>
        <w:br/>
      </w:r>
      <w:r>
        <w:t xml:space="preserve">Of all respondents, 36% considered developing a hazard class or criteria for immunotoxicity</w:t>
      </w:r>
      <w:r>
        <w:t xml:space="preserve"> </w:t>
      </w:r>
      <w:r>
        <w:t xml:space="preserve">‘very relevant’, whilst 21% are ‘neutral’ and 16% consider it ‘somewhat relevant’. Thirty-six</w:t>
      </w:r>
      <w:r>
        <w:t xml:space="preserve"> </w:t>
      </w:r>
      <w:r>
        <w:t xml:space="preserve">percent (36%) of all respondents consider the development of a separate specific hazard class</w:t>
      </w:r>
      <w:r>
        <w:t xml:space="preserve"> </w:t>
      </w:r>
      <w:r>
        <w:t xml:space="preserve">or criteria for neurotoxicity ‘very relevant’. Companies and business associations were most</w:t>
      </w:r>
      <w:r>
        <w:t xml:space="preserve"> </w:t>
      </w:r>
      <w:r>
        <w:t xml:space="preserve">likely to consider the issue ‘very irrelevant’ (25%), while public authorities responded neutrally</w:t>
      </w:r>
      <w:r>
        <w:t xml:space="preserve"> </w:t>
      </w:r>
      <w:r>
        <w:t xml:space="preserve">or ‘somewhat relevant’.</w:t>
      </w:r>
    </w:p>
    <w:p>
      <w:pPr>
        <w:pStyle w:val="BodyText"/>
      </w:pPr>
      <w:r>
        <w:t xml:space="preserve">9 Name of the product; Address and telephone number of the supplier; Instructions for use; Dosage</w:t>
      </w:r>
      <w:r>
        <w:t xml:space="preserve"> </w:t>
      </w:r>
      <w:r>
        <w:t xml:space="preserve">recommendations; Marketing information; Quantity; List of ingredients contained in the product, such as</w:t>
      </w:r>
      <w:r>
        <w:t xml:space="preserve"> </w:t>
      </w:r>
      <w:r>
        <w:t xml:space="preserve">allergens, preservatives or enzymes; Weblink to receive full ingredients list; Information relevant in case of</w:t>
      </w:r>
      <w:r>
        <w:t xml:space="preserve"> </w:t>
      </w:r>
      <w:r>
        <w:t xml:space="preserve">intoxication e.g. poison centre telephone number; UFI-code etc.; Hazard pictogram; Signal word, i.e., “Warning”</w:t>
      </w:r>
      <w:r>
        <w:t xml:space="preserve"> </w:t>
      </w:r>
      <w:r>
        <w:t xml:space="preserve">or “Danger”; Statements on the products hazards for human health environment and physical hazards; Statements</w:t>
      </w:r>
      <w:r>
        <w:t xml:space="preserve"> </w:t>
      </w:r>
      <w:r>
        <w:t xml:space="preserve">on the precautions to be taken on the use, storage and disposal of the product; Statements on how to prevent and</w:t>
      </w:r>
      <w:r>
        <w:t xml:space="preserve"> </w:t>
      </w:r>
      <w:r>
        <w:t xml:space="preserve">minimise adverse effects when accidentally exposed.</w:t>
      </w:r>
      <w:r>
        <w:t xml:space="preserve"> </w:t>
      </w:r>
      <w:r>
        <w:t xml:space="preserve">10 Laundry detergents; Cleaning detergents; Glues; Paints; Sealants or fillers.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TSS responses analysis confirmed that business entities and associations were, mostly, not in</w:t>
      </w:r>
      <w:r>
        <w:t xml:space="preserve"> </w:t>
      </w:r>
      <w:r>
        <w:t xml:space="preserve">favour of introducing new hazard classes. The key argumentations were that it will cause</w:t>
      </w:r>
      <w:r>
        <w:t xml:space="preserve"> </w:t>
      </w:r>
      <w:r>
        <w:t xml:space="preserve">information overload in hazard communication, distort the level playing field in international</w:t>
      </w:r>
      <w:r>
        <w:t xml:space="preserve"> </w:t>
      </w:r>
      <w:r>
        <w:t xml:space="preserve">trade and lead to an increase in costs for various activities, including hazard assessment,</w:t>
      </w:r>
      <w:r>
        <w:t xml:space="preserve"> </w:t>
      </w:r>
      <w:r>
        <w:t xml:space="preserve">classification and reclassification of substances, labelling and relabelling of substances and</w:t>
      </w:r>
      <w:r>
        <w:t xml:space="preserve"> </w:t>
      </w:r>
      <w:r>
        <w:t xml:space="preserve">mixtures, update and distribution of revised safety data sheets (SDS), packaging, reformulation</w:t>
      </w:r>
      <w:r>
        <w:t xml:space="preserve"> </w:t>
      </w:r>
      <w:r>
        <w:t xml:space="preserve">of mixtures, update of IT systems and training the staff. They also pointed to overlaps in hazard</w:t>
      </w:r>
      <w:r>
        <w:t xml:space="preserve"> </w:t>
      </w:r>
      <w:r>
        <w:t xml:space="preserve">classes and other problems in hazard class definitions, which are still premature from a</w:t>
      </w:r>
      <w:r>
        <w:t xml:space="preserve"> </w:t>
      </w:r>
      <w:r>
        <w:t xml:space="preserve">scientific point of view. In this regard, the common arguments against new hazard classes,</w:t>
      </w:r>
      <w:r>
        <w:t xml:space="preserve"> </w:t>
      </w:r>
      <w:r>
        <w:t xml:space="preserve">many of them advocated by business entities, were as follows:</w:t>
      </w:r>
      <w:r>
        <w:t xml:space="preserve"> </w:t>
      </w:r>
      <w:r>
        <w:t xml:space="preserve"> Endocrine disrupting properties of chemicals refer to a mode of action, not a hazard.</w:t>
      </w:r>
      <w:r>
        <w:t xml:space="preserve"> </w:t>
      </w:r>
      <w:r>
        <w:t xml:space="preserve">Also, properties such as persistency, mobility and similar are not necessarily related to</w:t>
      </w:r>
      <w:r>
        <w:t xml:space="preserve"> </w:t>
      </w:r>
      <w:r>
        <w:t xml:space="preserve">hazards, i.e. they do not automatically mean that a chemical is hazardous.</w:t>
      </w:r>
      <w:r>
        <w:t xml:space="preserve"> </w:t>
      </w:r>
      <w:r>
        <w:t xml:space="preserve"> The existing hazard classification in the CLP Regulation already covers the hazards of</w:t>
      </w:r>
      <w:r>
        <w:t xml:space="preserve"> </w:t>
      </w:r>
      <w:r>
        <w:t xml:space="preserve">endocrine-disrupting substances.</w:t>
      </w:r>
      <w:r>
        <w:t xml:space="preserve"> </w:t>
      </w:r>
      <w:r>
        <w:t xml:space="preserve">Consultees provided counterarguments, for instance, for treating endocrine disrupting</w:t>
      </w:r>
      <w:r>
        <w:t xml:space="preserve"> </w:t>
      </w:r>
      <w:r>
        <w:t xml:space="preserve">properties as a mode of action. They stated that EDs affect various organisms in very different</w:t>
      </w:r>
      <w:r>
        <w:t xml:space="preserve"> </w:t>
      </w:r>
      <w:r>
        <w:t xml:space="preserve">ways; therefore, one cannot speak of a single mode of action. Similarly, some</w:t>
      </w:r>
      <w:r>
        <w:t xml:space="preserve"> </w:t>
      </w:r>
      <w:r>
        <w:t xml:space="preserve">counterarguments were available in the written responses of CARACAL members on</w:t>
      </w:r>
      <w:r>
        <w:t xml:space="preserve"> </w:t>
      </w:r>
      <w:r>
        <w:t xml:space="preserve">PBT/vPvB/PMT/vPvM properties. For instance, some CARACAL members highlighted those</w:t>
      </w:r>
      <w:r>
        <w:t xml:space="preserve"> </w:t>
      </w:r>
      <w:r>
        <w:t xml:space="preserve">substances with a combination of specific properties, e.g., very persistent and very mobile or</w:t>
      </w:r>
      <w:r>
        <w:t xml:space="preserve"> </w:t>
      </w:r>
      <w:r>
        <w:t xml:space="preserve">persistent, mobile and toxic pose a threat to drinking water sources. Such combinations of</w:t>
      </w:r>
      <w:r>
        <w:t xml:space="preserve"> </w:t>
      </w:r>
      <w:r>
        <w:t xml:space="preserve">properties increase the chances of chemicals passing natural and artificial barriers in</w:t>
      </w:r>
      <w:r>
        <w:t xml:space="preserve"> </w:t>
      </w:r>
      <w:r>
        <w:t xml:space="preserve">wastewater treatment facilities.</w:t>
      </w:r>
      <w:r>
        <w:br/>
      </w:r>
      <w:r>
        <w:t xml:space="preserve">Supporters of the introduction of new hazard classes highlighted reduced exposure to</w:t>
      </w:r>
      <w:r>
        <w:t xml:space="preserve"> </w:t>
      </w:r>
      <w:r>
        <w:t xml:space="preserve">hazardous chemicals, safer workplaces, substitution and better control of hazardous chemicals</w:t>
      </w:r>
      <w:r>
        <w:t xml:space="preserve"> </w:t>
      </w:r>
      <w:r>
        <w:t xml:space="preserve">as the key reasons for having new hazard classes in CLP. On the other side, opponents pointed</w:t>
      </w:r>
      <w:r>
        <w:t xml:space="preserve"> </w:t>
      </w:r>
      <w:r>
        <w:t xml:space="preserve">to the issues in international trade, the potential for regrettable substitutions as well as the</w:t>
      </w:r>
      <w:r>
        <w:t xml:space="preserve"> </w:t>
      </w:r>
      <w:r>
        <w:t xml:space="preserve">increased costs and burdens for businesses as the main arguments for not including new hazard</w:t>
      </w:r>
      <w:r>
        <w:t xml:space="preserve"> </w:t>
      </w:r>
      <w:r>
        <w:t xml:space="preserve">classes.</w:t>
      </w:r>
      <w:r>
        <w:t xml:space="preserve"> </w:t>
      </w:r>
      <w:r>
        <w:t xml:space="preserve">Area 2: Toxicity reference values and harmonised classification and labelling</w:t>
      </w:r>
      <w:r>
        <w:t xml:space="preserve"> </w:t>
      </w:r>
      <w:r>
        <w:t xml:space="preserve">Stakeholders’ views on harmonising toxicity reference values in the CLP Regulation ranged</w:t>
      </w:r>
      <w:r>
        <w:t xml:space="preserve"> </w:t>
      </w:r>
      <w:r>
        <w:t xml:space="preserve">from neutral to negative in the different consultation activities. With regards to the importance</w:t>
      </w:r>
      <w:r>
        <w:t xml:space="preserve"> </w:t>
      </w:r>
      <w:r>
        <w:t xml:space="preserve">of harmonising toxicity reference values (i.e., DNEL, DMEL, PNEC) under CLP, responses to</w:t>
      </w:r>
      <w:r>
        <w:t xml:space="preserve"> </w:t>
      </w:r>
      <w:r>
        <w:t xml:space="preserve">the OPC among the stakeholder types remained broadly neutral, with some variation between</w:t>
      </w:r>
      <w:r>
        <w:t xml:space="preserve"> </w:t>
      </w:r>
      <w:r>
        <w:t xml:space="preserve">companies and business associations who were more likely to respond ‘not important’, and</w:t>
      </w:r>
      <w:r>
        <w:t xml:space="preserve"> </w:t>
      </w:r>
      <w:r>
        <w:t xml:space="preserve">public authorities and citizens who were more likely to respond ‘important’. Sixty per cent of</w:t>
      </w:r>
      <w:r>
        <w:t xml:space="preserve"> </w:t>
      </w:r>
      <w:r>
        <w:t xml:space="preserve">the TSS respondents did not consider the inclusion of toxicity reference values in harmonised</w:t>
      </w:r>
      <w:r>
        <w:t xml:space="preserve"> </w:t>
      </w:r>
      <w:r>
        <w:t xml:space="preserve">classifications particularly important. Many stressed that the issue of hazard quantification,</w:t>
      </w:r>
      <w:r>
        <w:t xml:space="preserve"> </w:t>
      </w:r>
      <w:r>
        <w:t xml:space="preserve">and therefore the establishment of harmonised toxicity reference values, is out of the</w:t>
      </w:r>
      <w:r>
        <w:t xml:space="preserve"> </w:t>
      </w:r>
      <w:r>
        <w:t xml:space="preserve">scope of the CLP Regulation.</w:t>
      </w:r>
      <w:r>
        <w:t xml:space="preserve"> </w:t>
      </w:r>
      <w:r>
        <w:t xml:space="preserve">Most respondents of the OPC and TSS supported the prioritisation system in the harmonised</w:t>
      </w:r>
      <w:r>
        <w:t xml:space="preserve"> </w:t>
      </w:r>
      <w:r>
        <w:t xml:space="preserve">classification and labelling (CLH). Sixty-eight percent (68%) of the OPC respondents and 54%</w:t>
      </w:r>
      <w:r>
        <w:t xml:space="preserve"> </w:t>
      </w:r>
      <w:r>
        <w:t xml:space="preserve">of TSS respondents agreed that the CLH system should allow for the prioritisation of</w:t>
      </w:r>
      <w:r>
        <w:t xml:space="preserve"> </w:t>
      </w:r>
      <w:r>
        <w:t xml:space="preserve">substances raising high level of concern.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However, opinions about providing the Commission with the right to initiate CLH varied.</w:t>
      </w:r>
      <w:r>
        <w:t xml:space="preserve"> </w:t>
      </w:r>
      <w:r>
        <w:t xml:space="preserve">Forty-six per cent of the OPC respondents strongly agree with such an option, while 20% -</w:t>
      </w:r>
      <w:r>
        <w:t xml:space="preserve"> </w:t>
      </w:r>
      <w:r>
        <w:t xml:space="preserve">strongly disagree. Civil society, public authorities and citizens were more likely to strongly</w:t>
      </w:r>
      <w:r>
        <w:t xml:space="preserve"> </w:t>
      </w:r>
      <w:r>
        <w:t xml:space="preserve">agree with this statement than companies and business associations.</w:t>
      </w:r>
      <w:r>
        <w:br/>
      </w:r>
      <w:r>
        <w:t xml:space="preserve">Strong support (89% of TSS respondents - ‘very important’/’fairly important’, except civil</w:t>
      </w:r>
      <w:r>
        <w:t xml:space="preserve"> </w:t>
      </w:r>
      <w:r>
        <w:t xml:space="preserve">societies) was expressed for the provision of the right to propose modifications to existing</w:t>
      </w:r>
      <w:r>
        <w:t xml:space="preserve"> </w:t>
      </w:r>
      <w:r>
        <w:t xml:space="preserve">CLH to manufacturers, importers and downstream users subject to specific conditions,</w:t>
      </w:r>
      <w:r>
        <w:t xml:space="preserve"> </w:t>
      </w:r>
      <w:r>
        <w:t xml:space="preserve">including priority assessment by the Commission.</w:t>
      </w:r>
      <w:r>
        <w:t xml:space="preserve"> </w:t>
      </w:r>
      <w:r>
        <w:t xml:space="preserve">Regarding the CLH process, two opposite opinions dominated: some respondents consider the</w:t>
      </w:r>
      <w:r>
        <w:t xml:space="preserve"> </w:t>
      </w:r>
      <w:r>
        <w:t xml:space="preserve">CLH process as inefficient (e.g., in terms of time, organisation of procedures, etc.); others</w:t>
      </w:r>
      <w:r>
        <w:t xml:space="preserve"> </w:t>
      </w:r>
      <w:r>
        <w:t xml:space="preserve">believe that the process is organised properly and does not require improvements. Some</w:t>
      </w:r>
      <w:r>
        <w:t xml:space="preserve"> </w:t>
      </w:r>
      <w:r>
        <w:t xml:space="preserve">interviewees noted the lack of scientific quality and fair prioritisation of substances for CLH.</w:t>
      </w:r>
      <w:r>
        <w:t xml:space="preserve"> </w:t>
      </w:r>
      <w:r>
        <w:t xml:space="preserve">Importantly, some CARACAL members highlighted that ECHA and RAC work at maximum</w:t>
      </w:r>
      <w:r>
        <w:t xml:space="preserve"> </w:t>
      </w:r>
      <w:r>
        <w:t xml:space="preserve">capacity.</w:t>
      </w:r>
      <w:r>
        <w:br/>
      </w:r>
      <w:r>
        <w:t xml:space="preserve">Area 3: Self-classification</w:t>
      </w:r>
      <w:r>
        <w:t xml:space="preserve"> </w:t>
      </w:r>
      <w:r>
        <w:t xml:space="preserve">Consultees believe that ECHA should be able to remove incomplete, incorrect or obsolete</w:t>
      </w:r>
      <w:r>
        <w:t xml:space="preserve"> </w:t>
      </w:r>
      <w:r>
        <w:t xml:space="preserve">notifications from the Classification and Labelling Inventory (CLI) after having informed the</w:t>
      </w:r>
      <w:r>
        <w:t xml:space="preserve"> </w:t>
      </w:r>
      <w:r>
        <w:t xml:space="preserve">notifier.</w:t>
      </w:r>
      <w:r>
        <w:br/>
      </w:r>
      <w:r>
        <w:t xml:space="preserve">Around 70% of TSS respondents stressed that it is important to improve ECHA’s digital tools</w:t>
      </w:r>
      <w:r>
        <w:t xml:space="preserve"> </w:t>
      </w:r>
      <w:r>
        <w:t xml:space="preserve">for classification and labelling notification. Seventy-two percent (72%) of respondents to the</w:t>
      </w:r>
      <w:r>
        <w:t xml:space="preserve"> </w:t>
      </w:r>
      <w:r>
        <w:t xml:space="preserve">OPC believed that the obligation to agree on a CLI entry should be strengthened.</w:t>
      </w:r>
      <w:r>
        <w:br/>
      </w:r>
      <w:r>
        <w:t xml:space="preserve">While many respondents acknowledged that the Inventory contains obsolete information and</w:t>
      </w:r>
      <w:r>
        <w:t xml:space="preserve"> </w:t>
      </w:r>
      <w:r>
        <w:t xml:space="preserve">errors and diverging self-classifications of the same substance, they do not see these as major</w:t>
      </w:r>
      <w:r>
        <w:t xml:space="preserve"> </w:t>
      </w:r>
      <w:r>
        <w:t xml:space="preserve">problems. Some do think that the quality of the information is not good and the CLI cannot be</w:t>
      </w:r>
      <w:r>
        <w:t xml:space="preserve"> </w:t>
      </w:r>
      <w:r>
        <w:t xml:space="preserve">trusted, but these issues do not have any major impact on stakeholders.</w:t>
      </w:r>
      <w:r>
        <w:br/>
      </w:r>
      <w:r>
        <w:t xml:space="preserve">Area 4: Labelling</w:t>
      </w:r>
      <w:r>
        <w:t xml:space="preserve"> </w:t>
      </w:r>
      <w:r>
        <w:t xml:space="preserve">Mixed views were received from respondents concerning how clear and easy to understand</w:t>
      </w:r>
      <w:r>
        <w:t xml:space="preserve"> </w:t>
      </w:r>
      <w:r>
        <w:t xml:space="preserve">chemical labels are in general. The only respondent stakeholder group to indicate that labels</w:t>
      </w:r>
      <w:r>
        <w:t xml:space="preserve"> </w:t>
      </w:r>
      <w:r>
        <w:t xml:space="preserve">are generally ‘clear/understandable’ were public authorities, with the remaining stakeholder</w:t>
      </w:r>
      <w:r>
        <w:t xml:space="preserve"> </w:t>
      </w:r>
      <w:r>
        <w:t xml:space="preserve">groups</w:t>
      </w:r>
      <w:r>
        <w:t xml:space="preserve"> </w:t>
      </w:r>
      <w:r>
        <w:t xml:space="preserve">indicating</w:t>
      </w:r>
      <w:r>
        <w:t xml:space="preserve"> </w:t>
      </w:r>
      <w:r>
        <w:t xml:space="preserve">somewhere</w:t>
      </w:r>
      <w:r>
        <w:t xml:space="preserve"> </w:t>
      </w:r>
      <w:r>
        <w:t xml:space="preserve">between</w:t>
      </w:r>
      <w:r>
        <w:t xml:space="preserve"> </w:t>
      </w:r>
      <w:r>
        <w:t xml:space="preserve">‘unclear</w:t>
      </w:r>
      <w:r>
        <w:t xml:space="preserve"> </w:t>
      </w:r>
      <w:r>
        <w:t xml:space="preserve">and</w:t>
      </w:r>
      <w:r>
        <w:t xml:space="preserve"> </w:t>
      </w:r>
      <w:r>
        <w:t xml:space="preserve">hard</w:t>
      </w:r>
      <w:r>
        <w:t xml:space="preserve"> </w:t>
      </w:r>
      <w:r>
        <w:t xml:space="preserve">to</w:t>
      </w:r>
      <w:r>
        <w:t xml:space="preserve"> </w:t>
      </w:r>
      <w:r>
        <w:t xml:space="preserve">understand’</w:t>
      </w:r>
      <w:r>
        <w:t xml:space="preserve"> </w:t>
      </w:r>
      <w:r>
        <w:t xml:space="preserve">and</w:t>
      </w:r>
      <w:r>
        <w:t xml:space="preserve"> </w:t>
      </w:r>
      <w:r>
        <w:t xml:space="preserve">‘clear/understandable’, suggesting room for improvement.</w:t>
      </w:r>
      <w:r>
        <w:t xml:space="preserve"> </w:t>
      </w:r>
      <w:r>
        <w:t xml:space="preserve">When given the option to provide less but clearer information on labels or ‘as much information</w:t>
      </w:r>
      <w:r>
        <w:t xml:space="preserve"> </w:t>
      </w:r>
      <w:r>
        <w:t xml:space="preserve">as possible’ (making the label more difficult to read in some cases), most respondents (80%)</w:t>
      </w:r>
      <w:r>
        <w:t xml:space="preserve"> </w:t>
      </w:r>
      <w:r>
        <w:t xml:space="preserve">indicated that they would prefer less but clearer information on labels. This was true across</w:t>
      </w:r>
      <w:r>
        <w:t xml:space="preserve"> </w:t>
      </w:r>
      <w:r>
        <w:t xml:space="preserve">all the stakeholder groups, although responses from civil society were more evenly split (52%</w:t>
      </w:r>
      <w:r>
        <w:t xml:space="preserve"> </w:t>
      </w:r>
      <w:r>
        <w:t xml:space="preserve">would prefer less information, 48% would prefer as much information as possible).</w:t>
      </w:r>
      <w:r>
        <w:t xml:space="preserve"> </w:t>
      </w:r>
      <w:r>
        <w:t xml:space="preserve">A varying level of support for digital labels was expressed by OPC and TSS respondents.</w:t>
      </w:r>
      <w:r>
        <w:t xml:space="preserve"> </w:t>
      </w:r>
      <w:r>
        <w:t xml:space="preserve">Ninety-two percent (92%) of business entities and associations who responded to the TSS</w:t>
      </w:r>
      <w:r>
        <w:t xml:space="preserve"> </w:t>
      </w:r>
      <w:r>
        <w:t xml:space="preserve">welcomed digital labelling as a complementary hazard communication measure. Thirty-eight</w:t>
      </w:r>
      <w:r>
        <w:t xml:space="preserve"> </w:t>
      </w:r>
      <w:r>
        <w:t xml:space="preserve">percent (38%) of the OPC respondents chose digital labels as the best options for receiving</w:t>
      </w:r>
      <w:r>
        <w:t xml:space="preserve"> </w:t>
      </w:r>
      <w:r>
        <w:t xml:space="preserve">information on hazards and safety instructions when buying re-fill detergents. It was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highlighted that care must however be taken as not all product users may have access to digital</w:t>
      </w:r>
      <w:r>
        <w:t xml:space="preserve"> </w:t>
      </w:r>
      <w:r>
        <w:t xml:space="preserve">information.</w:t>
      </w:r>
      <w:r>
        <w:br/>
      </w:r>
      <w:r>
        <w:t xml:space="preserve">With regard to the labelling of chemical products provided in small packages, companies</w:t>
      </w:r>
      <w:r>
        <w:t xml:space="preserve"> </w:t>
      </w:r>
      <w:r>
        <w:t xml:space="preserve">and business associations felt that this is beneficial only when the presence of a hazardous</w:t>
      </w:r>
      <w:r>
        <w:t xml:space="preserve"> </w:t>
      </w:r>
      <w:r>
        <w:t xml:space="preserve">substance has a realistic chance to cause actual harm to the user.</w:t>
      </w:r>
      <w:r>
        <w:br/>
      </w:r>
      <w:r>
        <w:t xml:space="preserve">Furthermore, business entities and associations who responded to the TSS strongly</w:t>
      </w:r>
      <w:r>
        <w:t xml:space="preserve"> </w:t>
      </w:r>
      <w:r>
        <w:t xml:space="preserve">supported other labelling measures, such as derogation from labelling requirements for</w:t>
      </w:r>
      <w:r>
        <w:t xml:space="preserve"> </w:t>
      </w:r>
      <w:r>
        <w:t xml:space="preserve">substances and mixtures supplied in bulk (71% rated as ‘very important’/’fairly important’),</w:t>
      </w:r>
      <w:r>
        <w:t xml:space="preserve"> </w:t>
      </w:r>
      <w:r>
        <w:t xml:space="preserve">derogation from labelling requirements for substances and mixtures contained in very small</w:t>
      </w:r>
      <w:r>
        <w:t xml:space="preserve"> </w:t>
      </w:r>
      <w:r>
        <w:t xml:space="preserve">packaging (90% rated as ‘very important’/’fairly important’), and the use of fold-out labels to</w:t>
      </w:r>
      <w:r>
        <w:t xml:space="preserve"> </w:t>
      </w:r>
      <w:r>
        <w:t xml:space="preserve">provide information in the EU languages (76% rated as ‘very important’/’fairly important’).</w:t>
      </w:r>
      <w:r>
        <w:t xml:space="preserve"> </w:t>
      </w:r>
      <w:r>
        <w:t xml:space="preserve">In the OPC, all stakeholder groups agreed that there would be significant cost savings from</w:t>
      </w:r>
      <w:r>
        <w:t xml:space="preserve"> </w:t>
      </w:r>
      <w:r>
        <w:t xml:space="preserve">the following four policy options: exempting small products (pens, lighters) from certain</w:t>
      </w:r>
      <w:r>
        <w:t xml:space="preserve"> </w:t>
      </w:r>
      <w:r>
        <w:t xml:space="preserve">labelling requirements, allowing a wide use of multilanguage labels/fold-out labels, providing</w:t>
      </w:r>
      <w:r>
        <w:t xml:space="preserve"> </w:t>
      </w:r>
      <w:r>
        <w:t xml:space="preserve">certain obligatory labelling information digitally instead of on the label, and providing</w:t>
      </w:r>
      <w:r>
        <w:t xml:space="preserve"> </w:t>
      </w:r>
      <w:r>
        <w:t xml:space="preserve">additional information digitally. Public authorities were the most likely to suggest that</w:t>
      </w:r>
      <w:r>
        <w:t xml:space="preserve"> </w:t>
      </w:r>
      <w:r>
        <w:t xml:space="preserve">obligatory provision of information via digital labelling instead of the traditional label could</w:t>
      </w:r>
      <w:r>
        <w:t xml:space="preserve"> </w:t>
      </w:r>
      <w:r>
        <w:t xml:space="preserve">have significant negative health, safety and environmental impacts. Business entities and</w:t>
      </w:r>
      <w:r>
        <w:t xml:space="preserve"> </w:t>
      </w:r>
      <w:r>
        <w:t xml:space="preserve">associations were more likely to see some cost savings as a result of labelling derogations for</w:t>
      </w:r>
      <w:r>
        <w:t xml:space="preserve"> </w:t>
      </w:r>
      <w:r>
        <w:t xml:space="preserve">smalls products and bulk chemicals, application of digital labelling and fold-out labels, as well</w:t>
      </w:r>
      <w:r>
        <w:t xml:space="preserve"> </w:t>
      </w:r>
      <w:r>
        <w:t xml:space="preserve">as using symbols instead of multilingual texts on the label.</w:t>
      </w:r>
      <w:r>
        <w:br/>
      </w:r>
      <w:r>
        <w:t xml:space="preserve">Interviewees consider that the lack of information through labels for re-fill chemicals as a</w:t>
      </w:r>
      <w:r>
        <w:t xml:space="preserve"> </w:t>
      </w:r>
      <w:r>
        <w:t xml:space="preserve">significant gap. The insufficient granularity of opinions was observed with regards to</w:t>
      </w:r>
      <w:r>
        <w:t xml:space="preserve"> </w:t>
      </w:r>
      <w:r>
        <w:t xml:space="preserve">chemicals sold in bulk, which were mainly treated as fuels. In the open text responses to the</w:t>
      </w:r>
      <w:r>
        <w:t xml:space="preserve"> </w:t>
      </w:r>
      <w:r>
        <w:t xml:space="preserve">TSS, businesses expressed different opinions regarding bulk chemicals. Some respondents</w:t>
      </w:r>
      <w:r>
        <w:t xml:space="preserve"> </w:t>
      </w:r>
      <w:r>
        <w:t xml:space="preserve">draw attention to the fact that hazards of chemicals sold in bulk (fuels in particular) are not</w:t>
      </w:r>
      <w:r>
        <w:t xml:space="preserve"> </w:t>
      </w:r>
      <w:r>
        <w:t xml:space="preserve">communicated, while others emphasised that fuels are sold to trained users who are well-aware</w:t>
      </w:r>
      <w:r>
        <w:t xml:space="preserve"> </w:t>
      </w:r>
      <w:r>
        <w:t xml:space="preserve">of the product and buy it repeatedly. Similar concerns were voiced by CARACAL members.</w:t>
      </w:r>
      <w:r>
        <w:t xml:space="preserve"> </w:t>
      </w:r>
      <w:r>
        <w:t xml:space="preserve">Area 5: digital labelling</w:t>
      </w:r>
      <w:r>
        <w:t xml:space="preserve"> </w:t>
      </w:r>
      <w:r>
        <w:t xml:space="preserve">Views on consumers’ understanding of chemical labels: A majority of stakeholders from</w:t>
      </w:r>
      <w:r>
        <w:t xml:space="preserve"> </w:t>
      </w:r>
      <w:r>
        <w:t xml:space="preserve">both the business sectors (22 out of 24) and consumer associations (6 out of 10) believes that,</w:t>
      </w:r>
      <w:r>
        <w:t xml:space="preserve"> </w:t>
      </w:r>
      <w:r>
        <w:t xml:space="preserve">the chemical labels as they are now, are not well understood by consumers, for a variety of</w:t>
      </w:r>
      <w:r>
        <w:t xml:space="preserve"> </w:t>
      </w:r>
      <w:r>
        <w:t xml:space="preserve">reasons. First of all, the main arguments highlighted that would explain a poor understanding</w:t>
      </w:r>
      <w:r>
        <w:t xml:space="preserve"> </w:t>
      </w:r>
      <w:r>
        <w:t xml:space="preserve">of chemical labelling by consumers rely on the fact that consumers do not spend enough time</w:t>
      </w:r>
      <w:r>
        <w:t xml:space="preserve"> </w:t>
      </w:r>
      <w:r>
        <w:t xml:space="preserve">reading the label (only a few seconds, except in case of accidents), and interpret them quickly</w:t>
      </w:r>
      <w:r>
        <w:t xml:space="preserve"> </w:t>
      </w:r>
      <w:r>
        <w:t xml:space="preserve">and intuitively. Moreover, the overloaded character of labels and the long texts in small prints</w:t>
      </w:r>
      <w:r>
        <w:t xml:space="preserve"> </w:t>
      </w:r>
      <w:r>
        <w:t xml:space="preserve">(as highlighted by all categories of stakeholders) reduce the readability and understanding of</w:t>
      </w:r>
      <w:r>
        <w:t xml:space="preserve"> </w:t>
      </w:r>
      <w:r>
        <w:t xml:space="preserve">labels. Stakeholders from all categories have also underlined the use of technical terminology</w:t>
      </w:r>
      <w:r>
        <w:t xml:space="preserve"> </w:t>
      </w:r>
      <w:r>
        <w:t xml:space="preserve">(e.g. chemical names) as an obstacle for consumers’ understanding. While stakeholders from</w:t>
      </w:r>
      <w:r>
        <w:t xml:space="preserve"> </w:t>
      </w:r>
      <w:r>
        <w:t xml:space="preserve">the business sector also argued that GHS pictograms are not well understood by consumers,</w:t>
      </w:r>
      <w:r>
        <w:t xml:space="preserve"> </w:t>
      </w:r>
      <w:r>
        <w:t xml:space="preserve">stakeholders representing national authorities and consumers associations underlined the fact</w:t>
      </w:r>
      <w:r>
        <w:t xml:space="preserve"> </w:t>
      </w:r>
      <w:r>
        <w:t xml:space="preserve">that consumers know pictograms and that they are better understood than texts.</w:t>
      </w:r>
      <w:r>
        <w:br/>
      </w:r>
      <w:r>
        <w:t xml:space="preserve">Views on usefulness of information provided on chemical products labels in general:</w:t>
      </w:r>
      <w:r>
        <w:t xml:space="preserve"> </w:t>
      </w:r>
      <w:r>
        <w:t xml:space="preserve">During interviews, stakeholders have been asked to discuss, among the information currently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provided on labels, which information they found particularly important to be provided for</w:t>
      </w:r>
      <w:r>
        <w:t xml:space="preserve"> </w:t>
      </w:r>
      <w:r>
        <w:t xml:space="preserve">consumers’, and which information they deemed non-essential. Stakeholders from all</w:t>
      </w:r>
      <w:r>
        <w:t xml:space="preserve"> </w:t>
      </w:r>
      <w:r>
        <w:t xml:space="preserve">categories agreed that hazard information (notably the hazard statements) was one of the most</w:t>
      </w:r>
      <w:r>
        <w:t xml:space="preserve"> </w:t>
      </w:r>
      <w:r>
        <w:t xml:space="preserve">useful information to be conveyed to consumers. However, they also noted that in some cases</w:t>
      </w:r>
      <w:r>
        <w:t xml:space="preserve"> </w:t>
      </w:r>
      <w:r>
        <w:t xml:space="preserve">there could be an overlap or a redundancy of information given between the hazard statements</w:t>
      </w:r>
      <w:r>
        <w:t xml:space="preserve"> </w:t>
      </w:r>
      <w:r>
        <w:t xml:space="preserve">and the precautionary statements, and that this redundancy could be addressed to simplify and</w:t>
      </w:r>
      <w:r>
        <w:t xml:space="preserve"> </w:t>
      </w:r>
      <w:r>
        <w:t xml:space="preserve">optimise space on the label.</w:t>
      </w:r>
      <w:r>
        <w:t xml:space="preserve"> </w:t>
      </w:r>
      <w:r>
        <w:t xml:space="preserve">Communicating information on the safe and appropriate use of products to consumers – notably</w:t>
      </w:r>
      <w:r>
        <w:t xml:space="preserve"> </w:t>
      </w:r>
      <w:r>
        <w:t xml:space="preserve">through precautionary statements – was agreed by all stakeholders to be the most important</w:t>
      </w:r>
      <w:r>
        <w:t xml:space="preserve"> </w:t>
      </w:r>
      <w:r>
        <w:t xml:space="preserve">type of information to be communicated on chemical labels, including information related to</w:t>
      </w:r>
      <w:r>
        <w:t xml:space="preserve"> </w:t>
      </w:r>
      <w:r>
        <w:t xml:space="preserve">the safe use (e.g. purpose of product, how to use the product, and with which equipment),</w:t>
      </w:r>
      <w:r>
        <w:t xml:space="preserve"> </w:t>
      </w:r>
      <w:r>
        <w:t xml:space="preserve">information on safe storage of the products (e.g. keep away from children), and information in</w:t>
      </w:r>
      <w:r>
        <w:t xml:space="preserve"> </w:t>
      </w:r>
      <w:r>
        <w:t xml:space="preserve">case of emergency situations.</w:t>
      </w:r>
      <w:r>
        <w:br/>
      </w:r>
      <w:r>
        <w:t xml:space="preserve">There was a consensus among stakeholders that pictograms on chemical labels are favoured</w:t>
      </w:r>
      <w:r>
        <w:t xml:space="preserve"> </w:t>
      </w:r>
      <w:r>
        <w:t xml:space="preserve">over texts. On the other hand, a couple of stakeholders from the industry and national</w:t>
      </w:r>
      <w:r>
        <w:t xml:space="preserve"> </w:t>
      </w:r>
      <w:r>
        <w:t xml:space="preserve">authorities raised doubts about consumers’ understanding of GHS pictograms. Nonetheless,</w:t>
      </w:r>
      <w:r>
        <w:t xml:space="preserve"> </w:t>
      </w:r>
      <w:r>
        <w:t xml:space="preserve">several consumer associations pointed out that their usefulness also lies in the fact that they are</w:t>
      </w:r>
      <w:r>
        <w:t xml:space="preserve"> </w:t>
      </w:r>
      <w:r>
        <w:t xml:space="preserve">important for catching the consumers’ attention and prompt them to read the hazard statement.</w:t>
      </w:r>
      <w:r>
        <w:br/>
      </w:r>
      <w:r>
        <w:t xml:space="preserve">The presence of the recently added UFI code was also deemed useful to be communicated on</w:t>
      </w:r>
      <w:r>
        <w:t xml:space="preserve"> </w:t>
      </w:r>
      <w:r>
        <w:t xml:space="preserve">chemical labels.</w:t>
      </w:r>
      <w:r>
        <w:br/>
      </w:r>
      <w:r>
        <w:t xml:space="preserve">Perspectives on multilingual labels: Business representatives explained that multilingual</w:t>
      </w:r>
      <w:r>
        <w:t xml:space="preserve"> </w:t>
      </w:r>
      <w:r>
        <w:t xml:space="preserve">labels are used to achieve economies of scale, and one business association also mentioned e-</w:t>
      </w:r>
      <w:r>
        <w:t xml:space="preserve"> </w:t>
      </w:r>
      <w:r>
        <w:t xml:space="preserve">commerce which must accommodate the needs of consumers coming from a wide range of</w:t>
      </w:r>
      <w:r>
        <w:t xml:space="preserve"> </w:t>
      </w:r>
      <w:r>
        <w:t xml:space="preserve">countries. According to businesses and business associations multilingual labels allow the</w:t>
      </w:r>
      <w:r>
        <w:t xml:space="preserve"> </w:t>
      </w:r>
      <w:r>
        <w:t xml:space="preserve">industry to produce one label for several countries, which is particularly useful when businesses</w:t>
      </w:r>
      <w:r>
        <w:t xml:space="preserve"> </w:t>
      </w:r>
      <w:r>
        <w:t xml:space="preserve">have to distribute a product in countries with a low population and different languages. They</w:t>
      </w:r>
      <w:r>
        <w:t xml:space="preserve"> </w:t>
      </w:r>
      <w:r>
        <w:t xml:space="preserve">also mention that scale through multilingual packs saves money and materials, allows a bigger</w:t>
      </w:r>
      <w:r>
        <w:t xml:space="preserve"> </w:t>
      </w:r>
      <w:r>
        <w:t xml:space="preserve">flexibility in planning, and reduces scrapping. The business sector further explained that if</w:t>
      </w:r>
      <w:r>
        <w:t xml:space="preserve"> </w:t>
      </w:r>
      <w:r>
        <w:t xml:space="preserve">companies had to produce quantities of products separately for all markets, the exercise would</w:t>
      </w:r>
      <w:r>
        <w:t xml:space="preserve"> </w:t>
      </w:r>
      <w:r>
        <w:t xml:space="preserve">be so complex that companies might abandon smaller markets, thus depriving consumers from</w:t>
      </w:r>
      <w:r>
        <w:t xml:space="preserve"> </w:t>
      </w:r>
      <w:r>
        <w:t xml:space="preserve">future innovations. The business sector explained that the simplification of labels, in other</w:t>
      </w:r>
      <w:r>
        <w:t xml:space="preserve"> </w:t>
      </w:r>
      <w:r>
        <w:t xml:space="preserve">words the optimisation of labels with less information provided on pack was essential in their</w:t>
      </w:r>
      <w:r>
        <w:t xml:space="preserve"> </w:t>
      </w:r>
      <w:r>
        <w:t xml:space="preserve">opinion.</w:t>
      </w:r>
      <w:r>
        <w:t xml:space="preserve"> </w:t>
      </w:r>
      <w:r>
        <w:t xml:space="preserve">On the other hand, national authorities explained that featuring multiple languages makes labels</w:t>
      </w:r>
      <w:r>
        <w:t xml:space="preserve"> </w:t>
      </w:r>
      <w:r>
        <w:t xml:space="preserve">hard to read at the expense of communicating important safety and hazard information. In their</w:t>
      </w:r>
      <w:r>
        <w:t xml:space="preserve"> </w:t>
      </w:r>
      <w:r>
        <w:t xml:space="preserve">view reducing languages on the label would allow more room for presenting essential</w:t>
      </w:r>
      <w:r>
        <w:t xml:space="preserve"> </w:t>
      </w:r>
      <w:r>
        <w:t xml:space="preserve">information in a clear and legible manner. Consumer associations had similar views in this</w:t>
      </w:r>
      <w:r>
        <w:t xml:space="preserve"> </w:t>
      </w:r>
      <w:r>
        <w:t xml:space="preserve">regard, highlighting also that the purpose of multi-lingual labels would be to meet consumers’</w:t>
      </w:r>
      <w:r>
        <w:t xml:space="preserve"> </w:t>
      </w:r>
      <w:r>
        <w:t xml:space="preserve">needs in the specific countries, and proposing to add additional languages only if there is</w:t>
      </w:r>
      <w:r>
        <w:t xml:space="preserve"> </w:t>
      </w:r>
      <w:r>
        <w:t xml:space="preserve">adequate space left on the label after essential information for safety and hazard was included</w:t>
      </w:r>
      <w:r>
        <w:t xml:space="preserve"> </w:t>
      </w:r>
      <w:r>
        <w:t xml:space="preserve">in a readable manner in the official language(s) required.</w:t>
      </w:r>
      <w:r>
        <w:t xml:space="preserve"> </w:t>
      </w:r>
      <w:r>
        <w:t xml:space="preserve">Feedback on the potential use of IT tools for chemical labelling: The perceived readiness</w:t>
      </w:r>
      <w:r>
        <w:t xml:space="preserve"> </w:t>
      </w:r>
      <w:r>
        <w:t xml:space="preserve">of consumers to use digital tools to access information on chemicals was very heterogeneous</w:t>
      </w:r>
      <w:r>
        <w:t xml:space="preserve"> </w:t>
      </w:r>
      <w:r>
        <w:t xml:space="preserve">among stakeholders. The majority of stakeholders from the industry argued that consumers</w:t>
      </w:r>
      <w:r>
        <w:t xml:space="preserve"> </w:t>
      </w:r>
      <w:r>
        <w:t xml:space="preserve">seem ready now to use IT tools to access information on a digital environment. To this regard,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they pointed out the high awareness of QR codes (especially since the COVID-19 crisis and</w:t>
      </w:r>
      <w:r>
        <w:t xml:space="preserve"> </w:t>
      </w:r>
      <w:r>
        <w:t xml:space="preserve">the increase in their use in day-to-day activities to limit physical contact).</w:t>
      </w:r>
      <w:r>
        <w:t xml:space="preserve"> </w:t>
      </w:r>
      <w:r>
        <w:t xml:space="preserve">On the other hand, several stakeholders from all categories have argued that consumers were</w:t>
      </w:r>
      <w:r>
        <w:t xml:space="preserve"> </w:t>
      </w:r>
      <w:r>
        <w:t xml:space="preserve">not ready to shift their habits and use IT tools in their day-to-day lives when it comes to buying</w:t>
      </w:r>
      <w:r>
        <w:t xml:space="preserve"> </w:t>
      </w:r>
      <w:r>
        <w:t xml:space="preserve">and using chemical products. First of all, they have pointed out that consumers’ readiness can</w:t>
      </w:r>
      <w:r>
        <w:t xml:space="preserve"> </w:t>
      </w:r>
      <w:r>
        <w:t xml:space="preserve">vary widely depending on age groups (young people being more ready than older consumers),</w:t>
      </w:r>
      <w:r>
        <w:t xml:space="preserve"> </w:t>
      </w:r>
      <w:r>
        <w:t xml:space="preserve">on country, education, and training. Moreover, several other issues have been highlighted, such</w:t>
      </w:r>
      <w:r>
        <w:t xml:space="preserve"> </w:t>
      </w:r>
      <w:r>
        <w:t xml:space="preserve">as the lack of internet coverage in some geographical areas, the fact that not every consumer</w:t>
      </w:r>
      <w:r>
        <w:t xml:space="preserve"> </w:t>
      </w:r>
      <w:r>
        <w:t xml:space="preserve">owns a smartphone or has an easy access to internet at home, as well as the need to educate</w:t>
      </w:r>
      <w:r>
        <w:t xml:space="preserve"> </w:t>
      </w:r>
      <w:r>
        <w:t xml:space="preserve">consumers at national level about the possibilities to access information digitally and benefit</w:t>
      </w:r>
      <w:r>
        <w:t xml:space="preserve"> </w:t>
      </w:r>
      <w:r>
        <w:t xml:space="preserve">from the presence of e-labels.</w:t>
      </w:r>
      <w:r>
        <w:t xml:space="preserve"> </w:t>
      </w:r>
      <w:r>
        <w:t xml:space="preserve">Overall, the behavioural experiment shows that the Status Quo and Simplified Label with QR-</w:t>
      </w:r>
      <w:r>
        <w:t xml:space="preserve"> </w:t>
      </w:r>
      <w:r>
        <w:t xml:space="preserve">code perform better than the No Label Baseline w.r.t. labelling understanding. Furthermore,</w:t>
      </w:r>
      <w:r>
        <w:t xml:space="preserve"> </w:t>
      </w:r>
      <w:r>
        <w:t xml:space="preserve">the Status Quo and Simplified Label perform equally well. Although, it must be noted that</w:t>
      </w:r>
      <w:r>
        <w:t xml:space="preserve"> </w:t>
      </w:r>
      <w:r>
        <w:t xml:space="preserve">average understanding of labels is generally not good. Subjective risk interpretation of the</w:t>
      </w:r>
      <w:r>
        <w:t xml:space="preserve"> </w:t>
      </w:r>
      <w:r>
        <w:t xml:space="preserve">Status Quo and Simplified Label is in line with the actual dangers of products. Furthermore,</w:t>
      </w:r>
      <w:r>
        <w:t xml:space="preserve"> </w:t>
      </w:r>
      <w:r>
        <w:t xml:space="preserve">subjective ratings of understandability and ease to find of label elements are not different</w:t>
      </w:r>
      <w:r>
        <w:t xml:space="preserve"> </w:t>
      </w:r>
      <w:r>
        <w:t xml:space="preserve">between the Status Quo and Simplified Label.</w:t>
      </w:r>
      <w:r>
        <w:t xml:space="preserve"> </w:t>
      </w:r>
      <w:r>
        <w:t xml:space="preserve">The majority of the respondents11 indicated that, in the context of the below chemical products,</w:t>
      </w:r>
      <w:r>
        <w:t xml:space="preserve"> </w:t>
      </w:r>
      <w:r>
        <w:t xml:space="preserve">removing some of the information from the on-pack label to the digital labels would have a</w:t>
      </w:r>
      <w:r>
        <w:t xml:space="preserve"> </w:t>
      </w:r>
      <w:r>
        <w:t xml:space="preserve">moderately positive or a very positive effect overall:</w:t>
      </w:r>
    </w:p>
    <w:p>
      <w:pPr>
        <w:pStyle w:val="BodyText"/>
      </w:pPr>
      <w:r>
        <w:t xml:space="preserve">11 125 out of 180 respondents who have answered to a part on the other chemical products such as glues, lamp</w:t>
      </w:r>
      <w:r>
        <w:t xml:space="preserve"> </w:t>
      </w:r>
      <w:r>
        <w:t xml:space="preserve">oils, paints, solvents, etc., 112 out of 165 respondents who have answered to a part on the detergents, and 103 out</w:t>
      </w:r>
      <w:r>
        <w:t xml:space="preserve"> </w:t>
      </w:r>
      <w:r>
        <w:t xml:space="preserve">of 153 respondents who have answered to a part on the fertilising products.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Table 3: Analysis of replies on effect of removing some of the information from the on-pack label to the digital</w:t>
      </w:r>
      <w:r>
        <w:t xml:space="preserve"> </w:t>
      </w:r>
      <w:r>
        <w:t xml:space="preserve">labels</w:t>
      </w:r>
    </w:p>
    <w:p>
      <w:pPr>
        <w:pStyle w:val="BodyText"/>
      </w:pPr>
      <w:r>
        <w:t xml:space="preserve">Respondents: N = 153 for Fertilising Product, N= 165 for Detergents, and N = 180 for other chemicals.</w:t>
      </w:r>
      <w:r>
        <w:br/>
      </w:r>
      <w:r>
        <w:t xml:space="preserve">The majority of the respondents, including consumer representatives12 indicated that</w:t>
      </w:r>
      <w:r>
        <w:t xml:space="preserve"> </w:t>
      </w:r>
      <w:r>
        <w:t xml:space="preserve">information should remain on the on-pack label (for a chemical product such as a glue,</w:t>
      </w:r>
      <w:r>
        <w:t xml:space="preserve"> </w:t>
      </w:r>
      <w:r>
        <w:t xml:space="preserve">lamp oil, paint, solvent, etc.) concerning the: identification code for poison centers13; hazard</w:t>
      </w:r>
      <w:r>
        <w:t xml:space="preserve"> </w:t>
      </w:r>
      <w:r>
        <w:t xml:space="preserve">statement or signal word14; and pictogram showing the risk15.</w:t>
      </w:r>
      <w:r>
        <w:br/>
      </w:r>
      <w:r>
        <w:t xml:space="preserve">In regards to the other sources of information, the respondents (including consumer</w:t>
      </w:r>
      <w:r>
        <w:t xml:space="preserve"> </w:t>
      </w:r>
      <w:r>
        <w:t xml:space="preserve">representatives) had different views on what kind of information could move to a digital label.</w:t>
      </w:r>
      <w:r>
        <w:t xml:space="preserve"> </w:t>
      </w:r>
      <w:r>
        <w:t xml:space="preserve">The full overview of the responses to this question is provided in the table below:</w:t>
      </w:r>
      <w:r>
        <w:t xml:space="preserve"> </w:t>
      </w:r>
      <w:r>
        <w:t xml:space="preserve">Table 4: Replies of the information to be moved to a digital label</w:t>
      </w:r>
    </w:p>
    <w:p>
      <w:pPr>
        <w:pStyle w:val="BodyText"/>
      </w:pPr>
      <w:r>
        <w:t xml:space="preserve">Area 6: CLP scope exemptions</w:t>
      </w:r>
      <w:r>
        <w:t xml:space="preserve"> </w:t>
      </w:r>
      <w:r>
        <w:t xml:space="preserve">A large group of the OPC respondents (43%-49%), consisting mostly of citizens, public</w:t>
      </w:r>
      <w:r>
        <w:t xml:space="preserve"> </w:t>
      </w:r>
      <w:r>
        <w:t xml:space="preserve">authorities and civil societies felt that the provision of information on the environmental</w:t>
      </w:r>
      <w:r>
        <w:t xml:space="preserve"> </w:t>
      </w:r>
      <w:r>
        <w:t xml:space="preserve">hazards of veterinary medicines, medical devices, cosmetics, and food or feed, was ‘an</w:t>
      </w:r>
    </w:p>
    <w:p>
      <w:pPr>
        <w:pStyle w:val="BodyText"/>
      </w:pPr>
      <w:r>
        <w:t xml:space="preserve">12 39 out of 50 answers for “pictogram showing the risk”; 35 out of 49 answers for hazard statement or signal</w:t>
      </w:r>
      <w:r>
        <w:t xml:space="preserve"> </w:t>
      </w:r>
      <w:r>
        <w:t xml:space="preserve">word”; and 31 out of 50 answers for identification code for poison centres”.</w:t>
      </w:r>
      <w:r>
        <w:br/>
      </w:r>
      <w:r>
        <w:t xml:space="preserve">13 106 out of 158 total responses.</w:t>
      </w:r>
      <w:r>
        <w:t xml:space="preserve"> </w:t>
      </w:r>
      <w:r>
        <w:t xml:space="preserve">14 109 out of 156 total responses.</w:t>
      </w:r>
      <w:r>
        <w:t xml:space="preserve"> </w:t>
      </w:r>
      <w:r>
        <w:t xml:space="preserve">15 121 out of 157 total responses.</w:t>
      </w:r>
      <w:r>
        <w:t xml:space="preserve"> </w:t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21%</w:t>
      </w:r>
      <w:r>
        <w:t xml:space="preserve"> </w:t>
      </w:r>
      <w:r>
        <w:t xml:space="preserve">26%</w:t>
      </w:r>
      <w:r>
        <w:t xml:space="preserve"> </w:t>
      </w:r>
      <w:r>
        <w:t xml:space="preserve">27%</w:t>
      </w:r>
      <w:r>
        <w:t xml:space="preserve"> </w:t>
      </w:r>
      <w:r>
        <w:t xml:space="preserve">46%</w:t>
      </w:r>
      <w:r>
        <w:t xml:space="preserve"> </w:t>
      </w:r>
      <w:r>
        <w:t xml:space="preserve">42%</w:t>
      </w:r>
      <w:r>
        <w:t xml:space="preserve"> </w:t>
      </w:r>
      <w:r>
        <w:t xml:space="preserve">43%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Fertilising Products</w:t>
      </w:r>
      <w:r>
        <w:t xml:space="preserve"> </w:t>
      </w:r>
      <w:r>
        <w:t xml:space="preserve">Detergents</w:t>
      </w:r>
      <w:r>
        <w:t xml:space="preserve"> </w:t>
      </w:r>
      <w:r>
        <w:t xml:space="preserve">Other chemical products such as glues,</w:t>
      </w:r>
      <w:r>
        <w:t xml:space="preserve"> </w:t>
      </w:r>
      <w:r>
        <w:t xml:space="preserve">lamp oils, paints, solvents, etc.</w:t>
      </w:r>
      <w:r>
        <w:t xml:space="preserve"> </w:t>
      </w:r>
      <w:r>
        <w:t xml:space="preserve">Very negatively</w:t>
      </w:r>
      <w:r>
        <w:t xml:space="preserve"> </w:t>
      </w:r>
      <w:r>
        <w:t xml:space="preserve">Moderately negatively</w:t>
      </w:r>
      <w:r>
        <w:t xml:space="preserve"> </w:t>
      </w:r>
      <w:r>
        <w:t xml:space="preserve">Neither positively nor negatively</w:t>
      </w:r>
      <w:r>
        <w:t xml:space="preserve"> </w:t>
      </w:r>
      <w:r>
        <w:t xml:space="preserve">Moderately positively</w:t>
      </w:r>
      <w:r>
        <w:t xml:space="preserve"> </w:t>
      </w:r>
      <w:r>
        <w:t xml:space="preserve">Very positively</w:t>
      </w:r>
      <w:r>
        <w:t xml:space="preserve"> </w:t>
      </w:r>
      <w:r>
        <w:t xml:space="preserve">Other</w:t>
      </w:r>
      <w:r>
        <w:t xml:space="preserve"> </w:t>
      </w:r>
      <w:r>
        <w:t xml:space="preserve">77%</w:t>
      </w:r>
      <w:r>
        <w:t xml:space="preserve"> </w:t>
      </w:r>
      <w:r>
        <w:t xml:space="preserve">70%</w:t>
      </w:r>
      <w:r>
        <w:t xml:space="preserve"> </w:t>
      </w:r>
      <w:r>
        <w:t xml:space="preserve">36%</w:t>
      </w:r>
      <w:r>
        <w:t xml:space="preserve"> </w:t>
      </w:r>
      <w:r>
        <w:t xml:space="preserve">30%</w:t>
      </w:r>
      <w:r>
        <w:t xml:space="preserve"> </w:t>
      </w:r>
      <w:r>
        <w:t xml:space="preserve">34%</w:t>
      </w:r>
      <w:r>
        <w:t xml:space="preserve"> </w:t>
      </w:r>
      <w:r>
        <w:t xml:space="preserve">67%</w:t>
      </w:r>
      <w:r>
        <w:t xml:space="preserve"> </w:t>
      </w:r>
      <w:r>
        <w:t xml:space="preserve">22%</w:t>
      </w:r>
      <w:r>
        <w:t xml:space="preserve"> </w:t>
      </w:r>
      <w:r>
        <w:t xml:space="preserve">26%</w:t>
      </w:r>
      <w:r>
        <w:t xml:space="preserve"> </w:t>
      </w:r>
      <w:r>
        <w:t xml:space="preserve">48%</w:t>
      </w:r>
      <w:r>
        <w:t xml:space="preserve"> </w:t>
      </w:r>
      <w:r>
        <w:t xml:space="preserve">37%</w:t>
      </w:r>
      <w:r>
        <w:t xml:space="preserve"> </w:t>
      </w:r>
      <w:r>
        <w:t xml:space="preserve">33%</w:t>
      </w:r>
      <w:r>
        <w:t xml:space="preserve"> </w:t>
      </w:r>
      <w:r>
        <w:t xml:space="preserve">19%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16%</w:t>
      </w:r>
      <w:r>
        <w:t xml:space="preserve"> </w:t>
      </w:r>
      <w:r>
        <w:t xml:space="preserve">33%</w:t>
      </w:r>
      <w:r>
        <w:t xml:space="preserve"> </w:t>
      </w:r>
      <w:r>
        <w:t xml:space="preserve">34%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Pictogram showing the risk</w:t>
      </w:r>
      <w:r>
        <w:t xml:space="preserve"> </w:t>
      </w:r>
      <w:r>
        <w:t xml:space="preserve">Hazard statement or signal word</w:t>
      </w:r>
      <w:r>
        <w:t xml:space="preserve"> </w:t>
      </w:r>
      <w:r>
        <w:t xml:space="preserve">Precautionary statements on how to store,…</w:t>
      </w:r>
      <w:r>
        <w:t xml:space="preserve"> </w:t>
      </w:r>
      <w:r>
        <w:t xml:space="preserve">The name of the chemicals causing the hazard</w:t>
      </w:r>
      <w:r>
        <w:t xml:space="preserve"> </w:t>
      </w:r>
      <w:r>
        <w:t xml:space="preserve">Additional specific labelling information</w:t>
      </w:r>
      <w:r>
        <w:t xml:space="preserve"> </w:t>
      </w:r>
      <w:r>
        <w:t xml:space="preserve">Identification code for poison centers</w:t>
      </w:r>
      <w:r>
        <w:t xml:space="preserve"> </w:t>
      </w:r>
      <w:r>
        <w:t xml:space="preserve">All information should remain on the on-pack label</w:t>
      </w:r>
      <w:r>
        <w:t xml:space="preserve"> </w:t>
      </w:r>
      <w:r>
        <w:t xml:space="preserve">Basic information should be kept on the on-pack label and more details provided via a digital label</w:t>
      </w:r>
      <w:r>
        <w:t xml:space="preserve"> </w:t>
      </w:r>
      <w:r>
        <w:t xml:space="preserve">Information should move to a digital label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issue which should be immediately solved’. Differently from other respondents, business</w:t>
      </w:r>
      <w:r>
        <w:t xml:space="preserve"> </w:t>
      </w:r>
      <w:r>
        <w:t xml:space="preserve">entities and associations felt that there is an issue to be immediately solved only for human</w:t>
      </w:r>
      <w:r>
        <w:t xml:space="preserve"> </w:t>
      </w:r>
      <w:r>
        <w:t xml:space="preserve">medicines (53% of business respondents), while for other exempted products there is no issue</w:t>
      </w:r>
      <w:r>
        <w:t xml:space="preserve"> </w:t>
      </w:r>
      <w:r>
        <w:t xml:space="preserve">at all.</w:t>
      </w:r>
      <w:r>
        <w:br/>
      </w:r>
      <w:r>
        <w:t xml:space="preserve">Opinions on the regulatory gaps in addressing the environmental hazards borne by the</w:t>
      </w:r>
      <w:r>
        <w:t xml:space="preserve"> </w:t>
      </w:r>
      <w:r>
        <w:t xml:space="preserve">products exempted from the CLP Regulation gathered through the TSS vary. Business</w:t>
      </w:r>
      <w:r>
        <w:t xml:space="preserve"> </w:t>
      </w:r>
      <w:r>
        <w:t xml:space="preserve">entities and associations (60%-66%) are of the view that the environmental hazards of the</w:t>
      </w:r>
      <w:r>
        <w:t xml:space="preserve"> </w:t>
      </w:r>
      <w:r>
        <w:t xml:space="preserve">exempted products are properly covered by sectorial legislation. Public authorities believed</w:t>
      </w:r>
      <w:r>
        <w:t xml:space="preserve"> </w:t>
      </w:r>
      <w:r>
        <w:t xml:space="preserve">that the environmental hazards are insufficiently addressed by the sectorial legislation</w:t>
      </w:r>
      <w:r>
        <w:t xml:space="preserve"> </w:t>
      </w:r>
      <w:r>
        <w:t xml:space="preserve">regulating human and medicinal products, as well as medical devices, but they considered that</w:t>
      </w:r>
      <w:r>
        <w:t xml:space="preserve"> </w:t>
      </w:r>
      <w:r>
        <w:t xml:space="preserve">the sectorial legislation adequately addresses the environmental hazards of cosmetics, food and</w:t>
      </w:r>
      <w:r>
        <w:t xml:space="preserve"> </w:t>
      </w:r>
      <w:r>
        <w:t xml:space="preserve">feed products. It should be noted that a very low number of public authorities and NGOs</w:t>
      </w:r>
      <w:r>
        <w:t xml:space="preserve"> </w:t>
      </w:r>
      <w:r>
        <w:t xml:space="preserve">participated in the TSS to confidently judge the predominant view within these groups.</w:t>
      </w:r>
      <w:r>
        <w:t xml:space="preserve"> </w:t>
      </w:r>
      <w:r>
        <w:t xml:space="preserve">Many interviewees commented that the measures to address the potential environmental</w:t>
      </w:r>
      <w:r>
        <w:t xml:space="preserve"> </w:t>
      </w:r>
      <w:r>
        <w:t xml:space="preserve">hazards of the exempted products are in place, although they are risk-based rather than</w:t>
      </w:r>
      <w:r>
        <w:t xml:space="preserve"> </w:t>
      </w:r>
      <w:r>
        <w:t xml:space="preserve">hazard-based.</w:t>
      </w:r>
      <w:r>
        <w:t xml:space="preserve"> </w:t>
      </w:r>
      <w:r>
        <w:t xml:space="preserve">Area 7: Online sales of chemicals</w:t>
      </w:r>
      <w:r>
        <w:t xml:space="preserve"> </w:t>
      </w:r>
      <w:r>
        <w:t xml:space="preserve">The findings of consultation activities show that all stakeholders agree that online sales of</w:t>
      </w:r>
      <w:r>
        <w:t xml:space="preserve"> </w:t>
      </w:r>
      <w:r>
        <w:t xml:space="preserve">chemicals pose challenges and problems. In the OPC, the overwhelming majority of</w:t>
      </w:r>
      <w:r>
        <w:t xml:space="preserve"> </w:t>
      </w:r>
      <w:r>
        <w:t xml:space="preserve">respondents (93%, with agreement across all stakeholder groups) believed that there is a great</w:t>
      </w:r>
      <w:r>
        <w:t xml:space="preserve"> </w:t>
      </w:r>
      <w:r>
        <w:t xml:space="preserve">need to apply the same CLP obligations (e.g., labelling, classification and notifications to</w:t>
      </w:r>
      <w:r>
        <w:t xml:space="preserve"> </w:t>
      </w:r>
      <w:r>
        <w:t xml:space="preserve">poison centres) to chemical products sold online. In the TSS, all groups of stakeholders</w:t>
      </w:r>
      <w:r>
        <w:t xml:space="preserve"> </w:t>
      </w:r>
      <w:r>
        <w:t xml:space="preserve">‘agreed’ (average answer in all groups – 4 ‘agree’) that the current gaps in the CLP Regulation</w:t>
      </w:r>
      <w:r>
        <w:t xml:space="preserve"> </w:t>
      </w:r>
      <w:r>
        <w:t xml:space="preserve">considering online sales hinders its ability to protect human health and the environment and its</w:t>
      </w:r>
      <w:r>
        <w:t xml:space="preserve"> </w:t>
      </w:r>
      <w:r>
        <w:t xml:space="preserve">ability to ensure the free movement of chemicals.</w:t>
      </w:r>
      <w:r>
        <w:t xml:space="preserve"> </w:t>
      </w:r>
      <w:r>
        <w:t xml:space="preserve">Interviewees indicated that non-compliance of online sales of chemicals with classification</w:t>
      </w:r>
      <w:r>
        <w:t xml:space="preserve"> </w:t>
      </w:r>
      <w:r>
        <w:t xml:space="preserve">and labelling as well as CLP Article 48 requirements is a problem, pointing in particular to</w:t>
      </w:r>
      <w:r>
        <w:t xml:space="preserve"> </w:t>
      </w:r>
      <w:r>
        <w:t xml:space="preserve">non-EU traders and small business entities engaged in e-commerce.</w:t>
      </w:r>
      <w:r>
        <w:br/>
      </w:r>
      <w:r>
        <w:t xml:space="preserve">Area 8: Poison centres</w:t>
      </w:r>
      <w:r>
        <w:t xml:space="preserve"> </w:t>
      </w:r>
      <w:r>
        <w:t xml:space="preserve">Most responses were not descriptions of the problem as perceived by the respondents, but rather</w:t>
      </w:r>
      <w:r>
        <w:t xml:space="preserve"> </w:t>
      </w:r>
      <w:r>
        <w:t xml:space="preserve">reactions to potential actions or measures that the respondents foresaw (e.g., the lack of</w:t>
      </w:r>
      <w:r>
        <w:t xml:space="preserve"> </w:t>
      </w:r>
      <w:r>
        <w:t xml:space="preserve">information in poison centres was equated with actions on increasing the clarity of Article 45</w:t>
      </w:r>
      <w:r>
        <w:t xml:space="preserve"> </w:t>
      </w:r>
      <w:r>
        <w:t xml:space="preserve">of the CLP Regulation).</w:t>
      </w:r>
      <w:r>
        <w:br/>
      </w:r>
      <w:r>
        <w:t xml:space="preserve">The analysis of open-text responses and position papers in the OPC allows us to conclude</w:t>
      </w:r>
      <w:r>
        <w:t xml:space="preserve"> </w:t>
      </w:r>
      <w:r>
        <w:t xml:space="preserve">that the problem of ambiguous obligations in Article 45 was recognised by the stakeholders, as</w:t>
      </w:r>
      <w:r>
        <w:t xml:space="preserve"> </w:t>
      </w:r>
      <w:r>
        <w:t xml:space="preserve">most of them welcomed the clarification of obligations. However, most OPC respondents</w:t>
      </w:r>
      <w:r>
        <w:t xml:space="preserve"> </w:t>
      </w:r>
      <w:r>
        <w:t xml:space="preserve">(67%) think that it is ‘not useful’ to submit poison centres notifications on substances.</w:t>
      </w:r>
      <w:r>
        <w:br/>
      </w:r>
      <w:r>
        <w:t xml:space="preserve">Some TSS respondents believed that the problem is in the diverging interpretation of Article</w:t>
      </w:r>
      <w:r>
        <w:t xml:space="preserve"> </w:t>
      </w:r>
      <w:r>
        <w:t xml:space="preserve">45 by the Member States leading to specific national requirements. In case of introducing</w:t>
      </w:r>
      <w:r>
        <w:t xml:space="preserve"> </w:t>
      </w:r>
      <w:r>
        <w:t xml:space="preserve">notification obligation for distributors in Article 45 and notification obligation for substances,</w:t>
      </w:r>
      <w:r>
        <w:t xml:space="preserve"> </w:t>
      </w:r>
      <w:r>
        <w:t xml:space="preserve">business entities and associations felt that their costs of updating IT systems and training</w:t>
      </w:r>
      <w:r>
        <w:t xml:space="preserve"> </w:t>
      </w:r>
      <w:r>
        <w:t xml:space="preserve">the staff might increase.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Annex 3 – Who is affected and how?</w:t>
      </w:r>
      <w:r>
        <w:t xml:space="preserve"> </w:t>
      </w:r>
      <w:r>
        <w:t xml:space="preserve">1</w:t>
      </w:r>
      <w:r>
        <w:t xml:space="preserve"> </w:t>
      </w:r>
      <w:r>
        <w:t xml:space="preserve">PRACTICAL IMPLICATIONS OF THE INITIATIVE</w:t>
      </w:r>
    </w:p>
    <w:p>
      <w:pPr>
        <w:pStyle w:val="BodyText"/>
      </w:pPr>
      <w:r>
        <w:t xml:space="preserve">Classification of chemical hazards</w:t>
      </w:r>
      <w:r>
        <w:t xml:space="preserve"> </w:t>
      </w:r>
      <w:r>
        <w:t xml:space="preserve">First on new hazard classes, industry will be required to review the data available for the</w:t>
      </w:r>
      <w:r>
        <w:t xml:space="preserve"> </w:t>
      </w:r>
      <w:r>
        <w:t xml:space="preserve">substances and mixtures they placed on the market. They should identify, classify, notify and</w:t>
      </w:r>
      <w:r>
        <w:t xml:space="preserve"> </w:t>
      </w:r>
      <w:r>
        <w:t xml:space="preserve">label their ED, PBT, vPvB, PMT, vPvM substances and mixtures. Some companies would</w:t>
      </w:r>
      <w:r>
        <w:t xml:space="preserve"> </w:t>
      </w:r>
      <w:r>
        <w:t xml:space="preserve">phase out the identified substances in their portfolio and/or as ingredients of their chemical</w:t>
      </w:r>
      <w:r>
        <w:t xml:space="preserve"> </w:t>
      </w:r>
      <w:r>
        <w:t xml:space="preserve">products. The exposure of users and of the environment to the identified hazardous substances</w:t>
      </w:r>
      <w:r>
        <w:t xml:space="preserve"> </w:t>
      </w:r>
      <w:r>
        <w:t xml:space="preserve">will decrease, thanks to adequate hazard information communicated to the users of chemicals</w:t>
      </w:r>
      <w:r>
        <w:t xml:space="preserve"> </w:t>
      </w:r>
      <w:r>
        <w:t xml:space="preserve">and by voluntary reformulation from some companies.</w:t>
      </w:r>
      <w:r>
        <w:t xml:space="preserve"> </w:t>
      </w:r>
      <w:r>
        <w:t xml:space="preserve">Second, the changes introduced to improve self-classifications will request companies to</w:t>
      </w:r>
      <w:r>
        <w:t xml:space="preserve"> </w:t>
      </w:r>
      <w:r>
        <w:t xml:space="preserve">swiftly update their self-classification once new data is identified. They should also justify their</w:t>
      </w:r>
      <w:r>
        <w:t xml:space="preserve"> </w:t>
      </w:r>
      <w:r>
        <w:t xml:space="preserve">self-classification when diverging from existing ones. They should also submit confidentiality</w:t>
      </w:r>
      <w:r>
        <w:t xml:space="preserve"> </w:t>
      </w:r>
      <w:r>
        <w:t xml:space="preserve">requests to ECHA when publishing their names would disclose business confidential</w:t>
      </w:r>
      <w:r>
        <w:t xml:space="preserve"> </w:t>
      </w:r>
      <w:r>
        <w:t xml:space="preserve">information. They would then update their notification to ECHA’s Inventory, where</w:t>
      </w:r>
      <w:r>
        <w:t xml:space="preserve"> </w:t>
      </w:r>
      <w:r>
        <w:t xml:space="preserve">appropriate. An inventory where information is easier to access will save time and foster</w:t>
      </w:r>
      <w:r>
        <w:t xml:space="preserve"> </w:t>
      </w:r>
      <w:r>
        <w:t xml:space="preserve">accurate (mixtures) self-classification. ECHA would need to check the confidentiality requests</w:t>
      </w:r>
      <w:r>
        <w:t xml:space="preserve"> </w:t>
      </w:r>
      <w:r>
        <w:t xml:space="preserve">as well as whether updates have been performed within the required timeline.</w:t>
      </w:r>
      <w:r>
        <w:t xml:space="preserve"> </w:t>
      </w:r>
      <w:r>
        <w:t xml:space="preserve">Third, more harmonised classifications will focus on substances with carcinogenic, mutagenic,</w:t>
      </w:r>
      <w:r>
        <w:t xml:space="preserve"> </w:t>
      </w:r>
      <w:r>
        <w:t xml:space="preserve">toxic to reproduction, endocrine disrupting, PBT, vPvB, PMT and/or vPvM properties.</w:t>
      </w:r>
      <w:r>
        <w:t xml:space="preserve"> </w:t>
      </w:r>
      <w:r>
        <w:t xml:space="preserve">Companies should update their classifications, notifications and relabel their substances and</w:t>
      </w:r>
      <w:r>
        <w:t xml:space="preserve"> </w:t>
      </w:r>
      <w:r>
        <w:t xml:space="preserve">mixtures, where appropriate. Some companies may phase out the identified substances in their</w:t>
      </w:r>
      <w:r>
        <w:t xml:space="preserve"> </w:t>
      </w:r>
      <w:r>
        <w:t xml:space="preserve">portfolio and/or as ingredients of their chemical products. When it comes to carcinogenic,</w:t>
      </w:r>
      <w:r>
        <w:t xml:space="preserve"> </w:t>
      </w:r>
      <w:r>
        <w:t xml:space="preserve">mutagenic, reprotoxic substances, current risk mitigation measures laid down in REACH or</w:t>
      </w:r>
      <w:r>
        <w:t xml:space="preserve"> </w:t>
      </w:r>
      <w:r>
        <w:t xml:space="preserve">sectorial regulations would apply. The exposure of users and of the environment to the</w:t>
      </w:r>
      <w:r>
        <w:t xml:space="preserve"> </w:t>
      </w:r>
      <w:r>
        <w:t xml:space="preserve">identified hazardous substances will decrease, thanks to adequate hazard information</w:t>
      </w:r>
      <w:r>
        <w:t xml:space="preserve"> </w:t>
      </w:r>
      <w:r>
        <w:t xml:space="preserve">communicated to the users of chemicals and by voluntary or compulsory reformulation from</w:t>
      </w:r>
      <w:r>
        <w:t xml:space="preserve"> </w:t>
      </w:r>
      <w:r>
        <w:t xml:space="preserve">some companies. ECHA, Member States, maybe with the help of consultant, would develop</w:t>
      </w:r>
      <w:r>
        <w:t xml:space="preserve"> </w:t>
      </w:r>
      <w:r>
        <w:t xml:space="preserve">more dossiers for ECHA to assess. It is not clear how ECHA would deliver on this increased</w:t>
      </w:r>
      <w:r>
        <w:t xml:space="preserve"> </w:t>
      </w:r>
      <w:r>
        <w:t xml:space="preserve">stream of dossiers.</w:t>
      </w:r>
    </w:p>
    <w:p>
      <w:pPr>
        <w:pStyle w:val="BodyText"/>
      </w:pPr>
      <w:r>
        <w:t xml:space="preserve">Communication of chemical hazards</w:t>
      </w:r>
      <w:r>
        <w:t xml:space="preserve"> </w:t>
      </w:r>
      <w:r>
        <w:t xml:space="preserve">Companies would have to update their label and relabel their products where necessary. With</w:t>
      </w:r>
      <w:r>
        <w:t xml:space="preserve"> </w:t>
      </w:r>
      <w:r>
        <w:t xml:space="preserve">the use of fold-out labels, companies could access the market of multiple Member States.</w:t>
      </w:r>
      <w:r>
        <w:t xml:space="preserve"> </w:t>
      </w:r>
      <w:r>
        <w:t xml:space="preserve">Companies placing on the market fuels in bulk or chemicals in very small packaging will gain</w:t>
      </w:r>
      <w:r>
        <w:t xml:space="preserve"> </w:t>
      </w:r>
      <w:r>
        <w:t xml:space="preserve">certainty on alternatives to physical labels for hazard communication. Retailers will need to</w:t>
      </w:r>
      <w:r>
        <w:t xml:space="preserve"> </w:t>
      </w:r>
      <w:r>
        <w:t xml:space="preserve">adapt their refill stations and chemical portfolio for refill sales. Duty-holders may take the</w:t>
      </w:r>
      <w:r>
        <w:t xml:space="preserve"> </w:t>
      </w:r>
      <w:r>
        <w:t xml:space="preserve">opportunity to digitalise part of their labelling.</w:t>
      </w:r>
    </w:p>
    <w:p>
      <w:pPr>
        <w:pStyle w:val="BodyText"/>
      </w:pPr>
      <w:r>
        <w:t xml:space="preserve">Closing gaps and ambiguities</w:t>
      </w:r>
      <w:r>
        <w:t xml:space="preserve"> </w:t>
      </w:r>
      <w:r>
        <w:t xml:space="preserve">Companies placing chemicals on the EU market without an economic actor established in the</w:t>
      </w:r>
      <w:r>
        <w:t xml:space="preserve"> </w:t>
      </w:r>
      <w:r>
        <w:t xml:space="preserve">EU will need to authorise a representative or contract a fulfilment service provider. Distributors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(including re-branders and relabellers) would notify their self-classification of mixtures to</w:t>
      </w:r>
      <w:r>
        <w:t xml:space="preserve"> </w:t>
      </w:r>
      <w:r>
        <w:t xml:space="preserve">poison centres.</w:t>
      </w:r>
      <w:r>
        <w:t xml:space="preserve"> </w:t>
      </w:r>
      <w:r>
        <w:t xml:space="preserve">2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The tables below present the overview of the costs and benefits identified for the preferred</w:t>
      </w:r>
      <w:r>
        <w:t xml:space="preserve"> </w:t>
      </w:r>
      <w:r>
        <w:t xml:space="preserve">option. These figures are estimates, based on the sometimes limited data available. In sub-</w:t>
      </w:r>
      <w:r>
        <w:t xml:space="preserve"> </w:t>
      </w:r>
      <w:r>
        <w:t xml:space="preserve">sections I and II, figures are drawn up against a period of 20y as some benefits may only arise</w:t>
      </w:r>
      <w:r>
        <w:t xml:space="preserve"> </w:t>
      </w:r>
      <w:r>
        <w:t xml:space="preserve">in more than one generation.</w:t>
      </w:r>
      <w:r>
        <w:br/>
      </w:r>
      <w:r>
        <w:t xml:space="preserve">The One-In-One-Out analysis is presented in tables III and IV. The figures for one-off costs</w:t>
      </w:r>
      <w:r>
        <w:t xml:space="preserve"> </w:t>
      </w:r>
      <w:r>
        <w:t xml:space="preserve">are not annualised.</w:t>
      </w:r>
      <w:r>
        <w:t xml:space="preserve"> </w:t>
      </w:r>
      <w:r>
        <w:t xml:space="preserve">I. Overview of Benefits (total for all provisions) – Preferred Option – 20y basis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Labelling Reduction Costs</w:t>
      </w:r>
      <w:r>
        <w:t xml:space="preserve"> </w:t>
      </w:r>
      <w:r>
        <w:t xml:space="preserve">€9.91 million</w:t>
      </w:r>
      <w:r>
        <w:t xml:space="preserve"> </w:t>
      </w:r>
      <w:r>
        <w:t xml:space="preserve">Annual or annualised savings for</w:t>
      </w:r>
      <w:r>
        <w:t xml:space="preserve"> </w:t>
      </w:r>
      <w:r>
        <w:t xml:space="preserve">businesses (fuels and chemicals in very</w:t>
      </w:r>
      <w:r>
        <w:t xml:space="preserve"> </w:t>
      </w:r>
      <w:r>
        <w:t xml:space="preserve">small packaging, including pens).</w:t>
      </w:r>
      <w:r>
        <w:t xml:space="preserve"> </w:t>
      </w:r>
      <w:r>
        <w:t xml:space="preserve">Labelling Reduction Costs</w:t>
      </w:r>
      <w:r>
        <w:t xml:space="preserve"> </w:t>
      </w:r>
      <w:r>
        <w:t xml:space="preserve">€39.50 million Annual savings for businesses (fold-out</w:t>
      </w:r>
      <w:r>
        <w:t xml:space="preserve"> </w:t>
      </w:r>
      <w:r>
        <w:t xml:space="preserve">labels).</w:t>
      </w:r>
      <w:r>
        <w:t xml:space="preserve"> </w:t>
      </w:r>
      <w:r>
        <w:t xml:space="preserve">Reduced ED sickness and</w:t>
      </w:r>
      <w:r>
        <w:t xml:space="preserve"> </w:t>
      </w:r>
      <w:r>
        <w:t xml:space="preserve">negative impacts on the</w:t>
      </w:r>
      <w:r>
        <w:t xml:space="preserve"> </w:t>
      </w:r>
      <w:r>
        <w:t xml:space="preserve">environment</w:t>
      </w:r>
    </w:p>
    <w:p>
      <w:pPr>
        <w:pStyle w:val="BodyText"/>
      </w:pPr>
      <w:r>
        <w:t xml:space="preserve">It is not possible to precisely quantify the</w:t>
      </w:r>
      <w:r>
        <w:t xml:space="preserve"> </w:t>
      </w:r>
      <w:r>
        <w:t xml:space="preserve">benefits. However indicative calculations</w:t>
      </w:r>
      <w:r>
        <w:t xml:space="preserve"> </w:t>
      </w:r>
      <w:r>
        <w:t xml:space="preserve">are provided in Annex 8, pages 186 to 199.</w:t>
      </w:r>
      <w:r>
        <w:t xml:space="preserve"> </w:t>
      </w:r>
      <w:r>
        <w:t xml:space="preserve">Potential savings are in the same order of</w:t>
      </w:r>
      <w:r>
        <w:t xml:space="preserve"> </w:t>
      </w:r>
      <w:r>
        <w:t xml:space="preserve">magnitude as the costs. They could be</w:t>
      </w:r>
      <w:r>
        <w:t xml:space="preserve"> </w:t>
      </w:r>
      <w:r>
        <w:t xml:space="preserve">higher than the costs.</w:t>
      </w:r>
      <w:r>
        <w:br/>
      </w:r>
      <w:r>
        <w:t xml:space="preserve">Indirect benefits</w:t>
      </w:r>
      <w:r>
        <w:t xml:space="preserve"> </w:t>
      </w:r>
      <w:r>
        <w:t xml:space="preserve">Easier navigation in the</w:t>
      </w:r>
      <w:r>
        <w:t xml:space="preserve"> </w:t>
      </w:r>
      <w:r>
        <w:t xml:space="preserve">Classification and Labelling</w:t>
      </w:r>
      <w:r>
        <w:t xml:space="preserve"> </w:t>
      </w:r>
      <w:r>
        <w:t xml:space="preserve">Inventory</w:t>
      </w:r>
      <w:r>
        <w:t xml:space="preserve"> </w:t>
      </w:r>
      <w:r>
        <w:t xml:space="preserve">€8.94 million Annual savings for businesses (cost saving</w:t>
      </w:r>
      <w:r>
        <w:t xml:space="preserve"> </w:t>
      </w:r>
      <w:r>
        <w:t xml:space="preserve">of navigating the CLI).</w:t>
      </w:r>
      <w:r>
        <w:t xml:space="preserve"> </w:t>
      </w:r>
      <w:r>
        <w:t xml:space="preserve">Reduced compliance checks</w:t>
      </w:r>
      <w:r>
        <w:t xml:space="preserve"> </w:t>
      </w:r>
      <w:r>
        <w:t xml:space="preserve">by market surveillance</w:t>
      </w:r>
      <w:r>
        <w:t xml:space="preserve"> </w:t>
      </w:r>
      <w:r>
        <w:t xml:space="preserve">authorities</w:t>
      </w:r>
      <w:r>
        <w:t xml:space="preserve"> </w:t>
      </w:r>
      <w:r>
        <w:t xml:space="preserve">€0.29 million Reduced enforcement costs.</w:t>
      </w:r>
      <w:r>
        <w:t xml:space="preserve"> </w:t>
      </w:r>
      <w:r>
        <w:t xml:space="preserve">(1) 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which</w:t>
      </w:r>
      <w:r>
        <w:t xml:space="preserve"> </w:t>
      </w:r>
      <w:r>
        <w:t xml:space="preserve">stakeholder group is the main recipient of the benefit in the comment section;(3) For reductions in regulatory</w:t>
      </w:r>
      <w:r>
        <w:t xml:space="preserve"> </w:t>
      </w:r>
      <w:r>
        <w:t xml:space="preserve">costs, please describe details as to how the saving arises (e.g. reductions in adjustment costs, administrative</w:t>
      </w:r>
      <w:r>
        <w:t xml:space="preserve"> </w:t>
      </w:r>
      <w:r>
        <w:t xml:space="preserve">costs, regulatory charges, enforcement costs, etc.;); (4) Cost savings related to the ’one in, one out’ approach</w:t>
      </w:r>
      <w:r>
        <w:t xml:space="preserve"> </w:t>
      </w:r>
      <w:r>
        <w:t xml:space="preserve">are detailed in Tool #58 and #59 of the ‘better regulation’ toolbox. * indirect benefits are excluded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II. Overview of costs (in €) – Preferred option – annualised according to 20y basis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of chemical</w:t>
      </w:r>
      <w:r>
        <w:t xml:space="preserve"> </w:t>
      </w:r>
      <w:r>
        <w:t xml:space="preserve">hazards</w:t>
      </w:r>
      <w:r>
        <w:t xml:space="preserve"> </w:t>
      </w:r>
      <w:r>
        <w:t xml:space="preserve">PO1a, PO1b</w:t>
      </w:r>
      <w:r>
        <w:t xml:space="preserve"> </w:t>
      </w:r>
      <w:r>
        <w:t xml:space="preserve">(with</w:t>
      </w:r>
      <w:r>
        <w:t xml:space="preserve"> </w:t>
      </w:r>
      <w:r>
        <w:t xml:space="preserve">measure #5)</w:t>
      </w:r>
      <w:r>
        <w:t xml:space="preserve"> </w:t>
      </w:r>
      <w:r>
        <w:t xml:space="preserve">and PO1c</w:t>
      </w:r>
      <w:r>
        <w:t xml:space="preserve"> </w:t>
      </w:r>
      <w:r>
        <w:t xml:space="preserve">(with</w:t>
      </w:r>
      <w:r>
        <w:t xml:space="preserve"> </w:t>
      </w:r>
      <w:r>
        <w:t xml:space="preserve">measure #8)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26.40 million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12.89 million</w:t>
      </w:r>
      <w:r>
        <w:t xml:space="preserve"> </w:t>
      </w:r>
      <w:r>
        <w:t xml:space="preserve">3.85 million 0.91million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7.76 million</w:t>
      </w:r>
      <w:r>
        <w:t xml:space="preserve"> </w:t>
      </w:r>
      <w:r>
        <w:t xml:space="preserve">1.29 million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Hazard</w:t>
      </w:r>
      <w:r>
        <w:t xml:space="preserve"> </w:t>
      </w:r>
      <w:r>
        <w:t xml:space="preserve">labelling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None</w:t>
      </w:r>
      <w:r>
        <w:t xml:space="preserve"> </w:t>
      </w:r>
      <w:r>
        <w:t xml:space="preserve">quantified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0.06 million</w:t>
      </w:r>
      <w:r>
        <w:t xml:space="preserve"> </w:t>
      </w:r>
      <w:r>
        <w:t xml:space="preserve">1.64 million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0.1 million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8.61 million</w:t>
      </w:r>
      <w:r>
        <w:t xml:space="preserve"> </w:t>
      </w:r>
      <w:r>
        <w:t xml:space="preserve">-</w:t>
      </w:r>
      <w:r>
        <w:t xml:space="preserve"> </w:t>
      </w:r>
      <w:r>
        <w:t xml:space="preserve">0.03 million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Poison</w:t>
      </w:r>
      <w:r>
        <w:t xml:space="preserve"> </w:t>
      </w:r>
      <w:r>
        <w:t xml:space="preserve">centres</w:t>
      </w:r>
      <w:r>
        <w:t xml:space="preserve"> </w:t>
      </w:r>
      <w:r>
        <w:t xml:space="preserve">Online Sale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0.4 million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(1) Estimates (gross values) to be provided with respect to the baseline; (2) costs are provided for each identifiable</w:t>
      </w:r>
      <w:r>
        <w:t xml:space="preserve"> </w:t>
      </w:r>
      <w:r>
        <w:t xml:space="preserve">action/obligation of the preferred option otherwise for all retained options when no preferred option is specified;</w:t>
      </w:r>
      <w:r>
        <w:t xml:space="preserve"> </w:t>
      </w:r>
      <w:r>
        <w:t xml:space="preserve">(3) If relevant and available, please present information on costs according to the standard typology of costs</w:t>
      </w:r>
      <w:r>
        <w:t xml:space="preserve"> </w:t>
      </w:r>
      <w:r>
        <w:t xml:space="preserve">(adjustment costs, administrative costs, regulatory charges, enforcement costs, indirect costs;). (4)</w:t>
      </w:r>
      <w:r>
        <w:t xml:space="preserve"> </w:t>
      </w:r>
      <w:r>
        <w:t xml:space="preserve">Administrative costs for offsetting as explained in Tool #58 and #59 of the ‘better regulation’ toolbox. The total</w:t>
      </w:r>
      <w:r>
        <w:t xml:space="preserve"> </w:t>
      </w:r>
      <w:r>
        <w:t xml:space="preserve">adjustment costs should equal the sum of the adjustment costs presented in the upper part of the table</w:t>
      </w:r>
      <w:r>
        <w:t xml:space="preserve"> </w:t>
      </w:r>
      <w:r>
        <w:t xml:space="preserve">(whenever they are quantifiable and/or can be monetised). Measures taken with a view to compensate</w:t>
      </w:r>
      <w:r>
        <w:t xml:space="preserve"> </w:t>
      </w:r>
      <w:r>
        <w:t xml:space="preserve">adjustment costs to the greatest extent possible are presented in the section of the impact assessment report</w:t>
      </w:r>
      <w:r>
        <w:t xml:space="preserve"> </w:t>
      </w:r>
      <w:r>
        <w:t xml:space="preserve">presenting the preferred option.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III.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Costs associated with</w:t>
      </w:r>
      <w:r>
        <w:t xml:space="preserve"> </w:t>
      </w:r>
      <w:r>
        <w:t xml:space="preserve">changes to labelling and</w:t>
      </w:r>
      <w:r>
        <w:t xml:space="preserve"> </w:t>
      </w:r>
      <w:r>
        <w:t xml:space="preserve">packaging.</w:t>
      </w:r>
      <w:r>
        <w:t xml:space="preserve"> </w:t>
      </w:r>
      <w:r>
        <w:t xml:space="preserve">57.4 million EURO per annum</w:t>
      </w:r>
      <w:r>
        <w:t xml:space="preserve"> </w:t>
      </w:r>
      <w:r>
        <w:t xml:space="preserve">Savings in recurrent administrative costs on</w:t>
      </w:r>
      <w:r>
        <w:t xml:space="preserve"> </w:t>
      </w:r>
      <w:r>
        <w:t xml:space="preserve">businesses</w:t>
      </w:r>
      <w:r>
        <w:t xml:space="preserve"> </w:t>
      </w:r>
      <w:r>
        <w:t xml:space="preserve">Costs associated with</w:t>
      </w:r>
      <w:r>
        <w:t xml:space="preserve"> </w:t>
      </w:r>
      <w:r>
        <w:t xml:space="preserve">changes to labelling and</w:t>
      </w:r>
      <w:r>
        <w:t xml:space="preserve"> </w:t>
      </w:r>
      <w:r>
        <w:t xml:space="preserve">packaging.</w:t>
      </w:r>
      <w:r>
        <w:t xml:space="preserve"> </w:t>
      </w:r>
      <w:r>
        <w:t xml:space="preserve">13.5 million EURO (one-off)</w:t>
      </w:r>
      <w:r>
        <w:t xml:space="preserve"> </w:t>
      </w:r>
      <w:r>
        <w:t xml:space="preserve">One-off administrative cost savings for</w:t>
      </w:r>
      <w:r>
        <w:t xml:space="preserve"> </w:t>
      </w:r>
      <w:r>
        <w:t xml:space="preserve">business related to labelling</w:t>
      </w:r>
    </w:p>
    <w:p>
      <w:pPr>
        <w:pStyle w:val="Compact"/>
        <w:numPr>
          <w:ilvl w:val="0"/>
          <w:numId w:val="1001"/>
        </w:numPr>
      </w:pPr>
      <w:r>
        <w:t xml:space="preserve">Overview of costs – Preferred option (million EURO)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8.6</w:t>
      </w:r>
      <w:r>
        <w:t xml:space="preserve"> </w:t>
      </w:r>
      <w:r>
        <w:t xml:space="preserve">258.7</w:t>
      </w:r>
      <w:r>
        <w:t xml:space="preserve"> </w:t>
      </w:r>
      <w:r>
        <w:t xml:space="preserve">23.2</w:t>
      </w:r>
    </w:p>
    <w:p>
      <w:pPr>
        <w:pStyle w:val="BodyText"/>
      </w:pPr>
      <w:r>
        <w:t xml:space="preserve">The preferred option would create net savings in recurrent administrative costs on businesses and</w:t>
      </w:r>
      <w:r>
        <w:t xml:space="preserve"> </w:t>
      </w:r>
      <w:r>
        <w:t xml:space="preserve">citizens of 25.6 million EURO per annum. The preferred option would however impose net (total) one-</w:t>
      </w:r>
      <w:r>
        <w:t xml:space="preserve"> </w:t>
      </w:r>
      <w:r>
        <w:t xml:space="preserve">off administrative costs on businesses and citizens of 245.2 million EURO.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3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#3 Good health and</w:t>
      </w:r>
      <w:r>
        <w:t xml:space="preserve"> </w:t>
      </w:r>
      <w:r>
        <w:t xml:space="preserve">well-being</w:t>
      </w:r>
      <w:r>
        <w:t xml:space="preserve"> </w:t>
      </w:r>
      <w:r>
        <w:t xml:space="preserve">Reduction of exposure of humans and the</w:t>
      </w:r>
      <w:r>
        <w:t xml:space="preserve"> </w:t>
      </w:r>
      <w:r>
        <w:t xml:space="preserve">environment to hazardous substances as</w:t>
      </w:r>
      <w:r>
        <w:t xml:space="preserve"> </w:t>
      </w:r>
      <w:r>
        <w:t xml:space="preserve">meeting one of the existing hazard classes</w:t>
      </w:r>
      <w:r>
        <w:t xml:space="preserve"> </w:t>
      </w:r>
      <w:r>
        <w:t xml:space="preserve">(improvement of self and harmonised</w:t>
      </w:r>
      <w:r>
        <w:t xml:space="preserve"> </w:t>
      </w:r>
      <w:r>
        <w:t xml:space="preserve">classifications) or new ones for EDs and</w:t>
      </w:r>
      <w:r>
        <w:t xml:space="preserve"> </w:t>
      </w:r>
      <w:r>
        <w:t xml:space="preserve">PMT, vPvM, PBT and vPvB substances.</w:t>
      </w:r>
      <w:r>
        <w:t xml:space="preserve"> </w:t>
      </w:r>
      <w:r>
        <w:t xml:space="preserve">Around 2,250 substances may be identified</w:t>
      </w:r>
      <w:r>
        <w:br/>
      </w:r>
      <w:r>
        <w:t xml:space="preserve">by 2030. Furthermore, between 2,200 and</w:t>
      </w:r>
      <w:r>
        <w:t xml:space="preserve"> </w:t>
      </w:r>
      <w:r>
        <w:t xml:space="preserve">14,000 mixtures may be voluntarily</w:t>
      </w:r>
      <w:r>
        <w:t xml:space="preserve"> </w:t>
      </w:r>
      <w:r>
        <w:t xml:space="preserve">reformulated to remove substances newly</w:t>
      </w:r>
      <w:r>
        <w:t xml:space="preserve"> </w:t>
      </w:r>
      <w:r>
        <w:t xml:space="preserve">identified as hazardous over the same period.</w:t>
      </w:r>
      <w:r>
        <w:t xml:space="preserve"> </w:t>
      </w:r>
      <w:r>
        <w:t xml:space="preserve">Specific Target 3.9 ‘By 2030,</w:t>
      </w:r>
      <w:r>
        <w:t xml:space="preserve"> </w:t>
      </w:r>
      <w:r>
        <w:t xml:space="preserve">substantially reduce the number of</w:t>
      </w:r>
      <w:r>
        <w:t xml:space="preserve"> </w:t>
      </w:r>
      <w:r>
        <w:t xml:space="preserve">deaths and illnesses from hazardous</w:t>
      </w:r>
      <w:r>
        <w:t xml:space="preserve"> </w:t>
      </w:r>
      <w:r>
        <w:t xml:space="preserve">chemicals and air, water and soil</w:t>
      </w:r>
      <w:r>
        <w:t xml:space="preserve"> </w:t>
      </w:r>
      <w:r>
        <w:t xml:space="preserve">pollution and contamination’</w:t>
      </w:r>
      <w:r>
        <w:t xml:space="preserve"> </w:t>
      </w:r>
      <w:r>
        <w:t xml:space="preserve">SDG #6 Clean water and</w:t>
      </w:r>
      <w:r>
        <w:t xml:space="preserve"> </w:t>
      </w:r>
      <w:r>
        <w:t xml:space="preserve">sanitation</w:t>
      </w:r>
      <w:r>
        <w:t xml:space="preserve"> </w:t>
      </w:r>
      <w:r>
        <w:t xml:space="preserve">Identification of PMT and vPvM substances,</w:t>
      </w:r>
      <w:r>
        <w:t xml:space="preserve"> </w:t>
      </w:r>
      <w:r>
        <w:t xml:space="preserve">which are difficult to remove from waste</w:t>
      </w:r>
      <w:r>
        <w:t xml:space="preserve"> </w:t>
      </w:r>
      <w:r>
        <w:t xml:space="preserve">waters will help to reducing the pollution of</w:t>
      </w:r>
      <w:r>
        <w:t xml:space="preserve"> </w:t>
      </w:r>
      <w:r>
        <w:t xml:space="preserve">water bodies. By 2030, 35 substances may</w:t>
      </w:r>
      <w:r>
        <w:t xml:space="preserve"> </w:t>
      </w:r>
      <w:r>
        <w:t xml:space="preserve">be identified as PMT or vPvM substances.</w:t>
      </w:r>
      <w:r>
        <w:t xml:space="preserve"> </w:t>
      </w:r>
      <w:r>
        <w:t xml:space="preserve">Up to 220 mixtures may be voluntarily</w:t>
      </w:r>
      <w:r>
        <w:t xml:space="preserve"> </w:t>
      </w:r>
      <w:r>
        <w:t xml:space="preserve">reformulated to remove the newly hazardous</w:t>
      </w:r>
      <w:r>
        <w:t xml:space="preserve"> </w:t>
      </w:r>
      <w:r>
        <w:t xml:space="preserve">substances</w:t>
      </w:r>
      <w:r>
        <w:t xml:space="preserve"> </w:t>
      </w:r>
      <w:r>
        <w:t xml:space="preserve">Specific Target 6.3 ‘By 2030, improve</w:t>
      </w:r>
      <w:r>
        <w:t xml:space="preserve"> </w:t>
      </w:r>
      <w:r>
        <w:t xml:space="preserve">water quality by reducing pollution,</w:t>
      </w:r>
      <w:r>
        <w:t xml:space="preserve"> </w:t>
      </w:r>
      <w:r>
        <w:t xml:space="preserve">eliminating dumping and minimising</w:t>
      </w:r>
      <w:r>
        <w:t xml:space="preserve"> </w:t>
      </w:r>
      <w:r>
        <w:t xml:space="preserve">release of hazardous chemicals and</w:t>
      </w:r>
      <w:r>
        <w:t xml:space="preserve"> </w:t>
      </w:r>
      <w:r>
        <w:t xml:space="preserve">materials, halving the proportion of</w:t>
      </w:r>
      <w:r>
        <w:t xml:space="preserve"> </w:t>
      </w:r>
      <w:r>
        <w:t xml:space="preserve">untreated wastewater and substantially</w:t>
      </w:r>
      <w:r>
        <w:t xml:space="preserve"> </w:t>
      </w:r>
      <w:r>
        <w:t xml:space="preserve">increasing recycling and safe reuse</w:t>
      </w:r>
      <w:r>
        <w:t xml:space="preserve"> </w:t>
      </w:r>
      <w:r>
        <w:t xml:space="preserve">globally’</w:t>
      </w:r>
      <w:r>
        <w:t xml:space="preserve"> </w:t>
      </w:r>
      <w:r>
        <w:t xml:space="preserve">SDG #9 Industry,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Setting criteria to identify hazardous</w:t>
      </w:r>
      <w:r>
        <w:t xml:space="preserve"> </w:t>
      </w:r>
      <w:r>
        <w:t xml:space="preserve">substances and improving both the self and</w:t>
      </w:r>
      <w:r>
        <w:t xml:space="preserve"> </w:t>
      </w:r>
      <w:r>
        <w:t xml:space="preserve">harmonised classification processes will</w:t>
      </w:r>
      <w:r>
        <w:t xml:space="preserve"> </w:t>
      </w:r>
      <w:r>
        <w:t xml:space="preserve">allow the European chemical industry to</w:t>
      </w:r>
      <w:r>
        <w:t xml:space="preserve"> </w:t>
      </w:r>
      <w:r>
        <w:t xml:space="preserve">transition to more sustainable and future-</w:t>
      </w:r>
      <w:r>
        <w:t xml:space="preserve"> </w:t>
      </w:r>
      <w:r>
        <w:t xml:space="preserve">proofed chemicals. Voluntary substitutions</w:t>
      </w:r>
      <w:r>
        <w:t xml:space="preserve"> </w:t>
      </w:r>
      <w:r>
        <w:t xml:space="preserve">of substances classified as hazardous as such</w:t>
      </w:r>
      <w:r>
        <w:t xml:space="preserve"> </w:t>
      </w:r>
      <w:r>
        <w:t xml:space="preserve">or in mixtures will also foster innovation in</w:t>
      </w:r>
      <w:r>
        <w:t xml:space="preserve"> </w:t>
      </w:r>
      <w:r>
        <w:t xml:space="preserve">the chemical industry. Measures to improve</w:t>
      </w:r>
      <w:r>
        <w:t xml:space="preserve"> </w:t>
      </w:r>
      <w:r>
        <w:t xml:space="preserve">classification processes are expected to</w:t>
      </w:r>
      <w:r>
        <w:t xml:space="preserve"> </w:t>
      </w:r>
      <w:r>
        <w:t xml:space="preserve">contribute to SDG #3, #6 and 12, albeit</w:t>
      </w:r>
      <w:r>
        <w:t xml:space="preserve"> </w:t>
      </w:r>
      <w:r>
        <w:t xml:space="preserve">indirectly.</w:t>
      </w:r>
      <w:r>
        <w:t xml:space="preserve"> </w:t>
      </w:r>
      <w:r>
        <w:t xml:space="preserve">Specific Target 9.4 ‘By 2030, upgrade</w:t>
      </w:r>
      <w:r>
        <w:t xml:space="preserve"> </w:t>
      </w:r>
      <w:r>
        <w:t xml:space="preserve">infrastructure and retrofit industries to</w:t>
      </w:r>
      <w:r>
        <w:t xml:space="preserve"> </w:t>
      </w:r>
      <w:r>
        <w:t xml:space="preserve">make them sustainable, with increased</w:t>
      </w:r>
      <w:r>
        <w:t xml:space="preserve"> </w:t>
      </w:r>
      <w:r>
        <w:t xml:space="preserve">resource-use efficiency and greater</w:t>
      </w:r>
      <w:r>
        <w:t xml:space="preserve"> </w:t>
      </w:r>
      <w:r>
        <w:t xml:space="preserve">adoption of clean and environmentally</w:t>
      </w:r>
      <w:r>
        <w:t xml:space="preserve"> </w:t>
      </w:r>
      <w:r>
        <w:t xml:space="preserve">sound technologies and industrial</w:t>
      </w:r>
      <w:r>
        <w:t xml:space="preserve"> </w:t>
      </w:r>
      <w:r>
        <w:t xml:space="preserve">processes, with all countries taking</w:t>
      </w:r>
      <w:r>
        <w:t xml:space="preserve"> </w:t>
      </w:r>
      <w:r>
        <w:t xml:space="preserve">action in accordance with their</w:t>
      </w:r>
      <w:r>
        <w:t xml:space="preserve"> </w:t>
      </w:r>
      <w:r>
        <w:t xml:space="preserve">respective capabilities’</w:t>
      </w:r>
      <w:r>
        <w:t xml:space="preserve"> </w:t>
      </w:r>
      <w:r>
        <w:t xml:space="preserve">SDG #12 Ensure</w:t>
      </w:r>
      <w:r>
        <w:t xml:space="preserve"> </w:t>
      </w:r>
      <w:r>
        <w:t xml:space="preserve">sustainable consumption</w:t>
      </w:r>
      <w:r>
        <w:t xml:space="preserve"> </w:t>
      </w:r>
      <w:r>
        <w:t xml:space="preserve">and production patterns</w:t>
      </w:r>
      <w:r>
        <w:t xml:space="preserve"> </w:t>
      </w:r>
      <w:r>
        <w:t xml:space="preserve">Information on chemical hazards will be</w:t>
      </w:r>
      <w:r>
        <w:t xml:space="preserve"> </w:t>
      </w:r>
      <w:r>
        <w:t xml:space="preserve">improved so consumers and users of</w:t>
      </w:r>
      <w:r>
        <w:t xml:space="preserve"> </w:t>
      </w:r>
      <w:r>
        <w:t xml:space="preserve">chemical can not only protect themselves</w:t>
      </w:r>
      <w:r>
        <w:t xml:space="preserve"> </w:t>
      </w:r>
      <w:r>
        <w:t xml:space="preserve">better but also make informed choices. Self-</w:t>
      </w:r>
      <w:r>
        <w:t xml:space="preserve"> </w:t>
      </w:r>
      <w:r>
        <w:t xml:space="preserve">refill chemicals will be better regulated to</w:t>
      </w:r>
      <w:r>
        <w:t xml:space="preserve"> </w:t>
      </w:r>
      <w:r>
        <w:t xml:space="preserve">allow only refill of mildly hazardous</w:t>
      </w:r>
      <w:r>
        <w:t xml:space="preserve"> </w:t>
      </w:r>
      <w:r>
        <w:t xml:space="preserve">substances. When it comes to online sales of</w:t>
      </w:r>
      <w:r>
        <w:t xml:space="preserve"> </w:t>
      </w:r>
      <w:r>
        <w:t xml:space="preserve">chemicals, customers will have access to</w:t>
      </w:r>
      <w:r>
        <w:t xml:space="preserve"> </w:t>
      </w:r>
      <w:r>
        <w:t xml:space="preserve">more comprehensive information on</w:t>
      </w:r>
      <w:r>
        <w:t xml:space="preserve"> </w:t>
      </w:r>
      <w:r>
        <w:t xml:space="preserve">chemical hazards. Voluntary substitution of</w:t>
      </w:r>
      <w:r>
        <w:t xml:space="preserve"> </w:t>
      </w:r>
      <w:r>
        <w:t xml:space="preserve">hazardous substances in mixtures will also</w:t>
      </w:r>
      <w:r>
        <w:t xml:space="preserve"> </w:t>
      </w:r>
      <w:r>
        <w:t xml:space="preserve">help producing more sustainable chemical</w:t>
      </w:r>
      <w:r>
        <w:t xml:space="preserve"> </w:t>
      </w:r>
      <w:r>
        <w:t xml:space="preserve">products.</w:t>
      </w:r>
      <w:r>
        <w:t xml:space="preserve"> </w:t>
      </w:r>
      <w:r>
        <w:t xml:space="preserve">Specific Target 12.4 ‘By 2020, achieve</w:t>
      </w:r>
      <w:r>
        <w:t xml:space="preserve"> </w:t>
      </w:r>
      <w:r>
        <w:t xml:space="preserve">the environmentally sound management</w:t>
      </w:r>
      <w:r>
        <w:t xml:space="preserve"> </w:t>
      </w:r>
      <w:r>
        <w:t xml:space="preserve">of chemicals and all wastes throughout</w:t>
      </w:r>
      <w:r>
        <w:t xml:space="preserve"> </w:t>
      </w:r>
      <w:r>
        <w:t xml:space="preserve">their life cycle, in accordance with</w:t>
      </w:r>
      <w:r>
        <w:t xml:space="preserve"> </w:t>
      </w:r>
      <w:r>
        <w:t xml:space="preserve">agreed international frameworks, and</w:t>
      </w:r>
      <w:r>
        <w:t xml:space="preserve"> </w:t>
      </w:r>
      <w:r>
        <w:t xml:space="preserve">significantly reduce their release to air,</w:t>
      </w:r>
      <w:r>
        <w:t xml:space="preserve"> </w:t>
      </w:r>
      <w:r>
        <w:t xml:space="preserve">water and soil in order to minimise their</w:t>
      </w:r>
      <w:r>
        <w:t xml:space="preserve"> </w:t>
      </w:r>
      <w:r>
        <w:t xml:space="preserve">adverse impacts on human health and</w:t>
      </w:r>
      <w:r>
        <w:t xml:space="preserve"> </w:t>
      </w:r>
      <w:r>
        <w:t xml:space="preserve">the environment’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Annex 4 – Analytical Methods</w:t>
      </w:r>
      <w:r>
        <w:t xml:space="preserve"> </w:t>
      </w:r>
      <w:r>
        <w:t xml:space="preserve">This Annex reports the following methodologies used in this SWD.</w:t>
      </w:r>
      <w:r>
        <w:br/>
      </w:r>
      <w:r>
        <w:t xml:space="preserve"> Methodology developed by ECHA to screen registered substances meeting specific</w:t>
      </w:r>
      <w:r>
        <w:t xml:space="preserve"> </w:t>
      </w:r>
      <w:r>
        <w:t xml:space="preserve">hazard criteria;</w:t>
      </w:r>
      <w:r>
        <w:t xml:space="preserve"> </w:t>
      </w:r>
      <w:r>
        <w:t xml:space="preserve"> Methodology used for the behavioural study;</w:t>
      </w:r>
      <w:r>
        <w:t xml:space="preserve"> </w:t>
      </w:r>
      <w:r>
        <w:t xml:space="preserve"> Methodology to derive quantified administrative costs and savings.</w:t>
      </w:r>
    </w:p>
    <w:p>
      <w:pPr>
        <w:pStyle w:val="BodyText"/>
      </w:pPr>
      <w:r>
        <w:t xml:space="preserve">OVERVIEW</w:t>
      </w:r>
      <w:r>
        <w:t xml:space="preserve"> </w:t>
      </w:r>
      <w:r>
        <w:t xml:space="preserve">The research carried out by the project teams follows the Better Regulation Policy Guidelines</w:t>
      </w:r>
      <w:r>
        <w:t xml:space="preserve"> </w:t>
      </w:r>
      <w:r>
        <w:t xml:space="preserve">for the impact assessment and uses various methods to collect and analyse evidence necessary</w:t>
      </w:r>
      <w:r>
        <w:t xml:space="preserve"> </w:t>
      </w:r>
      <w:r>
        <w:t xml:space="preserve">for the impact assessment of the CLP Regulation. Figure 7 summarises how project research</w:t>
      </w:r>
      <w:r>
        <w:t xml:space="preserve"> </w:t>
      </w:r>
      <w:r>
        <w:t xml:space="preserve">tasks supporting the development of the impact assessment report in line with Better Regulation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Figure 7: Overview of the tasks supporting the impact assessment study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Project tasks 1 and 5 support the implementation of the project, while the research programme</w:t>
      </w:r>
      <w:r>
        <w:t xml:space="preserve"> </w:t>
      </w:r>
      <w:r>
        <w:t xml:space="preserve">of the study is implemented in tasks 2, 3 and 4. Analytical methods used for completing the</w:t>
      </w:r>
      <w:r>
        <w:t xml:space="preserve"> </w:t>
      </w:r>
      <w:r>
        <w:t xml:space="preserve">latter tasks will be overviewed in the following sections.</w:t>
      </w:r>
    </w:p>
    <w:p>
      <w:pPr>
        <w:pStyle w:val="BodyText"/>
      </w:pPr>
      <w:r>
        <w:t xml:space="preserve">EVIDENCE COLLECTION METHODS</w:t>
      </w:r>
      <w:r>
        <w:t xml:space="preserve"> </w:t>
      </w:r>
      <w:r>
        <w:t xml:space="preserve">Evidence gathering (Task 2) aimed to collect, analyse and evaluate the available evidence that</w:t>
      </w:r>
      <w:r>
        <w:t xml:space="preserve"> </w:t>
      </w:r>
      <w:r>
        <w:t xml:space="preserve">is relevant for the impact assessment of the CLP Regulation, in particular, for developing</w:t>
      </w:r>
      <w:r>
        <w:t xml:space="preserve"> </w:t>
      </w:r>
      <w:r>
        <w:t xml:space="preserve">problem definitions, policy options, assessment of the impact of these as well as developing</w:t>
      </w:r>
      <w:r>
        <w:t xml:space="preserve"> </w:t>
      </w:r>
      <w:r>
        <w:t xml:space="preserve">questions for open public consultation. Evidence collection covered the seven problem areas</w:t>
      </w:r>
      <w:r>
        <w:t xml:space="preserve"> </w:t>
      </w:r>
      <w:r>
        <w:t xml:space="preserve">defined in the Terms of Reference for this study:</w:t>
      </w:r>
      <w:r>
        <w:t xml:space="preserve"> </w:t>
      </w:r>
      <w:r>
        <w:t xml:space="preserve">1 new hazard classes (hazard identification);</w:t>
      </w:r>
      <w:r>
        <w:t xml:space="preserve"> </w:t>
      </w:r>
      <w:r>
        <w:t xml:space="preserve">2 toxicity reference values and harmonised classification and labelling;</w:t>
      </w:r>
      <w:r>
        <w:t xml:space="preserve"> </w:t>
      </w:r>
      <w:r>
        <w:t xml:space="preserve">3 self-classification;</w:t>
      </w:r>
      <w:r>
        <w:t xml:space="preserve"> </w:t>
      </w:r>
      <w:r>
        <w:t xml:space="preserve">4 labelling;</w:t>
      </w:r>
      <w:r>
        <w:t xml:space="preserve"> </w:t>
      </w:r>
      <w:r>
        <w:t xml:space="preserve">5 CLP scope exemption;</w:t>
      </w:r>
      <w:r>
        <w:t xml:space="preserve"> </w:t>
      </w:r>
      <w:r>
        <w:t xml:space="preserve">6 online sales of chemicals;</w:t>
      </w:r>
      <w:r>
        <w:t xml:space="preserve"> </w:t>
      </w:r>
      <w:r>
        <w:t xml:space="preserve">7 poison centres.</w:t>
      </w:r>
      <w:r>
        <w:t xml:space="preserve"> </w:t>
      </w:r>
      <w:r>
        <w:t xml:space="preserve">A rapid literature review methodology (also known as rapid evidence assessment – REA)</w:t>
      </w:r>
      <w:r>
        <w:t xml:space="preserve"> </w:t>
      </w:r>
      <w:r>
        <w:t xml:space="preserve">was used for data collection and interpretation. Rapid reviews are widely used for the analysis</w:t>
      </w:r>
      <w:r>
        <w:t xml:space="preserve"> </w:t>
      </w:r>
      <w:r>
        <w:t xml:space="preserve">of the broad spectrum of topics or issues, which is the case of this study. They are based on the</w:t>
      </w:r>
      <w:r>
        <w:t xml:space="preserve"> </w:t>
      </w:r>
      <w:r>
        <w:t xml:space="preserve">main principles of systematic literature reviews, which contributes to their robustness;</w:t>
      </w:r>
      <w:r>
        <w:t xml:space="preserve"> </w:t>
      </w:r>
      <w:r>
        <w:t xml:space="preserve">however, rapid reviews do not develop sophisticated methodologies for evidence weighting</w:t>
      </w:r>
      <w:r>
        <w:t xml:space="preserve"> </w:t>
      </w:r>
      <w:r>
        <w:t xml:space="preserve">and inclusion as well as for quantitative analysis designs for the presentation of findings. The</w:t>
      </w:r>
      <w:r>
        <w:t xml:space="preserve"> </w:t>
      </w:r>
      <w:r>
        <w:t xml:space="preserve">absence of extensive and complex research methodologies substantially reduce time needed to</w:t>
      </w:r>
      <w:r>
        <w:t xml:space="preserve"> </w:t>
      </w:r>
      <w:r>
        <w:t xml:space="preserve">conduct a literature review. Rapid reviews give comprehensive qualitative narrative overviews</w:t>
      </w:r>
      <w:r>
        <w:t xml:space="preserve"> </w:t>
      </w:r>
      <w:r>
        <w:t xml:space="preserve">of the selected domain. Collection and evaluation of robustness of evidence followed Better</w:t>
      </w:r>
      <w:r>
        <w:t xml:space="preserve"> </w:t>
      </w:r>
      <w:r>
        <w:t xml:space="preserve">Regulation Tool #4.</w:t>
      </w:r>
      <w:r>
        <w:br/>
      </w:r>
      <w:r>
        <w:t xml:space="preserve">For two problem areas – new hazard classes (hazard identification) and CLP scope exemptions,</w:t>
      </w:r>
      <w:r>
        <w:t xml:space="preserve"> </w:t>
      </w:r>
      <w:r>
        <w:t xml:space="preserve">extensive supporting studies were carried out. In addition to rapid literature review these</w:t>
      </w:r>
      <w:r>
        <w:t xml:space="preserve"> </w:t>
      </w:r>
      <w:r>
        <w:t xml:space="preserve">studies used other method – legislative document analysis (CLP scope exemptions) and data</w:t>
      </w:r>
      <w:r>
        <w:t xml:space="preserve"> </w:t>
      </w:r>
      <w:r>
        <w:t xml:space="preserve">analysis (new hazard classes).</w:t>
      </w:r>
    </w:p>
    <w:p>
      <w:pPr>
        <w:pStyle w:val="BodyText"/>
      </w:pPr>
      <w:r>
        <w:t xml:space="preserve">CONSULTATION METHODS</w:t>
      </w:r>
      <w:r>
        <w:t xml:space="preserve"> </w:t>
      </w:r>
      <w:r>
        <w:t xml:space="preserve">Consultation activities (Task 3) ensured that stakeholders’ views, practical experience and data</w:t>
      </w:r>
      <w:r>
        <w:t xml:space="preserve"> </w:t>
      </w:r>
      <w:r>
        <w:t xml:space="preserve">were taken into account in the policy development process, ensuring higher quality analysis</w:t>
      </w:r>
      <w:r>
        <w:t xml:space="preserve"> </w:t>
      </w:r>
      <w:r>
        <w:t xml:space="preserve">and support for implementation. All information gathered in Task 3 was fed into the wider</w:t>
      </w:r>
      <w:r>
        <w:t xml:space="preserve"> </w:t>
      </w:r>
      <w:r>
        <w:t xml:space="preserve">impact assessment regarding the analysis of policy options and any associated impacts.</w:t>
      </w:r>
      <w:r>
        <w:t xml:space="preserve"> </w:t>
      </w:r>
      <w:r>
        <w:t xml:space="preserve">Several methods were used in consultation for data collection – questionnaire surveys, semi-</w:t>
      </w:r>
      <w:r>
        <w:t xml:space="preserve"> </w:t>
      </w:r>
      <w:r>
        <w:t xml:space="preserve">structured interviews and document analysis.</w:t>
      </w:r>
      <w:r>
        <w:br/>
      </w:r>
      <w:r>
        <w:t xml:space="preserve">General public and experts, including the main stakeholders, such as citizens, public</w:t>
      </w:r>
      <w:r>
        <w:t xml:space="preserve"> </w:t>
      </w:r>
      <w:r>
        <w:t xml:space="preserve">authorities, business entities and associations, civil societies, academic researchers were</w:t>
      </w:r>
      <w:r>
        <w:t xml:space="preserve"> </w:t>
      </w:r>
      <w:r>
        <w:t xml:space="preserve">reached by launching two questionnaire surveys – open public consultation and targeted</w:t>
      </w:r>
      <w:r>
        <w:t xml:space="preserve"> </w:t>
      </w:r>
      <w:r>
        <w:t xml:space="preserve">stakeholder consultation. Following Better Regulation Tool #52, open public consultation</w:t>
      </w:r>
      <w:r>
        <w:t xml:space="preserve"> </w:t>
      </w:r>
      <w:r>
        <w:t xml:space="preserve">survey aimed to enable the public and stakeholders to freely contribute to the impact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assessment study with their opinions, while targeted consultation survey addressed main</w:t>
      </w:r>
      <w:r>
        <w:t xml:space="preserve"> </w:t>
      </w:r>
      <w:r>
        <w:t xml:space="preserve">stakeholders of the study. Two data analysis methods were applied to interpret the results of</w:t>
      </w:r>
      <w:r>
        <w:t xml:space="preserve"> </w:t>
      </w:r>
      <w:r>
        <w:t xml:space="preserve">both surveys: descriptive statistics and thematic analysis. Descriptive statistics was used to</w:t>
      </w:r>
      <w:r>
        <w:t xml:space="preserve"> </w:t>
      </w:r>
      <w:r>
        <w:t xml:space="preserve">analyse closed quantitative responses to the surveys, while thematic analysis was applied to</w:t>
      </w:r>
      <w:r>
        <w:t xml:space="preserve"> </w:t>
      </w:r>
      <w:r>
        <w:t xml:space="preserve">interpret answers to open questions and the content of the position papers. Thematic analysis</w:t>
      </w:r>
      <w:r>
        <w:t xml:space="preserve"> </w:t>
      </w:r>
      <w:r>
        <w:t xml:space="preserve">is a data interpretation method that allows systematic approach to categorising qualitative</w:t>
      </w:r>
      <w:r>
        <w:t xml:space="preserve"> </w:t>
      </w:r>
      <w:r>
        <w:t xml:space="preserve">unstructured input by stakeholders into the hierarchy of topical categories. Thematic analysis</w:t>
      </w:r>
      <w:r>
        <w:t xml:space="preserve"> </w:t>
      </w:r>
      <w:r>
        <w:t xml:space="preserve">was supported by Nvivo software package. Thematic category maps were developed for data</w:t>
      </w:r>
      <w:r>
        <w:t xml:space="preserve"> </w:t>
      </w:r>
      <w:r>
        <w:t xml:space="preserve">visualisation by using open-source software Free Mind.</w:t>
      </w:r>
      <w:r>
        <w:br/>
      </w:r>
      <w:r>
        <w:t xml:space="preserve">To complement and cross-check with the findings of quantitative surveys and evidence</w:t>
      </w:r>
      <w:r>
        <w:t xml:space="preserve"> </w:t>
      </w:r>
      <w:r>
        <w:t xml:space="preserve">collection in Task 2 semi-structured interviews were carried out with civil societies, public</w:t>
      </w:r>
      <w:r>
        <w:t xml:space="preserve"> </w:t>
      </w:r>
      <w:r>
        <w:t xml:space="preserve">authorities, academia, and business entities and associations. For making the study more</w:t>
      </w:r>
      <w:r>
        <w:t xml:space="preserve"> </w:t>
      </w:r>
      <w:r>
        <w:t xml:space="preserve">inclusive to opinions of the stakeholders the study team conducted both individual and group</w:t>
      </w:r>
      <w:r>
        <w:t xml:space="preserve"> </w:t>
      </w:r>
      <w:r>
        <w:t xml:space="preserve">interviews. The study team used thematic analysis for data interpretation supported with</w:t>
      </w:r>
      <w:r>
        <w:t xml:space="preserve"> </w:t>
      </w:r>
      <w:r>
        <w:t xml:space="preserve">thematic category maps for visualisation of the findings.</w:t>
      </w:r>
      <w:r>
        <w:t xml:space="preserve"> </w:t>
      </w:r>
      <w:r>
        <w:t xml:space="preserve">Furthermore, the study team applied observation and document analysis for collecting the</w:t>
      </w:r>
      <w:r>
        <w:t xml:space="preserve"> </w:t>
      </w:r>
      <w:r>
        <w:t xml:space="preserve">opinions of CARACAL and its CASG sub-group members and observers. Observation of the</w:t>
      </w:r>
      <w:r>
        <w:t xml:space="preserve"> </w:t>
      </w:r>
      <w:r>
        <w:t xml:space="preserve">CARACAL meeting was carried out by non-intrusive observation of CARACAL discussions</w:t>
      </w:r>
      <w:r>
        <w:t xml:space="preserve"> </w:t>
      </w:r>
      <w:r>
        <w:t xml:space="preserve">and making notes that were later used for the study purposes. Document analysis was used for</w:t>
      </w:r>
      <w:r>
        <w:t xml:space="preserve"> </w:t>
      </w:r>
      <w:r>
        <w:t xml:space="preserve">processing the written feedback submitted after each meeting by the CARACAL members and</w:t>
      </w:r>
      <w:r>
        <w:t xml:space="preserve"> </w:t>
      </w:r>
      <w:r>
        <w:t xml:space="preserve">observers.</w:t>
      </w:r>
    </w:p>
    <w:p>
      <w:pPr>
        <w:pStyle w:val="BodyText"/>
      </w:pPr>
      <w:r>
        <w:t xml:space="preserve">IMPACT ASSESSMENT METHODS</w:t>
      </w:r>
      <w:r>
        <w:t xml:space="preserve"> </w:t>
      </w:r>
      <w:r>
        <w:t xml:space="preserve">Impact assessment provided the core output of the study with the assessment of the economic,</w:t>
      </w:r>
      <w:r>
        <w:t xml:space="preserve"> </w:t>
      </w:r>
      <w:r>
        <w:t xml:space="preserve">social and environmental impacts of each of the policy options identified. It brought together</w:t>
      </w:r>
      <w:r>
        <w:t xml:space="preserve"> </w:t>
      </w:r>
      <w:r>
        <w:t xml:space="preserve">data gathered through evidence collection and consultation activities. Impact assessment (Task</w:t>
      </w:r>
      <w:r>
        <w:t xml:space="preserve"> </w:t>
      </w:r>
      <w:r>
        <w:t xml:space="preserve">4) followed the methodology specified in the Better Regulation Guidelines and consisted of six</w:t>
      </w:r>
      <w:r>
        <w:t xml:space="preserve"> </w:t>
      </w:r>
      <w:r>
        <w:t xml:space="preserve">sub-tasks.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Figure 8: Task 4 workflow</w:t>
      </w:r>
    </w:p>
    <w:p>
      <w:pPr>
        <w:pStyle w:val="BodyText"/>
      </w:pPr>
      <w:r>
        <w:t xml:space="preserve">Problem analysis aimed to identify and analyse the key problems to be addressed in the report</w:t>
      </w:r>
      <w:r>
        <w:t xml:space="preserve"> </w:t>
      </w:r>
      <w:r>
        <w:t xml:space="preserve">supporting the impact assessment of the CLP Regulation. It was carried out following the</w:t>
      </w:r>
      <w:r>
        <w:t xml:space="preserve"> </w:t>
      </w:r>
      <w:r>
        <w:t xml:space="preserve">methodology suggested in Better Regulation Guidelines, Tool #13 “How to analyse problems”.</w:t>
      </w:r>
      <w:r>
        <w:t xml:space="preserve"> </w:t>
      </w:r>
      <w:r>
        <w:t xml:space="preserve">Following Better Regulation Tool #16, baseline, i.e. “no policy change” scenario, was</w:t>
      </w:r>
      <w:r>
        <w:t xml:space="preserve"> </w:t>
      </w:r>
      <w:r>
        <w:t xml:space="preserve">developed. It provided a reference point for assessing changes and impacts, as it establishes a</w:t>
      </w:r>
      <w:r>
        <w:t xml:space="preserve"> </w:t>
      </w:r>
      <w:r>
        <w:t xml:space="preserve">basis for comparing the situation before and after an intervention.</w:t>
      </w:r>
      <w:r>
        <w:t xml:space="preserve"> </w:t>
      </w:r>
      <w:r>
        <w:t xml:space="preserve">A set of policy measures was developed to solve the problems in each of the seven areas that</w:t>
      </w:r>
      <w:r>
        <w:t xml:space="preserve"> </w:t>
      </w:r>
      <w:r>
        <w:t xml:space="preserve">were investigated in the study. Following the recommendations of Tool #16, policy measures</w:t>
      </w:r>
      <w:r>
        <w:t xml:space="preserve"> </w:t>
      </w:r>
      <w:r>
        <w:t xml:space="preserve">were grouped into several policy option packages. The long-list of policy options was</w:t>
      </w:r>
      <w:r>
        <w:t xml:space="preserve"> </w:t>
      </w:r>
      <w:r>
        <w:t xml:space="preserve">screened and some of the measures contained in policy option packages were discarded.</w:t>
      </w:r>
      <w:r>
        <w:t xml:space="preserve"> </w:t>
      </w:r>
      <w:r>
        <w:t xml:space="preserve">Impacts of all retained policy options were assessed. The main direct impacts were quantified</w:t>
      </w:r>
      <w:r>
        <w:t xml:space="preserve"> </w:t>
      </w:r>
      <w:r>
        <w:t xml:space="preserve">and monetised (both the baseline and the policy options under consideration). Furthermore,</w:t>
      </w:r>
      <w:r>
        <w:t xml:space="preserve"> </w:t>
      </w:r>
      <w:r>
        <w:t xml:space="preserve">indirect impacts were quantified, where possible, and if not then they were assessed</w:t>
      </w:r>
      <w:r>
        <w:t xml:space="preserve"> </w:t>
      </w:r>
      <w:r>
        <w:t xml:space="preserve">qualitatively with a clear indication of their nature and likely magnitude. Costs and benefits</w:t>
      </w:r>
      <w:r>
        <w:t xml:space="preserve"> </w:t>
      </w:r>
      <w:r>
        <w:t xml:space="preserve">were disaggregated, as far as possible, according to each identifiable action under the different</w:t>
      </w:r>
      <w:r>
        <w:t xml:space="preserve"> </w:t>
      </w:r>
      <w:r>
        <w:t xml:space="preserve">options and identified according to the standard typology of costs (e.g., administrative,</w:t>
      </w:r>
      <w:r>
        <w:t xml:space="preserve"> </w:t>
      </w:r>
      <w:r>
        <w:t xml:space="preserve">enforcement) and benefits (Tool #58 and #59). The assessment was undertaken in line with the</w:t>
      </w:r>
      <w:r>
        <w:t xml:space="preserve"> </w:t>
      </w:r>
      <w:r>
        <w:t xml:space="preserve">Better Regulation Guidelines and, in particular, Chapter 8 (“Methodologies for analysing</w:t>
      </w:r>
      <w:r>
        <w:t xml:space="preserve"> </w:t>
      </w:r>
      <w:r>
        <w:t xml:space="preserve">impacts in impact assessments, evaluations and fitness checks”).</w:t>
      </w:r>
      <w:r>
        <w:t xml:space="preserve"> </w:t>
      </w:r>
      <w:r>
        <w:t xml:space="preserve">The options were compared both to the baseline scenario and to each other and provide the</w:t>
      </w:r>
      <w:r>
        <w:t xml:space="preserve"> </w:t>
      </w:r>
      <w:r>
        <w:t xml:space="preserve">Commission with a recommended option or combination of options. This sub-task brought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together both quantitative and qualitative findings to present a coherent set of conclusions and</w:t>
      </w:r>
      <w:r>
        <w:t xml:space="preserve"> </w:t>
      </w:r>
      <w:r>
        <w:t xml:space="preserve">recommendations. Policy options were compared based on their effectiveness (i.e., the</w:t>
      </w:r>
      <w:r>
        <w:t xml:space="preserve"> </w:t>
      </w:r>
      <w:r>
        <w:t xml:space="preserve">potential to deliver on the objectives), efficiency and coherence, against the objectives of the</w:t>
      </w:r>
      <w:r>
        <w:t xml:space="preserve"> </w:t>
      </w:r>
      <w:r>
        <w:t xml:space="preserve">CLP and specific options defined in the earlier tasks.</w:t>
      </w:r>
    </w:p>
    <w:p>
      <w:pPr>
        <w:pStyle w:val="BodyText"/>
      </w:pPr>
      <w:r>
        <w:t xml:space="preserve">SCREENING REGISTERED SUBSTANCES</w:t>
      </w:r>
      <w:r>
        <w:t xml:space="preserve"> </w:t>
      </w:r>
      <w:r>
        <w:t xml:space="preserve">Databases considered</w:t>
      </w:r>
      <w:r>
        <w:t xml:space="preserve"> </w:t>
      </w:r>
      <w:r>
        <w:t xml:space="preserve">The focus was on the REACH registered substances, including biocidal and pesticidal active</w:t>
      </w:r>
      <w:r>
        <w:t xml:space="preserve"> </w:t>
      </w:r>
      <w:r>
        <w:t xml:space="preserve">substances. Cosmetics have only been included if they are present in one of these inventories.</w:t>
      </w:r>
      <w:r>
        <w:t xml:space="preserve"> </w:t>
      </w:r>
      <w:r>
        <w:t xml:space="preserve">Regarding biocides and pesticides only active substances that can currently be used in the</w:t>
      </w:r>
      <w:r>
        <w:t xml:space="preserve"> </w:t>
      </w:r>
      <w:r>
        <w:t xml:space="preserve">market were kept, e.g. biocide active substances that have been assessed and not approved for</w:t>
      </w:r>
      <w:r>
        <w:t xml:space="preserve"> </w:t>
      </w:r>
      <w:r>
        <w:t xml:space="preserve">any product type were excluded.</w:t>
      </w:r>
      <w:r>
        <w:br/>
      </w:r>
      <w:r>
        <w:t xml:space="preserve">With regard to the REACH registered substances ECHA used the recently published chemical</w:t>
      </w:r>
      <w:r>
        <w:t xml:space="preserve"> </w:t>
      </w:r>
      <w:r>
        <w:t xml:space="preserve">universe (https://echa.europa.eu/universe-of-registered-substances). Substances present in</w:t>
      </w:r>
      <w:r>
        <w:t xml:space="preserve"> </w:t>
      </w:r>
      <w:r>
        <w:t xml:space="preserve">more than one inventory (duplicates) were identified based on the presence of at least one</w:t>
      </w:r>
      <w:r>
        <w:t xml:space="preserve"> </w:t>
      </w:r>
      <w:r>
        <w:t xml:space="preserve">common identifier (EC number, CAS number or substance names). The combined substance</w:t>
      </w:r>
      <w:r>
        <w:t xml:space="preserve"> </w:t>
      </w:r>
      <w:r>
        <w:t xml:space="preserve">inventory contains 23751 unique substances, out of which 23043 are only registered under</w:t>
      </w:r>
      <w:r>
        <w:t xml:space="preserve"> </w:t>
      </w:r>
      <w:r>
        <w:t xml:space="preserve">REACH, 379 are only active pesticides, 98 are only active biocides and 231 are in more than</w:t>
      </w:r>
      <w:r>
        <w:t xml:space="preserve"> </w:t>
      </w:r>
      <w:r>
        <w:t xml:space="preserve">one inventory (most of which are registered under REACH). There are 2264 substances</w:t>
      </w:r>
      <w:r>
        <w:t xml:space="preserve"> </w:t>
      </w:r>
      <w:r>
        <w:t xml:space="preserve">registered according to Annex X of REACH (this number is used for the projections of basket</w:t>
      </w:r>
      <w:r>
        <w:t xml:space="preserve"> </w:t>
      </w:r>
      <w:r>
        <w:t xml:space="preserve">3). 12239 substances have at least one active registration according to Article 10 and an</w:t>
      </w:r>
      <w:r>
        <w:t xml:space="preserve"> </w:t>
      </w:r>
      <w:r>
        <w:t xml:space="preserve">additional 509 substances are active pesticides and/or biocides. The remainder of the 23751</w:t>
      </w:r>
      <w:r>
        <w:t xml:space="preserve"> </w:t>
      </w:r>
      <w:r>
        <w:t xml:space="preserve">substances are intermediates registered under REACH, NONs (claimed or unclaimed) that have</w:t>
      </w:r>
      <w:r>
        <w:t xml:space="preserve"> </w:t>
      </w:r>
      <w:r>
        <w:t xml:space="preserve">not been updated under REACH or only have registrations that are currently ceased. The</w:t>
      </w:r>
      <w:r>
        <w:t xml:space="preserve"> </w:t>
      </w:r>
      <w:r>
        <w:t xml:space="preserve">inventory of substances is provided as a separate dataset (substance_inventory.xlsx, see annex).</w:t>
      </w:r>
      <w:r>
        <w:t xml:space="preserve"> </w:t>
      </w:r>
      <w:r>
        <w:t xml:space="preserve">It does not include substances that are only notified to the CLP inventory but have not been</w:t>
      </w:r>
      <w:r>
        <w:t xml:space="preserve"> </w:t>
      </w:r>
      <w:r>
        <w:t xml:space="preserve">registered.</w:t>
      </w:r>
      <w:r>
        <w:br/>
      </w:r>
      <w:r>
        <w:t xml:space="preserve">Identification of registered substances</w:t>
      </w:r>
      <w:r>
        <w:t xml:space="preserve"> </w:t>
      </w:r>
      <w:r>
        <w:t xml:space="preserve">For each endpoint16, substances have been divided into 3 baskets:</w:t>
      </w:r>
      <w:r>
        <w:t xml:space="preserve"> </w:t>
      </w:r>
      <w:r>
        <w:t xml:space="preserve">Basket 1 - Substances with confirmed hazard(s): For endpoints included in CLP these are</w:t>
      </w:r>
      <w:r>
        <w:t xml:space="preserve"> </w:t>
      </w:r>
      <w:r>
        <w:t xml:space="preserve">based on either their harmonised classification (inclusion in Annex VI to CLP) or the reported</w:t>
      </w:r>
      <w:r>
        <w:t xml:space="preserve"> </w:t>
      </w:r>
      <w:r>
        <w:t xml:space="preserve">self-classification in the registration dossier17. For other endpoints these are based on</w:t>
      </w:r>
      <w:r>
        <w:t xml:space="preserve"> </w:t>
      </w:r>
      <w:r>
        <w:t xml:space="preserve">identification as SVHCs (inclusion in the Candidate List), identification under BPR or agreed</w:t>
      </w:r>
      <w:r>
        <w:t xml:space="preserve"> </w:t>
      </w:r>
      <w:r>
        <w:t xml:space="preserve">in the ED/PBT Expert Groups. Hazard(s) are based on available information; lists as well as</w:t>
      </w:r>
      <w:r>
        <w:t xml:space="preserve"> </w:t>
      </w:r>
      <w:r>
        <w:t xml:space="preserve">numbers of substances are provided.</w:t>
      </w:r>
      <w:r>
        <w:t xml:space="preserve"> </w:t>
      </w:r>
      <w:r>
        <w:t xml:space="preserve">Basket 2 - Substances where the hazard(s) are under consideration: These are substances</w:t>
      </w:r>
      <w:r>
        <w:t xml:space="preserve"> </w:t>
      </w:r>
      <w:r>
        <w:t xml:space="preserve">with on-going data generation or assessments; lists as well as numbers of substances are</w:t>
      </w:r>
    </w:p>
    <w:p>
      <w:pPr>
        <w:pStyle w:val="BodyText"/>
      </w:pPr>
      <w:r>
        <w:t xml:space="preserve">16 ED, PBT, vPvB, PMT and vPvM</w:t>
      </w:r>
      <w:r>
        <w:t xml:space="preserve"> </w:t>
      </w:r>
      <w:r>
        <w:t xml:space="preserve">17 Certain entries on Annex VI to CLP are conditional (e.g. the classification only applies if certain impurities are</w:t>
      </w:r>
      <w:r>
        <w:t xml:space="preserve"> </w:t>
      </w:r>
      <w:r>
        <w:t xml:space="preserve">present). These have been removed from the analysis. In addition, self-classification can be impacted by the</w:t>
      </w:r>
      <w:r>
        <w:t xml:space="preserve"> </w:t>
      </w:r>
      <w:r>
        <w:t xml:space="preserve">presence of impurities. In this analysis, no attempt has been made to identify and remove substances if the self-</w:t>
      </w:r>
      <w:r>
        <w:t xml:space="preserve"> </w:t>
      </w:r>
      <w:r>
        <w:t xml:space="preserve">classification is based on impurities.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provided; it includes also an estimate on how many would likely turn out positive (based on</w:t>
      </w:r>
      <w:r>
        <w:t xml:space="preserve"> </w:t>
      </w:r>
      <w:r>
        <w:t xml:space="preserve">past experience).</w:t>
      </w:r>
      <w:r>
        <w:t xml:space="preserve"> </w:t>
      </w:r>
      <w:r>
        <w:t xml:space="preserve">Basket 3 - Guestimate on how many substances could have the same hazard(s) among the</w:t>
      </w:r>
      <w:r>
        <w:t xml:space="preserve"> </w:t>
      </w:r>
      <w:r>
        <w:t xml:space="preserve">remaining REACH registered substances: Numbers provided were extrapolated to all</w:t>
      </w:r>
      <w:r>
        <w:t xml:space="preserve"> </w:t>
      </w:r>
      <w:r>
        <w:t xml:space="preserve">REACH registered substances using the frequencies of the hazards in Basket 1 and 2. The</w:t>
      </w:r>
      <w:r>
        <w:t xml:space="preserve"> </w:t>
      </w:r>
      <w:r>
        <w:t xml:space="preserve">numbers provided are associated with a very high uncertainty. It is not possible to provide lists</w:t>
      </w:r>
      <w:r>
        <w:t xml:space="preserve"> </w:t>
      </w:r>
      <w:r>
        <w:t xml:space="preserve">of substances as these are extrapolations and no substance specific data have been considered.</w:t>
      </w:r>
      <w:r>
        <w:br/>
      </w:r>
      <w:r>
        <w:t xml:space="preserve">Each substance in the analysis has been assigned to either Basket 1 or 2 (see above) for a given</w:t>
      </w:r>
      <w:r>
        <w:t xml:space="preserve"> </w:t>
      </w:r>
      <w:r>
        <w:t xml:space="preserve">hazard property. Substances have been assigned to Basket 1 on the basis of the criteria set out</w:t>
      </w:r>
      <w:r>
        <w:t xml:space="preserve"> </w:t>
      </w:r>
      <w:r>
        <w:t xml:space="preserve">above.</w:t>
      </w:r>
      <w:r>
        <w:t xml:space="preserve"> </w:t>
      </w:r>
      <w:r>
        <w:t xml:space="preserve">Basket 2 has been compiled using a number of input lists for each hazard property: e.g. </w:t>
      </w:r>
      <w:r>
        <w:t xml:space="preserve"> </w:t>
      </w:r>
      <w:r>
        <w:t xml:space="preserve">CORAP18 substances, substances under ongoing assessment by ED or PBT Expert Groups, etc.</w:t>
      </w:r>
      <w:r>
        <w:t xml:space="preserve"> </w:t>
      </w:r>
      <w:r>
        <w:t xml:space="preserve">It is expected that only a proportion of the substances in basket 2 will have the hazard confirmed</w:t>
      </w:r>
      <w:r>
        <w:t xml:space="preserve"> </w:t>
      </w:r>
      <w:r>
        <w:t xml:space="preserve">and consequently move to Basket 1 in the future. Different weighting factors have been</w:t>
      </w:r>
      <w:r>
        <w:t xml:space="preserve"> </w:t>
      </w:r>
      <w:r>
        <w:t xml:space="preserve">assigned to the input lists, based on the likelihood that the hazard will be confirmed as follows:</w:t>
      </w:r>
      <w:r>
        <w:br/>
      </w:r>
      <w:r>
        <w:t xml:space="preserve">Low likelihood that the hazard will be confirmed - weighting factors between 0-0.3;</w:t>
      </w:r>
      <w:r>
        <w:t xml:space="preserve"> </w:t>
      </w:r>
      <w:r>
        <w:t xml:space="preserve">Medium likelihood that the hazard will be confirmed - weighting factors between 0.4-0.6;</w:t>
      </w:r>
      <w:r>
        <w:t xml:space="preserve"> </w:t>
      </w:r>
      <w:r>
        <w:t xml:space="preserve">High likelihood that the hazard will be confirmed weighting factors between 0.7-1.</w:t>
      </w:r>
      <w:r>
        <w:t xml:space="preserve"> </w:t>
      </w:r>
      <w:r>
        <w:t xml:space="preserve">If a substance appears in more than one input list, it is counted only once considering the highest</w:t>
      </w:r>
      <w:r>
        <w:t xml:space="preserve"> </w:t>
      </w:r>
      <w:r>
        <w:t xml:space="preserve">weighting factor/highest probability that the hazard will be confirmed. In basket 2, the total</w:t>
      </w:r>
      <w:r>
        <w:t xml:space="preserve"> </w:t>
      </w:r>
      <w:r>
        <w:t xml:space="preserve">number of substances expected to have the hazard confirmed, and consequently move to basket</w:t>
      </w:r>
      <w:r>
        <w:t xml:space="preserve"> </w:t>
      </w:r>
      <w:r>
        <w:t xml:space="preserve">1 in the future, is calculated by adding up all the weighting factors for the substances in each</w:t>
      </w:r>
      <w:r>
        <w:t xml:space="preserve"> </w:t>
      </w:r>
      <w:r>
        <w:t xml:space="preserve">endpoint basket19. It should be recognised that uncertainties apply to the use of these weighting</w:t>
      </w:r>
      <w:r>
        <w:t xml:space="preserve"> </w:t>
      </w:r>
      <w:r>
        <w:t xml:space="preserve">factors but in most cases the number of substances in question is relatively limited. Therefore,</w:t>
      </w:r>
      <w:r>
        <w:t xml:space="preserve"> </w:t>
      </w:r>
      <w:r>
        <w:t xml:space="preserve">the size of the weighting factor will not have a significant bearing on the overall number of</w:t>
      </w:r>
      <w:r>
        <w:t xml:space="preserve"> </w:t>
      </w:r>
      <w:r>
        <w:t xml:space="preserve">substances predicted to fall in Basket 1.</w:t>
      </w:r>
      <w:r>
        <w:br/>
      </w:r>
      <w:r>
        <w:t xml:space="preserve">Basket 3 represents an estimation based on the assumption that the same proportion of</w:t>
      </w:r>
      <w:r>
        <w:t xml:space="preserve"> </w:t>
      </w:r>
      <w:r>
        <w:t xml:space="preserve">hazardous substances exists regardless of the ‘Annex’ registered i.e. regardless of their tonnage.</w:t>
      </w:r>
      <w:r>
        <w:t xml:space="preserve"> </w:t>
      </w:r>
      <w:r>
        <w:t xml:space="preserve">The starting point for the estimations is</w:t>
      </w:r>
      <w:r>
        <w:br/>
      </w:r>
      <w:r>
        <w:t xml:space="preserve"> the number of substances with the hazard confirmed (Basket 1) and</w:t>
      </w:r>
      <w:r>
        <w:br/>
      </w:r>
      <w:r>
        <w:t xml:space="preserve"> the number of Basket 2 substances which are estimated to be confirmed with the</w:t>
      </w:r>
      <w:r>
        <w:t xml:space="preserve"> </w:t>
      </w:r>
      <w:r>
        <w:t xml:space="preserve">respective hazard (see above).</w:t>
      </w:r>
      <w:r>
        <w:t xml:space="preserve"> </w:t>
      </w:r>
      <w:r>
        <w:t xml:space="preserve">For Annex X substances it is considered that the hazards are already known (Basket 1) or under</w:t>
      </w:r>
      <w:r>
        <w:t xml:space="preserve"> </w:t>
      </w:r>
      <w:r>
        <w:t xml:space="preserve">investigation (Basket 2) - in other words “dealt with”. As the proportion of Annex X substances</w:t>
      </w:r>
      <w:r>
        <w:t xml:space="preserve"> </w:t>
      </w:r>
      <w:r>
        <w:t xml:space="preserve">registered at annex X of REACH is about 9% of the substances in scope of this exercise20, the</w:t>
      </w:r>
    </w:p>
    <w:p>
      <w:pPr>
        <w:pStyle w:val="BodyText"/>
      </w:pPr>
      <w:r>
        <w:t xml:space="preserve">18 Community Rolling-out Action Plan</w:t>
      </w:r>
      <w:r>
        <w:t xml:space="preserve"> </w:t>
      </w:r>
      <w:r>
        <w:t xml:space="preserve">19 For example, if 5 substances were in basket 2 for a particular endpoint, each with a weighting of 0.2, 1 substance</w:t>
      </w:r>
      <w:r>
        <w:t xml:space="preserve"> </w:t>
      </w:r>
      <w:r>
        <w:t xml:space="preserve">(5 x 0.2) would be expected to be confirmed as having the hazard property in question.</w:t>
      </w:r>
      <w:r>
        <w:t xml:space="preserve"> </w:t>
      </w:r>
      <w:r>
        <w:t xml:space="preserve">20 There are 2264 Annex X substances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figure for annex X was simply multiplied by a factor of 11 to derive the projections for basket</w:t>
      </w:r>
      <w:r>
        <w:t xml:space="preserve"> </w:t>
      </w:r>
      <w:r>
        <w:t xml:space="preserve">3.</w:t>
      </w:r>
      <w:r>
        <w:t xml:space="preserve"> </w:t>
      </w:r>
      <w:r>
        <w:t xml:space="preserve">It is however noted that the estimations for basket 3 have a high degree of uncertainty and</w:t>
      </w:r>
      <w:r>
        <w:t xml:space="preserve"> </w:t>
      </w:r>
      <w:r>
        <w:t xml:space="preserve">should be used only as very basic indicative numbers. Moreover, these estimations do not</w:t>
      </w:r>
      <w:r>
        <w:t xml:space="preserve"> </w:t>
      </w:r>
      <w:r>
        <w:t xml:space="preserve">consider whether there is sufficient information available for those substances to enable</w:t>
      </w:r>
      <w:r>
        <w:t xml:space="preserve"> </w:t>
      </w:r>
      <w:r>
        <w:t xml:space="preserve">deciding on the hazardous properties (e.g. substances registered with Annex VII and VIII have</w:t>
      </w:r>
      <w:r>
        <w:t xml:space="preserve"> </w:t>
      </w:r>
      <w:r>
        <w:t xml:space="preserve">in general a very limited data set).</w:t>
      </w:r>
    </w:p>
    <w:p>
      <w:pPr>
        <w:pStyle w:val="BodyText"/>
      </w:pPr>
      <w:r>
        <w:t xml:space="preserve">BEHAVIOURAL EXPERIMENT FOR DIGITAL LABELLING</w:t>
      </w:r>
      <w:r>
        <w:t xml:space="preserve"> </w:t>
      </w:r>
      <w:r>
        <w:t xml:space="preserve">The aim of the behavioural experiment was to investigate consumers’ needs with respect to</w:t>
      </w:r>
      <w:r>
        <w:t xml:space="preserve"> </w:t>
      </w:r>
      <w:r>
        <w:t xml:space="preserve">the labelling of chemical substances. Therefore, a state-of-the-art behavioural experiment</w:t>
      </w:r>
      <w:r>
        <w:t xml:space="preserve"> </w:t>
      </w:r>
      <w:r>
        <w:t xml:space="preserve">was designed and conducted to collect data on consumers’ cognition and preferences.</w:t>
      </w:r>
      <w:r>
        <w:t xml:space="preserve"> </w:t>
      </w:r>
      <w:r>
        <w:t xml:space="preserve">Research Questions</w:t>
      </w:r>
      <w:r>
        <w:t xml:space="preserve"> </w:t>
      </w:r>
      <w:r>
        <w:t xml:space="preserve">Overall, the experiment answers five research questions:</w:t>
      </w:r>
      <w:r>
        <w:t xml:space="preserve"> </w:t>
      </w:r>
      <w:r>
        <w:t xml:space="preserve">What is the level of understanding of chemical and detergents labels?</w:t>
      </w:r>
      <w:r>
        <w:t xml:space="preserve"> </w:t>
      </w:r>
      <w:r>
        <w:t xml:space="preserve">What is the importance of different elements contained in labels? Which information is</w:t>
      </w:r>
      <w:r>
        <w:t xml:space="preserve"> </w:t>
      </w:r>
      <w:r>
        <w:t xml:space="preserve">considered essential?</w:t>
      </w:r>
      <w:r>
        <w:t xml:space="preserve"> </w:t>
      </w:r>
      <w:r>
        <w:t xml:space="preserve">How do consumers interpret labels with respect to hazards and safe use?</w:t>
      </w:r>
      <w:r>
        <w:t xml:space="preserve"> </w:t>
      </w:r>
      <w:r>
        <w:t xml:space="preserve">Does label simplification and the introduction of digital tools positively or negatively affect</w:t>
      </w:r>
      <w:r>
        <w:t xml:space="preserve"> </w:t>
      </w:r>
      <w:r>
        <w:t xml:space="preserve">consumers’ understanding and perceptions?</w:t>
      </w:r>
      <w:r>
        <w:t xml:space="preserve"> </w:t>
      </w:r>
      <w:r>
        <w:t xml:space="preserve">Do consumers prefer information to remain on the physical label or to be communicated via</w:t>
      </w:r>
      <w:r>
        <w:t xml:space="preserve"> </w:t>
      </w:r>
      <w:r>
        <w:t xml:space="preserve">digital tools?</w:t>
      </w:r>
      <w:r>
        <w:t xml:space="preserve"> </w:t>
      </w:r>
      <w:r>
        <w:t xml:space="preserve">In the subsequent section the methodological approach is presented on how the behavioural</w:t>
      </w:r>
      <w:r>
        <w:t xml:space="preserve"> </w:t>
      </w:r>
      <w:r>
        <w:t xml:space="preserve">experiment design informs the research questions. Hereafter the results from the main data</w:t>
      </w:r>
      <w:r>
        <w:t xml:space="preserve"> </w:t>
      </w:r>
      <w:r>
        <w:t xml:space="preserve">collection are summarized.</w:t>
      </w:r>
      <w:r>
        <w:t xml:space="preserve"> </w:t>
      </w:r>
      <w:r>
        <w:t xml:space="preserve">Methodology</w:t>
      </w:r>
      <w:r>
        <w:t xml:space="preserve"> </w:t>
      </w:r>
      <w:r>
        <w:t xml:space="preserve">In the following, the experiment design including products, treatments, main variables as well</w:t>
      </w:r>
      <w:r>
        <w:t xml:space="preserve"> </w:t>
      </w:r>
      <w:r>
        <w:t xml:space="preserve">as further methodological considerations are presented. The general structure of the</w:t>
      </w:r>
      <w:r>
        <w:t xml:space="preserve"> </w:t>
      </w:r>
      <w:r>
        <w:t xml:space="preserve">experiment is summarised in Table 5.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Table 5: General Structure of the Behavioural Experiment</w:t>
      </w:r>
      <w:r>
        <w:t xml:space="preserve"> </w:t>
      </w:r>
      <w:r>
        <w:t xml:space="preserve">Online behavioural experiment + supporting consumer survey</w:t>
      </w:r>
      <w:r>
        <w:t xml:space="preserve"> </w:t>
      </w:r>
      <w:r>
        <w:t xml:space="preserve">Duration 15 Minutes</w:t>
      </w:r>
      <w:r>
        <w:t xml:space="preserve"> </w:t>
      </w:r>
      <w:r>
        <w:t xml:space="preserve">Target audience:</w:t>
      </w:r>
      <w:r>
        <w:t xml:space="preserve"> </w:t>
      </w:r>
      <w:r>
        <w:t xml:space="preserve">Consumers;</w:t>
      </w:r>
      <w:r>
        <w:t xml:space="preserve"> </w:t>
      </w:r>
      <w:r>
        <w:t xml:space="preserve">Nationally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for</w:t>
      </w:r>
      <w:r>
        <w:t xml:space="preserve"> </w:t>
      </w:r>
      <w:r>
        <w:t xml:space="preserve">age and gender (hard</w:t>
      </w:r>
      <w:r>
        <w:t xml:space="preserve"> </w:t>
      </w:r>
      <w:r>
        <w:t xml:space="preserve">quotas)</w:t>
      </w:r>
      <w:r>
        <w:t xml:space="preserve"> </w:t>
      </w:r>
      <w:r>
        <w:t xml:space="preserve">and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income (soft quotas)</w:t>
      </w:r>
      <w:r>
        <w:t xml:space="preserve"> </w:t>
      </w:r>
      <w:r>
        <w:t xml:space="preserve">Incentives:</w:t>
      </w:r>
      <w:r>
        <w:t xml:space="preserve"> </w:t>
      </w:r>
      <w:r>
        <w:t xml:space="preserve">Flat-fee</w:t>
      </w:r>
      <w:r>
        <w:t xml:space="preserve"> </w:t>
      </w:r>
      <w:r>
        <w:t xml:space="preserve">payment</w:t>
      </w:r>
      <w:r>
        <w:t xml:space="preserve"> </w:t>
      </w:r>
      <w:r>
        <w:t xml:space="preserve">and</w:t>
      </w:r>
      <w:r>
        <w:t xml:space="preserve"> </w:t>
      </w:r>
      <w:r>
        <w:t xml:space="preserve">additional</w:t>
      </w:r>
      <w:r>
        <w:t xml:space="preserve"> </w:t>
      </w:r>
      <w:r>
        <w:t xml:space="preserve">incentives</w:t>
      </w:r>
      <w:r>
        <w:t xml:space="preserve"> </w:t>
      </w:r>
      <w:r>
        <w:t xml:space="preserve">for</w:t>
      </w:r>
      <w:r>
        <w:t xml:space="preserve"> </w:t>
      </w:r>
      <w:r>
        <w:t xml:space="preserve">questions</w:t>
      </w:r>
      <w:r>
        <w:t xml:space="preserve"> </w:t>
      </w:r>
      <w:r>
        <w:t xml:space="preserve">on</w:t>
      </w:r>
      <w:r>
        <w:t xml:space="preserve"> </w:t>
      </w:r>
      <w:r>
        <w:t xml:space="preserve">objective</w:t>
      </w:r>
      <w:r>
        <w:t xml:space="preserve"> </w:t>
      </w:r>
      <w:r>
        <w:t xml:space="preserve">understanding</w:t>
      </w:r>
      <w:r>
        <w:t xml:space="preserve"> </w:t>
      </w:r>
      <w:r>
        <w:t xml:space="preserve">Pilot:</w:t>
      </w:r>
      <w:r>
        <w:t xml:space="preserve"> </w:t>
      </w:r>
      <w:r>
        <w:t xml:space="preserve">To test experiment</w:t>
      </w:r>
      <w:r>
        <w:t xml:space="preserve"> </w:t>
      </w:r>
      <w:r>
        <w:t xml:space="preserve">before</w:t>
      </w:r>
      <w:r>
        <w:t xml:space="preserve"> </w:t>
      </w:r>
      <w:r>
        <w:t xml:space="preserve">launch</w:t>
      </w:r>
      <w:r>
        <w:t xml:space="preserve"> </w:t>
      </w:r>
      <w:r>
        <w:t xml:space="preserve">of</w:t>
      </w:r>
      <w:r>
        <w:t xml:space="preserve"> </w:t>
      </w:r>
      <w:r>
        <w:t xml:space="preserve">main fieldwork with</w:t>
      </w:r>
      <w:r>
        <w:t xml:space="preserve"> </w:t>
      </w:r>
      <w:r>
        <w:t xml:space="preserve">n=101 in DE</w:t>
      </w:r>
      <w:r>
        <w:t xml:space="preserve"> </w:t>
      </w:r>
      <w:r>
        <w:t xml:space="preserve">Sample size main</w:t>
      </w:r>
      <w:r>
        <w:t xml:space="preserve"> </w:t>
      </w:r>
      <w:r>
        <w:t xml:space="preserve">data collection:</w:t>
      </w:r>
      <w:r>
        <w:t xml:space="preserve"> </w:t>
      </w:r>
      <w:r>
        <w:t xml:space="preserve">N=4,003</w:t>
      </w:r>
      <w:r>
        <w:t xml:space="preserve"> </w:t>
      </w:r>
      <w:r>
        <w:t xml:space="preserve">with</w:t>
      </w:r>
      <w:r>
        <w:t xml:space="preserve"> </w:t>
      </w:r>
      <w:r>
        <w:t xml:space="preserve">n1,000</w:t>
      </w:r>
      <w:r>
        <w:t xml:space="preserve"> </w:t>
      </w:r>
      <w:r>
        <w:t xml:space="preserve">collected</w:t>
      </w:r>
      <w:r>
        <w:t xml:space="preserve"> </w:t>
      </w:r>
      <w:r>
        <w:t xml:space="preserve">in each of DE, FR,</w:t>
      </w:r>
      <w:r>
        <w:t xml:space="preserve"> </w:t>
      </w:r>
      <w:r>
        <w:t xml:space="preserve">EL, RO</w:t>
      </w:r>
    </w:p>
    <w:p>
      <w:pPr>
        <w:pStyle w:val="BodyText"/>
      </w:pPr>
      <w:r>
        <w:t xml:space="preserve">Test method: Randomised controlled trials using various types of treatments for robust</w:t>
      </w:r>
      <w:r>
        <w:t xml:space="preserve"> </w:t>
      </w:r>
      <w:r>
        <w:t xml:space="preserve">and generalisable results.</w:t>
      </w:r>
    </w:p>
    <w:p>
      <w:pPr>
        <w:pStyle w:val="BodyText"/>
      </w:pPr>
      <w:r>
        <w:t xml:space="preserve">In order to answer the research questions a randomised controlled trial-design was</w:t>
      </w:r>
      <w:r>
        <w:t xml:space="preserve"> </w:t>
      </w:r>
      <w:r>
        <w:t xml:space="preserve">implemented that systematically varied types of labelling-treatments (see section 1.1.3). In</w:t>
      </w:r>
      <w:r>
        <w:t xml:space="preserve"> </w:t>
      </w:r>
      <w:r>
        <w:t xml:space="preserve">addition, a supporting consumer survey was designed in order to collect further insights on</w:t>
      </w:r>
      <w:r>
        <w:t xml:space="preserve"> </w:t>
      </w:r>
      <w:r>
        <w:t xml:space="preserve">non-behavioural variables. Furthermore, the experiment was incentivised (see section 1.1.5).</w:t>
      </w:r>
      <w:r>
        <w:t xml:space="preserve"> </w:t>
      </w:r>
      <w:r>
        <w:t xml:space="preserve">In preparation of main data collection, a pilot was implemented in July 2021. It included n=101</w:t>
      </w:r>
      <w:r>
        <w:t xml:space="preserve"> </w:t>
      </w:r>
      <w:r>
        <w:t xml:space="preserve">observations from Germany and aimed at investigating the correct functioning of the</w:t>
      </w:r>
      <w:r>
        <w:t xml:space="preserve"> </w:t>
      </w:r>
      <w:r>
        <w:t xml:space="preserve">experimental set-up and programming. Therefore, timing to complete the study as well as</w:t>
      </w:r>
      <w:r>
        <w:t xml:space="preserve"> </w:t>
      </w:r>
      <w:r>
        <w:t xml:space="preserve">randomisation of treatment assignment was thoroughly checked. Furthermore, in the pilot</w:t>
      </w:r>
      <w:r>
        <w:t xml:space="preserve"> </w:t>
      </w:r>
      <w:r>
        <w:t xml:space="preserve">study it was assured that “don’t know”- or “other”-frequencies for questions were not a</w:t>
      </w:r>
      <w:r>
        <w:t xml:space="preserve"> </w:t>
      </w:r>
      <w:r>
        <w:t xml:space="preserve">problem and that participants were able to understand tasks (open question at the end of the</w:t>
      </w:r>
      <w:r>
        <w:t xml:space="preserve"> </w:t>
      </w:r>
      <w:r>
        <w:t xml:space="preserve">pilot). After minor revisions of the experimental design and questionnaire, the main data</w:t>
      </w:r>
      <w:r>
        <w:t xml:space="preserve"> </w:t>
      </w:r>
      <w:r>
        <w:t xml:space="preserve">collection script was programmed and the study was fully translated.</w:t>
      </w:r>
      <w:r>
        <w:br/>
      </w:r>
      <w:r>
        <w:t xml:space="preserve">Main data collection was performed in September and October 2021 in four Member States,</w:t>
      </w:r>
      <w:r>
        <w:t xml:space="preserve"> </w:t>
      </w:r>
      <w:r>
        <w:t xml:space="preserve">i.e. Germany, France, Greece and Romania with a total of 4,003 participants. The target</w:t>
      </w:r>
      <w:r>
        <w:t xml:space="preserve"> </w:t>
      </w:r>
      <w:r>
        <w:t xml:space="preserve">audience was consumers in general, recruiting for representative general population samples</w:t>
      </w:r>
      <w:r>
        <w:t xml:space="preserve"> </w:t>
      </w:r>
      <w:r>
        <w:t xml:space="preserve">per country. The complete experiment script has been provided to the EC after sign-off in</w:t>
      </w:r>
      <w:r>
        <w:t xml:space="preserve"> </w:t>
      </w:r>
      <w:r>
        <w:t xml:space="preserve">September 2021.</w:t>
      </w:r>
    </w:p>
    <w:p>
      <w:pPr>
        <w:pStyle w:val="BodyText"/>
      </w:pPr>
      <w:r>
        <w:t xml:space="preserve">Overview of Modules</w:t>
      </w:r>
      <w:r>
        <w:t xml:space="preserve"> </w:t>
      </w:r>
      <w:r>
        <w:t xml:space="preserve">The experiment consisted of five subsequent modules that are displayed in Table 6. Each</w:t>
      </w:r>
      <w:r>
        <w:t xml:space="preserve"> </w:t>
      </w:r>
      <w:r>
        <w:t xml:space="preserve">participant went through the same sequence of modules and completed several tasks on label</w:t>
      </w:r>
      <w:r>
        <w:t xml:space="preserve"> </w:t>
      </w:r>
      <w:r>
        <w:t xml:space="preserve">understanding, interpretation as well as preferences regarding labelling elements and their</w:t>
      </w:r>
      <w:r>
        <w:t xml:space="preserve"> </w:t>
      </w:r>
      <w:r>
        <w:t xml:space="preserve">communication channels.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Table 6: Overview of Modules in Behavioural Experiment</w:t>
      </w:r>
      <w:r>
        <w:t xml:space="preserve"> </w:t>
      </w:r>
      <w:r>
        <w:t xml:space="preserve">Module 1</w:t>
      </w:r>
      <w:r>
        <w:t xml:space="preserve"> </w:t>
      </w:r>
      <w:r>
        <w:t xml:space="preserve">Screening and introduction</w:t>
      </w:r>
      <w:r>
        <w:t xml:space="preserve"> </w:t>
      </w:r>
      <w:r>
        <w:t xml:space="preserve"> Achieve representative sample</w:t>
      </w:r>
      <w:r>
        <w:t xml:space="preserve"> </w:t>
      </w:r>
      <w:r>
        <w:t xml:space="preserve"> Explanations on study objectives</w:t>
      </w:r>
      <w:r>
        <w:t xml:space="preserve"> </w:t>
      </w:r>
      <w:r>
        <w:t xml:space="preserve">Module 2</w:t>
      </w:r>
      <w:r>
        <w:t xml:space="preserve"> </w:t>
      </w:r>
      <w:r>
        <w:t xml:space="preserve">Label understanding and interpretation</w:t>
      </w:r>
      <w:r>
        <w:t xml:space="preserve"> </w:t>
      </w:r>
      <w:r>
        <w:t xml:space="preserve">Objective understanding of labels</w:t>
      </w:r>
      <w:r>
        <w:t xml:space="preserve"> </w:t>
      </w:r>
      <w:r>
        <w:t xml:space="preserve">Perception of labels</w:t>
      </w:r>
      <w:r>
        <w:t xml:space="preserve"> </w:t>
      </w:r>
      <w:r>
        <w:t xml:space="preserve">Behaviour given label information</w:t>
      </w:r>
      <w:r>
        <w:t xml:space="preserve"> </w:t>
      </w:r>
      <w:r>
        <w:t xml:space="preserve">Module 3</w:t>
      </w:r>
      <w:r>
        <w:t xml:space="preserve"> </w:t>
      </w:r>
      <w:r>
        <w:t xml:space="preserve">Rating of information contained in labels</w:t>
      </w:r>
      <w:r>
        <w:t xml:space="preserve"> </w:t>
      </w:r>
      <w:r>
        <w:t xml:space="preserve">Importance of label elements</w:t>
      </w:r>
      <w:r>
        <w:t xml:space="preserve"> </w:t>
      </w:r>
      <w:r>
        <w:t xml:space="preserve">Understandability of labels</w:t>
      </w:r>
      <w:r>
        <w:t xml:space="preserve"> </w:t>
      </w:r>
      <w:r>
        <w:t xml:space="preserve">Ease to find information on labels</w:t>
      </w:r>
      <w:r>
        <w:t xml:space="preserve"> </w:t>
      </w:r>
      <w:r>
        <w:t xml:space="preserve">Module 4</w:t>
      </w:r>
      <w:r>
        <w:t xml:space="preserve"> </w:t>
      </w:r>
      <w:r>
        <w:t xml:space="preserve">Comparative Choice</w:t>
      </w:r>
      <w:r>
        <w:t xml:space="preserve"> </w:t>
      </w:r>
      <w:r>
        <w:t xml:space="preserve">1) Ability to select less harmful product</w:t>
      </w:r>
      <w:r>
        <w:t xml:space="preserve"> </w:t>
      </w:r>
      <w:r>
        <w:t xml:space="preserve">Module 5</w:t>
      </w:r>
      <w:r>
        <w:t xml:space="preserve"> </w:t>
      </w:r>
      <w:r>
        <w:t xml:space="preserve">Label preferences, socio-demographic aspects and attitudes</w:t>
      </w:r>
      <w:r>
        <w:t xml:space="preserve"> </w:t>
      </w:r>
      <w:r>
        <w:t xml:space="preserve">2) Preference for analogue versus digital labelling</w:t>
      </w:r>
      <w:r>
        <w:t xml:space="preserve"> </w:t>
      </w:r>
      <w:r>
        <w:t xml:space="preserve">3) Experience with chemicals, chemical worker, training</w:t>
      </w:r>
      <w:r>
        <w:t xml:space="preserve"> </w:t>
      </w:r>
      <w:r>
        <w:t xml:space="preserve">4) Digital readiness</w:t>
      </w:r>
      <w:r>
        <w:t xml:space="preserve"> </w:t>
      </w:r>
      <w:r>
        <w:t xml:space="preserve">5) Behavioural variables, i.e. trust and risk aversion</w:t>
      </w:r>
    </w:p>
    <w:p>
      <w:pPr>
        <w:pStyle w:val="BodyText"/>
      </w:pPr>
      <w:r>
        <w:t xml:space="preserve">Products</w:t>
      </w:r>
      <w:r>
        <w:t xml:space="preserve"> </w:t>
      </w:r>
      <w:r>
        <w:t xml:space="preserve">At the heart of the experiment stand two products containing chemical substances that fall</w:t>
      </w:r>
      <w:r>
        <w:t xml:space="preserve"> </w:t>
      </w:r>
      <w:r>
        <w:t xml:space="preserve">either exclusively under the CLP Regulation or under both the CLP and the Detergents</w:t>
      </w:r>
      <w:r>
        <w:t xml:space="preserve"> </w:t>
      </w:r>
      <w:r>
        <w:t xml:space="preserve">Regulations21. The two products were carefully selected so that they cover products consumers</w:t>
      </w:r>
      <w:r>
        <w:t xml:space="preserve"> </w:t>
      </w:r>
      <w:r>
        <w:t xml:space="preserve">are familiar with and frequently handle in their personal life. A further requirement for product</w:t>
      </w:r>
      <w:r>
        <w:t xml:space="preserve"> </w:t>
      </w:r>
      <w:r>
        <w:t xml:space="preserve">selection was that products differ in their degree of potential harmfulness, i.e. with respect to</w:t>
      </w:r>
      <w:r>
        <w:t xml:space="preserve"> </w:t>
      </w:r>
      <w:r>
        <w:t xml:space="preserve">their physical, health-related as well as environmental hazards. Following desk research on</w:t>
      </w:r>
      <w:r>
        <w:t xml:space="preserve"> </w:t>
      </w:r>
      <w:r>
        <w:t xml:space="preserve">representative product types available on consumer markets, the choice fell on a laundry</w:t>
      </w:r>
      <w:r>
        <w:t xml:space="preserve"> </w:t>
      </w:r>
      <w:r>
        <w:t xml:space="preserve">detergent and a glue.</w:t>
      </w:r>
      <w:r>
        <w:t xml:space="preserve"> </w:t>
      </w:r>
      <w:r>
        <w:t xml:space="preserve">In order to design the experiment as realistic as possible, further desk research was performed</w:t>
      </w:r>
      <w:r>
        <w:t xml:space="preserve"> </w:t>
      </w:r>
      <w:r>
        <w:t xml:space="preserve">and representative products were identified. These representative products were replicated</w:t>
      </w:r>
      <w:r>
        <w:t xml:space="preserve"> </w:t>
      </w:r>
      <w:r>
        <w:t xml:space="preserve">for the purpose of the experiment and can be purchased in supermarkets, drugstores or DIY-</w:t>
      </w:r>
      <w:r>
        <w:t xml:space="preserve"> </w:t>
      </w:r>
      <w:r>
        <w:t xml:space="preserve">stores. Hence, the experimental products are replica of actual laundry detergents and glues</w:t>
      </w:r>
      <w:r>
        <w:t xml:space="preserve"> </w:t>
      </w:r>
      <w:r>
        <w:t xml:space="preserve">consumers handle in their everyday life. Furthermore, desk research was performed to identify</w:t>
      </w:r>
      <w:r>
        <w:t xml:space="preserve"> </w:t>
      </w:r>
      <w:r>
        <w:t xml:space="preserve">substances usually contained in the products, to ensure that the ingredients were realistic. The</w:t>
      </w:r>
      <w:r>
        <w:t xml:space="preserve"> </w:t>
      </w:r>
      <w:r>
        <w:t xml:space="preserve">same applies to the labelling information on hazards as well as precautions on the selected</w:t>
      </w:r>
      <w:r>
        <w:t xml:space="preserve"> </w:t>
      </w:r>
      <w:r>
        <w:t xml:space="preserve">products. To avoid behavioural bias from brand familiarity and personal product preferences,</w:t>
      </w:r>
      <w:r>
        <w:t xml:space="preserve"> </w:t>
      </w:r>
      <w:r>
        <w:t xml:space="preserve">the products were given a fictive name. Similarly, the manufacturer’s name and company</w:t>
      </w:r>
      <w:r>
        <w:t xml:space="preserve"> </w:t>
      </w:r>
      <w:r>
        <w:t xml:space="preserve">information were fictive and framed in a neutral way.</w:t>
      </w:r>
    </w:p>
    <w:p>
      <w:pPr>
        <w:pStyle w:val="BodyText"/>
      </w:pPr>
      <w:r>
        <w:t xml:space="preserve">21 Given that detergents’ labelling falls by default under these two pieces of EU chemicals legislation.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Treatments</w:t>
      </w:r>
      <w:r>
        <w:t xml:space="preserve"> </w:t>
      </w:r>
      <w:r>
        <w:t xml:space="preserve">Following product selection, different types of labels were designed for the laundry detergent</w:t>
      </w:r>
      <w:r>
        <w:t xml:space="preserve"> </w:t>
      </w:r>
      <w:r>
        <w:t xml:space="preserve">and glue. Overall, the experiment tested three different types of labels which are presented in</w:t>
      </w:r>
      <w:r>
        <w:t xml:space="preserve"> </w:t>
      </w:r>
      <w:r>
        <w:t xml:space="preserve">the following.</w:t>
      </w:r>
      <w:r>
        <w:t xml:space="preserve"> </w:t>
      </w:r>
      <w:r>
        <w:t xml:space="preserve">Status Quo Label</w:t>
      </w:r>
      <w:r>
        <w:t xml:space="preserve"> </w:t>
      </w:r>
      <w:r>
        <w:t xml:space="preserve">The first label was the Status Quo Label which comprises labelling requirements from current</w:t>
      </w:r>
      <w:r>
        <w:t xml:space="preserve"> </w:t>
      </w:r>
      <w:r>
        <w:t xml:space="preserve">legislation. It contained all informational elements necessary, i.e. dosage information,</w:t>
      </w:r>
      <w:r>
        <w:t xml:space="preserve"> </w:t>
      </w:r>
      <w:r>
        <w:t xml:space="preserve">ingredients, UFI-code, GHS-pictogram, signal words as well as hazard and precautionary</w:t>
      </w:r>
      <w:r>
        <w:t xml:space="preserve"> </w:t>
      </w:r>
      <w:r>
        <w:t xml:space="preserve">statements. Figure 9 displays the Status Quo Label for the laundry detergent and Figure 10</w:t>
      </w:r>
      <w:r>
        <w:t xml:space="preserve"> </w:t>
      </w:r>
      <w:r>
        <w:t xml:space="preserve">displays the variant for the glue.</w:t>
      </w:r>
      <w:r>
        <w:t xml:space="preserve"> </w:t>
      </w:r>
      <w:r>
        <w:t xml:space="preserve">Figure 9: Status Quo Label – Laundry Detergent</w:t>
      </w:r>
      <w:r>
        <w:t xml:space="preserve"> </w:t>
      </w:r>
      <w:r>
        <w:t xml:space="preserve">Figure 10: Status Quo Label – Glue</w:t>
      </w:r>
    </w:p>
    <w:p>
      <w:pPr>
        <w:pStyle w:val="BodyText"/>
      </w:pPr>
      <w:r>
        <w:t xml:space="preserve">Simplified Label with QR Code</w:t>
      </w:r>
      <w:r>
        <w:t xml:space="preserve"> </w:t>
      </w:r>
      <w:r>
        <w:t xml:space="preserve">Following the main research questions, an objective of the experiment was to test whether</w:t>
      </w:r>
      <w:r>
        <w:t xml:space="preserve"> </w:t>
      </w:r>
      <w:r>
        <w:t xml:space="preserve">labels of chemical products can be simplified and whether digital tools could support</w:t>
      </w:r>
      <w:r>
        <w:t xml:space="preserve"> </w:t>
      </w:r>
      <w:r>
        <w:t xml:space="preserve">consumers’ understanding. Hence, the second treatment included the Simplified Label with a</w:t>
      </w:r>
      <w:r>
        <w:t xml:space="preserve"> </w:t>
      </w:r>
      <w:r>
        <w:t xml:space="preserve">QR Code.</w:t>
      </w:r>
      <w:r>
        <w:t xml:space="preserve"> </w:t>
      </w:r>
      <w:r>
        <w:t xml:space="preserve">In the case of the laundry detergent, the simplification consisted of reducing the dosage table,</w:t>
      </w:r>
      <w:r>
        <w:t xml:space="preserve"> </w:t>
      </w:r>
      <w:r>
        <w:t xml:space="preserve">i.e. instead of the full dosage table including separate rows for different degrees of water</w:t>
      </w:r>
      <w:r>
        <w:t xml:space="preserve"> </w:t>
      </w:r>
      <w:r>
        <w:t xml:space="preserve">hardness, the Simplified Label only contained one row for medium water hardness.</w:t>
      </w:r>
      <w:r>
        <w:t xml:space="preserve"> </w:t>
      </w:r>
      <w:r>
        <w:t xml:space="preserve">Furthermore, the list of ingredients was removed from the package label. The reduced /</w:t>
      </w:r>
      <w:r>
        <w:t xml:space="preserve"> </w:t>
      </w:r>
      <w:r>
        <w:t xml:space="preserve">removed information was made available via a website which could be accessed via a QR Code</w:t>
      </w:r>
      <w:r>
        <w:t xml:space="preserve"> </w:t>
      </w:r>
      <w:r>
        <w:t xml:space="preserve">added to the packaging. Hence, the full dosage table for different degrees of water hardness</w:t>
      </w:r>
      <w:r>
        <w:t xml:space="preserve"> </w:t>
      </w:r>
      <w:r>
        <w:t xml:space="preserve">and the list of ingredients was available on the website. Furthermore, the label was amended</w:t>
      </w:r>
      <w:r>
        <w:t xml:space="preserve"> </w:t>
      </w:r>
      <w:r>
        <w:t xml:space="preserve">by further pictograms that were taken from A.I.S.E. (International Association for Soaps,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Detergents and Maintenance Products).22 The GHS-pictogram, signal word and hazard and</w:t>
      </w:r>
      <w:r>
        <w:t xml:space="preserve"> </w:t>
      </w:r>
      <w:r>
        <w:t xml:space="preserve">precautionary statements remained on the label in accordance with current legislation. Figure</w:t>
      </w:r>
      <w:r>
        <w:t xml:space="preserve"> </w:t>
      </w:r>
      <w:r>
        <w:t xml:space="preserve">11 displays the label for the laundry detergent as well as the website to be opened when</w:t>
      </w:r>
      <w:r>
        <w:t xml:space="preserve"> </w:t>
      </w:r>
      <w:r>
        <w:t xml:space="preserve">scanning the QR code.23</w:t>
      </w:r>
      <w:r>
        <w:t xml:space="preserve"> </w:t>
      </w:r>
      <w:r>
        <w:t xml:space="preserve">Figure 11: Simplified Label with QR Code – Laundry Detergent</w:t>
      </w:r>
    </w:p>
    <w:p>
      <w:pPr>
        <w:pStyle w:val="BodyText"/>
      </w:pPr>
      <w:r>
        <w:t xml:space="preserve">In a similar way, the simplified label of the glue was designed. Information on the ingredients</w:t>
      </w:r>
      <w:r>
        <w:t xml:space="preserve"> </w:t>
      </w:r>
      <w:r>
        <w:t xml:space="preserve">was removed from the package and moved to a website to be accessed via a QR code.</w:t>
      </w:r>
      <w:r>
        <w:t xml:space="preserve"> </w:t>
      </w:r>
      <w:r>
        <w:t xml:space="preserve">Additionally, A.I.S.E. icons were added to the packaging while information on hazards and</w:t>
      </w:r>
      <w:r>
        <w:t xml:space="preserve"> </w:t>
      </w:r>
      <w:r>
        <w:t xml:space="preserve">precautions, pictograms and signal word remained in accordance with current regulation (status</w:t>
      </w:r>
      <w:r>
        <w:t xml:space="preserve"> </w:t>
      </w:r>
      <w:r>
        <w:t xml:space="preserve">quo). Figure 12 displays the Simplified Label for the glue as well as the website on ingredients.</w:t>
      </w:r>
    </w:p>
    <w:p>
      <w:pPr>
        <w:pStyle w:val="BodyText"/>
      </w:pPr>
      <w:r>
        <w:t xml:space="preserve">22 A.I.S.E. (2021). Safe Use Icons. Retrieved from: https://www.aise.eu/library/artwork/safe-use-icons.aspx</w:t>
      </w:r>
      <w:r>
        <w:t xml:space="preserve"> </w:t>
      </w:r>
      <w:r>
        <w:t xml:space="preserve">(30.06.2021)</w:t>
      </w:r>
      <w:r>
        <w:t xml:space="preserve"> </w:t>
      </w:r>
      <w:r>
        <w:t xml:space="preserve">23 Please note that scanning the QR-code was mimicked in the experimental design by a pop-up to be opened in</w:t>
      </w:r>
      <w:r>
        <w:t xml:space="preserve"> </w:t>
      </w:r>
      <w:r>
        <w:t xml:space="preserve">the browser. More information on this aspect may be found in section 0.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Figure 12: Simplified Label with QR Code – Glue</w:t>
      </w:r>
    </w:p>
    <w:p>
      <w:pPr>
        <w:pStyle w:val="BodyText"/>
      </w:pPr>
      <w:r>
        <w:t xml:space="preserve">No Label Baseline</w:t>
      </w:r>
      <w:r>
        <w:t xml:space="preserve"> </w:t>
      </w:r>
      <w:r>
        <w:t xml:space="preserve">Lastly, one of the tested treatments displayed only the front packaging of the two products.</w:t>
      </w:r>
      <w:r>
        <w:t xml:space="preserve"> </w:t>
      </w:r>
      <w:r>
        <w:t xml:space="preserve">Hence, it is referred to as the No Label Baseline. It was introduced as a methodological control</w:t>
      </w:r>
      <w:r>
        <w:t xml:space="preserve"> </w:t>
      </w:r>
      <w:r>
        <w:t xml:space="preserve">in order to robustly test whether labelling information in the other two treatments indeed</w:t>
      </w:r>
      <w:r>
        <w:t xml:space="preserve"> </w:t>
      </w:r>
      <w:r>
        <w:t xml:space="preserve">informs consumers’ understanding. Participants in the No Label Baseline answered the same</w:t>
      </w:r>
      <w:r>
        <w:t xml:space="preserve"> </w:t>
      </w:r>
      <w:r>
        <w:t xml:space="preserve">set of questions as in the other treatments but without consulting the labels, i.e. responses were</w:t>
      </w:r>
      <w:r>
        <w:t xml:space="preserve"> </w:t>
      </w:r>
      <w:r>
        <w:t xml:space="preserve">based on the experience consumers have with the products. Figure 13 and Figure 14 display</w:t>
      </w:r>
      <w:r>
        <w:t xml:space="preserve"> </w:t>
      </w:r>
      <w:r>
        <w:t xml:space="preserve">the image for the laundry detergent and glue.</w:t>
      </w:r>
      <w:r>
        <w:t xml:space="preserve"> </w:t>
      </w:r>
      <w:r>
        <w:t xml:space="preserve">Figure 13: No Label Baseline – Laundry Detergent</w:t>
      </w:r>
      <w:r>
        <w:t xml:space="preserve"> </w:t>
      </w:r>
      <w:r>
        <w:t xml:space="preserve">Figure 14: No Label Baseline – Glue</w:t>
      </w:r>
    </w:p>
    <w:p>
      <w:pPr>
        <w:pStyle w:val="BodyText"/>
      </w:pPr>
      <w:r>
        <w:t xml:space="preserve">Randomisation, Variables and Tasks</w:t>
      </w:r>
      <w:r>
        <w:t xml:space="preserve"> </w:t>
      </w:r>
      <w:r>
        <w:t xml:space="preserve">At the beginning of the experiment participants were randomly assigned to one of the two</w:t>
      </w:r>
      <w:r>
        <w:t xml:space="preserve"> </w:t>
      </w:r>
      <w:r>
        <w:t xml:space="preserve">products, i.e. either laundry detergent or glue, and to one of the three treatments, i.e. either</w:t>
      </w:r>
      <w:r>
        <w:t xml:space="preserve"> </w:t>
      </w:r>
      <w:r>
        <w:t xml:space="preserve">Status Quo Label, Simplified Label or No Label Baseline. They remained within their treatment</w:t>
      </w:r>
      <w:r>
        <w:t xml:space="preserve"> </w:t>
      </w:r>
      <w:r>
        <w:t xml:space="preserve">for the whole course of the experiment and underwent several tasks and questions.</w:t>
      </w:r>
      <w:r>
        <w:t xml:space="preserve"> </w:t>
      </w:r>
      <w:r>
        <w:t xml:space="preserve">The main variables elicited in the experiment were:</w:t>
      </w:r>
    </w:p>
    <w:p>
      <w:pPr>
        <w:pStyle w:val="BodyText"/>
      </w:pPr>
      <w:r>
        <w:t xml:space="preserve">Objective understanding of labels;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Ability to identify a less harmful product given label information;</w:t>
      </w:r>
    </w:p>
    <w:p>
      <w:pPr>
        <w:pStyle w:val="BodyText"/>
      </w:pPr>
      <w:r>
        <w:t xml:space="preserve">Perception of labels;</w:t>
      </w:r>
    </w:p>
    <w:p>
      <w:pPr>
        <w:pStyle w:val="BodyText"/>
      </w:pPr>
      <w:r>
        <w:t xml:space="preserve">Anticipated behaviour given label information;</w:t>
      </w:r>
      <w:r>
        <w:t xml:space="preserve"> </w:t>
      </w:r>
      <w:r>
        <w:t xml:space="preserve">Rating of importance of label elements as well as understandability and ease to find</w:t>
      </w:r>
      <w:r>
        <w:t xml:space="preserve"> </w:t>
      </w:r>
      <w:r>
        <w:t xml:space="preserve">information.</w:t>
      </w:r>
      <w:r>
        <w:t xml:space="preserve"> </w:t>
      </w:r>
      <w:r>
        <w:t xml:space="preserve">The exact framing of questions and tasks was provided with the scripting document. For all</w:t>
      </w:r>
      <w:r>
        <w:t xml:space="preserve"> </w:t>
      </w:r>
      <w:r>
        <w:t xml:space="preserve">label-related questions participants saw the image of the product on the left side of the screen.</w:t>
      </w:r>
      <w:r>
        <w:t xml:space="preserve"> </w:t>
      </w:r>
      <w:r>
        <w:t xml:space="preserve">The question text was displayed on the right side of the screen. Furthermore, in some of the</w:t>
      </w:r>
      <w:r>
        <w:t xml:space="preserve"> </w:t>
      </w:r>
      <w:r>
        <w:t xml:space="preserve">treatments, participants were able to enlarge labelling information which is described in the</w:t>
      </w:r>
      <w:r>
        <w:t xml:space="preserve"> </w:t>
      </w:r>
      <w:r>
        <w:t xml:space="preserve">subsequent paragraph.</w:t>
      </w:r>
      <w:r>
        <w:t xml:space="preserve"> </w:t>
      </w:r>
      <w:r>
        <w:t xml:space="preserve">Behavioural Variables when Consulting Labels</w:t>
      </w:r>
      <w:r>
        <w:t xml:space="preserve"> </w:t>
      </w:r>
      <w:r>
        <w:t xml:space="preserve">In testing consumers’ understanding and appreciation of labels, an important aspect is whether</w:t>
      </w:r>
      <w:r>
        <w:t xml:space="preserve"> </w:t>
      </w:r>
      <w:r>
        <w:t xml:space="preserve">they indeed consult the label. In reality, consumers have a physical packaging in front of them</w:t>
      </w:r>
      <w:r>
        <w:t xml:space="preserve"> </w:t>
      </w:r>
      <w:r>
        <w:t xml:space="preserve">and whenever they need information contained in the label, they take the packaging and read</w:t>
      </w:r>
      <w:r>
        <w:t xml:space="preserve"> </w:t>
      </w:r>
      <w:r>
        <w:t xml:space="preserve">the relevant labelling section. Ideally, the experiment would allow tracking whether the</w:t>
      </w:r>
      <w:r>
        <w:t xml:space="preserve"> </w:t>
      </w:r>
      <w:r>
        <w:t xml:space="preserve">participant actually looked at the label at display – which for example could be done by</w:t>
      </w:r>
      <w:r>
        <w:t xml:space="preserve"> </w:t>
      </w:r>
      <w:r>
        <w:t xml:space="preserve">implementing eye-tracking during the tasks. As eye-tracking was not in scope of the underlying</w:t>
      </w:r>
      <w:r>
        <w:t xml:space="preserve"> </w:t>
      </w:r>
      <w:r>
        <w:t xml:space="preserve">study, the experiment design included a technical featured that mimicked “zooming” on</w:t>
      </w:r>
      <w:r>
        <w:t xml:space="preserve"> </w:t>
      </w:r>
      <w:r>
        <w:t xml:space="preserve">(looking at) the label. This zooming-function allowed participants to hover with their mouse</w:t>
      </w:r>
      <w:r>
        <w:t xml:space="preserve"> </w:t>
      </w:r>
      <w:r>
        <w:t xml:space="preserve">cursor over the label image in order to open a pop-up of the enlarged label. While the whole</w:t>
      </w:r>
      <w:r>
        <w:t xml:space="preserve"> </w:t>
      </w:r>
      <w:r>
        <w:t xml:space="preserve">packaging was by default displayed in small size, i.e. relevant information on hazards and</w:t>
      </w:r>
      <w:r>
        <w:t xml:space="preserve"> </w:t>
      </w:r>
      <w:r>
        <w:t xml:space="preserve">precautions was in very small font, the zoomed-label was of readable size. Figure 15 and Figure</w:t>
      </w:r>
      <w:r>
        <w:t xml:space="preserve"> </w:t>
      </w:r>
      <w:r>
        <w:t xml:space="preserve">16 display zooming (pop-up) for the Status Quo Label for the laundry detergent as well as the</w:t>
      </w:r>
      <w:r>
        <w:t xml:space="preserve"> </w:t>
      </w:r>
      <w:r>
        <w:t xml:space="preserve">glue.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Figure 15: Zooming on Status Quo Label – Laundry Detergent</w:t>
      </w:r>
    </w:p>
    <w:p>
      <w:pPr>
        <w:pStyle w:val="BodyText"/>
      </w:pPr>
      <w:r>
        <w:t xml:space="preserve">Figure 16: Zooming on Status Quo Label – Glue</w:t>
      </w:r>
    </w:p>
    <w:p>
      <w:pPr>
        <w:pStyle w:val="BodyText"/>
      </w:pPr>
      <w:r>
        <w:t xml:space="preserve">The experiment set-up allowed recording individual zooming of participants at all points of the</w:t>
      </w:r>
      <w:r>
        <w:t xml:space="preserve"> </w:t>
      </w:r>
      <w:r>
        <w:t xml:space="preserve">survey, i.e. for each question referring to the label elements. Nevertheless, it must be noted that</w:t>
      </w:r>
      <w:r>
        <w:t xml:space="preserve"> </w:t>
      </w:r>
      <w:r>
        <w:t xml:space="preserve">this experimental feature can only serve as an indication of whether participants indeed read</w:t>
      </w:r>
      <w:r>
        <w:t xml:space="preserve"> </w:t>
      </w:r>
      <w:r>
        <w:t xml:space="preserve">the label thoroughly. Furthermore, in reality consumers might have different motives to consult</w:t>
      </w:r>
      <w:r>
        <w:t xml:space="preserve"> </w:t>
      </w:r>
      <w:r>
        <w:t xml:space="preserve">the label, e.g., to minimise adverse effects when an accident occurs. This cannot be mimicked</w:t>
      </w:r>
      <w:r>
        <w:t xml:space="preserve"> </w:t>
      </w:r>
      <w:r>
        <w:t xml:space="preserve">in the underlying design.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As introduced above, one treatment was a simplified label that also introduced a digital</w:t>
      </w:r>
      <w:r>
        <w:t xml:space="preserve"> </w:t>
      </w:r>
      <w:r>
        <w:t xml:space="preserve">element, i.e. a QR code to a website containing further information (see section 0). In reality</w:t>
      </w:r>
      <w:r>
        <w:t xml:space="preserve"> </w:t>
      </w:r>
      <w:r>
        <w:t xml:space="preserve">consumers would open a QR code by using their smartphone. As this actual scanning of a QR</w:t>
      </w:r>
      <w:r>
        <w:t xml:space="preserve"> </w:t>
      </w:r>
      <w:r>
        <w:t xml:space="preserve">code was not feasible in the experimental environment, the experiment introduced an open-</w:t>
      </w:r>
      <w:r>
        <w:t xml:space="preserve"> </w:t>
      </w:r>
      <w:r>
        <w:t xml:space="preserve">website-function. By hovering over a link displayed at the bottom of the screen a pop-up of</w:t>
      </w:r>
      <w:r>
        <w:t xml:space="preserve"> </w:t>
      </w:r>
      <w:r>
        <w:t xml:space="preserve">the website opened on screen. Again, the opening behaviour was tracked for all relevant</w:t>
      </w:r>
      <w:r>
        <w:t xml:space="preserve"> </w:t>
      </w:r>
      <w:r>
        <w:t xml:space="preserve">questions.</w:t>
      </w:r>
      <w:r>
        <w:t xml:space="preserve"> </w:t>
      </w:r>
      <w:r>
        <w:t xml:space="preserve">The last behavioural variable that was elicited over the course of the experiment was the time</w:t>
      </w:r>
      <w:r>
        <w:t xml:space="preserve"> </w:t>
      </w:r>
      <w:r>
        <w:t xml:space="preserve">spent on answering each question. This variable could serve as a control for reading time, i.e. </w:t>
      </w:r>
      <w:r>
        <w:t xml:space="preserve"> </w:t>
      </w:r>
      <w:r>
        <w:t xml:space="preserve">the longer participants spent on screen, the higher the probability of reading and consulting the</w:t>
      </w:r>
      <w:r>
        <w:t xml:space="preserve"> </w:t>
      </w:r>
      <w:r>
        <w:t xml:space="preserve">labelling information.</w:t>
      </w:r>
      <w:r>
        <w:t xml:space="preserve"> </w:t>
      </w:r>
      <w:r>
        <w:t xml:space="preserve">Comparative Choice Task</w:t>
      </w:r>
      <w:r>
        <w:t xml:space="preserve"> </w:t>
      </w:r>
      <w:r>
        <w:t xml:space="preserve">As indicated above, the aim of the experiment was also to measure consumers’ ability to</w:t>
      </w:r>
      <w:r>
        <w:t xml:space="preserve"> </w:t>
      </w:r>
      <w:r>
        <w:t xml:space="preserve">identify a potentially less harmful product by reading and understanding labelling</w:t>
      </w:r>
      <w:r>
        <w:t xml:space="preserve"> </w:t>
      </w:r>
      <w:r>
        <w:t xml:space="preserve">information. Therefore, the experiment included a comparative choice task where participants</w:t>
      </w:r>
      <w:r>
        <w:t xml:space="preserve"> </w:t>
      </w:r>
      <w:r>
        <w:t xml:space="preserve">were presented with two variants of the product, i.e. the product “original” and its “twin”. The</w:t>
      </w:r>
      <w:r>
        <w:t xml:space="preserve"> </w:t>
      </w:r>
      <w:r>
        <w:t xml:space="preserve">product twins were constructed in parallel to their original versions and differed only with</w:t>
      </w:r>
      <w:r>
        <w:t xml:space="preserve"> </w:t>
      </w:r>
      <w:r>
        <w:t xml:space="preserve">respect to the potential hazards for human health and the environment.24 For the laundry</w:t>
      </w:r>
      <w:r>
        <w:t xml:space="preserve"> </w:t>
      </w:r>
      <w:r>
        <w:t xml:space="preserve">detergent the product original was less harmful than its twin, while for the glue the original</w:t>
      </w:r>
      <w:r>
        <w:t xml:space="preserve"> </w:t>
      </w:r>
      <w:r>
        <w:t xml:space="preserve">was more harmful than the twin.</w:t>
      </w:r>
      <w:r>
        <w:t xml:space="preserve"> </w:t>
      </w:r>
      <w:r>
        <w:t xml:space="preserve">Within the task, participants saw both the original and the twin next to each other on screen</w:t>
      </w:r>
      <w:r>
        <w:t xml:space="preserve"> </w:t>
      </w:r>
      <w:r>
        <w:t xml:space="preserve">and had to select the potentially less harmful variant. The alignment to either right or left</w:t>
      </w:r>
      <w:r>
        <w:t xml:space="preserve"> </w:t>
      </w:r>
      <w:r>
        <w:t xml:space="preserve">was fully randomised. Furthermore, participants repeated the task for both the laundry</w:t>
      </w:r>
      <w:r>
        <w:t xml:space="preserve"> </w:t>
      </w:r>
      <w:r>
        <w:t xml:space="preserve">detergent as well as the glue (order was randomised as well).</w:t>
      </w:r>
      <w:r>
        <w:t xml:space="preserve"> </w:t>
      </w:r>
      <w:r>
        <w:t xml:space="preserve">Each participant remained within the treatment they were assigned to at the beginning of the</w:t>
      </w:r>
      <w:r>
        <w:t xml:space="preserve"> </w:t>
      </w:r>
      <w:r>
        <w:t xml:space="preserve">study, i.e. when assigned to the Status Quo Label, the participant also answered the</w:t>
      </w:r>
      <w:r>
        <w:t xml:space="preserve"> </w:t>
      </w:r>
      <w:r>
        <w:t xml:space="preserve">comparative choice task on the Status Quo Label. Additionally, the comparative choice task</w:t>
      </w:r>
      <w:r>
        <w:t xml:space="preserve"> </w:t>
      </w:r>
      <w:r>
        <w:t xml:space="preserve">included the zooming-feature for the Status Quo and Simplified Label as described above. In</w:t>
      </w:r>
      <w:r>
        <w:t xml:space="preserve"> </w:t>
      </w:r>
      <w:r>
        <w:t xml:space="preserve">order to enlarge labelling details, participants were able to hover over both of the label images</w:t>
      </w:r>
      <w:r>
        <w:t xml:space="preserve"> </w:t>
      </w:r>
      <w:r>
        <w:t xml:space="preserve">of the original and twin and a pop-up opened. Figure 17–Figure 22 display the original and</w:t>
      </w:r>
      <w:r>
        <w:t xml:space="preserve"> </w:t>
      </w:r>
      <w:r>
        <w:t xml:space="preserve">twin product for the laundry detergent and glue in the Status Quo Label, Simplified Label and</w:t>
      </w:r>
      <w:r>
        <w:t xml:space="preserve"> </w:t>
      </w:r>
      <w:r>
        <w:t xml:space="preserve">No Label Baseline treatment.</w:t>
      </w:r>
    </w:p>
    <w:p>
      <w:pPr>
        <w:pStyle w:val="BodyText"/>
      </w:pPr>
      <w:r>
        <w:t xml:space="preserve">24 Furthermore, the fictious brand and company information differed.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Figure 17: Comparative Choice Task for Status Quo Label – Laundry Detergent</w:t>
      </w:r>
    </w:p>
    <w:p>
      <w:pPr>
        <w:pStyle w:val="BodyText"/>
      </w:pPr>
      <w:r>
        <w:t xml:space="preserve">Figure 18: Comparative Choice Task for Status Quo Label – Glue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Figure 19: Comparative Choice Task for Simplified Label – Laundry Detergent</w:t>
      </w:r>
    </w:p>
    <w:p>
      <w:pPr>
        <w:pStyle w:val="BodyText"/>
      </w:pPr>
      <w:r>
        <w:t xml:space="preserve">Figure 20: Comparative Choice Task for Simplified Label – Glue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Figure 21: Comparative Choice Task for No Label Baseline – Laundry Detergent</w:t>
      </w:r>
    </w:p>
    <w:p>
      <w:pPr>
        <w:pStyle w:val="BodyText"/>
      </w:pPr>
      <w:r>
        <w:t xml:space="preserve">Figure 22: Comparative Choice Task for Simplified Label – Glue</w:t>
      </w:r>
    </w:p>
    <w:p>
      <w:pPr>
        <w:pStyle w:val="BodyText"/>
      </w:pPr>
      <w:r>
        <w:t xml:space="preserve">Since for the No Label Baseline the package images only contained the front of the packaging</w:t>
      </w:r>
      <w:r>
        <w:t xml:space="preserve"> </w:t>
      </w:r>
      <w:r>
        <w:t xml:space="preserve">without any information on product hazards, participants that were assigned to the treatment</w:t>
      </w:r>
      <w:r>
        <w:t xml:space="preserve"> </w:t>
      </w:r>
      <w:r>
        <w:t xml:space="preserve">not only were allowed to choose between either of the two products at display but also were</w:t>
      </w:r>
      <w:r>
        <w:t xml:space="preserve"> </w:t>
      </w:r>
      <w:r>
        <w:t xml:space="preserve">able to choose “don’t know / I would need more information to make that choice”. This</w:t>
      </w:r>
      <w:r>
        <w:t xml:space="preserve"> </w:t>
      </w:r>
      <w:r>
        <w:t xml:space="preserve">measure was introduced after the pilot analysis.</w:t>
      </w:r>
      <w:r>
        <w:t xml:space="preserve"> </w:t>
      </w:r>
      <w:r>
        <w:t xml:space="preserve">Further Variables</w:t>
      </w:r>
      <w:r>
        <w:t xml:space="preserve"> </w:t>
      </w:r>
      <w:r>
        <w:t xml:space="preserve">Following the experimental tasks where labels were at display, the last part of the experiment</w:t>
      </w:r>
      <w:r>
        <w:t xml:space="preserve"> </w:t>
      </w:r>
      <w:r>
        <w:t xml:space="preserve">consisted of a consumer survey. The purpose of the survey was two-fold. On the one hand,</w:t>
      </w:r>
      <w:r>
        <w:t xml:space="preserve"> </w:t>
      </w:r>
      <w:r>
        <w:t xml:space="preserve">preferences for receiving labelling information (on-pack versus digital) were elicited. On</w:t>
      </w:r>
      <w:r>
        <w:t xml:space="preserve"> </w:t>
      </w:r>
      <w:r>
        <w:t xml:space="preserve">the other hand, participants’ characteristics were collected. These include personal or</w:t>
      </w:r>
      <w:r>
        <w:t xml:space="preserve"> </w:t>
      </w:r>
      <w:r>
        <w:t xml:space="preserve">professional experience with chemical products, digital readiness as well as trust and risk</w:t>
      </w:r>
      <w:r>
        <w:t xml:space="preserve"> </w:t>
      </w:r>
      <w:r>
        <w:t xml:space="preserve">attitudes.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Incentives</w:t>
      </w:r>
      <w:r>
        <w:t xml:space="preserve"> </w:t>
      </w:r>
      <w:r>
        <w:t xml:space="preserve">As it is common practice in behavioural science, participants were incentivised in the</w:t>
      </w:r>
      <w:r>
        <w:t xml:space="preserve"> </w:t>
      </w:r>
      <w:r>
        <w:t xml:space="preserve">experiment in two ways. Firstly, they received a flat fee for their overall time spent on the</w:t>
      </w:r>
      <w:r>
        <w:t xml:space="preserve"> </w:t>
      </w:r>
      <w:r>
        <w:t xml:space="preserve">tasks. By that it was ensured that they reciprocate by paying attention and providing answers</w:t>
      </w:r>
      <w:r>
        <w:t xml:space="preserve"> </w:t>
      </w:r>
      <w:r>
        <w:t xml:space="preserve">to their best knowledge and ability.</w:t>
      </w:r>
      <w:r>
        <w:t xml:space="preserve"> </w:t>
      </w:r>
      <w:r>
        <w:t xml:space="preserve">Secondly, the questions on objective understanding of labelling information were incentivised</w:t>
      </w:r>
      <w:r>
        <w:t xml:space="preserve"> </w:t>
      </w:r>
      <w:r>
        <w:t xml:space="preserve">by paying an additional amount per correct answer. This methodological measure was</w:t>
      </w:r>
      <w:r>
        <w:t xml:space="preserve"> </w:t>
      </w:r>
      <w:r>
        <w:t xml:space="preserve">applied to ensure that participants paid specific attention to the task itself and were motivated</w:t>
      </w:r>
      <w:r>
        <w:t xml:space="preserve"> </w:t>
      </w:r>
      <w:r>
        <w:t xml:space="preserve">to solve the questions correctly. Nevertheless, it must be noted that this procedure only mimics</w:t>
      </w:r>
      <w:r>
        <w:t xml:space="preserve"> </w:t>
      </w:r>
      <w:r>
        <w:t xml:space="preserve">the incentives of consulting a chemical label in the real world. If an accident occurs, consumers</w:t>
      </w:r>
      <w:r>
        <w:t xml:space="preserve"> </w:t>
      </w:r>
      <w:r>
        <w:t xml:space="preserve">are inherently motivated to reduce the negative health impacts and pay attention to the label.</w:t>
      </w:r>
      <w:r>
        <w:t xml:space="preserve"> </w:t>
      </w:r>
      <w:r>
        <w:t xml:space="preserve">This scenario and the inherent motives cannot be replicated by the experimental set-up.</w:t>
      </w:r>
      <w:r>
        <w:t xml:space="preserve"> </w:t>
      </w:r>
      <w:r>
        <w:t xml:space="preserve">Overview on the Data Set</w:t>
      </w:r>
      <w:r>
        <w:t xml:space="preserve"> </w:t>
      </w:r>
      <w:r>
        <w:t xml:space="preserve">The experiment was conducted with 4,003 participants in September and October 2021. Data</w:t>
      </w:r>
      <w:r>
        <w:t xml:space="preserve"> </w:t>
      </w:r>
      <w:r>
        <w:t xml:space="preserve">collection took place in four Member States, i.e. Germany (1,000), France (1,001), Romania</w:t>
      </w:r>
      <w:r>
        <w:t xml:space="preserve"> </w:t>
      </w:r>
      <w:r>
        <w:t xml:space="preserve">(1,000) and Greece (1,002) and the median time to complete the experiment was 17 minutes.</w:t>
      </w:r>
    </w:p>
    <w:p>
      <w:pPr>
        <w:pStyle w:val="BodyText"/>
      </w:pPr>
      <w:r>
        <w:t xml:space="preserve">Sample description</w:t>
      </w:r>
      <w:r>
        <w:t xml:space="preserve"> </w:t>
      </w:r>
      <w:r>
        <w:t xml:space="preserve">Participants were recruited from an actively-managed online-panel and hard quotas on age and</w:t>
      </w:r>
      <w:r>
        <w:t xml:space="preserve"> </w:t>
      </w:r>
      <w:r>
        <w:t xml:space="preserve">gender were applied in order to reach representativeness. Furthermore, soft quotas on education</w:t>
      </w:r>
      <w:r>
        <w:t xml:space="preserve"> </w:t>
      </w:r>
      <w:r>
        <w:t xml:space="preserve">and income were applied. Table 7 gives an overview on the sample characteristics per country.</w:t>
      </w:r>
      <w:r>
        <w:t xml:space="preserve"> </w:t>
      </w:r>
      <w:r>
        <w:t xml:space="preserve">Table 7: Sample Description</w:t>
      </w:r>
    </w:p>
    <w:p>
      <w:pPr>
        <w:pStyle w:val="BodyText"/>
      </w:pPr>
      <w:r>
        <w:t xml:space="preserve">DE</w:t>
      </w:r>
      <w:r>
        <w:t xml:space="preserve"> </w:t>
      </w:r>
      <w:r>
        <w:t xml:space="preserve">(N=1,000)</w:t>
      </w:r>
      <w:r>
        <w:t xml:space="preserve"> </w:t>
      </w:r>
      <w:r>
        <w:t xml:space="preserve">FR</w:t>
      </w:r>
      <w:r>
        <w:t xml:space="preserve"> </w:t>
      </w:r>
      <w:r>
        <w:t xml:space="preserve">(N=1,001)</w:t>
      </w:r>
      <w:r>
        <w:t xml:space="preserve"> </w:t>
      </w:r>
      <w:r>
        <w:t xml:space="preserve">RO</w:t>
      </w:r>
      <w:r>
        <w:t xml:space="preserve"> </w:t>
      </w:r>
      <w:r>
        <w:t xml:space="preserve">(N=1,000)</w:t>
      </w:r>
      <w:r>
        <w:t xml:space="preserve"> </w:t>
      </w:r>
      <w:r>
        <w:t xml:space="preserve">EL25</w:t>
      </w:r>
      <w:r>
        <w:t xml:space="preserve"> </w:t>
      </w:r>
      <w:r>
        <w:t xml:space="preserve">(N=1,002)</w:t>
      </w:r>
      <w:r>
        <w:t xml:space="preserve"> </w:t>
      </w:r>
      <w:r>
        <w:t xml:space="preserve">Age mean (s.d.)</w:t>
      </w:r>
      <w:r>
        <w:t xml:space="preserve"> </w:t>
      </w:r>
      <w:r>
        <w:t xml:space="preserve">50.26 (16.53)</w:t>
      </w:r>
      <w:r>
        <w:t xml:space="preserve"> </w:t>
      </w:r>
      <w:r>
        <w:t xml:space="preserve">49.53 (16.94)</w:t>
      </w:r>
      <w:r>
        <w:t xml:space="preserve"> </w:t>
      </w:r>
      <w:r>
        <w:t xml:space="preserve">47.98 (16.11)</w:t>
      </w:r>
      <w:r>
        <w:t xml:space="preserve"> </w:t>
      </w:r>
      <w:r>
        <w:t xml:space="preserve">46.05 (14.89)</w:t>
      </w:r>
      <w:r>
        <w:t xml:space="preserve"> </w:t>
      </w:r>
      <w:r>
        <w:t xml:space="preserve">Gender (male /</w:t>
      </w:r>
      <w:r>
        <w:br/>
      </w:r>
      <w:r>
        <w:t xml:space="preserve">female /</w:t>
      </w:r>
      <w:r>
        <w:t xml:space="preserve"> </w:t>
      </w:r>
      <w:r>
        <w:t xml:space="preserve">other-diverse)</w:t>
      </w:r>
      <w:r>
        <w:t xml:space="preserve"> </w:t>
      </w:r>
      <w:r>
        <w:t xml:space="preserve">49.3% /</w:t>
      </w:r>
      <w:r>
        <w:t xml:space="preserve"> </w:t>
      </w:r>
      <w:r>
        <w:t xml:space="preserve">50.7% /</w:t>
      </w:r>
      <w:r>
        <w:t xml:space="preserve"> </w:t>
      </w:r>
      <w:r>
        <w:t xml:space="preserve">0%</w:t>
      </w:r>
      <w:r>
        <w:t xml:space="preserve"> </w:t>
      </w:r>
      <w:r>
        <w:t xml:space="preserve">48.2% /</w:t>
      </w:r>
      <w:r>
        <w:t xml:space="preserve"> </w:t>
      </w:r>
      <w:r>
        <w:t xml:space="preserve">51.8% /</w:t>
      </w:r>
      <w:r>
        <w:t xml:space="preserve"> </w:t>
      </w:r>
      <w:r>
        <w:t xml:space="preserve">0.1%</w:t>
      </w:r>
      <w:r>
        <w:t xml:space="preserve"> </w:t>
      </w:r>
      <w:r>
        <w:t xml:space="preserve">48.4% /</w:t>
      </w:r>
      <w:r>
        <w:t xml:space="preserve"> </w:t>
      </w:r>
      <w:r>
        <w:t xml:space="preserve">51.6% /</w:t>
      </w:r>
      <w:r>
        <w:t xml:space="preserve"> </w:t>
      </w:r>
      <w:r>
        <w:t xml:space="preserve">0%</w:t>
      </w:r>
      <w:r>
        <w:t xml:space="preserve"> </w:t>
      </w:r>
      <w:r>
        <w:t xml:space="preserve">49.0% /</w:t>
      </w:r>
      <w:r>
        <w:t xml:space="preserve"> </w:t>
      </w:r>
      <w:r>
        <w:t xml:space="preserve">50.6% /</w:t>
      </w:r>
      <w:r>
        <w:t xml:space="preserve"> </w:t>
      </w:r>
      <w:r>
        <w:t xml:space="preserve">0.4%</w:t>
      </w:r>
      <w:r>
        <w:t xml:space="preserve"> </w:t>
      </w:r>
      <w:r>
        <w:t xml:space="preserve">Education26 (low /</w:t>
      </w:r>
      <w:r>
        <w:br/>
      </w:r>
      <w:r>
        <w:t xml:space="preserve">Medium /</w:t>
      </w:r>
      <w:r>
        <w:br/>
      </w:r>
      <w:r>
        <w:t xml:space="preserve">high)</w:t>
      </w:r>
      <w:r>
        <w:t xml:space="preserve"> </w:t>
      </w:r>
      <w:r>
        <w:t xml:space="preserve">19% /</w:t>
      </w:r>
      <w:r>
        <w:br/>
      </w:r>
      <w:r>
        <w:t xml:space="preserve">53% /</w:t>
      </w:r>
      <w:r>
        <w:br/>
      </w:r>
      <w:r>
        <w:t xml:space="preserve">28%</w:t>
      </w:r>
      <w:r>
        <w:br/>
      </w:r>
      <w:r>
        <w:t xml:space="preserve">9% /</w:t>
      </w:r>
      <w:r>
        <w:t xml:space="preserve"> </w:t>
      </w:r>
      <w:r>
        <w:t xml:space="preserve">55% /</w:t>
      </w:r>
      <w:r>
        <w:t xml:space="preserve"> </w:t>
      </w:r>
      <w:r>
        <w:t xml:space="preserve">36%</w:t>
      </w:r>
      <w:r>
        <w:t xml:space="preserve"> </w:t>
      </w:r>
      <w:r>
        <w:t xml:space="preserve">20% /</w:t>
      </w:r>
      <w:r>
        <w:br/>
      </w:r>
      <w:r>
        <w:t xml:space="preserve">57% /</w:t>
      </w:r>
      <w:r>
        <w:t xml:space="preserve"> </w:t>
      </w:r>
      <w:r>
        <w:t xml:space="preserve">22%</w:t>
      </w:r>
      <w:r>
        <w:t xml:space="preserve"> </w:t>
      </w:r>
      <w:r>
        <w:t xml:space="preserve">8% /</w:t>
      </w:r>
      <w:r>
        <w:br/>
      </w:r>
      <w:r>
        <w:t xml:space="preserve">46% /</w:t>
      </w:r>
      <w:r>
        <w:br/>
      </w:r>
      <w:r>
        <w:t xml:space="preserve">46%</w:t>
      </w:r>
      <w:r>
        <w:t xml:space="preserve"> </w:t>
      </w:r>
      <w:r>
        <w:t xml:space="preserve">Income27 (low /</w:t>
      </w:r>
      <w:r>
        <w:t xml:space="preserve"> </w:t>
      </w:r>
      <w:r>
        <w:t xml:space="preserve">medium /</w:t>
      </w:r>
      <w:r>
        <w:t xml:space="preserve"> </w:t>
      </w:r>
      <w:r>
        <w:t xml:space="preserve">high)</w:t>
      </w:r>
      <w:r>
        <w:t xml:space="preserve"> </w:t>
      </w:r>
      <w:r>
        <w:t xml:space="preserve">34.0% /</w:t>
      </w:r>
      <w:r>
        <w:t xml:space="preserve"> </w:t>
      </w:r>
      <w:r>
        <w:t xml:space="preserve">31.6% /</w:t>
      </w:r>
      <w:r>
        <w:t xml:space="preserve"> </w:t>
      </w:r>
      <w:r>
        <w:t xml:space="preserve">34.0%</w:t>
      </w:r>
      <w:r>
        <w:t xml:space="preserve"> </w:t>
      </w:r>
      <w:r>
        <w:t xml:space="preserve">34.0% /</w:t>
      </w:r>
      <w:r>
        <w:t xml:space="preserve"> </w:t>
      </w:r>
      <w:r>
        <w:t xml:space="preserve">35.5% /</w:t>
      </w:r>
      <w:r>
        <w:t xml:space="preserve"> </w:t>
      </w:r>
      <w:r>
        <w:t xml:space="preserve">30.6%</w:t>
      </w:r>
      <w:r>
        <w:t xml:space="preserve"> </w:t>
      </w:r>
      <w:r>
        <w:t xml:space="preserve">43.1% /</w:t>
      </w:r>
      <w:r>
        <w:t xml:space="preserve"> </w:t>
      </w:r>
      <w:r>
        <w:t xml:space="preserve">50.6% /</w:t>
      </w:r>
      <w:r>
        <w:t xml:space="preserve"> </w:t>
      </w:r>
      <w:r>
        <w:t xml:space="preserve">6.2%</w:t>
      </w:r>
      <w:r>
        <w:t xml:space="preserve"> </w:t>
      </w:r>
      <w:r>
        <w:t xml:space="preserve">31.0% /</w:t>
      </w:r>
      <w:r>
        <w:t xml:space="preserve"> </w:t>
      </w:r>
      <w:r>
        <w:t xml:space="preserve">40.6% /</w:t>
      </w:r>
      <w:r>
        <w:t xml:space="preserve"> </w:t>
      </w:r>
      <w:r>
        <w:t xml:space="preserve">28.4%</w:t>
      </w:r>
    </w:p>
    <w:p>
      <w:pPr>
        <w:pStyle w:val="BodyText"/>
      </w:pPr>
      <w:r>
        <w:t xml:space="preserve">25 Given that quotas on age in Greece were difficult to reach, in the analysis individual weights for Greek</w:t>
      </w:r>
      <w:r>
        <w:t xml:space="preserve"> </w:t>
      </w:r>
      <w:r>
        <w:t xml:space="preserve">participants were used in order to draw upon representative results. The reason was that especially elderly</w:t>
      </w:r>
      <w:r>
        <w:t xml:space="preserve"> </w:t>
      </w:r>
      <w:r>
        <w:t xml:space="preserve">participants are challenging to recruit for online studies given limited access to devices.</w:t>
      </w:r>
      <w:r>
        <w:t xml:space="preserve"> </w:t>
      </w:r>
      <w:r>
        <w:t xml:space="preserve">26 As can be seen from the sample description consumers with lower educational level are slightly</w:t>
      </w:r>
      <w:r>
        <w:t xml:space="preserve"> </w:t>
      </w:r>
      <w:r>
        <w:t xml:space="preserve">underrepresented in the sample. Especially in Greece the share of participants holding a university degree is</w:t>
      </w:r>
      <w:r>
        <w:t xml:space="preserve"> </w:t>
      </w:r>
      <w:r>
        <w:t xml:space="preserve">comparatively large.</w:t>
      </w:r>
      <w:r>
        <w:t xml:space="preserve"> </w:t>
      </w:r>
      <w:r>
        <w:t xml:space="preserve">27 Please not that income categories were defined within each country, i.e. using different tertile cut-off values for</w:t>
      </w:r>
      <w:r>
        <w:t xml:space="preserve"> </w:t>
      </w:r>
      <w:r>
        <w:t xml:space="preserve">each country, because income distribution in absolute monetary terms differs per country.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Treatment assignment</w:t>
      </w:r>
      <w:r>
        <w:t xml:space="preserve"> </w:t>
      </w:r>
      <w:r>
        <w:t xml:space="preserve">As described in the methodological section, participants were randomly assigned to one of two</w:t>
      </w:r>
      <w:r>
        <w:t xml:space="preserve"> </w:t>
      </w:r>
      <w:r>
        <w:t xml:space="preserve">products, i.e. either laundry detergent or glue, and to one of three labelling treatments, i.e. either</w:t>
      </w:r>
      <w:r>
        <w:t xml:space="preserve"> </w:t>
      </w:r>
      <w:r>
        <w:t xml:space="preserve">Status Quo Label, Simplified Label (QR) or No Label Baseline. Table 8 displays the number</w:t>
      </w:r>
      <w:r>
        <w:t xml:space="preserve"> </w:t>
      </w:r>
      <w:r>
        <w:t xml:space="preserve">of observations per product-treatment-combination.</w:t>
      </w:r>
      <w:r>
        <w:t xml:space="preserve"> </w:t>
      </w:r>
      <w:r>
        <w:t xml:space="preserve">Table 8: Treatment Assignment</w:t>
      </w:r>
    </w:p>
    <w:p>
      <w:pPr>
        <w:pStyle w:val="BodyText"/>
      </w:pPr>
      <w:r>
        <w:t xml:space="preserve">Laundry Detergent</w:t>
      </w:r>
      <w:r>
        <w:t xml:space="preserve"> </w:t>
      </w:r>
      <w:r>
        <w:t xml:space="preserve">Glue</w:t>
      </w:r>
      <w:r>
        <w:t xml:space="preserve"> </w:t>
      </w:r>
      <w:r>
        <w:t xml:space="preserve">Status Quo Label</w:t>
      </w:r>
      <w:r>
        <w:t xml:space="preserve"> </w:t>
      </w:r>
      <w:r>
        <w:t xml:space="preserve">16.7%</w:t>
      </w:r>
      <w:r>
        <w:t xml:space="preserve"> </w:t>
      </w:r>
      <w:r>
        <w:t xml:space="preserve">16.7%</w:t>
      </w:r>
      <w:r>
        <w:t xml:space="preserve"> </w:t>
      </w:r>
      <w:r>
        <w:t xml:space="preserve">Simplified Label (QR)</w:t>
      </w:r>
      <w:r>
        <w:t xml:space="preserve"> </w:t>
      </w:r>
      <w:r>
        <w:t xml:space="preserve">16.7%</w:t>
      </w:r>
      <w:r>
        <w:t xml:space="preserve"> </w:t>
      </w:r>
      <w:r>
        <w:t xml:space="preserve">16.7%</w:t>
      </w:r>
      <w:r>
        <w:t xml:space="preserve"> </w:t>
      </w:r>
      <w:r>
        <w:t xml:space="preserve">No Label Baseline</w:t>
      </w:r>
      <w:r>
        <w:t xml:space="preserve"> </w:t>
      </w:r>
      <w:r>
        <w:t xml:space="preserve">16.6%</w:t>
      </w:r>
      <w:r>
        <w:t xml:space="preserve"> </w:t>
      </w:r>
      <w:r>
        <w:t xml:space="preserve">16.6%</w:t>
      </w:r>
    </w:p>
    <w:p>
      <w:pPr>
        <w:pStyle w:val="BodyText"/>
      </w:pPr>
      <w:r>
        <w:t xml:space="preserve">Furthermore, in the comparative choice task participants were randomly assigned to the order</w:t>
      </w:r>
      <w:r>
        <w:t xml:space="preserve"> </w:t>
      </w:r>
      <w:r>
        <w:t xml:space="preserve">of products to be displayed, i.e. either laundry detergent first, then glue or glue first, then</w:t>
      </w:r>
      <w:r>
        <w:t xml:space="preserve"> </w:t>
      </w:r>
      <w:r>
        <w:t xml:space="preserve">laundry detergent. Within the task the alignment of product variants was additionally</w:t>
      </w:r>
      <w:r>
        <w:t xml:space="preserve"> </w:t>
      </w:r>
      <w:r>
        <w:t xml:space="preserve">randomised, i.e. original left and twin right or twin left and original right. Again, data reveals</w:t>
      </w:r>
      <w:r>
        <w:t xml:space="preserve"> </w:t>
      </w:r>
      <w:r>
        <w:t xml:space="preserve">that for both order and variant alignment randomisation worked well (50% of the sample in</w:t>
      </w:r>
      <w:r>
        <w:t xml:space="preserve"> </w:t>
      </w:r>
      <w:r>
        <w:t xml:space="preserve">each display condition).</w:t>
      </w:r>
      <w:r>
        <w:t xml:space="preserve"> </w:t>
      </w:r>
      <w:r>
        <w:t xml:space="preserve">RQ 1: What is the level of understanding of chemical and detergents labels?</w:t>
      </w:r>
      <w:r>
        <w:t xml:space="preserve"> </w:t>
      </w:r>
      <w:r>
        <w:t xml:space="preserve">To answer the first research question on consumers’ understanding, the experiment included</w:t>
      </w:r>
      <w:r>
        <w:t xml:space="preserve"> </w:t>
      </w:r>
      <w:r>
        <w:t xml:space="preserve">several questions which are presented in the following. All results are based on a comparison</w:t>
      </w:r>
      <w:r>
        <w:t xml:space="preserve"> </w:t>
      </w:r>
      <w:r>
        <w:t xml:space="preserve">of the Status Quo Label and the No Label Baseline in order to confirm whether current</w:t>
      </w:r>
      <w:r>
        <w:t xml:space="preserve"> </w:t>
      </w:r>
      <w:r>
        <w:t xml:space="preserve">legislation indeed enhances consumers’ understanding.28</w:t>
      </w:r>
    </w:p>
    <w:p>
      <w:pPr>
        <w:pStyle w:val="BodyText"/>
      </w:pPr>
      <w:r>
        <w:t xml:space="preserve">Objective Understanding of Product Hazards</w:t>
      </w:r>
      <w:r>
        <w:t xml:space="preserve"> </w:t>
      </w:r>
      <w:r>
        <w:t xml:space="preserve">Based on the desk research performed to design the two products, different hazards apply to</w:t>
      </w:r>
      <w:r>
        <w:t xml:space="preserve"> </w:t>
      </w:r>
      <w:r>
        <w:t xml:space="preserve">the laundry detergent and glue. These include, for example: “Causes serious eye irritation”</w:t>
      </w:r>
      <w:r>
        <w:t xml:space="preserve"> </w:t>
      </w:r>
      <w:r>
        <w:t xml:space="preserve">(H319) or “Toxic to aquatic life with long lasting effects” (H411).29 The question was presented</w:t>
      </w:r>
      <w:r>
        <w:t xml:space="preserve"> </w:t>
      </w:r>
      <w:r>
        <w:t xml:space="preserve">as a set of correct as well as incorrect hazard statements and participants were asked to identify</w:t>
      </w:r>
      <w:r>
        <w:t xml:space="preserve"> </w:t>
      </w:r>
      <w:r>
        <w:t xml:space="preserve">the correct ones (additional payment for correct answer).</w:t>
      </w:r>
      <w:r>
        <w:t xml:space="preserve"> </w:t>
      </w:r>
      <w:r>
        <w:t xml:space="preserve">Figure 23 displays the percentage of participants that correctly answered the question on</w:t>
      </w:r>
      <w:r>
        <w:t xml:space="preserve"> </w:t>
      </w:r>
      <w:r>
        <w:t xml:space="preserve">product hazards by product.30 For the Status Quo Label of the laundry detergent 54% of the</w:t>
      </w:r>
      <w:r>
        <w:t xml:space="preserve"> </w:t>
      </w:r>
      <w:r>
        <w:t xml:space="preserve">participants answered the question on hazards correctly while only 8% in the No Label</w:t>
      </w:r>
      <w:r>
        <w:t xml:space="preserve"> </w:t>
      </w:r>
      <w:r>
        <w:t xml:space="preserve">Baseline were successful. The difference between the two conditions is highly significant</w:t>
      </w:r>
      <w:r>
        <w:t xml:space="preserve"> </w:t>
      </w:r>
      <w:r>
        <w:t xml:space="preserve">(p&lt;0.001)31.</w:t>
      </w:r>
    </w:p>
    <w:p>
      <w:pPr>
        <w:pStyle w:val="BodyText"/>
      </w:pPr>
      <w:r>
        <w:t xml:space="preserve">28 Results on the performance of the Simplified Label with QR code may be found further below, i.e. section on</w:t>
      </w:r>
      <w:r>
        <w:t xml:space="preserve"> </w:t>
      </w:r>
      <w:r>
        <w:t xml:space="preserve">the fourth research question.</w:t>
      </w:r>
      <w:r>
        <w:t xml:space="preserve"> </w:t>
      </w:r>
      <w:r>
        <w:t xml:space="preserve">29 Please note that the hazards differed by product. As described in the methodological section the laundry</w:t>
      </w:r>
      <w:r>
        <w:t xml:space="preserve"> </w:t>
      </w:r>
      <w:r>
        <w:t xml:space="preserve">detergent was designed to be less harmful, while the glue included more hazards. The actual statements are</w:t>
      </w:r>
      <w:r>
        <w:t xml:space="preserve"> </w:t>
      </w:r>
      <w:r>
        <w:t xml:space="preserve">representative for products to be found in supermarkets, drugstores and DIY-stores. A complete list may be found</w:t>
      </w:r>
      <w:r>
        <w:t xml:space="preserve"> </w:t>
      </w:r>
      <w:r>
        <w:t xml:space="preserve">on the label-images provided in the methodological section.</w:t>
      </w:r>
      <w:r>
        <w:t xml:space="preserve"> </w:t>
      </w:r>
      <w:r>
        <w:t xml:space="preserve">30 For better readability, in the following results are rounded to the nearest whole number. Hence, it might be</w:t>
      </w:r>
      <w:r>
        <w:t xml:space="preserve"> </w:t>
      </w:r>
      <w:r>
        <w:t xml:space="preserve">possible that shares do not add up to 100%.</w:t>
      </w:r>
      <w:r>
        <w:t xml:space="preserve"> </w:t>
      </w:r>
      <w:r>
        <w:t xml:space="preserve">31 If not otherwise specified, the statistical tests were Chi-2-test analysing the relationships between answer</w:t>
      </w:r>
      <w:r>
        <w:t xml:space="preserve"> </w:t>
      </w:r>
      <w:r>
        <w:t xml:space="preserve">behaviour and categorial variables, i.e. treatments.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The same pattern can be observed for the glue – although objective understanding was lower</w:t>
      </w:r>
      <w:r>
        <w:t xml:space="preserve"> </w:t>
      </w:r>
      <w:r>
        <w:t xml:space="preserve">than for the laundry detergent. In the Status Quo Label treatment 29% of the participants</w:t>
      </w:r>
      <w:r>
        <w:t xml:space="preserve"> </w:t>
      </w:r>
      <w:r>
        <w:t xml:space="preserve">answered the question correctly while the percentage in the No Label Baseline was only 6%.</w:t>
      </w:r>
      <w:r>
        <w:t xml:space="preserve"> </w:t>
      </w:r>
      <w:r>
        <w:t xml:space="preserve">Again, the difference between the two labelling treatments is highly significant. An explanation</w:t>
      </w:r>
      <w:r>
        <w:t xml:space="preserve"> </w:t>
      </w:r>
      <w:r>
        <w:t xml:space="preserve">for the worse performance of the glue compared to the laundry detergent might be that the</w:t>
      </w:r>
      <w:r>
        <w:t xml:space="preserve"> </w:t>
      </w:r>
      <w:r>
        <w:t xml:space="preserve">product itself was constructed in a way to be more harmful, i.e. more hazard statements apply</w:t>
      </w:r>
      <w:r>
        <w:t xml:space="preserve"> </w:t>
      </w:r>
      <w:r>
        <w:t xml:space="preserve">to the product.</w:t>
      </w:r>
      <w:r>
        <w:t xml:space="preserve"> </w:t>
      </w:r>
      <w:r>
        <w:t xml:space="preserve">Figure 23: Objective Understanding of Product Hazards by Treatment</w:t>
      </w:r>
    </w:p>
    <w:p>
      <w:pPr>
        <w:pStyle w:val="BodyText"/>
      </w:pPr>
      <w:r>
        <w:t xml:space="preserve">Notes: The question was: “Please select all statements that are true about the product displayed on the left:”</w:t>
      </w:r>
      <w:r>
        <w:t xml:space="preserve"> </w:t>
      </w:r>
      <w:r>
        <w:t xml:space="preserve">(Status Quo Label) and “Thinking about a [laundry detergent / glue], please select all statements that are usually</w:t>
      </w:r>
      <w:r>
        <w:t xml:space="preserve"> </w:t>
      </w:r>
      <w:r>
        <w:t xml:space="preserve">true about such a product:” (No Label Baseline).</w:t>
      </w:r>
      <w:r>
        <w:t xml:space="preserve"> </w:t>
      </w:r>
      <w:r>
        <w:t xml:space="preserve">Number of observations: N=1,333 (LD), N=1,335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Furthermore, data reveals that 73% of the participants in the Status Quo treatment of the</w:t>
      </w:r>
      <w:r>
        <w:t xml:space="preserve"> </w:t>
      </w:r>
      <w:r>
        <w:t xml:space="preserve">laundry detergent zoomed in on the label, i.e. took a closer look at it. Of those who zoomed,</w:t>
      </w:r>
      <w:r>
        <w:t xml:space="preserve"> </w:t>
      </w:r>
      <w:r>
        <w:t xml:space="preserve">70% were able to answer the question on hazards correctly, while only 12% of those who did</w:t>
      </w:r>
      <w:r>
        <w:t xml:space="preserve"> </w:t>
      </w:r>
      <w:r>
        <w:t xml:space="preserve">not zoom were successful. The difference is again highly significant (p&lt;0.001). The same may</w:t>
      </w:r>
      <w:r>
        <w:t xml:space="preserve"> </w:t>
      </w:r>
      <w:r>
        <w:t xml:space="preserve">be observed for the glue where 78% of the participants in the Status Quo treatment zoomed in</w:t>
      </w:r>
      <w:r>
        <w:t xml:space="preserve"> </w:t>
      </w:r>
      <w:r>
        <w:t xml:space="preserve">on the label. Of those who zoomed, 36% answered the question on hazards correctly, while</w:t>
      </w:r>
      <w:r>
        <w:t xml:space="preserve"> </w:t>
      </w:r>
      <w:r>
        <w:t xml:space="preserve">the share among those who did not zoom was only 4% (p&lt;0.001).</w:t>
      </w:r>
      <w:r>
        <w:t xml:space="preserve"> </w:t>
      </w:r>
      <w:r>
        <w:t xml:space="preserve">The time spent to answer the question in the Status Quo treatment was on average 62 seconds</w:t>
      </w:r>
      <w:r>
        <w:t xml:space="preserve"> </w:t>
      </w:r>
      <w:r>
        <w:t xml:space="preserve">for the laundry detergent and 78 seconds for the glue. For both products a positive, significant</w:t>
      </w:r>
      <w:r>
        <w:t xml:space="preserve"> </w:t>
      </w:r>
      <w:r>
        <w:t xml:space="preserve">relationship between time spent to answer and performance in the question can be found (0.49</w:t>
      </w:r>
      <w:r>
        <w:t xml:space="preserve"> </w:t>
      </w:r>
      <w:r>
        <w:t xml:space="preserve">for laundry detergent and 0.48 for glue, both p&lt;0.001). I.e. the more time participants spent on</w:t>
      </w:r>
      <w:r>
        <w:t xml:space="preserve"> </w:t>
      </w:r>
      <w:r>
        <w:t xml:space="preserve">the questions, the higher are the chances that they answer the question on product hazards</w:t>
      </w:r>
      <w:r>
        <w:t xml:space="preserve"> </w:t>
      </w:r>
      <w:r>
        <w:t xml:space="preserve">correctly.</w:t>
      </w:r>
      <w:r>
        <w:t xml:space="preserve"> </w:t>
      </w:r>
      <w:r>
        <w:t xml:space="preserve">In summary, the results show that providing labelling information and reading it helps</w:t>
      </w:r>
      <w:r>
        <w:t xml:space="preserve"> </w:t>
      </w:r>
      <w:r>
        <w:t xml:space="preserve">consumers to understand hazard information. Certainly not all consumers who were</w:t>
      </w:r>
      <w:r>
        <w:t xml:space="preserve"> </w:t>
      </w:r>
      <w:r>
        <w:t xml:space="preserve">provided with a label under current legislation (Status Quo Label) performed equally well but</w:t>
      </w:r>
      <w:r>
        <w:t xml:space="preserve"> </w:t>
      </w:r>
      <w:r>
        <w:t xml:space="preserve">compared to a situation where information is not available, they performed significantly better.</w:t>
      </w:r>
      <w:r>
        <w:t xml:space="preserve"> </w:t>
      </w:r>
      <w:r>
        <w:t xml:space="preserve">When consumers solely answered based on their personal experience of chemical products (No</w:t>
      </w:r>
      <w:r>
        <w:t xml:space="preserve"> </w:t>
      </w:r>
      <w:r>
        <w:t xml:space="preserve">Label Baseline) understanding was overall poor. Furthermore, participants were motivated</w:t>
      </w:r>
      <w:r>
        <w:t xml:space="preserve"> </w:t>
      </w:r>
      <w:r>
        <w:t xml:space="preserve">to consult labelling information in the experiment and when they did, they also performed</w:t>
      </w:r>
      <w:r>
        <w:t xml:space="preserve"> </w:t>
      </w:r>
      <w:r>
        <w:t xml:space="preserve">significantly better than when they did not actively read the label.</w:t>
      </w:r>
      <w:r>
        <w:t xml:space="preserve"> </w:t>
      </w:r>
      <w:r>
        <w:t xml:space="preserve">54%</w:t>
      </w:r>
      <w:r>
        <w:t xml:space="preserve"> </w:t>
      </w:r>
      <w:r>
        <w:t xml:space="preserve">8%</w:t>
      </w:r>
      <w:r>
        <w:t xml:space="preserve"> </w:t>
      </w:r>
      <w:r>
        <w:t xml:space="preserve">29%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Status Quo</w:t>
      </w:r>
      <w:r>
        <w:t xml:space="preserve"> </w:t>
      </w:r>
      <w:r>
        <w:t xml:space="preserve">Label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No Label</w:t>
      </w:r>
      <w:r>
        <w:t xml:space="preserve"> </w:t>
      </w:r>
      <w:r>
        <w:t xml:space="preserve">Baseline</w:t>
      </w:r>
      <w:r>
        <w:t xml:space="preserve"> </w:t>
      </w:r>
      <w:r>
        <w:t xml:space="preserve">Status Quo</w:t>
      </w:r>
      <w:r>
        <w:t xml:space="preserve"> </w:t>
      </w:r>
      <w:r>
        <w:t xml:space="preserve">Label</w:t>
      </w:r>
      <w:r>
        <w:t xml:space="preserve"> </w:t>
      </w:r>
      <w:r>
        <w:t xml:space="preserve">No Label</w:t>
      </w:r>
      <w:r>
        <w:t xml:space="preserve"> </w:t>
      </w:r>
      <w:r>
        <w:t xml:space="preserve">Baseline</w:t>
      </w:r>
      <w:r>
        <w:t xml:space="preserve"> </w:t>
      </w:r>
      <w:r>
        <w:t xml:space="preserve">Hazards (Percentage Correct)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Glue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Objective Understanding of Precautionary Measures</w:t>
      </w:r>
      <w:r>
        <w:t xml:space="preserve"> </w:t>
      </w:r>
      <w:r>
        <w:t xml:space="preserve">Similarly, different precautionary statements apply to the two products. These included for</w:t>
      </w:r>
      <w:r>
        <w:t xml:space="preserve"> </w:t>
      </w:r>
      <w:r>
        <w:t xml:space="preserve">example: “Keep out of reach of children” (P102) or “IF IN EYES: Rinse cautiously with water</w:t>
      </w:r>
      <w:r>
        <w:t xml:space="preserve"> </w:t>
      </w:r>
      <w:r>
        <w:t xml:space="preserve">for several minutes” (P305+P351).32 Again, the question was presented as a set of correct as</w:t>
      </w:r>
      <w:r>
        <w:t xml:space="preserve"> </w:t>
      </w:r>
      <w:r>
        <w:t xml:space="preserve">well as incorrect precautionary statements and participants were asked to identify the correct</w:t>
      </w:r>
      <w:r>
        <w:t xml:space="preserve"> </w:t>
      </w:r>
      <w:r>
        <w:t xml:space="preserve">ones (additional payment for correct answer).</w:t>
      </w:r>
      <w:r>
        <w:t xml:space="preserve"> </w:t>
      </w:r>
      <w:r>
        <w:t xml:space="preserve">Figure 24 displays the percentage of participants that correctly answered the question on</w:t>
      </w:r>
      <w:r>
        <w:t xml:space="preserve"> </w:t>
      </w:r>
      <w:r>
        <w:t xml:space="preserve">product precautions by product. It can be seen that the Status Quo Label again performs better</w:t>
      </w:r>
      <w:r>
        <w:t xml:space="preserve"> </w:t>
      </w:r>
      <w:r>
        <w:t xml:space="preserve">than the No Label Baseline. For both products the difference is highly significant (p&lt;0.001).</w:t>
      </w:r>
      <w:r>
        <w:t xml:space="preserve"> </w:t>
      </w:r>
      <w:r>
        <w:t xml:space="preserve">For the laundry detergent 17% in the Status Quo Label treatment and 1% in the No Label</w:t>
      </w:r>
      <w:r>
        <w:t xml:space="preserve"> </w:t>
      </w:r>
      <w:r>
        <w:t xml:space="preserve">Baseline answered correctly. For the glue 12% in the Status Quo Label treatment and 0% in</w:t>
      </w:r>
      <w:r>
        <w:t xml:space="preserve"> </w:t>
      </w:r>
      <w:r>
        <w:t xml:space="preserve">the No Label Baseline answered correctly.</w:t>
      </w:r>
      <w:r>
        <w:t xml:space="preserve"> </w:t>
      </w:r>
      <w:r>
        <w:t xml:space="preserve">Figure 24: Objective Understanding of Precautions by Treatment</w:t>
      </w:r>
    </w:p>
    <w:p>
      <w:pPr>
        <w:pStyle w:val="BodyText"/>
      </w:pPr>
      <w:r>
        <w:t xml:space="preserve">Notes: The question was: “From your reading of the label, when using this product would you: (Select all that</w:t>
      </w:r>
      <w:r>
        <w:t xml:space="preserve"> </w:t>
      </w:r>
      <w:r>
        <w:t xml:space="preserve">apply)” (Status Quo Label) and “When using a [laundry detergent / glue] would you: (Select all that apply)” (No</w:t>
      </w:r>
      <w:r>
        <w:t xml:space="preserve"> </w:t>
      </w:r>
      <w:r>
        <w:t xml:space="preserve">Label Baseline).</w:t>
      </w:r>
      <w:r>
        <w:t xml:space="preserve"> </w:t>
      </w:r>
      <w:r>
        <w:t xml:space="preserve">Number of observations: N=1,333 (LD), N=1,335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When looking at zooming behaviour, 63% of the participants in the Status Quo Label of the</w:t>
      </w:r>
      <w:r>
        <w:t xml:space="preserve"> </w:t>
      </w:r>
      <w:r>
        <w:t xml:space="preserve">laundry detergent took a closer look at the label. Of those who zoomed on the label 26%</w:t>
      </w:r>
      <w:r>
        <w:t xml:space="preserve"> </w:t>
      </w:r>
      <w:r>
        <w:t xml:space="preserve">answered the question correctly while those who did not zoom only answered the question on</w:t>
      </w:r>
      <w:r>
        <w:t xml:space="preserve"> </w:t>
      </w:r>
      <w:r>
        <w:t xml:space="preserve">precautions correctly in 1% of the cases (difference highly significant, p&lt;0.001). The same</w:t>
      </w:r>
      <w:r>
        <w:t xml:space="preserve"> </w:t>
      </w:r>
      <w:r>
        <w:t xml:space="preserve">pattern may be observed for the Status Quo Label of the glue where 66% of the participants</w:t>
      </w:r>
      <w:r>
        <w:t xml:space="preserve"> </w:t>
      </w:r>
      <w:r>
        <w:t xml:space="preserve">took a closer look at the label. Of those who zoomed 18% answered the question correctly,</w:t>
      </w:r>
      <w:r>
        <w:t xml:space="preserve"> </w:t>
      </w:r>
      <w:r>
        <w:t xml:space="preserve">while those who did not zoom only answered the question correctly in 2% of the cases</w:t>
      </w:r>
      <w:r>
        <w:t xml:space="preserve"> </w:t>
      </w:r>
      <w:r>
        <w:t xml:space="preserve">(difference highly significant, p&lt;0.001).</w:t>
      </w:r>
      <w:r>
        <w:t xml:space="preserve"> </w:t>
      </w:r>
      <w:r>
        <w:t xml:space="preserve">Overall, participants in the Status Quo treatment spent 53 seconds to answer the question on</w:t>
      </w:r>
      <w:r>
        <w:t xml:space="preserve"> </w:t>
      </w:r>
      <w:r>
        <w:t xml:space="preserve">the laundry detergent and 68 seconds for the glue. Again, a positive significant correlation</w:t>
      </w:r>
      <w:r>
        <w:t xml:space="preserve"> </w:t>
      </w:r>
      <w:r>
        <w:t xml:space="preserve">between time spent and performance can be detected (0.40 for laundry detergent and 0.39 for</w:t>
      </w:r>
    </w:p>
    <w:p>
      <w:pPr>
        <w:pStyle w:val="BodyText"/>
      </w:pPr>
      <w:r>
        <w:t xml:space="preserve">32 Again, these precautionary statements are only examples, and the complete list of applicable precautions may</w:t>
      </w:r>
      <w:r>
        <w:t xml:space="preserve"> </w:t>
      </w:r>
      <w:r>
        <w:t xml:space="preserve">be found in the methodological section of the report.</w:t>
      </w:r>
      <w:r>
        <w:t xml:space="preserve"> </w:t>
      </w:r>
      <w:r>
        <w:t xml:space="preserve">17%</w:t>
      </w:r>
      <w:r>
        <w:t xml:space="preserve"> </w:t>
      </w:r>
      <w:r>
        <w:t xml:space="preserve">1%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Status Quo</w:t>
      </w:r>
      <w:r>
        <w:t xml:space="preserve"> </w:t>
      </w:r>
      <w:r>
        <w:t xml:space="preserve">Label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No Label</w:t>
      </w:r>
      <w:r>
        <w:t xml:space="preserve"> </w:t>
      </w:r>
      <w:r>
        <w:t xml:space="preserve">Baseline</w:t>
      </w:r>
      <w:r>
        <w:t xml:space="preserve"> </w:t>
      </w:r>
      <w:r>
        <w:t xml:space="preserve">Status Quo</w:t>
      </w:r>
      <w:r>
        <w:t xml:space="preserve"> </w:t>
      </w:r>
      <w:r>
        <w:t xml:space="preserve">Label</w:t>
      </w:r>
      <w:r>
        <w:t xml:space="preserve"> </w:t>
      </w:r>
      <w:r>
        <w:t xml:space="preserve">No Label</w:t>
      </w:r>
      <w:r>
        <w:t xml:space="preserve"> </w:t>
      </w:r>
      <w:r>
        <w:t xml:space="preserve">Baseline</w:t>
      </w:r>
      <w:r>
        <w:t xml:space="preserve"> </w:t>
      </w:r>
      <w:r>
        <w:t xml:space="preserve">Precautions (Percentage Correct)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Glue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glue, both p&lt;0.001). I.e. the more time participants spent on the question, the higher are the</w:t>
      </w:r>
      <w:r>
        <w:t xml:space="preserve"> </w:t>
      </w:r>
      <w:r>
        <w:t xml:space="preserve">chances that they answer the question on product precautions correctly.</w:t>
      </w:r>
      <w:r>
        <w:t xml:space="preserve"> </w:t>
      </w:r>
      <w:r>
        <w:t xml:space="preserve">In summary, objective understanding of the precautions applicable to chemical products</w:t>
      </w:r>
      <w:r>
        <w:t xml:space="preserve"> </w:t>
      </w:r>
      <w:r>
        <w:t xml:space="preserve">follows the same pattern as for hazards. Receiving labelling information as defined by current</w:t>
      </w:r>
      <w:r>
        <w:t xml:space="preserve"> </w:t>
      </w:r>
      <w:r>
        <w:t xml:space="preserve">regulation (Status Quo Label) resulted in significantly better performance than answering</w:t>
      </w:r>
      <w:r>
        <w:t xml:space="preserve"> </w:t>
      </w:r>
      <w:r>
        <w:t xml:space="preserve">on experience (No Label Baseline). Overall, the understanding of precautions was poor and</w:t>
      </w:r>
      <w:r>
        <w:t xml:space="preserve"> </w:t>
      </w:r>
      <w:r>
        <w:t xml:space="preserve">on average worse than for hazards. This might be due to the amount of precautions to be taken</w:t>
      </w:r>
      <w:r>
        <w:t xml:space="preserve"> </w:t>
      </w:r>
      <w:r>
        <w:t xml:space="preserve">for safe use (especially for the glue, for which, as a more harmful product, legislation requests</w:t>
      </w:r>
      <w:r>
        <w:t xml:space="preserve"> </w:t>
      </w:r>
      <w:r>
        <w:t xml:space="preserve">a long list of precautionary statements). Similarly, the results show that the majority of</w:t>
      </w:r>
      <w:r>
        <w:t xml:space="preserve"> </w:t>
      </w:r>
      <w:r>
        <w:t xml:space="preserve">participants were motivated to consult labelling information in the experiment, and if they</w:t>
      </w:r>
      <w:r>
        <w:t xml:space="preserve"> </w:t>
      </w:r>
      <w:r>
        <w:t xml:space="preserve">did, they also had a better objective understanding.</w:t>
      </w:r>
    </w:p>
    <w:p>
      <w:pPr>
        <w:pStyle w:val="BodyText"/>
      </w:pPr>
      <w:r>
        <w:t xml:space="preserve">Objective Understanding of Ingredients</w:t>
      </w:r>
      <w:r>
        <w:t xml:space="preserve"> </w:t>
      </w:r>
      <w:r>
        <w:t xml:space="preserve">Lastly, a question on the ingredients was presented. It was only asked of participants that were</w:t>
      </w:r>
      <w:r>
        <w:t xml:space="preserve"> </w:t>
      </w:r>
      <w:r>
        <w:t xml:space="preserve">assigned to the laundry detergent. Again, the question was presented as a set of correct, e.g. </w:t>
      </w:r>
      <w:r>
        <w:t xml:space="preserve"> </w:t>
      </w:r>
      <w:r>
        <w:t xml:space="preserve">“enzymes” or “perfumes”, and incorrect answer items and participants were asked to select the</w:t>
      </w:r>
      <w:r>
        <w:t xml:space="preserve"> </w:t>
      </w:r>
      <w:r>
        <w:t xml:space="preserve">correct ones (additional payment for correct answer).33</w:t>
      </w:r>
      <w:r>
        <w:t xml:space="preserve"> </w:t>
      </w:r>
      <w:r>
        <w:t xml:space="preserve">Figure 25 displays the percentage of participants that correctly answered the question on</w:t>
      </w:r>
      <w:r>
        <w:t xml:space="preserve"> </w:t>
      </w:r>
      <w:r>
        <w:t xml:space="preserve">product ingredients for the laundry detergent. It can be seen that 41% in the Status Quo Label</w:t>
      </w:r>
      <w:r>
        <w:t xml:space="preserve"> </w:t>
      </w:r>
      <w:r>
        <w:t xml:space="preserve">treatment answered the question on ingredients correctly, while the share was only 10% in the</w:t>
      </w:r>
      <w:r>
        <w:t xml:space="preserve"> </w:t>
      </w:r>
      <w:r>
        <w:t xml:space="preserve">No Label Baseline. The difference between groups is statistically highly significant (p&lt;0.001).</w:t>
      </w:r>
    </w:p>
    <w:p>
      <w:pPr>
        <w:pStyle w:val="BodyText"/>
      </w:pPr>
      <w:r>
        <w:t xml:space="preserve">33 The list of ingredients may be found on the label-images contained in the methodological section of the report.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Figure 25: Objective Understanding of Product Ingredients by Treatment</w:t>
      </w:r>
    </w:p>
    <w:p>
      <w:pPr>
        <w:pStyle w:val="BodyText"/>
      </w:pPr>
      <w:r>
        <w:t xml:space="preserve">Notes: The question was: “From your reading of the label, which ingredients are contained in this product?</w:t>
      </w:r>
      <w:r>
        <w:t xml:space="preserve"> </w:t>
      </w:r>
      <w:r>
        <w:t xml:space="preserve">(Select all that apply)” (Status Quo Label) and “From you experience with laundry detergents which ingredients</w:t>
      </w:r>
      <w:r>
        <w:t xml:space="preserve"> </w:t>
      </w:r>
      <w:r>
        <w:t xml:space="preserve">are usually contained in such a product? (Select all that apply)” (No Label Baseline).</w:t>
      </w:r>
      <w:r>
        <w:t xml:space="preserve"> </w:t>
      </w:r>
      <w:r>
        <w:t xml:space="preserve">Number of observations: N=1,333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Again, zooming behaviour is indicative for performance. Overall, 74% of the participants</w:t>
      </w:r>
      <w:r>
        <w:t xml:space="preserve"> </w:t>
      </w:r>
      <w:r>
        <w:t xml:space="preserve">zoomed in on the label. Among those who took a closer look the share of participants</w:t>
      </w:r>
      <w:r>
        <w:t xml:space="preserve"> </w:t>
      </w:r>
      <w:r>
        <w:t xml:space="preserve">answering correctly was 54%, while the share was only 3% among those who did not zoom</w:t>
      </w:r>
      <w:r>
        <w:t xml:space="preserve"> </w:t>
      </w:r>
      <w:r>
        <w:t xml:space="preserve">(p&lt;0.001).</w:t>
      </w:r>
      <w:r>
        <w:t xml:space="preserve"> </w:t>
      </w:r>
      <w:r>
        <w:t xml:space="preserve">In addition, data reveals that in the Status Quo treatment participants spent on average 43</w:t>
      </w:r>
      <w:r>
        <w:t xml:space="preserve"> </w:t>
      </w:r>
      <w:r>
        <w:t xml:space="preserve">seconds to answer the question. The correlation between time spent and performance is positive</w:t>
      </w:r>
      <w:r>
        <w:t xml:space="preserve"> </w:t>
      </w:r>
      <w:r>
        <w:t xml:space="preserve">and significant (0.53, p&lt;0.001), i.e. the more time participants took to answer the question, the</w:t>
      </w:r>
      <w:r>
        <w:t xml:space="preserve"> </w:t>
      </w:r>
      <w:r>
        <w:t xml:space="preserve">higher the chance of answering the question on product ingredients correctly.</w:t>
      </w:r>
      <w:r>
        <w:t xml:space="preserve"> </w:t>
      </w:r>
      <w:r>
        <w:t xml:space="preserve">In summary, the results confirm previous findings and show that labelling information</w:t>
      </w:r>
      <w:r>
        <w:t xml:space="preserve"> </w:t>
      </w:r>
      <w:r>
        <w:t xml:space="preserve">enhanced consumers understanding of ingredients as well. Again, participants in the</w:t>
      </w:r>
      <w:r>
        <w:t xml:space="preserve"> </w:t>
      </w:r>
      <w:r>
        <w:t xml:space="preserve">experiment were overall willing to consult the label and if they did, they performed</w:t>
      </w:r>
      <w:r>
        <w:t xml:space="preserve"> </w:t>
      </w:r>
      <w:r>
        <w:t xml:space="preserve">significantly better.</w:t>
      </w:r>
    </w:p>
    <w:p>
      <w:pPr>
        <w:pStyle w:val="BodyText"/>
      </w:pPr>
      <w:r>
        <w:t xml:space="preserve">Ability to Identify a Less Harmful Product</w:t>
      </w:r>
      <w:r>
        <w:t xml:space="preserve"> </w:t>
      </w:r>
      <w:r>
        <w:t xml:space="preserve">Further evidence on consumers’ understanding of labelling information can be taken from the</w:t>
      </w:r>
      <w:r>
        <w:t xml:space="preserve"> </w:t>
      </w:r>
      <w:r>
        <w:t xml:space="preserve">comparative choice task. Participants were asked to identify the less harmful product</w:t>
      </w:r>
      <w:r>
        <w:t xml:space="preserve"> </w:t>
      </w:r>
      <w:r>
        <w:t xml:space="preserve">among two products which differed with respect to their properties.</w:t>
      </w:r>
      <w:r>
        <w:br/>
      </w:r>
      <w:r>
        <w:t xml:space="preserve">For the laundry detergent, the product original was less harmful than its twin, i.e. less hazards</w:t>
      </w:r>
      <w:r>
        <w:t xml:space="preserve"> </w:t>
      </w:r>
      <w:r>
        <w:t xml:space="preserve">and precautions applied. Furthermore, the GHS pictogram and signal word differed. Further</w:t>
      </w:r>
      <w:r>
        <w:t xml:space="preserve"> </w:t>
      </w:r>
      <w:r>
        <w:t xml:space="preserve">information on the product labels presented in the task may be found in the methodological</w:t>
      </w:r>
      <w:r>
        <w:t xml:space="preserve"> </w:t>
      </w:r>
      <w:r>
        <w:t xml:space="preserve">section of the report.</w:t>
      </w:r>
      <w:r>
        <w:t xml:space="preserve"> </w:t>
      </w:r>
      <w:r>
        <w:t xml:space="preserve">Figure 26 displays the percentage of participants correctly identifying the original product to</w:t>
      </w:r>
      <w:r>
        <w:t xml:space="preserve"> </w:t>
      </w:r>
      <w:r>
        <w:t xml:space="preserve">be less harmful than its twin. As can be seen 64% in the Status Quo treatment answered the</w:t>
      </w:r>
      <w:r>
        <w:t xml:space="preserve"> </w:t>
      </w:r>
      <w:r>
        <w:t xml:space="preserve">question correctly. In the No Label Baseline performance was significantly worse because</w:t>
      </w:r>
      <w:r>
        <w:t xml:space="preserve"> </w:t>
      </w:r>
      <w:r>
        <w:t xml:space="preserve">participants were asked to answer the question based on their experience without any further</w:t>
      </w:r>
      <w:r>
        <w:t xml:space="preserve"> </w:t>
      </w:r>
      <w:r>
        <w:t xml:space="preserve">information. Since the No Label Baseline only included the front packaging without any</w:t>
      </w:r>
      <w:r>
        <w:t xml:space="preserve"> </w:t>
      </w:r>
      <w:r>
        <w:t xml:space="preserve">41%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Status Quo</w:t>
      </w:r>
      <w:r>
        <w:t xml:space="preserve"> </w:t>
      </w:r>
      <w:r>
        <w:t xml:space="preserve">Label</w:t>
      </w:r>
      <w:r>
        <w:t xml:space="preserve"> </w:t>
      </w:r>
      <w:r>
        <w:t xml:space="preserve">No Label</w:t>
      </w:r>
      <w:r>
        <w:t xml:space="preserve"> </w:t>
      </w:r>
      <w:r>
        <w:t xml:space="preserve">Baseline</w:t>
      </w:r>
      <w:r>
        <w:t xml:space="preserve"> </w:t>
      </w:r>
      <w:r>
        <w:t xml:space="preserve">Ingredients</w:t>
      </w:r>
      <w:r>
        <w:t xml:space="preserve"> </w:t>
      </w:r>
      <w:r>
        <w:t xml:space="preserve">(Percentage Correct)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information on hazards (pictogram, statements), the majority of participants (56%) selected</w:t>
      </w:r>
      <w:r>
        <w:t xml:space="preserve"> </w:t>
      </w:r>
      <w:r>
        <w:t xml:space="preserve">that they don’t know the answer or would need more information to make the choice. 16%</w:t>
      </w:r>
      <w:r>
        <w:t xml:space="preserve"> </w:t>
      </w:r>
      <w:r>
        <w:t xml:space="preserve">chose the correct product and 28% chose the wrong product. Again, the difference between the</w:t>
      </w:r>
      <w:r>
        <w:t xml:space="preserve"> </w:t>
      </w:r>
      <w:r>
        <w:t xml:space="preserve">treatments is statistically highly significant (p&lt;0.001).</w:t>
      </w:r>
      <w:r>
        <w:t xml:space="preserve"> </w:t>
      </w:r>
      <w:r>
        <w:t xml:space="preserve">Figure 26: Comparative Choice Task Laundry Detergent by Treatment</w:t>
      </w:r>
    </w:p>
    <w:p>
      <w:pPr>
        <w:pStyle w:val="BodyText"/>
      </w:pPr>
      <w:r>
        <w:t xml:space="preserve">Notes: The question was: “Please take a look at the two laundry detergents. Taking into consideration the</w:t>
      </w:r>
      <w:r>
        <w:t xml:space="preserve"> </w:t>
      </w:r>
      <w:r>
        <w:t xml:space="preserve">information available here, which product is less harmful, i.e. less hazardous for human health or the</w:t>
      </w:r>
      <w:r>
        <w:t xml:space="preserve"> </w:t>
      </w:r>
      <w:r>
        <w:t xml:space="preserve">environment?”. “Don’t know”-category only available for No Label Baseline.</w:t>
      </w:r>
      <w:r>
        <w:t xml:space="preserve"> </w:t>
      </w:r>
      <w:r>
        <w:t xml:space="preserve">Number of observations: N=1,340 (Status Quo Label), N=1,328 (No Label Baseline)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72% of the participants zoomed on both labels at display, 20% on one of the two and 9%</w:t>
      </w:r>
      <w:r>
        <w:t xml:space="preserve"> </w:t>
      </w:r>
      <w:r>
        <w:t xml:space="preserve">did not zoom. Of those who zoomed on both 67% of the participants answered the question</w:t>
      </w:r>
      <w:r>
        <w:t xml:space="preserve"> </w:t>
      </w:r>
      <w:r>
        <w:t xml:space="preserve">correctly, of those who zoomed on one 56% answered correctly and of those who did not zoom</w:t>
      </w:r>
      <w:r>
        <w:t xml:space="preserve"> </w:t>
      </w:r>
      <w:r>
        <w:t xml:space="preserve">58% answered correctly (difference is significant, p=0.002).</w:t>
      </w:r>
      <w:r>
        <w:t xml:space="preserve"> </w:t>
      </w:r>
      <w:r>
        <w:t xml:space="preserve">For the glue, the product original was more harmful than its twin, i.e. more hazards and</w:t>
      </w:r>
      <w:r>
        <w:t xml:space="preserve"> </w:t>
      </w:r>
      <w:r>
        <w:t xml:space="preserve">precautions applied to it. Furthermore, the number of GHS-pictograms differed. Further</w:t>
      </w:r>
      <w:r>
        <w:t xml:space="preserve"> </w:t>
      </w:r>
      <w:r>
        <w:t xml:space="preserve">information on the product labels presented in the task may be found in the methodological</w:t>
      </w:r>
      <w:r>
        <w:t xml:space="preserve"> </w:t>
      </w:r>
      <w:r>
        <w:t xml:space="preserve">section of the report.</w:t>
      </w:r>
      <w:r>
        <w:t xml:space="preserve"> </w:t>
      </w:r>
      <w:r>
        <w:t xml:space="preserve">Figure 27 displays the percentage of participants correctly identifying the twin product to be</w:t>
      </w:r>
      <w:r>
        <w:t xml:space="preserve"> </w:t>
      </w:r>
      <w:r>
        <w:t xml:space="preserve">less harmful than the original. Again, the same pattern may be observed. In the Status Quo</w:t>
      </w:r>
      <w:r>
        <w:t xml:space="preserve"> </w:t>
      </w:r>
      <w:r>
        <w:t xml:space="preserve">Label treatment, the majority of 68% selected the correct product. In the No Label Baseline</w:t>
      </w:r>
      <w:r>
        <w:t xml:space="preserve"> </w:t>
      </w:r>
      <w:r>
        <w:t xml:space="preserve">the majority of 66% indicated that they did not know the answer and needed more</w:t>
      </w:r>
      <w:r>
        <w:t xml:space="preserve"> </w:t>
      </w:r>
      <w:r>
        <w:t xml:space="preserve">information for making their choice. The share of choosing the correct product was 16% and</w:t>
      </w:r>
      <w:r>
        <w:t xml:space="preserve"> </w:t>
      </w:r>
      <w:r>
        <w:t xml:space="preserve">the share of choosing the incorrect product was 18%. Again, the difference between the two</w:t>
      </w:r>
      <w:r>
        <w:t xml:space="preserve"> </w:t>
      </w:r>
      <w:r>
        <w:t xml:space="preserve">treatments is statistically highly significant (p&lt;0.001).</w:t>
      </w:r>
    </w:p>
    <w:p>
      <w:pPr>
        <w:pStyle w:val="BodyText"/>
      </w:pPr>
      <w:r>
        <w:t xml:space="preserve">64%</w:t>
      </w:r>
      <w:r>
        <w:t xml:space="preserve"> </w:t>
      </w:r>
      <w:r>
        <w:t xml:space="preserve">16%</w:t>
      </w:r>
      <w:r>
        <w:t xml:space="preserve"> </w:t>
      </w:r>
      <w:r>
        <w:t xml:space="preserve">36%</w:t>
      </w:r>
      <w:r>
        <w:t xml:space="preserve"> </w:t>
      </w:r>
      <w:r>
        <w:t xml:space="preserve">28%</w:t>
      </w:r>
      <w:r>
        <w:t xml:space="preserve"> </w:t>
      </w:r>
      <w:r>
        <w:t xml:space="preserve">56%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Status Quo Label</w:t>
      </w:r>
      <w:r>
        <w:t xml:space="preserve"> </w:t>
      </w:r>
      <w:r>
        <w:t xml:space="preserve">No Label Baseline</w:t>
      </w:r>
      <w:r>
        <w:t xml:space="preserve"> </w:t>
      </w:r>
      <w:r>
        <w:t xml:space="preserve">Comparative Choice: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Original</w:t>
      </w:r>
      <w:r>
        <w:t xml:space="preserve"> </w:t>
      </w:r>
      <w:r>
        <w:t xml:space="preserve">Twin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Figure 27: Comparative Choice Task Glue by Treatment</w:t>
      </w:r>
    </w:p>
    <w:p>
      <w:pPr>
        <w:pStyle w:val="BodyText"/>
      </w:pPr>
      <w:r>
        <w:t xml:space="preserve">Notes: The question was: “Please take a look at the two glues. Taking into consideration the information available</w:t>
      </w:r>
      <w:r>
        <w:t xml:space="preserve"> </w:t>
      </w:r>
      <w:r>
        <w:t xml:space="preserve">here, which product is less harmful, i.e. less hazardous for human health or the environment?”. “Don’t know”-</w:t>
      </w:r>
      <w:r>
        <w:t xml:space="preserve"> </w:t>
      </w:r>
      <w:r>
        <w:t xml:space="preserve">category only available for No Label Baseline.</w:t>
      </w:r>
      <w:r>
        <w:t xml:space="preserve"> </w:t>
      </w:r>
      <w:r>
        <w:t xml:space="preserve">Number of observations: N=1,340 (Status Quo Label), N=1,328 (No Label Baseline)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Regarding zooming behaviour, it can be found that 68% of the participants in the Status Quo</w:t>
      </w:r>
      <w:r>
        <w:t xml:space="preserve"> </w:t>
      </w:r>
      <w:r>
        <w:t xml:space="preserve">Label treatment took a closer look at both products at display, 25% looked at one of the two</w:t>
      </w:r>
      <w:r>
        <w:t xml:space="preserve"> </w:t>
      </w:r>
      <w:r>
        <w:t xml:space="preserve">and 7% looked at none. Of those who zoomed on both products 71% were able to correctly</w:t>
      </w:r>
      <w:r>
        <w:t xml:space="preserve"> </w:t>
      </w:r>
      <w:r>
        <w:t xml:space="preserve">identify the less harmful product, among those who looked at one product the share of correct</w:t>
      </w:r>
      <w:r>
        <w:t xml:space="preserve"> </w:t>
      </w:r>
      <w:r>
        <w:t xml:space="preserve">answers was 64% and of those who did not zoom the share was 61% (p=0.03).</w:t>
      </w:r>
      <w:r>
        <w:t xml:space="preserve"> </w:t>
      </w:r>
      <w:r>
        <w:t xml:space="preserve">In conclusion, results are confirmative of the findings from the previous sections. When</w:t>
      </w:r>
      <w:r>
        <w:t xml:space="preserve"> </w:t>
      </w:r>
      <w:r>
        <w:t xml:space="preserve">labelling information was available (Status Quo Label), the majority of consumers were</w:t>
      </w:r>
      <w:r>
        <w:t xml:space="preserve"> </w:t>
      </w:r>
      <w:r>
        <w:t xml:space="preserve">able to identify a less harmful product. In contrast, when labelling information was not</w:t>
      </w:r>
      <w:r>
        <w:t xml:space="preserve"> </w:t>
      </w:r>
      <w:r>
        <w:t xml:space="preserve">available, i.e. CLP information was not provided (No Label Baseline), consumers were not</w:t>
      </w:r>
      <w:r>
        <w:t xml:space="preserve"> </w:t>
      </w:r>
      <w:r>
        <w:t xml:space="preserve">able to correctly identify the less harmful product but rather indicated that they would need</w:t>
      </w:r>
      <w:r>
        <w:t xml:space="preserve"> </w:t>
      </w:r>
      <w:r>
        <w:t xml:space="preserve">more information to make their choice. Again, it can be observed that experiment-participants</w:t>
      </w:r>
      <w:r>
        <w:t xml:space="preserve"> </w:t>
      </w:r>
      <w:r>
        <w:t xml:space="preserve">were willing to consult the label for further information and when they did, they at least</w:t>
      </w:r>
      <w:r>
        <w:t xml:space="preserve"> </w:t>
      </w:r>
      <w:r>
        <w:t xml:space="preserve">slightly performed better than without zooming in on information. Nevertheless, it must be</w:t>
      </w:r>
      <w:r>
        <w:t xml:space="preserve"> </w:t>
      </w:r>
      <w:r>
        <w:t xml:space="preserve">noted that even without zooming on further information such as a readable list of hazards and</w:t>
      </w:r>
      <w:r>
        <w:t xml:space="preserve"> </w:t>
      </w:r>
      <w:r>
        <w:t xml:space="preserve">precautionary statements, the packaging was already indicative of the degree of harmfulness,</w:t>
      </w:r>
      <w:r>
        <w:t xml:space="preserve"> </w:t>
      </w:r>
      <w:r>
        <w:t xml:space="preserve">i.e. the GHS-pictograms on the packaging for example already showed which product is more</w:t>
      </w:r>
      <w:r>
        <w:t xml:space="preserve"> </w:t>
      </w:r>
      <w:r>
        <w:t xml:space="preserve">harmful.</w:t>
      </w:r>
      <w:r>
        <w:t xml:space="preserve"> </w:t>
      </w:r>
      <w:r>
        <w:t xml:space="preserve">Lastly, it must be noted that results only provide information on consumers’ objective</w:t>
      </w:r>
      <w:r>
        <w:t xml:space="preserve"> </w:t>
      </w:r>
      <w:r>
        <w:t xml:space="preserve">understanding and not whether labelling information also causes consumers to purchase the</w:t>
      </w:r>
      <w:r>
        <w:t xml:space="preserve"> </w:t>
      </w:r>
      <w:r>
        <w:t xml:space="preserve">less harmful product. Furthermore, results also cannot demonstrate whether better objective</w:t>
      </w:r>
      <w:r>
        <w:t xml:space="preserve"> </w:t>
      </w:r>
      <w:r>
        <w:t xml:space="preserve">understanding also causes consumers to behave more appropriately in case of an accident, i.e. </w:t>
      </w:r>
      <w:r>
        <w:t xml:space="preserve"> </w:t>
      </w:r>
      <w:r>
        <w:t xml:space="preserve">whether they would follow instructions to minimise adverse effects. Therefore, the follow-up</w:t>
      </w:r>
      <w:r>
        <w:t xml:space="preserve"> </w:t>
      </w:r>
      <w:r>
        <w:t xml:space="preserve">questionnaire of the experiment can shed further light on consumers’ behaviour (see section on</w:t>
      </w:r>
      <w:r>
        <w:t xml:space="preserve"> </w:t>
      </w:r>
      <w:r>
        <w:t xml:space="preserve">the third research question).</w:t>
      </w:r>
      <w:r>
        <w:t xml:space="preserve"> </w:t>
      </w:r>
      <w:r>
        <w:t xml:space="preserve">32%</w:t>
      </w:r>
      <w:r>
        <w:t xml:space="preserve"> </w:t>
      </w:r>
      <w:r>
        <w:t xml:space="preserve">18%</w:t>
      </w:r>
      <w:r>
        <w:t xml:space="preserve"> </w:t>
      </w:r>
      <w:r>
        <w:t xml:space="preserve">68%</w:t>
      </w:r>
      <w:r>
        <w:t xml:space="preserve"> </w:t>
      </w:r>
      <w:r>
        <w:t xml:space="preserve">16%</w:t>
      </w:r>
      <w:r>
        <w:t xml:space="preserve"> </w:t>
      </w:r>
      <w:r>
        <w:t xml:space="preserve">66%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Status Quo Label</w:t>
      </w:r>
      <w:r>
        <w:t xml:space="preserve"> </w:t>
      </w:r>
      <w:r>
        <w:t xml:space="preserve">No Label Baseline</w:t>
      </w:r>
      <w:r>
        <w:t xml:space="preserve"> </w:t>
      </w:r>
      <w:r>
        <w:t xml:space="preserve">Comparative Choice:</w:t>
      </w:r>
      <w:r>
        <w:t xml:space="preserve"> </w:t>
      </w:r>
      <w:r>
        <w:t xml:space="preserve">Glue</w:t>
      </w:r>
      <w:r>
        <w:t xml:space="preserve"> </w:t>
      </w:r>
      <w:r>
        <w:t xml:space="preserve">Original</w:t>
      </w:r>
      <w:r>
        <w:t xml:space="preserve"> </w:t>
      </w:r>
      <w:r>
        <w:t xml:space="preserve">Twin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Rating of Understandability of Relevant Label Elements</w:t>
      </w:r>
      <w:r>
        <w:t xml:space="preserve"> </w:t>
      </w:r>
      <w:r>
        <w:t xml:space="preserve">Next to the objective questions on label understanding, the experiment contained a subjective</w:t>
      </w:r>
      <w:r>
        <w:t xml:space="preserve"> </w:t>
      </w:r>
      <w:r>
        <w:t xml:space="preserve">understanding question. Participants were asked to indicate the perceived understandability</w:t>
      </w:r>
      <w:r>
        <w:t xml:space="preserve"> </w:t>
      </w:r>
      <w:r>
        <w:t xml:space="preserve">of different label elements such as the hazard and precautionary statements, GHS-pictograms,</w:t>
      </w:r>
      <w:r>
        <w:t xml:space="preserve"> </w:t>
      </w:r>
      <w:r>
        <w:t xml:space="preserve">ingredient lists or dosage instructions. The question was elicited on a 5-point-Likert-scale from</w:t>
      </w:r>
      <w:r>
        <w:t xml:space="preserve"> </w:t>
      </w:r>
      <w:r>
        <w:t xml:space="preserve">“very easy to understand” to “very difficult to understand”.</w:t>
      </w:r>
      <w:r>
        <w:t xml:space="preserve"> </w:t>
      </w:r>
      <w:r>
        <w:t xml:space="preserve">Figure 28 displays the subjective understandability of the Status Quo Label for the laundry</w:t>
      </w:r>
      <w:r>
        <w:t xml:space="preserve"> </w:t>
      </w:r>
      <w:r>
        <w:t xml:space="preserve">detergent. All aspects related to the CLP Regulation performed well and were perceived as</w:t>
      </w:r>
      <w:r>
        <w:t xml:space="preserve"> </w:t>
      </w:r>
      <w:r>
        <w:t xml:space="preserve">at least rather understandable by the vast majority of participants (above 70%). The only</w:t>
      </w:r>
      <w:r>
        <w:t xml:space="preserve"> </w:t>
      </w:r>
      <w:r>
        <w:t xml:space="preserve">aspect that stands out to be different is marketing information. Here only 48% of the</w:t>
      </w:r>
      <w:r>
        <w:t xml:space="preserve"> </w:t>
      </w:r>
      <w:r>
        <w:t xml:space="preserve">participants rated information as understandable.</w:t>
      </w:r>
      <w:r>
        <w:t xml:space="preserve"> </w:t>
      </w:r>
      <w:r>
        <w:t xml:space="preserve">Figure 28: Rating of Understandability of Label Elements (Status Quo Label, Laundry Detergent)</w:t>
      </w:r>
    </w:p>
    <w:p>
      <w:pPr>
        <w:pStyle w:val="BodyText"/>
      </w:pPr>
      <w:r>
        <w:t xml:space="preserve">Notes: The question was: “Still looking at this label, how easy to understand do you find each piece of</w:t>
      </w:r>
      <w:r>
        <w:t xml:space="preserve"> </w:t>
      </w:r>
      <w:r>
        <w:t xml:space="preserve">information?”.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Figure 29 displays the subjective understandability of ingredients information of the Status</w:t>
      </w:r>
      <w:r>
        <w:t xml:space="preserve"> </w:t>
      </w:r>
      <w:r>
        <w:t xml:space="preserve">Quo Label for the laundry detergent. Compared to the previous results on CLP-related labelling</w:t>
      </w:r>
      <w:r>
        <w:t xml:space="preserve"> </w:t>
      </w:r>
      <w:r>
        <w:t xml:space="preserve">elements the rating was lower. Nevertheless, the majority of the participants indicated that</w:t>
      </w:r>
      <w:r>
        <w:t xml:space="preserve"> </w:t>
      </w:r>
      <w:r>
        <w:t xml:space="preserve">specific ingredient information was (rather) easy to understand.</w:t>
      </w:r>
    </w:p>
    <w:p>
      <w:pPr>
        <w:pStyle w:val="BodyText"/>
      </w:pP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31%</w:t>
      </w:r>
      <w:r>
        <w:t xml:space="preserve"> </w:t>
      </w:r>
      <w:r>
        <w:t xml:space="preserve">44%</w:t>
      </w:r>
      <w:r>
        <w:t xml:space="preserve"> </w:t>
      </w:r>
      <w:r>
        <w:t xml:space="preserve">40%</w:t>
      </w:r>
      <w:r>
        <w:t xml:space="preserve"> </w:t>
      </w:r>
      <w:r>
        <w:t xml:space="preserve">33%</w:t>
      </w:r>
      <w:r>
        <w:t xml:space="preserve"> </w:t>
      </w:r>
      <w:r>
        <w:t xml:space="preserve">24%</w:t>
      </w:r>
      <w:r>
        <w:t xml:space="preserve"> </w:t>
      </w:r>
      <w:r>
        <w:t xml:space="preserve">32%</w:t>
      </w:r>
      <w:r>
        <w:t xml:space="preserve"> </w:t>
      </w:r>
      <w:r>
        <w:t xml:space="preserve">45%</w:t>
      </w:r>
      <w:r>
        <w:t xml:space="preserve"> </w:t>
      </w:r>
      <w:r>
        <w:t xml:space="preserve">18%</w:t>
      </w:r>
      <w:r>
        <w:t xml:space="preserve"> </w:t>
      </w:r>
      <w:r>
        <w:t xml:space="preserve">42%</w:t>
      </w:r>
      <w:r>
        <w:t xml:space="preserve"> </w:t>
      </w:r>
      <w:r>
        <w:t xml:space="preserve">40%</w:t>
      </w:r>
      <w:r>
        <w:t xml:space="preserve"> </w:t>
      </w:r>
      <w:r>
        <w:t xml:space="preserve">39%</w:t>
      </w:r>
      <w:r>
        <w:t xml:space="preserve"> </w:t>
      </w:r>
      <w:r>
        <w:t xml:space="preserve">38%</w:t>
      </w:r>
      <w:r>
        <w:t xml:space="preserve"> </w:t>
      </w:r>
      <w:r>
        <w:t xml:space="preserve">45%</w:t>
      </w:r>
      <w:r>
        <w:t xml:space="preserve"> </w:t>
      </w:r>
      <w:r>
        <w:t xml:space="preserve">42%</w:t>
      </w:r>
      <w:r>
        <w:t xml:space="preserve"> </w:t>
      </w:r>
      <w:r>
        <w:t xml:space="preserve">42%</w:t>
      </w:r>
      <w:r>
        <w:t xml:space="preserve"> </w:t>
      </w:r>
      <w:r>
        <w:t xml:space="preserve">40%</w:t>
      </w:r>
      <w:r>
        <w:t xml:space="preserve"> </w:t>
      </w:r>
      <w:r>
        <w:t xml:space="preserve">39%</w:t>
      </w:r>
      <w:r>
        <w:t xml:space="preserve"> </w:t>
      </w:r>
      <w:r>
        <w:t xml:space="preserve">38%</w:t>
      </w:r>
      <w:r>
        <w:t xml:space="preserve"> </w:t>
      </w:r>
      <w:r>
        <w:t xml:space="preserve">39%</w:t>
      </w:r>
      <w:r>
        <w:t xml:space="preserve"> </w:t>
      </w:r>
      <w:r>
        <w:t xml:space="preserve">43%</w:t>
      </w:r>
      <w:r>
        <w:t xml:space="preserve"> </w:t>
      </w:r>
      <w:r>
        <w:t xml:space="preserve">40%</w:t>
      </w:r>
      <w:r>
        <w:t xml:space="preserve"> </w:t>
      </w:r>
      <w:r>
        <w:t xml:space="preserve">30%</w:t>
      </w:r>
      <w:r>
        <w:t xml:space="preserve"> </w:t>
      </w:r>
      <w:r>
        <w:t xml:space="preserve">44%</w:t>
      </w:r>
      <w:r>
        <w:t xml:space="preserve"> </w:t>
      </w:r>
      <w:r>
        <w:t xml:space="preserve">44%</w:t>
      </w:r>
      <w:r>
        <w:t xml:space="preserve"> </w:t>
      </w:r>
      <w:r>
        <w:t xml:space="preserve">40%</w:t>
      </w:r>
      <w:r>
        <w:t xml:space="preserve"> </w:t>
      </w:r>
      <w:r>
        <w:t xml:space="preserve">34%</w:t>
      </w:r>
      <w:r>
        <w:t xml:space="preserve"> </w:t>
      </w:r>
      <w:r>
        <w:t xml:space="preserve">12%</w:t>
      </w:r>
      <w:r>
        <w:t xml:space="preserve"> </w:t>
      </w:r>
      <w:r>
        <w:t xml:space="preserve">17%</w:t>
      </w:r>
      <w:r>
        <w:t xml:space="preserve"> </w:t>
      </w:r>
      <w:r>
        <w:t xml:space="preserve">16%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15%</w:t>
      </w:r>
      <w:r>
        <w:t xml:space="preserve"> </w:t>
      </w:r>
      <w:r>
        <w:t xml:space="preserve">21%</w:t>
      </w:r>
      <w:r>
        <w:t xml:space="preserve"> </w:t>
      </w:r>
      <w:r>
        <w:t xml:space="preserve">15%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14%</w:t>
      </w:r>
      <w:r>
        <w:t xml:space="preserve"> </w:t>
      </w:r>
      <w:r>
        <w:t xml:space="preserve">16%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2%</w:t>
      </w:r>
      <w:r>
        <w:t xml:space="preserve"> </w:t>
      </w:r>
      <w:r>
        <w:t xml:space="preserve">8%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8%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Statements to prevent adverse effects</w:t>
      </w:r>
      <w:r>
        <w:t xml:space="preserve"> </w:t>
      </w:r>
      <w:r>
        <w:t xml:space="preserve">Statements on precautions</w:t>
      </w:r>
      <w:r>
        <w:t xml:space="preserve"> </w:t>
      </w:r>
      <w:r>
        <w:t xml:space="preserve">Statements on products hazards</w:t>
      </w:r>
      <w:r>
        <w:t xml:space="preserve"> </w:t>
      </w:r>
      <w:r>
        <w:t xml:space="preserve">Signal word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Information relevant in case of intoxication</w:t>
      </w:r>
      <w:r>
        <w:t xml:space="preserve"> </w:t>
      </w:r>
      <w:r>
        <w:t xml:space="preserve">Weblink to receive full ingredients list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Quantity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Supplier contact information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Very easy to understand</w:t>
      </w:r>
      <w:r>
        <w:t xml:space="preserve"> </w:t>
      </w:r>
      <w:r>
        <w:t xml:space="preserve">Rather easy to understand</w:t>
      </w:r>
      <w:r>
        <w:t xml:space="preserve"> </w:t>
      </w:r>
      <w:r>
        <w:t xml:space="preserve">Neither easy nor difficult to understand</w:t>
      </w:r>
      <w:r>
        <w:t xml:space="preserve"> </w:t>
      </w:r>
      <w:r>
        <w:t xml:space="preserve">Rather difficult to understand</w:t>
      </w:r>
      <w:r>
        <w:t xml:space="preserve"> </w:t>
      </w:r>
      <w:r>
        <w:t xml:space="preserve">Very difficult to understand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Figure 29: Rating of Understandability of Label Elements on Ingredients (Status Quo Label, Laundry Detergent)</w:t>
      </w:r>
    </w:p>
    <w:p>
      <w:pPr>
        <w:pStyle w:val="BodyText"/>
      </w:pPr>
      <w:r>
        <w:t xml:space="preserve">Notes: The question was: “Still looking at this label, how easy to understand do you find the specific information</w:t>
      </w:r>
      <w:r>
        <w:t xml:space="preserve"> </w:t>
      </w:r>
      <w:r>
        <w:t xml:space="preserve">on the ingredients contained in the product?”.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Lastly, Figure 30 displays the subjective understandability of the Status Quo Label for the glue.</w:t>
      </w:r>
      <w:r>
        <w:t xml:space="preserve"> </w:t>
      </w:r>
      <w:r>
        <w:t xml:space="preserve">Again, the ratings of CLP-related information are good with a majority of over 70%</w:t>
      </w:r>
      <w:r>
        <w:t xml:space="preserve"> </w:t>
      </w:r>
      <w:r>
        <w:t xml:space="preserve">indicating that information was very or rather easy to understand. The only aspect that stands</w:t>
      </w:r>
      <w:r>
        <w:t xml:space="preserve"> </w:t>
      </w:r>
      <w:r>
        <w:t xml:space="preserve">out is marketing information which received a lower understandability rating (48%).</w:t>
      </w:r>
      <w:r>
        <w:t xml:space="preserve"> </w:t>
      </w:r>
      <w:r>
        <w:t xml:space="preserve">Figure 30: Rating of Understandability of Label Elements (Status Quo Label, Glue)</w:t>
      </w:r>
    </w:p>
    <w:p>
      <w:pPr>
        <w:pStyle w:val="BodyText"/>
      </w:pPr>
      <w:r>
        <w:t xml:space="preserve">Notes: The question was: “Still looking at this label, how easy to understand do you find each piece of</w:t>
      </w:r>
      <w:r>
        <w:t xml:space="preserve"> </w:t>
      </w:r>
      <w:r>
        <w:t xml:space="preserve">information?”.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In conclusion, the data shows that overall consumers perceived relevant labelling elements</w:t>
      </w:r>
      <w:r>
        <w:t xml:space="preserve"> </w:t>
      </w:r>
      <w:r>
        <w:t xml:space="preserve">as (rather) understandable. Nevertheless, it must be emphasised that this result is based on</w:t>
      </w:r>
      <w:r>
        <w:t xml:space="preserve"> </w:t>
      </w:r>
      <w:r>
        <w:t xml:space="preserve">24%</w:t>
      </w:r>
      <w:r>
        <w:t xml:space="preserve"> </w:t>
      </w:r>
      <w:r>
        <w:t xml:space="preserve">22%</w:t>
      </w:r>
      <w:r>
        <w:t xml:space="preserve"> </w:t>
      </w:r>
      <w:r>
        <w:t xml:space="preserve">29%</w:t>
      </w:r>
      <w:r>
        <w:t xml:space="preserve"> </w:t>
      </w:r>
      <w:r>
        <w:t xml:space="preserve">28%</w:t>
      </w:r>
      <w:r>
        <w:t xml:space="preserve"> </w:t>
      </w:r>
      <w:r>
        <w:t xml:space="preserve">20%</w:t>
      </w:r>
      <w:r>
        <w:t xml:space="preserve"> </w:t>
      </w:r>
      <w:r>
        <w:t xml:space="preserve">32%</w:t>
      </w:r>
      <w:r>
        <w:t xml:space="preserve"> </w:t>
      </w:r>
      <w:r>
        <w:t xml:space="preserve">35%</w:t>
      </w:r>
      <w:r>
        <w:t xml:space="preserve"> </w:t>
      </w:r>
      <w:r>
        <w:t xml:space="preserve">42%</w:t>
      </w:r>
      <w:r>
        <w:t xml:space="preserve"> </w:t>
      </w:r>
      <w:r>
        <w:t xml:space="preserve">32%</w:t>
      </w:r>
      <w:r>
        <w:t xml:space="preserve"> </w:t>
      </w:r>
      <w:r>
        <w:t xml:space="preserve">32%</w:t>
      </w:r>
      <w:r>
        <w:t xml:space="preserve"> </w:t>
      </w:r>
      <w:r>
        <w:t xml:space="preserve">24%</w:t>
      </w:r>
      <w:r>
        <w:t xml:space="preserve"> </w:t>
      </w:r>
      <w:r>
        <w:t xml:space="preserve">22%</w:t>
      </w:r>
      <w:r>
        <w:t xml:space="preserve"> </w:t>
      </w:r>
      <w:r>
        <w:t xml:space="preserve">19%</w:t>
      </w:r>
      <w:r>
        <w:t xml:space="preserve"> </w:t>
      </w:r>
      <w:r>
        <w:t xml:space="preserve">21%</w:t>
      </w:r>
      <w:r>
        <w:t xml:space="preserve"> </w:t>
      </w:r>
      <w:r>
        <w:t xml:space="preserve">21%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3…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Preservatives</w:t>
      </w:r>
      <w:r>
        <w:t xml:space="preserve"> </w:t>
      </w:r>
      <w:r>
        <w:t xml:space="preserve">Allergens</w:t>
      </w:r>
      <w:r>
        <w:t xml:space="preserve"> </w:t>
      </w:r>
      <w:r>
        <w:t xml:space="preserve">Perfumes</w:t>
      </w:r>
      <w:r>
        <w:t xml:space="preserve"> </w:t>
      </w:r>
      <w:r>
        <w:t xml:space="preserve">Enzymes</w:t>
      </w:r>
      <w:r>
        <w:t xml:space="preserve"> </w:t>
      </w:r>
      <w:r>
        <w:t xml:space="preserve">Surfactants</w:t>
      </w:r>
      <w:r>
        <w:t xml:space="preserve"> </w:t>
      </w:r>
      <w:r>
        <w:t xml:space="preserve">Very easy to understand</w:t>
      </w:r>
      <w:r>
        <w:t xml:space="preserve"> </w:t>
      </w:r>
      <w:r>
        <w:t xml:space="preserve">Rather easy to understand</w:t>
      </w:r>
      <w:r>
        <w:t xml:space="preserve"> </w:t>
      </w:r>
      <w:r>
        <w:t xml:space="preserve">Neither easy nor difficult to understand</w:t>
      </w:r>
      <w:r>
        <w:t xml:space="preserve"> </w:t>
      </w:r>
      <w:r>
        <w:t xml:space="preserve">Rather difficult to understand</w:t>
      </w:r>
      <w:r>
        <w:t xml:space="preserve"> </w:t>
      </w:r>
      <w:r>
        <w:t xml:space="preserve">Very difficult to understand</w:t>
      </w:r>
      <w:r>
        <w:t xml:space="preserve"> </w:t>
      </w:r>
      <w:r>
        <w:t xml:space="preserve">Don’t know</w:t>
      </w:r>
      <w:r>
        <w:t xml:space="preserve"> </w:t>
      </w:r>
      <w:r>
        <w:t xml:space="preserve">42%</w:t>
      </w:r>
      <w:r>
        <w:t xml:space="preserve"> </w:t>
      </w:r>
      <w:r>
        <w:t xml:space="preserve">40%</w:t>
      </w:r>
      <w:r>
        <w:t xml:space="preserve"> </w:t>
      </w:r>
      <w:r>
        <w:t xml:space="preserve">42%</w:t>
      </w:r>
      <w:r>
        <w:t xml:space="preserve"> </w:t>
      </w:r>
      <w:r>
        <w:t xml:space="preserve">53%</w:t>
      </w:r>
      <w:r>
        <w:t xml:space="preserve"> </w:t>
      </w:r>
      <w:r>
        <w:t xml:space="preserve">48%</w:t>
      </w:r>
      <w:r>
        <w:t xml:space="preserve"> </w:t>
      </w:r>
      <w:r>
        <w:t xml:space="preserve">34%</w:t>
      </w:r>
      <w:r>
        <w:t xml:space="preserve"> </w:t>
      </w:r>
      <w:r>
        <w:t xml:space="preserve">31%</w:t>
      </w:r>
      <w:r>
        <w:t xml:space="preserve"> </w:t>
      </w:r>
      <w:r>
        <w:t xml:space="preserve">38%</w:t>
      </w:r>
      <w:r>
        <w:t xml:space="preserve"> </w:t>
      </w:r>
      <w:r>
        <w:t xml:space="preserve">17%</w:t>
      </w:r>
      <w:r>
        <w:t xml:space="preserve"> </w:t>
      </w:r>
      <w:r>
        <w:t xml:space="preserve">40%</w:t>
      </w:r>
      <w:r>
        <w:t xml:space="preserve"> </w:t>
      </w:r>
      <w:r>
        <w:t xml:space="preserve">32%</w:t>
      </w:r>
      <w:r>
        <w:t xml:space="preserve"> </w:t>
      </w:r>
      <w:r>
        <w:t xml:space="preserve">39%</w:t>
      </w:r>
      <w:r>
        <w:t xml:space="preserve"> </w:t>
      </w:r>
      <w:r>
        <w:t xml:space="preserve">41%</w:t>
      </w:r>
      <w:r>
        <w:t xml:space="preserve"> </w:t>
      </w:r>
      <w:r>
        <w:t xml:space="preserve">41%</w:t>
      </w:r>
      <w:r>
        <w:t xml:space="preserve"> </w:t>
      </w:r>
      <w:r>
        <w:t xml:space="preserve">41%</w:t>
      </w:r>
      <w:r>
        <w:t xml:space="preserve"> </w:t>
      </w:r>
      <w:r>
        <w:t xml:space="preserve">34%</w:t>
      </w:r>
      <w:r>
        <w:t xml:space="preserve"> </w:t>
      </w:r>
      <w:r>
        <w:t xml:space="preserve">37%</w:t>
      </w:r>
      <w:r>
        <w:t xml:space="preserve"> </w:t>
      </w:r>
      <w:r>
        <w:t xml:space="preserve">36%</w:t>
      </w:r>
      <w:r>
        <w:t xml:space="preserve"> </w:t>
      </w:r>
      <w:r>
        <w:t xml:space="preserve">36%</w:t>
      </w:r>
      <w:r>
        <w:t xml:space="preserve"> </w:t>
      </w:r>
      <w:r>
        <w:t xml:space="preserve">40%</w:t>
      </w:r>
      <w:r>
        <w:t xml:space="preserve"> </w:t>
      </w:r>
      <w:r>
        <w:t xml:space="preserve">31%</w:t>
      </w:r>
      <w:r>
        <w:t xml:space="preserve"> </w:t>
      </w:r>
      <w:r>
        <w:t xml:space="preserve">42%</w:t>
      </w:r>
      <w:r>
        <w:t xml:space="preserve"> </w:t>
      </w:r>
      <w:r>
        <w:t xml:space="preserve">34%</w:t>
      </w:r>
      <w:r>
        <w:t xml:space="preserve"> </w:t>
      </w:r>
      <w:r>
        <w:t xml:space="preserve">36%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12%</w:t>
      </w:r>
      <w:r>
        <w:t xml:space="preserve"> </w:t>
      </w:r>
      <w:r>
        <w:t xml:space="preserve">7%</w:t>
      </w:r>
      <w:r>
        <w:t xml:space="preserve"> </w:t>
      </w:r>
      <w:r>
        <w:t xml:space="preserve">9%</w:t>
      </w:r>
      <w:r>
        <w:t xml:space="preserve"> </w:t>
      </w:r>
      <w:r>
        <w:t xml:space="preserve">14%</w:t>
      </w:r>
      <w:r>
        <w:t xml:space="preserve"> </w:t>
      </w:r>
      <w:r>
        <w:t xml:space="preserve">19%</w:t>
      </w:r>
      <w:r>
        <w:t xml:space="preserve"> </w:t>
      </w:r>
      <w:r>
        <w:t xml:space="preserve">12%</w:t>
      </w:r>
      <w:r>
        <w:t xml:space="preserve"> </w:t>
      </w:r>
      <w:r>
        <w:t xml:space="preserve">31%</w:t>
      </w:r>
      <w:r>
        <w:t xml:space="preserve"> </w:t>
      </w:r>
      <w:r>
        <w:t xml:space="preserve">11%</w:t>
      </w:r>
      <w:r>
        <w:t xml:space="preserve"> </w:t>
      </w:r>
      <w:r>
        <w:t xml:space="preserve">18%</w:t>
      </w:r>
      <w:r>
        <w:t xml:space="preserve"> </w:t>
      </w:r>
      <w:r>
        <w:t xml:space="preserve">17%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3%</w:t>
      </w:r>
      <w:r>
        <w:t xml:space="preserve"> </w:t>
      </w:r>
      <w:r>
        <w:t xml:space="preserve">9%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10%</w:t>
      </w:r>
      <w:r>
        <w:t xml:space="preserve"> </w:t>
      </w:r>
      <w:r>
        <w:t xml:space="preserve">2%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Statements to prevent adverse effects</w:t>
      </w:r>
      <w:r>
        <w:t xml:space="preserve"> </w:t>
      </w:r>
      <w:r>
        <w:t xml:space="preserve">Statements on precautions</w:t>
      </w:r>
      <w:r>
        <w:t xml:space="preserve"> </w:t>
      </w:r>
      <w:r>
        <w:t xml:space="preserve">Statements on products hazards</w:t>
      </w:r>
      <w:r>
        <w:t xml:space="preserve"> </w:t>
      </w:r>
      <w:r>
        <w:t xml:space="preserve">Signal word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Information relevant in case of intoxication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Quantity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Supplier contact information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Very easy to understand</w:t>
      </w:r>
      <w:r>
        <w:t xml:space="preserve"> </w:t>
      </w:r>
      <w:r>
        <w:t xml:space="preserve">Rather easy to understand</w:t>
      </w:r>
      <w:r>
        <w:t xml:space="preserve"> </w:t>
      </w:r>
      <w:r>
        <w:t xml:space="preserve">Neither easy nor difficult to understand</w:t>
      </w:r>
      <w:r>
        <w:t xml:space="preserve"> </w:t>
      </w:r>
      <w:r>
        <w:t xml:space="preserve">Rather difficult to understand</w:t>
      </w:r>
      <w:r>
        <w:t xml:space="preserve"> </w:t>
      </w:r>
      <w:r>
        <w:t xml:space="preserve">Very difficult to understand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an individual and subjective self-assessment. When looking at the objective understanding of</w:t>
      </w:r>
      <w:r>
        <w:t xml:space="preserve"> </w:t>
      </w:r>
      <w:r>
        <w:t xml:space="preserve">safe use information contained on labels performance was rather poor.</w:t>
      </w:r>
    </w:p>
    <w:p>
      <w:pPr>
        <w:pStyle w:val="BodyText"/>
      </w:pPr>
      <w:r>
        <w:t xml:space="preserve">Rating of Ease to Find Relevant Label Elements</w:t>
      </w:r>
      <w:r>
        <w:t xml:space="preserve"> </w:t>
      </w:r>
      <w:r>
        <w:t xml:space="preserve">In order to understand label information, it is also important that consumers are able to find all</w:t>
      </w:r>
      <w:r>
        <w:t xml:space="preserve"> </w:t>
      </w:r>
      <w:r>
        <w:t xml:space="preserve">the information contained on a label in an easy way. Hence, the experiment included a question</w:t>
      </w:r>
      <w:r>
        <w:t xml:space="preserve"> </w:t>
      </w:r>
      <w:r>
        <w:t xml:space="preserve">on the subjective ease to find relevant label elements. The question was elicited on a 5-point-</w:t>
      </w:r>
      <w:r>
        <w:t xml:space="preserve"> </w:t>
      </w:r>
      <w:r>
        <w:t xml:space="preserve">Likert-scale from “very easy to find” to “very difficult to find”.</w:t>
      </w:r>
      <w:r>
        <w:t xml:space="preserve"> </w:t>
      </w:r>
      <w:r>
        <w:t xml:space="preserve">Figure 31 displays the rating of the ease to find label elements for the Status Quo Label of the</w:t>
      </w:r>
      <w:r>
        <w:t xml:space="preserve"> </w:t>
      </w:r>
      <w:r>
        <w:t xml:space="preserve">laundry detergent. Over 60% of the participants indicated that CLP-related information was</w:t>
      </w:r>
      <w:r>
        <w:t xml:space="preserve"> </w:t>
      </w:r>
      <w:r>
        <w:t xml:space="preserve">very or rather easy to find. Additionally, dosage recommendations provided as a table on the</w:t>
      </w:r>
      <w:r>
        <w:t xml:space="preserve"> </w:t>
      </w:r>
      <w:r>
        <w:t xml:space="preserve">label were perceived as very or rather easy to find by 85% of the participants. On the other</w:t>
      </w:r>
      <w:r>
        <w:t xml:space="preserve"> </w:t>
      </w:r>
      <w:r>
        <w:t xml:space="preserve">hand, marketing information was perceived as easy to find by only 48% of the participants.</w:t>
      </w:r>
      <w:r>
        <w:t xml:space="preserve"> </w:t>
      </w:r>
      <w:r>
        <w:t xml:space="preserve">Figure 31: Rating of Ease to Find Label Elements (Status Quo Label, Laundry Detergent)</w:t>
      </w:r>
    </w:p>
    <w:p>
      <w:pPr>
        <w:pStyle w:val="BodyText"/>
      </w:pPr>
      <w:r>
        <w:t xml:space="preserve">Notes: The question was: “Still looking at this label, how easy is it to find each piece of information?”.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Figure 32 displays the rating of the ease to find label elements for the Status Quo Label of the</w:t>
      </w:r>
      <w:r>
        <w:t xml:space="preserve"> </w:t>
      </w:r>
      <w:r>
        <w:t xml:space="preserve">glue. Again, all CLP-related elements were very or rather easy to find (above 60%) while</w:t>
      </w:r>
      <w:r>
        <w:t xml:space="preserve"> </w:t>
      </w:r>
      <w:r>
        <w:t xml:space="preserve">marketing information stands out with a lower rating (36%).</w:t>
      </w:r>
    </w:p>
    <w:p>
      <w:pPr>
        <w:pStyle w:val="BodyText"/>
      </w:pPr>
      <w:r>
        <w:t xml:space="preserve">33%</w:t>
      </w:r>
      <w:r>
        <w:t xml:space="preserve"> </w:t>
      </w:r>
      <w:r>
        <w:t xml:space="preserve">30%</w:t>
      </w:r>
      <w:r>
        <w:t xml:space="preserve"> </w:t>
      </w:r>
      <w:r>
        <w:t xml:space="preserve">27%</w:t>
      </w:r>
      <w:r>
        <w:t xml:space="preserve"> </w:t>
      </w:r>
      <w:r>
        <w:t xml:space="preserve">44%</w:t>
      </w:r>
      <w:r>
        <w:t xml:space="preserve"> </w:t>
      </w:r>
      <w:r>
        <w:t xml:space="preserve">45%</w:t>
      </w:r>
      <w:r>
        <w:t xml:space="preserve"> </w:t>
      </w:r>
      <w:r>
        <w:t xml:space="preserve">28%</w:t>
      </w:r>
      <w:r>
        <w:t xml:space="preserve"> </w:t>
      </w:r>
      <w:r>
        <w:t xml:space="preserve">22%</w:t>
      </w:r>
      <w:r>
        <w:t xml:space="preserve"> </w:t>
      </w:r>
      <w:r>
        <w:t xml:space="preserve">37%</w:t>
      </w:r>
      <w:r>
        <w:t xml:space="preserve"> </w:t>
      </w:r>
      <w:r>
        <w:t xml:space="preserve">46%</w:t>
      </w:r>
      <w:r>
        <w:t xml:space="preserve"> </w:t>
      </w:r>
      <w:r>
        <w:t xml:space="preserve">19%</w:t>
      </w:r>
      <w:r>
        <w:t xml:space="preserve"> </w:t>
      </w:r>
      <w:r>
        <w:t xml:space="preserve">45%</w:t>
      </w:r>
      <w:r>
        <w:t xml:space="preserve"> </w:t>
      </w:r>
      <w:r>
        <w:t xml:space="preserve">41%</w:t>
      </w:r>
      <w:r>
        <w:t xml:space="preserve"> </w:t>
      </w:r>
      <w:r>
        <w:t xml:space="preserve">36%</w:t>
      </w:r>
      <w:r>
        <w:t xml:space="preserve"> </w:t>
      </w:r>
      <w:r>
        <w:t xml:space="preserve">36%</w:t>
      </w:r>
      <w:r>
        <w:t xml:space="preserve"> </w:t>
      </w:r>
      <w:r>
        <w:t xml:space="preserve">42%</w:t>
      </w:r>
      <w:r>
        <w:t xml:space="preserve"> </w:t>
      </w:r>
      <w:r>
        <w:t xml:space="preserve">39%</w:t>
      </w:r>
      <w:r>
        <w:t xml:space="preserve"> </w:t>
      </w:r>
      <w:r>
        <w:t xml:space="preserve">40%</w:t>
      </w:r>
      <w:r>
        <w:t xml:space="preserve"> </w:t>
      </w:r>
      <w:r>
        <w:t xml:space="preserve">37%</w:t>
      </w:r>
      <w:r>
        <w:t xml:space="preserve"> </w:t>
      </w:r>
      <w:r>
        <w:t xml:space="preserve">33%</w:t>
      </w:r>
      <w:r>
        <w:t xml:space="preserve"> </w:t>
      </w:r>
      <w:r>
        <w:t xml:space="preserve">34%</w:t>
      </w:r>
      <w:r>
        <w:t xml:space="preserve"> </w:t>
      </w:r>
      <w:r>
        <w:t xml:space="preserve">35%</w:t>
      </w:r>
      <w:r>
        <w:t xml:space="preserve"> </w:t>
      </w:r>
      <w:r>
        <w:t xml:space="preserve">42%</w:t>
      </w:r>
      <w:r>
        <w:t xml:space="preserve"> </w:t>
      </w:r>
      <w:r>
        <w:t xml:space="preserve">38%</w:t>
      </w:r>
      <w:r>
        <w:t xml:space="preserve"> </w:t>
      </w:r>
      <w:r>
        <w:t xml:space="preserve">29%</w:t>
      </w:r>
      <w:r>
        <w:t xml:space="preserve"> </w:t>
      </w:r>
      <w:r>
        <w:t xml:space="preserve">40%</w:t>
      </w:r>
      <w:r>
        <w:t xml:space="preserve"> </w:t>
      </w:r>
      <w:r>
        <w:t xml:space="preserve">39%</w:t>
      </w:r>
      <w:r>
        <w:t xml:space="preserve"> </w:t>
      </w:r>
      <w:r>
        <w:t xml:space="preserve">37%</w:t>
      </w:r>
      <w:r>
        <w:t xml:space="preserve"> </w:t>
      </w:r>
      <w:r>
        <w:t xml:space="preserve">35%</w:t>
      </w:r>
      <w:r>
        <w:t xml:space="preserve"> </w:t>
      </w:r>
      <w:r>
        <w:t xml:space="preserve">16%</w:t>
      </w:r>
      <w:r>
        <w:t xml:space="preserve"> </w:t>
      </w:r>
      <w:r>
        <w:t xml:space="preserve">17%</w:t>
      </w:r>
      <w:r>
        <w:t xml:space="preserve"> </w:t>
      </w:r>
      <w:r>
        <w:t xml:space="preserve">18%</w:t>
      </w:r>
      <w:r>
        <w:t xml:space="preserve"> </w:t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19%</w:t>
      </w:r>
      <w:r>
        <w:t xml:space="preserve"> </w:t>
      </w:r>
      <w:r>
        <w:t xml:space="preserve">22%</w:t>
      </w:r>
      <w:r>
        <w:t xml:space="preserve"> </w:t>
      </w:r>
      <w:r>
        <w:t xml:space="preserve">14%</w:t>
      </w:r>
      <w:r>
        <w:t xml:space="preserve"> </w:t>
      </w:r>
      <w:r>
        <w:t xml:space="preserve">10%</w:t>
      </w:r>
      <w:r>
        <w:t xml:space="preserve"> </w:t>
      </w:r>
      <w:r>
        <w:t xml:space="preserve">29%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16%</w:t>
      </w:r>
      <w:r>
        <w:t xml:space="preserve"> </w:t>
      </w:r>
      <w:r>
        <w:t xml:space="preserve">14%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8%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Statements to prevent adverse effects</w:t>
      </w:r>
      <w:r>
        <w:t xml:space="preserve"> </w:t>
      </w:r>
      <w:r>
        <w:t xml:space="preserve">Statements on precautions</w:t>
      </w:r>
      <w:r>
        <w:t xml:space="preserve"> </w:t>
      </w:r>
      <w:r>
        <w:t xml:space="preserve">Statements on products hazards</w:t>
      </w:r>
      <w:r>
        <w:t xml:space="preserve"> </w:t>
      </w:r>
      <w:r>
        <w:t xml:space="preserve">Signal word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Information relevant in case of intoxication</w:t>
      </w:r>
      <w:r>
        <w:t xml:space="preserve"> </w:t>
      </w:r>
      <w:r>
        <w:t xml:space="preserve">Weblink to receive full ingredients list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Quantity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Supplier contact information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Very easy to find</w:t>
      </w:r>
      <w:r>
        <w:t xml:space="preserve"> </w:t>
      </w:r>
      <w:r>
        <w:t xml:space="preserve">Rather easy to find</w:t>
      </w:r>
      <w:r>
        <w:t xml:space="preserve"> </w:t>
      </w:r>
      <w:r>
        <w:t xml:space="preserve">Neither easy nor difficult to find</w:t>
      </w:r>
      <w:r>
        <w:t xml:space="preserve"> </w:t>
      </w:r>
      <w:r>
        <w:t xml:space="preserve">Rather difficult to find</w:t>
      </w:r>
      <w:r>
        <w:t xml:space="preserve"> </w:t>
      </w:r>
      <w:r>
        <w:t xml:space="preserve">Very difficult to find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Figure 32: Rating of Ease to Find Label Elements (Status Quo Label, Glue)</w:t>
      </w:r>
    </w:p>
    <w:p>
      <w:pPr>
        <w:pStyle w:val="BodyText"/>
      </w:pPr>
      <w:r>
        <w:t xml:space="preserve">Notes: The question was: “Still looking at this label, how easy is it to find each piece of information?”.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In conclusion, results on the ease to find label elements on the packaging given current</w:t>
      </w:r>
      <w:r>
        <w:t xml:space="preserve"> </w:t>
      </w:r>
      <w:r>
        <w:t xml:space="preserve">regulations are positive. The majority of the participants indicated that the relevant elements</w:t>
      </w:r>
      <w:r>
        <w:t xml:space="preserve"> </w:t>
      </w:r>
      <w:r>
        <w:t xml:space="preserve">are (rather) easy to find.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Taken the results from the previous section together, it can be shown that labelling</w:t>
      </w:r>
      <w:r>
        <w:t xml:space="preserve"> </w:t>
      </w:r>
      <w:r>
        <w:t xml:space="preserve">information under current regulation (Status Quo Label) performs systematically better</w:t>
      </w:r>
      <w:r>
        <w:t xml:space="preserve"> </w:t>
      </w:r>
      <w:r>
        <w:t xml:space="preserve">than when consumers are not provided with CLP- and Detergent-relevant information.</w:t>
      </w:r>
      <w:r>
        <w:t xml:space="preserve"> </w:t>
      </w:r>
      <w:r>
        <w:t xml:space="preserve">Overall, objective understanding is rather poor and performance of consumers is dependent on</w:t>
      </w:r>
      <w:r>
        <w:t xml:space="preserve"> </w:t>
      </w:r>
      <w:r>
        <w:t xml:space="preserve">the amount of information that needs to be processed, i.e. is displayed on the label. For a more</w:t>
      </w:r>
      <w:r>
        <w:t xml:space="preserve"> </w:t>
      </w:r>
      <w:r>
        <w:t xml:space="preserve">harmful product, legislation requires more text to be displayed on the label, which might be</w:t>
      </w:r>
      <w:r>
        <w:t xml:space="preserve"> </w:t>
      </w:r>
      <w:r>
        <w:t xml:space="preserve">especially problematic on small packaging. Nevertheless, participants in the experiment were</w:t>
      </w:r>
      <w:r>
        <w:t xml:space="preserve"> </w:t>
      </w:r>
      <w:r>
        <w:t xml:space="preserve">motivated to consult the label and were partially able to find relevant information.</w:t>
      </w:r>
      <w:r>
        <w:t xml:space="preserve"> </w:t>
      </w:r>
      <w:r>
        <w:t xml:space="preserve">As flagged in the methodology section, the experiment was only able to mimic consumers’</w:t>
      </w:r>
      <w:r>
        <w:t xml:space="preserve"> </w:t>
      </w:r>
      <w:r>
        <w:t xml:space="preserve">decision context, i.e. they found themselves in an artificial environment and were paid</w:t>
      </w:r>
      <w:r>
        <w:t xml:space="preserve"> </w:t>
      </w:r>
      <w:r>
        <w:t xml:space="preserve">monetary incentives for their performance in the tasks. Nevertheless, when it comes to the</w:t>
      </w:r>
      <w:r>
        <w:t xml:space="preserve"> </w:t>
      </w:r>
      <w:r>
        <w:t xml:space="preserve">actual health of consumers and their relatives, one would expect that they are even more</w:t>
      </w:r>
      <w:r>
        <w:t xml:space="preserve"> </w:t>
      </w:r>
      <w:r>
        <w:t xml:space="preserve">motivated to read and understand the specifics of chemical substances. In that manner, the</w:t>
      </w:r>
      <w:r>
        <w:t xml:space="preserve"> </w:t>
      </w:r>
      <w:r>
        <w:t xml:space="preserve">results support that current legislation is helpful for consumers’ understanding.</w:t>
      </w:r>
      <w:r>
        <w:t xml:space="preserve"> </w:t>
      </w:r>
      <w:r>
        <w:t xml:space="preserve">One other aspect that makes the experimental set-up different is the time spent on the label, or</w:t>
      </w:r>
      <w:r>
        <w:t xml:space="preserve"> </w:t>
      </w:r>
      <w:r>
        <w:t xml:space="preserve">at least, the time spent on answering questions on objective understanding. Data reveals that</w:t>
      </w:r>
      <w:r>
        <w:t xml:space="preserve"> </w:t>
      </w:r>
      <w:r>
        <w:t xml:space="preserve">participants take rather sufficient time to answer questions and there also exists a positive</w:t>
      </w:r>
      <w:r>
        <w:t xml:space="preserve"> </w:t>
      </w:r>
      <w:r>
        <w:t xml:space="preserve">correlation between time spent on the question and performance. On the one hand, this is a</w:t>
      </w:r>
      <w:r>
        <w:t xml:space="preserve"> </w:t>
      </w:r>
      <w:r>
        <w:t xml:space="preserve">39%</w:t>
      </w:r>
      <w:r>
        <w:t xml:space="preserve"> </w:t>
      </w:r>
      <w:r>
        <w:t xml:space="preserve">38%</w:t>
      </w:r>
      <w:r>
        <w:t xml:space="preserve"> </w:t>
      </w:r>
      <w:r>
        <w:t xml:space="preserve">39%</w:t>
      </w:r>
      <w:r>
        <w:t xml:space="preserve"> </w:t>
      </w:r>
      <w:r>
        <w:t xml:space="preserve">50%</w:t>
      </w:r>
      <w:r>
        <w:t xml:space="preserve"> </w:t>
      </w:r>
      <w:r>
        <w:t xml:space="preserve">55%</w:t>
      </w:r>
      <w:r>
        <w:t xml:space="preserve"> </w:t>
      </w:r>
      <w:r>
        <w:t xml:space="preserve">29%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17%</w:t>
      </w:r>
      <w:r>
        <w:t xml:space="preserve"> </w:t>
      </w:r>
      <w:r>
        <w:t xml:space="preserve">37%</w:t>
      </w:r>
      <w:r>
        <w:t xml:space="preserve"> </w:t>
      </w:r>
      <w:r>
        <w:t xml:space="preserve">29%</w:t>
      </w:r>
      <w:r>
        <w:t xml:space="preserve"> </w:t>
      </w:r>
      <w:r>
        <w:t xml:space="preserve">40%</w:t>
      </w:r>
      <w:r>
        <w:t xml:space="preserve"> </w:t>
      </w:r>
      <w:r>
        <w:t xml:space="preserve">39%</w:t>
      </w:r>
      <w:r>
        <w:t xml:space="preserve"> </w:t>
      </w:r>
      <w:r>
        <w:t xml:space="preserve">39%</w:t>
      </w:r>
      <w:r>
        <w:t xml:space="preserve"> </w:t>
      </w:r>
      <w:r>
        <w:t xml:space="preserve">40%</w:t>
      </w:r>
      <w:r>
        <w:t xml:space="preserve"> </w:t>
      </w:r>
      <w:r>
        <w:t xml:space="preserve">32%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37%</w:t>
      </w:r>
      <w:r>
        <w:t xml:space="preserve"> </w:t>
      </w:r>
      <w:r>
        <w:t xml:space="preserve">37%</w:t>
      </w:r>
      <w:r>
        <w:t xml:space="preserve"> </w:t>
      </w:r>
      <w:r>
        <w:t xml:space="preserve">29%</w:t>
      </w:r>
      <w:r>
        <w:t xml:space="preserve"> </w:t>
      </w:r>
      <w:r>
        <w:t xml:space="preserve">43%</w:t>
      </w:r>
      <w:r>
        <w:t xml:space="preserve"> </w:t>
      </w:r>
      <w:r>
        <w:t xml:space="preserve">35%</w:t>
      </w:r>
      <w:r>
        <w:t xml:space="preserve"> </w:t>
      </w:r>
      <w:r>
        <w:t xml:space="preserve">35%</w:t>
      </w:r>
      <w:r>
        <w:t xml:space="preserve"> </w:t>
      </w:r>
      <w:r>
        <w:t xml:space="preserve">15%</w:t>
      </w:r>
      <w:r>
        <w:t xml:space="preserve"> </w:t>
      </w:r>
      <w:r>
        <w:t xml:space="preserve">14%</w:t>
      </w:r>
      <w:r>
        <w:t xml:space="preserve"> </w:t>
      </w:r>
      <w:r>
        <w:t xml:space="preserve">13%</w:t>
      </w:r>
      <w:r>
        <w:t xml:space="preserve"> </w:t>
      </w:r>
      <w:r>
        <w:t xml:space="preserve">9%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28%</w:t>
      </w:r>
      <w:r>
        <w:t xml:space="preserve"> </w:t>
      </w:r>
      <w:r>
        <w:t xml:space="preserve">11%</w:t>
      </w:r>
      <w:r>
        <w:t xml:space="preserve"> </w:t>
      </w:r>
      <w:r>
        <w:t xml:space="preserve">18%</w:t>
      </w:r>
      <w:r>
        <w:t xml:space="preserve"> </w:t>
      </w:r>
      <w:r>
        <w:t xml:space="preserve">15%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12%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10%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Statements to prevent adverse effects</w:t>
      </w:r>
      <w:r>
        <w:t xml:space="preserve"> </w:t>
      </w:r>
      <w:r>
        <w:t xml:space="preserve">Statements on precautions</w:t>
      </w:r>
      <w:r>
        <w:t xml:space="preserve"> </w:t>
      </w:r>
      <w:r>
        <w:t xml:space="preserve">Statements on products hazards</w:t>
      </w:r>
      <w:r>
        <w:t xml:space="preserve"> </w:t>
      </w:r>
      <w:r>
        <w:t xml:space="preserve">Signal word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Information relevant in case of intoxication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Quantity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Supplier contact information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Very easy to find</w:t>
      </w:r>
      <w:r>
        <w:t xml:space="preserve"> </w:t>
      </w:r>
      <w:r>
        <w:t xml:space="preserve">Rather easy to find</w:t>
      </w:r>
      <w:r>
        <w:t xml:space="preserve"> </w:t>
      </w:r>
      <w:r>
        <w:t xml:space="preserve">Neither easy nor difficult to find</w:t>
      </w:r>
      <w:r>
        <w:t xml:space="preserve"> </w:t>
      </w:r>
      <w:r>
        <w:t xml:space="preserve">Rather difficult to find</w:t>
      </w:r>
      <w:r>
        <w:t xml:space="preserve"> </w:t>
      </w:r>
      <w:r>
        <w:t xml:space="preserve">Very difficult to find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positive result as it confirms that consulting a label supports consumers’ understanding. On the</w:t>
      </w:r>
      <w:r>
        <w:t xml:space="preserve"> </w:t>
      </w:r>
      <w:r>
        <w:t xml:space="preserve">other hand, spending that much time on a label of a chemical substance or detergent is rather</w:t>
      </w:r>
      <w:r>
        <w:t xml:space="preserve"> </w:t>
      </w:r>
      <w:r>
        <w:t xml:space="preserve">uncommon (e.g. in shopping situations labels are not consulted this thoroughly and in the case</w:t>
      </w:r>
      <w:r>
        <w:t xml:space="preserve"> </w:t>
      </w:r>
      <w:r>
        <w:t xml:space="preserve">of an accident induced stress could also lower consultation times).</w:t>
      </w:r>
      <w:r>
        <w:t xml:space="preserve"> </w:t>
      </w:r>
      <w:r>
        <w:t xml:space="preserve">Lastly, results show that consumers subjectively rate the Status Quo Label in a positive way.</w:t>
      </w:r>
      <w:r>
        <w:t xml:space="preserve"> </w:t>
      </w:r>
      <w:r>
        <w:t xml:space="preserve">Overall, CLP- and Detergent-relevant information items are rated as both easy to</w:t>
      </w:r>
      <w:r>
        <w:t xml:space="preserve"> </w:t>
      </w:r>
      <w:r>
        <w:t xml:space="preserve">understand as well as easy to find. This stands in contrast to the rather poor objective</w:t>
      </w:r>
      <w:r>
        <w:t xml:space="preserve"> </w:t>
      </w:r>
      <w:r>
        <w:t xml:space="preserve">understanding and might be because subjective understanding is self-reported, i.e. </w:t>
      </w:r>
      <w:r>
        <w:t xml:space="preserve"> </w:t>
      </w:r>
      <w:r>
        <w:t xml:space="preserve">consumers overestimate their understanding. One aspect that systematically stands out in the</w:t>
      </w:r>
      <w:r>
        <w:t xml:space="preserve"> </w:t>
      </w:r>
      <w:r>
        <w:t xml:space="preserve">results was marketing information provided on the packaging. It was rated as more difficult to</w:t>
      </w:r>
      <w:r>
        <w:t xml:space="preserve"> </w:t>
      </w:r>
      <w:r>
        <w:t xml:space="preserve">understand and to find on the packaging. Certainly marketing information is not regulated by</w:t>
      </w:r>
      <w:r>
        <w:t xml:space="preserve"> </w:t>
      </w:r>
      <w:r>
        <w:t xml:space="preserve">CLP, however, in practice it takes a comparatively large space on the packaging of products</w:t>
      </w:r>
      <w:r>
        <w:t xml:space="preserve"> </w:t>
      </w:r>
      <w:r>
        <w:t xml:space="preserve">and competes with information relevant for safe use.</w:t>
      </w:r>
      <w:r>
        <w:t xml:space="preserve"> </w:t>
      </w:r>
      <w:r>
        <w:t xml:space="preserve">RQ 2: What is the importance of different elements contained in labels? Which</w:t>
      </w:r>
      <w:r>
        <w:t xml:space="preserve"> </w:t>
      </w:r>
      <w:r>
        <w:t xml:space="preserve">information is considered essential?</w:t>
      </w:r>
      <w:r>
        <w:t xml:space="preserve"> </w:t>
      </w:r>
      <w:r>
        <w:t xml:space="preserve">In order to answer the second research question on consumers’ perceived importance of label</w:t>
      </w:r>
      <w:r>
        <w:t xml:space="preserve"> </w:t>
      </w:r>
      <w:r>
        <w:t xml:space="preserve">elements, the experiment contained two questions which are presented in the following</w:t>
      </w:r>
      <w:r>
        <w:t xml:space="preserve"> </w:t>
      </w:r>
      <w:r>
        <w:t xml:space="preserve">sections. The first question was asked at the beginning of the experiment before the participants</w:t>
      </w:r>
      <w:r>
        <w:t xml:space="preserve"> </w:t>
      </w:r>
      <w:r>
        <w:t xml:space="preserve">saw the label images on screen, i.e. it was solely based on consumers’ experience with chemical</w:t>
      </w:r>
      <w:r>
        <w:t xml:space="preserve"> </w:t>
      </w:r>
      <w:r>
        <w:t xml:space="preserve">labels. By that the general label appreciation was elicited. The second question was asked at</w:t>
      </w:r>
      <w:r>
        <w:t xml:space="preserve"> </w:t>
      </w:r>
      <w:r>
        <w:t xml:space="preserve">a later stage of the experiment when the participants were already familiar with the labelling</w:t>
      </w:r>
      <w:r>
        <w:t xml:space="preserve"> </w:t>
      </w:r>
      <w:r>
        <w:t xml:space="preserve">content, i.e. they had already answered questions on objective understanding and label</w:t>
      </w:r>
      <w:r>
        <w:t xml:space="preserve"> </w:t>
      </w:r>
      <w:r>
        <w:t xml:space="preserve">interpretation. By that the label appreciation under current regulation was elicited.</w:t>
      </w:r>
    </w:p>
    <w:p>
      <w:pPr>
        <w:pStyle w:val="BodyText"/>
      </w:pPr>
      <w:r>
        <w:t xml:space="preserve">Rating of Importance of Label Elements Without Seeing a Label</w:t>
      </w:r>
      <w:r>
        <w:t xml:space="preserve"> </w:t>
      </w:r>
      <w:r>
        <w:t xml:space="preserve">As indicated above, the importance of different label elements was elicited without label</w:t>
      </w:r>
      <w:r>
        <w:t xml:space="preserve"> </w:t>
      </w:r>
      <w:r>
        <w:t xml:space="preserve">display at the beginning of the experiment. Hence, the overall rating for the whole sample is</w:t>
      </w:r>
      <w:r>
        <w:t xml:space="preserve"> </w:t>
      </w:r>
      <w:r>
        <w:t xml:space="preserve">displayed regardless of treatment assignment. The question was elicited on a 5-point-Likert-</w:t>
      </w:r>
      <w:r>
        <w:t xml:space="preserve"> </w:t>
      </w:r>
      <w:r>
        <w:t xml:space="preserve">scale from “Absolutely essential” to “Not important at all”.</w:t>
      </w:r>
      <w:r>
        <w:t xml:space="preserve"> </w:t>
      </w:r>
      <w:r>
        <w:t xml:space="preserve">Figure 33 displays the rating of the importance of label elements for the laundry detergent.</w:t>
      </w:r>
      <w:r>
        <w:t xml:space="preserve"> </w:t>
      </w:r>
      <w:r>
        <w:t xml:space="preserve">CLP- and Detergent relevant information such as the hazard pictogram, signal word,</w:t>
      </w:r>
      <w:r>
        <w:t xml:space="preserve"> </w:t>
      </w:r>
      <w:r>
        <w:t xml:space="preserve">statements on hazards and precautions and dosage instructions were rated as either absolutely</w:t>
      </w:r>
      <w:r>
        <w:t xml:space="preserve"> </w:t>
      </w:r>
      <w:r>
        <w:t xml:space="preserve">essential or very important by more than 70% of the participants. The weblink to receive</w:t>
      </w:r>
      <w:r>
        <w:t xml:space="preserve"> </w:t>
      </w:r>
      <w:r>
        <w:t xml:space="preserve">the full ingredient list received a share of 44% and supplier contact information of 34%. The</w:t>
      </w:r>
      <w:r>
        <w:t xml:space="preserve"> </w:t>
      </w:r>
      <w:r>
        <w:t xml:space="preserve">lowest rating was assigned to marketing information with only 24% who indicated the</w:t>
      </w:r>
      <w:r>
        <w:t xml:space="preserve"> </w:t>
      </w:r>
      <w:r>
        <w:t xml:space="preserve">information to be absolutely essential or very important.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Figure 33: Rating of Importance of Label Elements Without Label (Status Quo Label, Laundry Detergent)</w:t>
      </w:r>
    </w:p>
    <w:p>
      <w:pPr>
        <w:pStyle w:val="BodyText"/>
      </w:pPr>
      <w:r>
        <w:t xml:space="preserve">Notes: The question was: “Please think about your last purchase or use of a laundry detergent: In general, on</w:t>
      </w:r>
      <w:r>
        <w:t xml:space="preserve"> </w:t>
      </w:r>
      <w:r>
        <w:t xml:space="preserve">the packaging of a laundry detergent how important do you rate having the following pieces of information?”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displays the rating of the importance of label elements for the glue. Again, the same patterns</w:t>
      </w:r>
      <w:r>
        <w:t xml:space="preserve"> </w:t>
      </w:r>
      <w:r>
        <w:t xml:space="preserve">may be observed. CLP-relevant information received high ratings of above 70%</w:t>
      </w:r>
      <w:r>
        <w:t xml:space="preserve"> </w:t>
      </w:r>
      <w:r>
        <w:t xml:space="preserve">(absolutely essential or very important). Supplier contact information received a lower rating</w:t>
      </w:r>
      <w:r>
        <w:t xml:space="preserve"> </w:t>
      </w:r>
      <w:r>
        <w:t xml:space="preserve">of 31% and the lowest importance was again attached to marketing information were 17% of</w:t>
      </w:r>
      <w:r>
        <w:t xml:space="preserve"> </w:t>
      </w:r>
      <w:r>
        <w:t xml:space="preserve">the participants rated the information to be absolutely essential or very important.</w:t>
      </w:r>
    </w:p>
    <w:p>
      <w:pPr>
        <w:pStyle w:val="BodyText"/>
      </w:pP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37%</w:t>
      </w:r>
      <w:r>
        <w:t xml:space="preserve"> </w:t>
      </w:r>
      <w:r>
        <w:t xml:space="preserve">37%</w:t>
      </w:r>
      <w:r>
        <w:t xml:space="preserve"> </w:t>
      </w:r>
      <w:r>
        <w:t xml:space="preserve">34%</w:t>
      </w:r>
      <w:r>
        <w:t xml:space="preserve"> </w:t>
      </w:r>
      <w:r>
        <w:t xml:space="preserve">42%</w:t>
      </w:r>
      <w:r>
        <w:t xml:space="preserve"> </w:t>
      </w:r>
      <w:r>
        <w:t xml:space="preserve">16%</w:t>
      </w:r>
      <w:r>
        <w:t xml:space="preserve"> </w:t>
      </w:r>
      <w:r>
        <w:t xml:space="preserve">37%</w:t>
      </w:r>
      <w:r>
        <w:t xml:space="preserve"> </w:t>
      </w:r>
      <w:r>
        <w:t xml:space="preserve">37%</w:t>
      </w:r>
      <w:r>
        <w:t xml:space="preserve"> </w:t>
      </w:r>
      <w:r>
        <w:t xml:space="preserve">7%</w:t>
      </w:r>
      <w:r>
        <w:t xml:space="preserve"> </w:t>
      </w:r>
      <w:r>
        <w:t xml:space="preserve">36%</w:t>
      </w:r>
      <w:r>
        <w:t xml:space="preserve"> </w:t>
      </w:r>
      <w:r>
        <w:t xml:space="preserve">36%</w:t>
      </w:r>
      <w:r>
        <w:t xml:space="preserve"> </w:t>
      </w:r>
      <w:r>
        <w:t xml:space="preserve">13%</w:t>
      </w:r>
      <w:r>
        <w:t xml:space="preserve"> </w:t>
      </w:r>
      <w:r>
        <w:t xml:space="preserve">30%</w:t>
      </w:r>
      <w:r>
        <w:t xml:space="preserve"> </w:t>
      </w:r>
      <w:r>
        <w:t xml:space="preserve">36%</w:t>
      </w:r>
      <w:r>
        <w:t xml:space="preserve"> </w:t>
      </w:r>
      <w:r>
        <w:t xml:space="preserve">37%</w:t>
      </w:r>
      <w:r>
        <w:t xml:space="preserve"> </w:t>
      </w: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29%</w:t>
      </w:r>
      <w:r>
        <w:t xml:space="preserve"> </w:t>
      </w:r>
      <w:r>
        <w:t xml:space="preserve">28%</w:t>
      </w:r>
      <w:r>
        <w:t xml:space="preserve"> </w:t>
      </w:r>
      <w:r>
        <w:t xml:space="preserve">33%</w:t>
      </w:r>
      <w:r>
        <w:t xml:space="preserve"> </w:t>
      </w:r>
      <w:r>
        <w:t xml:space="preserve">40%</w:t>
      </w:r>
      <w:r>
        <w:t xml:space="preserve"> </w:t>
      </w:r>
      <w:r>
        <w:t xml:space="preserve">17%</w:t>
      </w:r>
      <w:r>
        <w:t xml:space="preserve"> </w:t>
      </w:r>
      <w:r>
        <w:t xml:space="preserve">37%</w:t>
      </w:r>
      <w:r>
        <w:t xml:space="preserve"> </w:t>
      </w:r>
      <w:r>
        <w:t xml:space="preserve">32%</w:t>
      </w:r>
      <w:r>
        <w:t xml:space="preserve"> </w:t>
      </w:r>
      <w:r>
        <w:t xml:space="preserve">21%</w:t>
      </w:r>
      <w:r>
        <w:t xml:space="preserve"> </w:t>
      </w:r>
      <w:r>
        <w:t xml:space="preserve">30%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18%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17%</w:t>
      </w:r>
      <w:r>
        <w:t xml:space="preserve"> </w:t>
      </w:r>
      <w:r>
        <w:t xml:space="preserve">28%</w:t>
      </w:r>
      <w:r>
        <w:t xml:space="preserve"> </w:t>
      </w:r>
      <w:r>
        <w:t xml:space="preserve">18%</w:t>
      </w:r>
      <w:r>
        <w:t xml:space="preserve"> </w:t>
      </w:r>
      <w:r>
        <w:t xml:space="preserve">17%</w:t>
      </w:r>
      <w:r>
        <w:t xml:space="preserve"> </w:t>
      </w:r>
      <w:r>
        <w:t xml:space="preserve">32%</w:t>
      </w:r>
      <w:r>
        <w:t xml:space="preserve"> </w:t>
      </w:r>
      <w:r>
        <w:t xml:space="preserve">18%</w:t>
      </w:r>
      <w:r>
        <w:t xml:space="preserve"> </w:t>
      </w:r>
      <w:r>
        <w:t xml:space="preserve">19%</w:t>
      </w:r>
      <w:r>
        <w:t xml:space="preserve"> </w:t>
      </w:r>
      <w:r>
        <w:t xml:space="preserve">27%</w:t>
      </w:r>
      <w:r>
        <w:t xml:space="preserve"> </w:t>
      </w:r>
      <w:r>
        <w:t xml:space="preserve">24%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14%</w:t>
      </w:r>
      <w:r>
        <w:t xml:space="preserve"> </w:t>
      </w:r>
      <w:r>
        <w:t xml:space="preserve">7%</w:t>
      </w:r>
      <w:r>
        <w:t xml:space="preserve"> </w:t>
      </w:r>
      <w:r>
        <w:t xml:space="preserve">2%</w:t>
      </w:r>
      <w:r>
        <w:t xml:space="preserve"> </w:t>
      </w:r>
      <w:r>
        <w:t xml:space="preserve">22%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19%</w:t>
      </w:r>
      <w:r>
        <w:t xml:space="preserve"> </w:t>
      </w:r>
      <w:r>
        <w:t xml:space="preserve">9%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11%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19%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18%</w:t>
      </w:r>
      <w:r>
        <w:t xml:space="preserve"> </w:t>
      </w:r>
      <w:r>
        <w:t xml:space="preserve">6%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Statements to prevent adverse effects</w:t>
      </w:r>
      <w:r>
        <w:t xml:space="preserve"> </w:t>
      </w:r>
      <w:r>
        <w:t xml:space="preserve">Statements on precautions</w:t>
      </w:r>
      <w:r>
        <w:t xml:space="preserve"> </w:t>
      </w:r>
      <w:r>
        <w:t xml:space="preserve">Statements on products hazards</w:t>
      </w:r>
      <w:r>
        <w:t xml:space="preserve"> </w:t>
      </w:r>
      <w:r>
        <w:t xml:space="preserve">Signal word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Information relevant in case of intoxication</w:t>
      </w:r>
      <w:r>
        <w:t xml:space="preserve"> </w:t>
      </w:r>
      <w:r>
        <w:t xml:space="preserve">Weblink to receive full ingredients list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Quantity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Supplier contact information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Absolutely Essential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Of Average Importance</w:t>
      </w:r>
      <w:r>
        <w:t xml:space="preserve"> </w:t>
      </w:r>
      <w:r>
        <w:t xml:space="preserve">Of Little Importance</w:t>
      </w:r>
      <w:r>
        <w:t xml:space="preserve"> </w:t>
      </w:r>
      <w:r>
        <w:t xml:space="preserve">Not Important At All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Figure 34: Rating of Importance of Label Elements Without Label (Status Quo Label, Glue)</w:t>
      </w:r>
    </w:p>
    <w:p>
      <w:pPr>
        <w:pStyle w:val="BodyText"/>
      </w:pPr>
      <w:r>
        <w:t xml:space="preserve">Notes: The question was: “Please think about your last purchase or use of a glue: In general, on the packaging</w:t>
      </w:r>
      <w:r>
        <w:t xml:space="preserve"> </w:t>
      </w:r>
      <w:r>
        <w:t xml:space="preserve">of a glue how important do you rate having the following pieces of information?”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Overall, the appreciation of different CLP- and Detergent-relevant label elements was</w:t>
      </w:r>
      <w:r>
        <w:t xml:space="preserve"> </w:t>
      </w:r>
      <w:r>
        <w:t xml:space="preserve">high. Even without seeing a label at display, consumers indicated that information on hazards</w:t>
      </w:r>
      <w:r>
        <w:t xml:space="preserve"> </w:t>
      </w:r>
      <w:r>
        <w:t xml:space="preserve">and precautions are highly important.</w:t>
      </w:r>
    </w:p>
    <w:p>
      <w:pPr>
        <w:pStyle w:val="BodyText"/>
      </w:pPr>
      <w:r>
        <w:t xml:space="preserve">Rating of Importance of Label Elements When Seeing a Label</w:t>
      </w:r>
      <w:r>
        <w:t xml:space="preserve"> </w:t>
      </w:r>
      <w:r>
        <w:t xml:space="preserve">Participants assigned to the Status Quo Label treatment were asked the rating question a</w:t>
      </w:r>
      <w:r>
        <w:t xml:space="preserve"> </w:t>
      </w:r>
      <w:r>
        <w:t xml:space="preserve">second time, i.e. after they completed several experimental tasks and were familiar with the</w:t>
      </w:r>
      <w:r>
        <w:t xml:space="preserve"> </w:t>
      </w:r>
      <w:r>
        <w:t xml:space="preserve">labels. Again, the question was elicited on a 5-point-Likert-scale from “Absolutely essential”</w:t>
      </w:r>
      <w:r>
        <w:t xml:space="preserve"> </w:t>
      </w:r>
      <w:r>
        <w:t xml:space="preserve">to “Not important at all”.</w:t>
      </w:r>
      <w:r>
        <w:t xml:space="preserve"> </w:t>
      </w:r>
      <w:r>
        <w:t xml:space="preserve">Figure 35 displays the rating of the importance of label elements for the Status Quo Label of</w:t>
      </w:r>
      <w:r>
        <w:t xml:space="preserve"> </w:t>
      </w:r>
      <w:r>
        <w:t xml:space="preserve">the laundry detergent. The patterns are in accordance with the previous results. It can be found</w:t>
      </w:r>
      <w:r>
        <w:t xml:space="preserve"> </w:t>
      </w:r>
      <w:r>
        <w:t xml:space="preserve">that CLP- and Detergent relevant elements received ratings well above 70%. The weblink</w:t>
      </w:r>
      <w:r>
        <w:t xml:space="preserve"> </w:t>
      </w:r>
      <w:r>
        <w:t xml:space="preserve">to receive the full ingredients list was rated absolutely essential or very important by 50% of</w:t>
      </w:r>
      <w:r>
        <w:t xml:space="preserve"> </w:t>
      </w:r>
      <w:r>
        <w:t xml:space="preserve">the participants and supplier contact information by 45%. The lowest rating again may be found</w:t>
      </w:r>
      <w:r>
        <w:t xml:space="preserve"> </w:t>
      </w:r>
      <w:r>
        <w:t xml:space="preserve">for marketing information. Only 25% of the participants rated this type of information as</w:t>
      </w:r>
      <w:r>
        <w:t xml:space="preserve"> </w:t>
      </w:r>
      <w:r>
        <w:t xml:space="preserve">absolutely essential or very important.</w:t>
      </w:r>
    </w:p>
    <w:p>
      <w:pPr>
        <w:pStyle w:val="BodyText"/>
      </w:pPr>
      <w:r>
        <w:t xml:space="preserve">40%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41%</w:t>
      </w:r>
      <w:r>
        <w:t xml:space="preserve"> </w:t>
      </w:r>
      <w:r>
        <w:t xml:space="preserve">38%</w:t>
      </w:r>
      <w:r>
        <w:t xml:space="preserve"> </w:t>
      </w:r>
      <w:r>
        <w:t xml:space="preserve">43%</w:t>
      </w:r>
      <w:r>
        <w:t xml:space="preserve"> </w:t>
      </w:r>
      <w:r>
        <w:t xml:space="preserve">35%</w:t>
      </w:r>
      <w:r>
        <w:t xml:space="preserve"> </w:t>
      </w:r>
      <w:r>
        <w:t xml:space="preserve">34%</w:t>
      </w:r>
      <w:r>
        <w:t xml:space="preserve"> </w:t>
      </w:r>
      <w:r>
        <w:t xml:space="preserve">8%</w:t>
      </w:r>
      <w:r>
        <w:t xml:space="preserve"> </w:t>
      </w:r>
      <w:r>
        <w:t xml:space="preserve">43%</w:t>
      </w:r>
      <w:r>
        <w:t xml:space="preserve"> </w:t>
      </w:r>
      <w:r>
        <w:t xml:space="preserve">16%</w:t>
      </w:r>
      <w:r>
        <w:t xml:space="preserve"> </w:t>
      </w:r>
      <w:r>
        <w:t xml:space="preserve">29%</w:t>
      </w:r>
      <w:r>
        <w:t xml:space="preserve"> </w:t>
      </w:r>
      <w:r>
        <w:t xml:space="preserve">34%</w:t>
      </w:r>
      <w:r>
        <w:t xml:space="preserve"> </w:t>
      </w:r>
      <w:r>
        <w:t xml:space="preserve">36%</w:t>
      </w:r>
      <w:r>
        <w:t xml:space="preserve"> </w:t>
      </w:r>
      <w:r>
        <w:t xml:space="preserve">34%</w:t>
      </w:r>
      <w:r>
        <w:t xml:space="preserve"> </w:t>
      </w:r>
      <w:r>
        <w:t xml:space="preserve">33%</w:t>
      </w:r>
      <w:r>
        <w:t xml:space="preserve"> </w:t>
      </w:r>
      <w:r>
        <w:t xml:space="preserve">34%</w:t>
      </w:r>
      <w:r>
        <w:t xml:space="preserve"> </w:t>
      </w:r>
      <w:r>
        <w:t xml:space="preserve">30%</w:t>
      </w:r>
      <w:r>
        <w:t xml:space="preserve"> </w:t>
      </w:r>
      <w:r>
        <w:t xml:space="preserve">34%</w:t>
      </w:r>
      <w:r>
        <w:t xml:space="preserve"> </w:t>
      </w:r>
      <w:r>
        <w:t xml:space="preserve">40%</w:t>
      </w:r>
      <w:r>
        <w:t xml:space="preserve"> </w:t>
      </w:r>
      <w:r>
        <w:t xml:space="preserve">19%</w:t>
      </w:r>
      <w:r>
        <w:t xml:space="preserve"> </w:t>
      </w:r>
      <w:r>
        <w:t xml:space="preserve">34%</w:t>
      </w:r>
      <w:r>
        <w:t xml:space="preserve"> </w:t>
      </w:r>
      <w:r>
        <w:t xml:space="preserve">25%</w:t>
      </w:r>
      <w:r>
        <w:t xml:space="preserve"> </w:t>
      </w:r>
      <w:r>
        <w:t xml:space="preserve">33%</w:t>
      </w:r>
      <w:r>
        <w:t xml:space="preserve"> </w:t>
      </w:r>
      <w:r>
        <w:t xml:space="preserve">16%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16%</w:t>
      </w:r>
      <w:r>
        <w:t xml:space="preserve"> </w:t>
      </w:r>
      <w:r>
        <w:t xml:space="preserve">17%</w:t>
      </w:r>
      <w:r>
        <w:t xml:space="preserve"> </w:t>
      </w:r>
      <w:r>
        <w:t xml:space="preserve">16%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34%</w:t>
      </w:r>
      <w:r>
        <w:t xml:space="preserve"> </w:t>
      </w:r>
      <w:r>
        <w:t xml:space="preserve">15%</w:t>
      </w:r>
      <w:r>
        <w:t xml:space="preserve"> </w:t>
      </w:r>
      <w:r>
        <w:t xml:space="preserve">28%</w:t>
      </w:r>
      <w:r>
        <w:t xml:space="preserve"> </w:t>
      </w:r>
      <w:r>
        <w:t xml:space="preserve">25%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20%</w:t>
      </w:r>
      <w:r>
        <w:t xml:space="preserve"> </w:t>
      </w:r>
      <w:r>
        <w:t xml:space="preserve">4%</w:t>
      </w:r>
      <w:r>
        <w:t xml:space="preserve"> </w:t>
      </w:r>
      <w:r>
        <w:t xml:space="preserve">16%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17%</w:t>
      </w:r>
      <w:r>
        <w:t xml:space="preserve"> </w:t>
      </w:r>
      <w:r>
        <w:t xml:space="preserve">3%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Statements to prevent adverse effects</w:t>
      </w:r>
      <w:r>
        <w:t xml:space="preserve"> </w:t>
      </w:r>
      <w:r>
        <w:t xml:space="preserve">Statements on precautions</w:t>
      </w:r>
      <w:r>
        <w:t xml:space="preserve"> </w:t>
      </w:r>
      <w:r>
        <w:t xml:space="preserve">Statements on products hazards</w:t>
      </w:r>
      <w:r>
        <w:t xml:space="preserve"> </w:t>
      </w:r>
      <w:r>
        <w:t xml:space="preserve">Signal word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Information relevant in case of intoxication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Quantity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Supplier contact information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Absolutely Essential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Of Average Importance</w:t>
      </w:r>
      <w:r>
        <w:t xml:space="preserve"> </w:t>
      </w:r>
      <w:r>
        <w:t xml:space="preserve">Of Little Importance</w:t>
      </w:r>
      <w:r>
        <w:t xml:space="preserve"> </w:t>
      </w:r>
      <w:r>
        <w:t xml:space="preserve">Not Important At All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Figure 35: Rating of Importance of Label Elements With Label (Status Quo Label, Laundry Detergent)</w:t>
      </w:r>
    </w:p>
    <w:p>
      <w:pPr>
        <w:pStyle w:val="BodyText"/>
      </w:pPr>
      <w:r>
        <w:t xml:space="preserve">Notes: The question was: “Looking at this label, how important do you rate having the following pieces of</w:t>
      </w:r>
      <w:r>
        <w:t xml:space="preserve"> </w:t>
      </w:r>
      <w:r>
        <w:t xml:space="preserve">information?”.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Figure 36 displays the rating of the importance of label elements for the Status Quo Label of</w:t>
      </w:r>
      <w:r>
        <w:t xml:space="preserve"> </w:t>
      </w:r>
      <w:r>
        <w:t xml:space="preserve">the glue. Again, the results are in accordance with the previous results. While CLP-relevant</w:t>
      </w:r>
      <w:r>
        <w:t xml:space="preserve"> </w:t>
      </w:r>
      <w:r>
        <w:t xml:space="preserve">information such as hazard and precautionary statements or the pictogram received shares of</w:t>
      </w:r>
      <w:r>
        <w:t xml:space="preserve"> </w:t>
      </w:r>
      <w:r>
        <w:t xml:space="preserve">above 80% (absolutely essential or very important), marketing information was rated less</w:t>
      </w:r>
      <w:r>
        <w:t xml:space="preserve"> </w:t>
      </w:r>
      <w:r>
        <w:t xml:space="preserve">relevant. Only 26% of the participants indicated that it is absolutely essential or very important.</w:t>
      </w:r>
    </w:p>
    <w:p>
      <w:pPr>
        <w:pStyle w:val="BodyText"/>
      </w:pPr>
      <w:r>
        <w:t xml:space="preserve">41%</w:t>
      </w:r>
      <w:r>
        <w:t xml:space="preserve"> </w:t>
      </w:r>
      <w:r>
        <w:t xml:space="preserve">35%</w:t>
      </w:r>
      <w:r>
        <w:t xml:space="preserve"> </w:t>
      </w:r>
      <w:r>
        <w:t xml:space="preserve">36%</w:t>
      </w:r>
      <w:r>
        <w:t xml:space="preserve"> </w:t>
      </w:r>
      <w:r>
        <w:t xml:space="preserve">40%</w:t>
      </w:r>
      <w:r>
        <w:t xml:space="preserve"> </w:t>
      </w:r>
      <w:r>
        <w:t xml:space="preserve">37%</w:t>
      </w:r>
      <w:r>
        <w:t xml:space="preserve"> </w:t>
      </w:r>
      <w:r>
        <w:t xml:space="preserve">41%</w:t>
      </w:r>
      <w:r>
        <w:t xml:space="preserve"> </w:t>
      </w:r>
      <w:r>
        <w:t xml:space="preserve">18%</w:t>
      </w:r>
      <w:r>
        <w:t xml:space="preserve"> </w:t>
      </w:r>
      <w:r>
        <w:t xml:space="preserve">34%</w:t>
      </w:r>
      <w:r>
        <w:t xml:space="preserve"> </w:t>
      </w:r>
      <w:r>
        <w:t xml:space="preserve">27%</w:t>
      </w:r>
      <w:r>
        <w:t xml:space="preserve"> </w:t>
      </w:r>
      <w:r>
        <w:t xml:space="preserve">8%</w:t>
      </w:r>
      <w:r>
        <w:t xml:space="preserve"> </w:t>
      </w:r>
      <w:r>
        <w:t xml:space="preserve">32%</w:t>
      </w:r>
      <w:r>
        <w:t xml:space="preserve"> </w:t>
      </w:r>
      <w:r>
        <w:t xml:space="preserve">38%</w:t>
      </w:r>
      <w:r>
        <w:t xml:space="preserve"> </w:t>
      </w:r>
      <w:r>
        <w:t xml:space="preserve">16%</w:t>
      </w:r>
      <w:r>
        <w:t xml:space="preserve"> </w:t>
      </w:r>
      <w:r>
        <w:t xml:space="preserve">24%</w:t>
      </w:r>
      <w:r>
        <w:t xml:space="preserve"> </w:t>
      </w:r>
      <w:r>
        <w:t xml:space="preserve">41%</w:t>
      </w:r>
      <w:r>
        <w:t xml:space="preserve"> </w:t>
      </w:r>
      <w:r>
        <w:t xml:space="preserve">40%</w:t>
      </w:r>
      <w:r>
        <w:t xml:space="preserve"> </w:t>
      </w:r>
      <w:r>
        <w:t xml:space="preserve">44%</w:t>
      </w:r>
      <w:r>
        <w:t xml:space="preserve"> </w:t>
      </w:r>
      <w:r>
        <w:t xml:space="preserve">39%</w:t>
      </w:r>
      <w:r>
        <w:t xml:space="preserve"> </w:t>
      </w:r>
      <w:r>
        <w:t xml:space="preserve">41%</w:t>
      </w:r>
      <w:r>
        <w:t xml:space="preserve"> </w:t>
      </w:r>
      <w:r>
        <w:t xml:space="preserve">38%</w:t>
      </w:r>
      <w:r>
        <w:t xml:space="preserve"> </w:t>
      </w:r>
      <w:r>
        <w:t xml:space="preserve">32%</w:t>
      </w:r>
      <w:r>
        <w:t xml:space="preserve"> </w:t>
      </w:r>
      <w:r>
        <w:t xml:space="preserve">39%</w:t>
      </w:r>
      <w:r>
        <w:t xml:space="preserve"> </w:t>
      </w:r>
      <w:r>
        <w:t xml:space="preserve">43%</w:t>
      </w:r>
      <w:r>
        <w:t xml:space="preserve"> </w:t>
      </w:r>
      <w:r>
        <w:t xml:space="preserve">17%</w:t>
      </w:r>
      <w:r>
        <w:t xml:space="preserve"> </w:t>
      </w:r>
      <w:r>
        <w:t xml:space="preserve">47%</w:t>
      </w:r>
      <w:r>
        <w:t xml:space="preserve"> </w:t>
      </w:r>
      <w:r>
        <w:t xml:space="preserve">41%</w:t>
      </w:r>
      <w:r>
        <w:t xml:space="preserve"> </w:t>
      </w:r>
      <w:r>
        <w:t xml:space="preserve">29%</w:t>
      </w:r>
      <w:r>
        <w:t xml:space="preserve"> </w:t>
      </w:r>
      <w:r>
        <w:t xml:space="preserve">32%</w:t>
      </w:r>
      <w:r>
        <w:t xml:space="preserve"> </w:t>
      </w:r>
      <w:r>
        <w:t xml:space="preserve">13%</w:t>
      </w:r>
      <w:r>
        <w:t xml:space="preserve"> </w:t>
      </w:r>
      <w:r>
        <w:t xml:space="preserve">18%</w:t>
      </w:r>
      <w:r>
        <w:t xml:space="preserve"> </w:t>
      </w:r>
      <w:r>
        <w:t xml:space="preserve">14%</w:t>
      </w:r>
      <w:r>
        <w:t xml:space="preserve"> </w:t>
      </w:r>
      <w:r>
        <w:t xml:space="preserve">15%</w:t>
      </w:r>
      <w:r>
        <w:t xml:space="preserve"> </w:t>
      </w:r>
      <w:r>
        <w:t xml:space="preserve">17%</w:t>
      </w:r>
      <w:r>
        <w:t xml:space="preserve"> </w:t>
      </w:r>
      <w:r>
        <w:t xml:space="preserve">15%</w:t>
      </w:r>
      <w:r>
        <w:t xml:space="preserve"> </w:t>
      </w:r>
      <w:r>
        <w:t xml:space="preserve">33%</w:t>
      </w:r>
      <w:r>
        <w:t xml:space="preserve"> </w:t>
      </w:r>
      <w:r>
        <w:t xml:space="preserve">21%</w:t>
      </w:r>
      <w:r>
        <w:t xml:space="preserve"> </w:t>
      </w:r>
      <w:r>
        <w:t xml:space="preserve">22%</w:t>
      </w:r>
      <w:r>
        <w:t xml:space="preserve"> </w:t>
      </w:r>
      <w:r>
        <w:t xml:space="preserve">30%</w:t>
      </w:r>
      <w:r>
        <w:t xml:space="preserve"> </w:t>
      </w:r>
      <w:r>
        <w:t xml:space="preserve">17%</w:t>
      </w:r>
      <w:r>
        <w:t xml:space="preserve"> </w:t>
      </w:r>
      <w:r>
        <w:t xml:space="preserve">16%</w:t>
      </w:r>
      <w:r>
        <w:t xml:space="preserve"> </w:t>
      </w:r>
      <w:r>
        <w:t xml:space="preserve">31%</w:t>
      </w:r>
      <w:r>
        <w:t xml:space="preserve"> </w:t>
      </w:r>
      <w:r>
        <w:t xml:space="preserve">27%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11%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29%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17%</w:t>
      </w:r>
      <w:r>
        <w:t xml:space="preserve"> </w:t>
      </w:r>
      <w:r>
        <w:t xml:space="preserve">11%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Statements to prevent adverse effects</w:t>
      </w:r>
      <w:r>
        <w:t xml:space="preserve"> </w:t>
      </w:r>
      <w:r>
        <w:t xml:space="preserve">Statements on precautions</w:t>
      </w:r>
      <w:r>
        <w:t xml:space="preserve"> </w:t>
      </w:r>
      <w:r>
        <w:t xml:space="preserve">Statements on products hazards</w:t>
      </w:r>
      <w:r>
        <w:t xml:space="preserve"> </w:t>
      </w:r>
      <w:r>
        <w:t xml:space="preserve">Signal word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Information relevant in case of intoxication</w:t>
      </w:r>
      <w:r>
        <w:t xml:space="preserve"> </w:t>
      </w:r>
      <w:r>
        <w:t xml:space="preserve">Weblink to receive full ingredients list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Quantity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Supplier contact information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Absolutely Essential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Of Average Importance</w:t>
      </w:r>
      <w:r>
        <w:t xml:space="preserve"> </w:t>
      </w:r>
      <w:r>
        <w:t xml:space="preserve">Of Little Importance</w:t>
      </w:r>
      <w:r>
        <w:t xml:space="preserve"> </w:t>
      </w:r>
      <w:r>
        <w:t xml:space="preserve">Not Important At All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Figure 36: Rating of Importance of Label Elements With Label (Status Quo Label, Glue)</w:t>
      </w:r>
    </w:p>
    <w:p>
      <w:pPr>
        <w:pStyle w:val="BodyText"/>
      </w:pPr>
      <w:r>
        <w:t xml:space="preserve">Notes: The question was: “Looking at this label, how important do you rate having the following pieces of</w:t>
      </w:r>
      <w:r>
        <w:t xml:space="preserve"> </w:t>
      </w:r>
      <w:r>
        <w:t xml:space="preserve">information?”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Hence, the results are confirmative and show that CLP- and Detergent-relevant label</w:t>
      </w:r>
      <w:r>
        <w:t xml:space="preserve"> </w:t>
      </w:r>
      <w:r>
        <w:t xml:space="preserve">elements are perceived as very important by consumers.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Taken the results together it can be shown that label elements that support consumers with the</w:t>
      </w:r>
      <w:r>
        <w:t xml:space="preserve"> </w:t>
      </w:r>
      <w:r>
        <w:t xml:space="preserve">safe use of chemical substances, i.e. hazard and precautionary information, are essential.</w:t>
      </w:r>
      <w:r>
        <w:t xml:space="preserve"> </w:t>
      </w:r>
      <w:r>
        <w:t xml:space="preserve">Furthermore, aspects relevant under Detergent regulation, e.g. dosage instructions, are</w:t>
      </w:r>
      <w:r>
        <w:t xml:space="preserve"> </w:t>
      </w:r>
      <w:r>
        <w:t xml:space="preserve">perceived as essential. Marketing information, on the other hand, systematically stands out as</w:t>
      </w:r>
      <w:r>
        <w:t xml:space="preserve"> </w:t>
      </w:r>
      <w:r>
        <w:t xml:space="preserve">less important. The later aspect should also be discussed in the light of results from the first</w:t>
      </w:r>
      <w:r>
        <w:t xml:space="preserve"> </w:t>
      </w:r>
      <w:r>
        <w:t xml:space="preserve">research question, where consumers indicated that marketing information is less</w:t>
      </w:r>
      <w:r>
        <w:t xml:space="preserve"> </w:t>
      </w:r>
      <w:r>
        <w:t xml:space="preserve">understandable and easy to find on packaging. In general, this result appears not to be</w:t>
      </w:r>
      <w:r>
        <w:t xml:space="preserve"> </w:t>
      </w:r>
      <w:r>
        <w:t xml:space="preserve">problematic as marketing information is not necessary for consumers’ understanding of safe</w:t>
      </w:r>
      <w:r>
        <w:t xml:space="preserve"> </w:t>
      </w:r>
      <w:r>
        <w:t xml:space="preserve">use and therefore, there exists no objective need for improvement. Nevertheless, in practice</w:t>
      </w:r>
      <w:r>
        <w:t xml:space="preserve"> </w:t>
      </w:r>
      <w:r>
        <w:t xml:space="preserve">marketing information takes a lot of space on the packaging of chemical products and therefore,</w:t>
      </w:r>
      <w:r>
        <w:t xml:space="preserve"> </w:t>
      </w:r>
      <w:r>
        <w:t xml:space="preserve">competes with the space available for CLP-relevant information which is rated as more</w:t>
      </w:r>
      <w:r>
        <w:t xml:space="preserve"> </w:t>
      </w:r>
      <w:r>
        <w:t xml:space="preserve">important by consumers.</w:t>
      </w:r>
      <w:r>
        <w:t xml:space="preserve"> </w:t>
      </w:r>
      <w:r>
        <w:t xml:space="preserve">RQ 3: How do consumers interpret labels with respect to hazards and safe use</w:t>
      </w:r>
      <w:r>
        <w:t xml:space="preserve"> </w:t>
      </w:r>
      <w:r>
        <w:t xml:space="preserve">instructions?</w:t>
      </w:r>
      <w:r>
        <w:t xml:space="preserve"> </w:t>
      </w:r>
      <w:r>
        <w:t xml:space="preserve">The third research question regards the interpretation of labels given provided information.</w:t>
      </w:r>
      <w:r>
        <w:t xml:space="preserve"> </w:t>
      </w:r>
      <w:r>
        <w:t xml:space="preserve">Therefore, several questions were included in the experiment. The first set of questions</w:t>
      </w:r>
      <w:r>
        <w:t xml:space="preserve"> </w:t>
      </w:r>
      <w:r>
        <w:t xml:space="preserve">focussed on the products’ risk perception while the second investigated behaviour induced</w:t>
      </w:r>
      <w:r>
        <w:t xml:space="preserve"> </w:t>
      </w:r>
      <w:r>
        <w:t xml:space="preserve">by the labels.</w:t>
      </w:r>
      <w:r>
        <w:t xml:space="preserve"> </w:t>
      </w:r>
      <w:r>
        <w:t xml:space="preserve">51%</w:t>
      </w:r>
      <w:r>
        <w:t xml:space="preserve"> </w:t>
      </w:r>
      <w:r>
        <w:t xml:space="preserve">48%</w:t>
      </w:r>
      <w:r>
        <w:t xml:space="preserve"> </w:t>
      </w:r>
      <w:r>
        <w:t xml:space="preserve">46%</w:t>
      </w:r>
      <w:r>
        <w:t xml:space="preserve"> </w:t>
      </w:r>
      <w:r>
        <w:t xml:space="preserve">50%</w:t>
      </w:r>
      <w:r>
        <w:t xml:space="preserve"> </w:t>
      </w:r>
      <w:r>
        <w:t xml:space="preserve">49%</w:t>
      </w:r>
      <w:r>
        <w:t xml:space="preserve"> </w:t>
      </w:r>
      <w:r>
        <w:t xml:space="preserve">48%</w:t>
      </w:r>
      <w:r>
        <w:t xml:space="preserve"> </w:t>
      </w:r>
      <w:r>
        <w:t xml:space="preserve">42%</w:t>
      </w:r>
      <w:r>
        <w:t xml:space="preserve"> </w:t>
      </w:r>
      <w:r>
        <w:t xml:space="preserve">22%</w:t>
      </w:r>
      <w:r>
        <w:t xml:space="preserve"> </w:t>
      </w:r>
      <w:r>
        <w:t xml:space="preserve">8%</w:t>
      </w:r>
      <w:r>
        <w:t xml:space="preserve"> </w:t>
      </w:r>
      <w:r>
        <w:t xml:space="preserve">52%</w:t>
      </w:r>
      <w:r>
        <w:t xml:space="preserve"> </w:t>
      </w:r>
      <w:r>
        <w:t xml:space="preserve">20%</w:t>
      </w:r>
      <w:r>
        <w:t xml:space="preserve"> </w:t>
      </w:r>
      <w:r>
        <w:t xml:space="preserve">26%</w:t>
      </w:r>
      <w:r>
        <w:t xml:space="preserve"> </w:t>
      </w:r>
      <w:r>
        <w:t xml:space="preserve">36%</w:t>
      </w:r>
      <w:r>
        <w:t xml:space="preserve"> </w:t>
      </w:r>
      <w:r>
        <w:t xml:space="preserve">38%</w:t>
      </w:r>
      <w:r>
        <w:t xml:space="preserve"> </w:t>
      </w:r>
      <w:r>
        <w:t xml:space="preserve">39%</w:t>
      </w:r>
      <w:r>
        <w:t xml:space="preserve"> </w:t>
      </w:r>
      <w:r>
        <w:t xml:space="preserve">36%</w:t>
      </w:r>
      <w:r>
        <w:t xml:space="preserve"> </w:t>
      </w:r>
      <w:r>
        <w:t xml:space="preserve">35%</w:t>
      </w:r>
      <w:r>
        <w:t xml:space="preserve"> </w:t>
      </w:r>
      <w:r>
        <w:t xml:space="preserve">33%</w:t>
      </w:r>
      <w:r>
        <w:t xml:space="preserve"> </w:t>
      </w:r>
      <w:r>
        <w:t xml:space="preserve">36%</w:t>
      </w:r>
      <w:r>
        <w:t xml:space="preserve"> </w:t>
      </w:r>
      <w:r>
        <w:t xml:space="preserve">37%</w:t>
      </w:r>
      <w:r>
        <w:t xml:space="preserve"> </w:t>
      </w:r>
      <w:r>
        <w:t xml:space="preserve">18%</w:t>
      </w:r>
      <w:r>
        <w:t xml:space="preserve"> </w:t>
      </w:r>
      <w:r>
        <w:t xml:space="preserve">34%</w:t>
      </w:r>
      <w:r>
        <w:t xml:space="preserve"> </w:t>
      </w:r>
      <w:r>
        <w:t xml:space="preserve">27%</w:t>
      </w:r>
      <w:r>
        <w:t xml:space="preserve"> </w:t>
      </w:r>
      <w:r>
        <w:t xml:space="preserve">33%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16%</w:t>
      </w:r>
      <w:r>
        <w:t xml:space="preserve"> </w:t>
      </w:r>
      <w:r>
        <w:t xml:space="preserve">28%</w:t>
      </w:r>
      <w:r>
        <w:t xml:space="preserve"> </w:t>
      </w:r>
      <w:r>
        <w:t xml:space="preserve">33%</w:t>
      </w:r>
      <w:r>
        <w:t xml:space="preserve"> </w:t>
      </w:r>
      <w:r>
        <w:t xml:space="preserve">10%</w:t>
      </w:r>
      <w:r>
        <w:t xml:space="preserve"> </w:t>
      </w:r>
      <w:r>
        <w:t xml:space="preserve">30%</w:t>
      </w:r>
      <w:r>
        <w:t xml:space="preserve"> </w:t>
      </w:r>
      <w:r>
        <w:t xml:space="preserve">25%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9%</w:t>
      </w:r>
      <w:r>
        <w:t xml:space="preserve"> </w:t>
      </w:r>
      <w:r>
        <w:t xml:space="preserve">25%</w:t>
      </w:r>
      <w:r>
        <w:t xml:space="preserve"> </w:t>
      </w:r>
      <w:r>
        <w:t xml:space="preserve">1%</w:t>
      </w:r>
      <w:r>
        <w:t xml:space="preserve"> </w:t>
      </w:r>
      <w:r>
        <w:t xml:space="preserve">16%</w:t>
      </w:r>
      <w:r>
        <w:t xml:space="preserve"> </w:t>
      </w:r>
      <w:r>
        <w:t xml:space="preserve">11%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13%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Statements to prevent adverse effects</w:t>
      </w:r>
      <w:r>
        <w:t xml:space="preserve"> </w:t>
      </w:r>
      <w:r>
        <w:t xml:space="preserve">Statements on precautions</w:t>
      </w:r>
      <w:r>
        <w:t xml:space="preserve"> </w:t>
      </w:r>
      <w:r>
        <w:t xml:space="preserve">Statements on products hazards</w:t>
      </w:r>
      <w:r>
        <w:t xml:space="preserve"> </w:t>
      </w:r>
      <w:r>
        <w:t xml:space="preserve">Signal word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Information relevant in case of intoxication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Quantity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Supplier contact information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Absolutely Essential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Of Average Importance</w:t>
      </w:r>
      <w:r>
        <w:t xml:space="preserve"> </w:t>
      </w:r>
      <w:r>
        <w:t xml:space="preserve">Of Little Importance</w:t>
      </w:r>
      <w:r>
        <w:t xml:space="preserve"> </w:t>
      </w:r>
      <w:r>
        <w:t xml:space="preserve">Not Important At All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Risk Perception Induced by Label</w:t>
      </w:r>
      <w:r>
        <w:t xml:space="preserve"> </w:t>
      </w:r>
      <w:r>
        <w:t xml:space="preserve">The experiment design included two different products that differed in their degree of</w:t>
      </w:r>
      <w:r>
        <w:t xml:space="preserve"> </w:t>
      </w:r>
      <w:r>
        <w:t xml:space="preserve">potential harmfulness. Among other aspects, the labels at display differed in the amount of</w:t>
      </w:r>
      <w:r>
        <w:t xml:space="preserve"> </w:t>
      </w:r>
      <w:r>
        <w:t xml:space="preserve">GHS-pictograms presented (one versus three), the signal word (“warning” versus “danger”) as</w:t>
      </w:r>
      <w:r>
        <w:t xml:space="preserve"> </w:t>
      </w:r>
      <w:r>
        <w:t xml:space="preserve">well as the amount and severity of the included hazard and precautionary statements. More</w:t>
      </w:r>
      <w:r>
        <w:t xml:space="preserve"> </w:t>
      </w:r>
      <w:r>
        <w:t xml:space="preserve">information on the product specifics may be found in the methodology section.</w:t>
      </w:r>
      <w:r>
        <w:t xml:space="preserve"> </w:t>
      </w:r>
      <w:r>
        <w:t xml:space="preserve">Risk perception was investigated by three different questions, i.e. on the general risk</w:t>
      </w:r>
      <w:r>
        <w:t xml:space="preserve"> </w:t>
      </w:r>
      <w:r>
        <w:t xml:space="preserve">perception of use, risk following wrong application as well as risks attached to different</w:t>
      </w:r>
      <w:r>
        <w:t xml:space="preserve"> </w:t>
      </w:r>
      <w:r>
        <w:t xml:space="preserve">hazards. It must be noted that the purpose of the questions was not to interpret the average</w:t>
      </w:r>
      <w:r>
        <w:t xml:space="preserve"> </w:t>
      </w:r>
      <w:r>
        <w:t xml:space="preserve">rating of each of the products, i.e. it is not relevant whether a laundry detergent or glue is</w:t>
      </w:r>
      <w:r>
        <w:t xml:space="preserve"> </w:t>
      </w:r>
      <w:r>
        <w:t xml:space="preserve">perceived as “dangerous” or “harmless”. The questions aimed at investigating whether</w:t>
      </w:r>
      <w:r>
        <w:t xml:space="preserve"> </w:t>
      </w:r>
      <w:r>
        <w:t xml:space="preserve">displayed information causes participants to rate the glue as more harmful than the laundry</w:t>
      </w:r>
      <w:r>
        <w:t xml:space="preserve"> </w:t>
      </w:r>
      <w:r>
        <w:t xml:space="preserve">detergent. Hence, the analysis aims at comparing the ratings by product type.</w:t>
      </w:r>
      <w:r>
        <w:t xml:space="preserve"> </w:t>
      </w:r>
      <w:r>
        <w:t xml:space="preserve">Risk Perception of Use</w:t>
      </w:r>
      <w:r>
        <w:t xml:space="preserve"> </w:t>
      </w:r>
      <w:r>
        <w:t xml:space="preserve">The question on general risk perception of use was elicited on a 5-point-Likert-scale ranging</w:t>
      </w:r>
      <w:r>
        <w:t xml:space="preserve"> </w:t>
      </w:r>
      <w:r>
        <w:t xml:space="preserve">from “very dangerous” to “completely harmless”. Figure 37 shows the results by product type.</w:t>
      </w:r>
      <w:r>
        <w:t xml:space="preserve"> </w:t>
      </w:r>
      <w:r>
        <w:t xml:space="preserve">It can be seen that the glue indeed was rated as more dangerous than the laundry detergent. For</w:t>
      </w:r>
      <w:r>
        <w:t xml:space="preserve"> </w:t>
      </w:r>
      <w:r>
        <w:t xml:space="preserve">the glue 39% of the participants indicated the product to be very dangerous while the share</w:t>
      </w:r>
      <w:r>
        <w:t xml:space="preserve"> </w:t>
      </w:r>
      <w:r>
        <w:t xml:space="preserve">for the laundry detergent is only 9%. The difference in danger ratings between the two</w:t>
      </w:r>
      <w:r>
        <w:t xml:space="preserve"> </w:t>
      </w:r>
      <w:r>
        <w:t xml:space="preserve">products is highly statistically significant (p&lt;0.001).</w:t>
      </w:r>
      <w:r>
        <w:t xml:space="preserve"> </w:t>
      </w:r>
      <w:r>
        <w:t xml:space="preserve">Figure 37: Risk Perception of Use by Product (Status Quo Label)</w:t>
      </w:r>
    </w:p>
    <w:p>
      <w:pPr>
        <w:pStyle w:val="BodyText"/>
      </w:pPr>
      <w:r>
        <w:t xml:space="preserve">Notes: The question was: “In general, how dangerous do you rate using this product?”</w:t>
      </w:r>
      <w:r>
        <w:t xml:space="preserve"> </w:t>
      </w:r>
      <w:r>
        <w:t xml:space="preserve">Number of observations: N=670 (LD), N=670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Subsequently, participants rating product use as very or somewhat dangerous were asked to</w:t>
      </w:r>
      <w:r>
        <w:t xml:space="preserve"> </w:t>
      </w:r>
      <w:r>
        <w:t xml:space="preserve">indicate their reasons for their danger perception. Figure 38 displays the replies by product.</w:t>
      </w:r>
      <w:r>
        <w:t xml:space="preserve"> </w:t>
      </w:r>
      <w:r>
        <w:t xml:space="preserve">It can be seen that for both products the hazard and precautionary statements on the label</w:t>
      </w:r>
      <w:r>
        <w:t xml:space="preserve"> </w:t>
      </w:r>
      <w:r>
        <w:t xml:space="preserve">were the most relevant reason for rating the product as dangerous (69% for both product</w:t>
      </w:r>
      <w:r>
        <w:t xml:space="preserve"> </w:t>
      </w:r>
      <w:r>
        <w:t xml:space="preserve">types). Similarly, the hazard pictograms were rated as relevant information for indicating</w:t>
      </w:r>
      <w:r>
        <w:t xml:space="preserve"> </w:t>
      </w:r>
      <w:r>
        <w:t xml:space="preserve">9%</w:t>
      </w:r>
      <w:r>
        <w:t xml:space="preserve"> </w:t>
      </w:r>
      <w:r>
        <w:t xml:space="preserve">39%</w:t>
      </w:r>
      <w:r>
        <w:t xml:space="preserve"> </w:t>
      </w:r>
      <w:r>
        <w:t xml:space="preserve">38%</w:t>
      </w:r>
      <w:r>
        <w:t xml:space="preserve"> </w:t>
      </w:r>
      <w:r>
        <w:t xml:space="preserve">42%</w:t>
      </w:r>
      <w:r>
        <w:t xml:space="preserve"> </w:t>
      </w:r>
      <w:r>
        <w:t xml:space="preserve">35%</w:t>
      </w:r>
      <w:r>
        <w:t xml:space="preserve"> </w:t>
      </w:r>
      <w:r>
        <w:t xml:space="preserve">13%</w:t>
      </w:r>
      <w:r>
        <w:t xml:space="preserve"> </w:t>
      </w:r>
      <w:r>
        <w:t xml:space="preserve">12%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Glue</w:t>
      </w:r>
      <w:r>
        <w:t xml:space="preserve"> </w:t>
      </w:r>
      <w:r>
        <w:t xml:space="preserve">Very dangerous</w:t>
      </w:r>
      <w:r>
        <w:t xml:space="preserve"> </w:t>
      </w:r>
      <w:r>
        <w:t xml:space="preserve">Somewhat dangerous</w:t>
      </w:r>
      <w:r>
        <w:t xml:space="preserve"> </w:t>
      </w:r>
      <w:r>
        <w:t xml:space="preserve">Neither dangerous nor harmless</w:t>
      </w:r>
      <w:r>
        <w:t xml:space="preserve"> </w:t>
      </w:r>
      <w:r>
        <w:t xml:space="preserve">Rather harmless</w:t>
      </w:r>
      <w:r>
        <w:t xml:space="preserve"> </w:t>
      </w:r>
      <w:r>
        <w:t xml:space="preserve">Completely harmless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the products to be dangerous (56% for both product types). The ingredients contained in the</w:t>
      </w:r>
      <w:r>
        <w:t xml:space="preserve"> </w:t>
      </w:r>
      <w:r>
        <w:t xml:space="preserve">product were a reason for 37% of the participants, while only 17% and 10% named other</w:t>
      </w:r>
      <w:r>
        <w:t xml:space="preserve"> </w:t>
      </w:r>
      <w:r>
        <w:t xml:space="preserve">information and personal experience.</w:t>
      </w:r>
      <w:r>
        <w:t xml:space="preserve"> </w:t>
      </w:r>
      <w:r>
        <w:t xml:space="preserve">Figure 38: Reasons for Risk Perception by Product (Status Quo Label)</w:t>
      </w:r>
    </w:p>
    <w:p>
      <w:pPr>
        <w:pStyle w:val="BodyText"/>
      </w:pPr>
      <w:r>
        <w:t xml:space="preserve">Notes: The question was: “You indicated that you rate using this product as somewhat or very dangerous. Why?”</w:t>
      </w:r>
      <w:r>
        <w:t xml:space="preserve"> </w:t>
      </w:r>
      <w:r>
        <w:t xml:space="preserve">(multiple answers)</w:t>
      </w:r>
      <w:r>
        <w:t xml:space="preserve"> </w:t>
      </w:r>
      <w:r>
        <w:t xml:space="preserve">Number of observations: N=313 (LD), N=543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Hence, the results show that under current regulation (Status Quo Label) consumers were</w:t>
      </w:r>
      <w:r>
        <w:t xml:space="preserve"> </w:t>
      </w:r>
      <w:r>
        <w:t xml:space="preserve">indeed able to interpret the provided information correctly and attached more risk to an</w:t>
      </w:r>
      <w:r>
        <w:t xml:space="preserve"> </w:t>
      </w:r>
      <w:r>
        <w:t xml:space="preserve">objectively riskier product. The result confirms findings from the comparative choice task (see</w:t>
      </w:r>
      <w:r>
        <w:t xml:space="preserve"> </w:t>
      </w:r>
      <w:r>
        <w:t xml:space="preserve">section on the first research question). Furthermore, consumers indicated that CLP-relevant</w:t>
      </w:r>
      <w:r>
        <w:t xml:space="preserve"> </w:t>
      </w:r>
      <w:r>
        <w:t xml:space="preserve">information contained on the labels causes this perception.</w:t>
      </w:r>
      <w:r>
        <w:t xml:space="preserve"> </w:t>
      </w:r>
      <w:r>
        <w:t xml:space="preserve">Risk Perception of Wrong Application</w:t>
      </w:r>
      <w:r>
        <w:t xml:space="preserve"> </w:t>
      </w:r>
      <w:r>
        <w:t xml:space="preserve">The question on general risk perception of wrong application was elicited on a 5-point-Likert-</w:t>
      </w:r>
      <w:r>
        <w:t xml:space="preserve"> </w:t>
      </w:r>
      <w:r>
        <w:t xml:space="preserve">scale ranging from “very dangerous” to “completely harmless”. Figure 39 shows the results by</w:t>
      </w:r>
      <w:r>
        <w:t xml:space="preserve"> </w:t>
      </w:r>
      <w:r>
        <w:t xml:space="preserve">product type. Again, consumers rated the wrong application of the products differently. For the</w:t>
      </w:r>
      <w:r>
        <w:t xml:space="preserve"> </w:t>
      </w:r>
      <w:r>
        <w:t xml:space="preserve">glue 44% indicated wrong use as very dangerous while the share for the laundry detergent</w:t>
      </w:r>
      <w:r>
        <w:t xml:space="preserve"> </w:t>
      </w:r>
      <w:r>
        <w:t xml:space="preserve">was only 15%. The difference between product variants is statistically highly significant</w:t>
      </w:r>
      <w:r>
        <w:t xml:space="preserve"> </w:t>
      </w:r>
      <w:r>
        <w:t xml:space="preserve">(p&lt;0.001).</w:t>
      </w:r>
    </w:p>
    <w:p>
      <w:pPr>
        <w:pStyle w:val="BodyText"/>
      </w:pP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40%</w:t>
      </w:r>
      <w:r>
        <w:t xml:space="preserve"> </w:t>
      </w:r>
      <w:r>
        <w:t xml:space="preserve">18%</w:t>
      </w:r>
      <w:r>
        <w:t xml:space="preserve"> </w:t>
      </w:r>
      <w:r>
        <w:t xml:space="preserve">11%</w:t>
      </w:r>
      <w:r>
        <w:t xml:space="preserve"> </w:t>
      </w:r>
      <w:r>
        <w:t xml:space="preserve">71%</w:t>
      </w:r>
      <w:r>
        <w:t xml:space="preserve"> </w:t>
      </w:r>
      <w:r>
        <w:t xml:space="preserve">58%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31%</w:t>
      </w:r>
      <w:r>
        <w:t xml:space="preserve"> </w:t>
      </w:r>
      <w:r>
        <w:t xml:space="preserve">16%</w:t>
      </w:r>
      <w:r>
        <w:t xml:space="preserve"> </w:t>
      </w:r>
      <w:r>
        <w:t xml:space="preserve">7%</w:t>
      </w:r>
      <w:r>
        <w:t xml:space="preserve"> </w:t>
      </w:r>
      <w:r>
        <w:t xml:space="preserve">65%</w:t>
      </w:r>
      <w:r>
        <w:t xml:space="preserve"> </w:t>
      </w:r>
      <w:r>
        <w:t xml:space="preserve">53%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Don’t know</w:t>
      </w:r>
      <w:r>
        <w:t xml:space="preserve"> </w:t>
      </w:r>
      <w:r>
        <w:t xml:space="preserve">Other</w:t>
      </w:r>
      <w:r>
        <w:t xml:space="preserve"> </w:t>
      </w:r>
      <w:r>
        <w:t xml:space="preserve">Because I identified some of the</w:t>
      </w:r>
      <w:r>
        <w:t xml:space="preserve"> </w:t>
      </w:r>
      <w:r>
        <w:t xml:space="preserve">ingredients to be harmful for my</w:t>
      </w:r>
      <w:r>
        <w:t xml:space="preserve"> </w:t>
      </w:r>
      <w:r>
        <w:t xml:space="preserve">health or the environment</w:t>
      </w:r>
      <w:r>
        <w:t xml:space="preserve"> </w:t>
      </w:r>
      <w:r>
        <w:t xml:space="preserve">Because of other information I</w:t>
      </w:r>
      <w:r>
        <w:t xml:space="preserve"> </w:t>
      </w:r>
      <w:r>
        <w:t xml:space="preserve">have received/found</w:t>
      </w:r>
      <w:r>
        <w:t xml:space="preserve"> </w:t>
      </w:r>
      <w:r>
        <w:t xml:space="preserve">Because of my personal</w:t>
      </w:r>
      <w:r>
        <w:t xml:space="preserve"> </w:t>
      </w:r>
      <w:r>
        <w:t xml:space="preserve">experience and use of the product</w:t>
      </w:r>
      <w:r>
        <w:t xml:space="preserve"> </w:t>
      </w:r>
      <w:r>
        <w:t xml:space="preserve">Because of the text on hazards or</w:t>
      </w:r>
      <w:r>
        <w:t xml:space="preserve"> </w:t>
      </w:r>
      <w:r>
        <w:t xml:space="preserve">precautions displayed on the label</w:t>
      </w:r>
      <w:r>
        <w:t xml:space="preserve"> </w:t>
      </w:r>
      <w:r>
        <w:t xml:space="preserve">Because of the hazard pictograms</w:t>
      </w:r>
      <w:r>
        <w:t xml:space="preserve"> </w:t>
      </w:r>
      <w:r>
        <w:t xml:space="preserve">displayed on the label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Glue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Figure 39: Risk Perception of Wrong Application by Product (Status Quo Label)</w:t>
      </w:r>
    </w:p>
    <w:p>
      <w:pPr>
        <w:pStyle w:val="BodyText"/>
      </w:pPr>
      <w:r>
        <w:t xml:space="preserve">Notes: The question was: “In general, how dangerous do you rate the wrong application of this product, e.g. </w:t>
      </w:r>
      <w:r>
        <w:t xml:space="preserve"> </w:t>
      </w:r>
      <w:r>
        <w:t xml:space="preserve">when an accident occurs?”</w:t>
      </w:r>
      <w:r>
        <w:t xml:space="preserve"> </w:t>
      </w:r>
      <w:r>
        <w:t xml:space="preserve">Number of observations: N=670 (LD), N=670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Hence, it can be concluded that labelling information induces the correct perception of</w:t>
      </w:r>
      <w:r>
        <w:t xml:space="preserve"> </w:t>
      </w:r>
      <w:r>
        <w:t xml:space="preserve">application dangers as well.</w:t>
      </w:r>
      <w:r>
        <w:t xml:space="preserve"> </w:t>
      </w:r>
      <w:r>
        <w:t xml:space="preserve">Risk Perception of Different Hazards</w:t>
      </w:r>
      <w:r>
        <w:t xml:space="preserve"> </w:t>
      </w:r>
      <w:r>
        <w:t xml:space="preserve">Lastly, a question on the risk perception of different specific hazards was elicited. It focused</w:t>
      </w:r>
      <w:r>
        <w:t xml:space="preserve"> </w:t>
      </w:r>
      <w:r>
        <w:t xml:space="preserve">on risks attached to the product getting into eyes or being inhaled or swallowed. Again, a 5-</w:t>
      </w:r>
      <w:r>
        <w:t xml:space="preserve"> </w:t>
      </w:r>
      <w:r>
        <w:t xml:space="preserve">point-Likert scale ranging from “very dangerous” to “completely harmless” was used.</w:t>
      </w:r>
      <w:r>
        <w:t xml:space="preserve"> </w:t>
      </w:r>
      <w:r>
        <w:t xml:space="preserve">Figure 40 displays the results by hazard category and product. For all categories the glue was</w:t>
      </w:r>
      <w:r>
        <w:t xml:space="preserve"> </w:t>
      </w:r>
      <w:r>
        <w:t xml:space="preserve">on average rated as more dangerous (p&lt;0.001). Furthermore, the rating of product getting into</w:t>
      </w:r>
      <w:r>
        <w:t xml:space="preserve"> </w:t>
      </w:r>
      <w:r>
        <w:t xml:space="preserve">eyes was comparatively large for both product types. This is in accordance with the actual</w:t>
      </w:r>
      <w:r>
        <w:t xml:space="preserve"> </w:t>
      </w:r>
      <w:r>
        <w:t xml:space="preserve">information displayed on the labels, i.e. a specific hazard statement is included on the</w:t>
      </w:r>
      <w:r>
        <w:t xml:space="preserve"> </w:t>
      </w:r>
      <w:r>
        <w:t xml:space="preserve">packaging. Dispersing the product into the water systems or the environments was rated more</w:t>
      </w:r>
      <w:r>
        <w:t xml:space="preserve"> </w:t>
      </w:r>
      <w:r>
        <w:t xml:space="preserve">threatening for the glue. Again, this is in accordance with the information contained on the</w:t>
      </w:r>
      <w:r>
        <w:t xml:space="preserve"> </w:t>
      </w:r>
      <w:r>
        <w:t xml:space="preserve">specific labels, i.e. specific hazard statement as well as a GHS pictogram included on the</w:t>
      </w:r>
      <w:r>
        <w:t xml:space="preserve"> </w:t>
      </w:r>
      <w:r>
        <w:t xml:space="preserve">packaging. The same applies to the products being used next to fire, where the glue received a</w:t>
      </w:r>
      <w:r>
        <w:t xml:space="preserve"> </w:t>
      </w:r>
      <w:r>
        <w:t xml:space="preserve">higher rating than the laundry detergent. Similarly, a reason for this difference might be the</w:t>
      </w:r>
      <w:r>
        <w:t xml:space="preserve"> </w:t>
      </w:r>
      <w:r>
        <w:t xml:space="preserve">actual hazard statements and GHS pictogram included on the packaging (the glue was</w:t>
      </w:r>
      <w:r>
        <w:t xml:space="preserve"> </w:t>
      </w:r>
      <w:r>
        <w:t xml:space="preserve">constructed to be flammable while the laundry detergent was not).</w:t>
      </w:r>
    </w:p>
    <w:p>
      <w:pPr>
        <w:pStyle w:val="BodyText"/>
      </w:pPr>
      <w:r>
        <w:t xml:space="preserve">15%</w:t>
      </w:r>
      <w:r>
        <w:t xml:space="preserve"> </w:t>
      </w:r>
      <w:r>
        <w:t xml:space="preserve">44%</w:t>
      </w:r>
      <w:r>
        <w:t xml:space="preserve"> </w:t>
      </w:r>
      <w:r>
        <w:t xml:space="preserve">53%</w:t>
      </w:r>
      <w:r>
        <w:t xml:space="preserve"> </w:t>
      </w:r>
      <w:r>
        <w:t xml:space="preserve">42%</w:t>
      </w:r>
      <w:r>
        <w:t xml:space="preserve"> </w:t>
      </w:r>
      <w:r>
        <w:t xml:space="preserve">19%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Glue</w:t>
      </w:r>
      <w:r>
        <w:t xml:space="preserve"> </w:t>
      </w:r>
      <w:r>
        <w:t xml:space="preserve">Very dangerous</w:t>
      </w:r>
      <w:r>
        <w:t xml:space="preserve"> </w:t>
      </w:r>
      <w:r>
        <w:t xml:space="preserve">Somewhat dangerous</w:t>
      </w:r>
      <w:r>
        <w:t xml:space="preserve"> </w:t>
      </w:r>
      <w:r>
        <w:t xml:space="preserve">Neither dangerous nor harmless</w:t>
      </w:r>
      <w:r>
        <w:t xml:space="preserve"> </w:t>
      </w:r>
      <w:r>
        <w:t xml:space="preserve">Rather harmless</w:t>
      </w:r>
      <w:r>
        <w:t xml:space="preserve"> </w:t>
      </w:r>
      <w:r>
        <w:t xml:space="preserve">Completely harmless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Figure 40: Risk Perception of Different Hazards by Product (Status Quo Label)</w:t>
      </w:r>
    </w:p>
    <w:p>
      <w:pPr>
        <w:pStyle w:val="BodyText"/>
      </w:pPr>
      <w:r>
        <w:t xml:space="preserve">Notes: The question was: “From your reading of the label, please rate how dangerous each of the following would</w:t>
      </w:r>
      <w:r>
        <w:t xml:space="preserve"> </w:t>
      </w:r>
      <w:r>
        <w:t xml:space="preserve">be:”</w:t>
      </w:r>
      <w:r>
        <w:t xml:space="preserve"> </w:t>
      </w:r>
      <w:r>
        <w:t xml:space="preserve">Number of observations: N=670 (LD), N=670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Additionally, it may be concluded that consumers not only correctly interpret the general risk</w:t>
      </w:r>
      <w:r>
        <w:t xml:space="preserve"> </w:t>
      </w:r>
      <w:r>
        <w:t xml:space="preserve">of products, but also specific risks that may differ by product.</w:t>
      </w:r>
    </w:p>
    <w:p>
      <w:pPr>
        <w:pStyle w:val="BodyText"/>
      </w:pPr>
      <w:r>
        <w:t xml:space="preserve">Behaviour Induced by Label Information</w:t>
      </w:r>
      <w:r>
        <w:t xml:space="preserve"> </w:t>
      </w:r>
      <w:r>
        <w:t xml:space="preserve">The second set of questions focussed on the behaviours induced by label information. It</w:t>
      </w:r>
      <w:r>
        <w:t xml:space="preserve"> </w:t>
      </w:r>
      <w:r>
        <w:t xml:space="preserve">included questions on the motivation to read and follow instructions, behaviour in case of</w:t>
      </w:r>
      <w:r>
        <w:t xml:space="preserve"> </w:t>
      </w:r>
      <w:r>
        <w:t xml:space="preserve">an accident as well as on dosage behaviour.</w:t>
      </w:r>
      <w:r>
        <w:t xml:space="preserve"> </w:t>
      </w:r>
      <w:r>
        <w:t xml:space="preserve">It must be noted that objectively there are no wrong answers for these questions. Nevertheless,</w:t>
      </w:r>
      <w:r>
        <w:t xml:space="preserve"> </w:t>
      </w:r>
      <w:r>
        <w:t xml:space="preserve">from a policy perspective reading the information on package is relevant to avoid adverse</w:t>
      </w:r>
      <w:r>
        <w:t xml:space="preserve"> </w:t>
      </w:r>
      <w:r>
        <w:t xml:space="preserve">effects or dose the product correctly, whereas the need to ask other people for help or consulting</w:t>
      </w:r>
      <w:r>
        <w:t xml:space="preserve"> </w:t>
      </w:r>
      <w:r>
        <w:t xml:space="preserve">external sources would be less desirable. Similarly, bringing the packaging to a doctor or</w:t>
      </w:r>
      <w:r>
        <w:t xml:space="preserve"> </w:t>
      </w:r>
      <w:r>
        <w:t xml:space="preserve">applying first aid measures in the case of an accident could be interpreted as positive, while the</w:t>
      </w:r>
      <w:r>
        <w:t xml:space="preserve"> </w:t>
      </w:r>
      <w:r>
        <w:t xml:space="preserve">71%</w:t>
      </w:r>
      <w:r>
        <w:t xml:space="preserve"> </w:t>
      </w:r>
      <w:r>
        <w:t xml:space="preserve">71%</w:t>
      </w:r>
      <w:r>
        <w:t xml:space="preserve"> </w:t>
      </w:r>
      <w:r>
        <w:t xml:space="preserve">42%</w:t>
      </w:r>
      <w:r>
        <w:t xml:space="preserve"> </w:t>
      </w:r>
      <w:r>
        <w:t xml:space="preserve">42%</w:t>
      </w:r>
      <w:r>
        <w:t xml:space="preserve"> </w:t>
      </w:r>
      <w:r>
        <w:t xml:space="preserve">16%</w:t>
      </w:r>
      <w:r>
        <w:t xml:space="preserve"> </w:t>
      </w:r>
      <w:r>
        <w:t xml:space="preserve">36%</w:t>
      </w:r>
      <w:r>
        <w:t xml:space="preserve"> </w:t>
      </w:r>
      <w:r>
        <w:t xml:space="preserve">74%</w:t>
      </w:r>
      <w:r>
        <w:t xml:space="preserve"> </w:t>
      </w:r>
      <w:r>
        <w:t xml:space="preserve">14%</w:t>
      </w:r>
      <w:r>
        <w:t xml:space="preserve"> </w:t>
      </w:r>
      <w:r>
        <w:t xml:space="preserve">54%</w:t>
      </w:r>
      <w:r>
        <w:t xml:space="preserve"> </w:t>
      </w:r>
      <w:r>
        <w:t xml:space="preserve">13%</w:t>
      </w:r>
      <w:r>
        <w:t xml:space="preserve"> </w:t>
      </w:r>
      <w:r>
        <w:t xml:space="preserve">12%</w:t>
      </w:r>
      <w:r>
        <w:t xml:space="preserve"> </w:t>
      </w:r>
      <w:r>
        <w:t xml:space="preserve">5%</w:t>
      </w:r>
      <w:r>
        <w:t xml:space="preserve"> </w:t>
      </w:r>
      <w:r>
        <w:t xml:space="preserve">21%</w:t>
      </w:r>
      <w:r>
        <w:t xml:space="preserve"> </w:t>
      </w:r>
      <w:r>
        <w:t xml:space="preserve">56%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42%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45%</w:t>
      </w:r>
      <w:r>
        <w:t xml:space="preserve"> </w:t>
      </w:r>
      <w:r>
        <w:t xml:space="preserve">18%</w:t>
      </w:r>
      <w:r>
        <w:t xml:space="preserve"> </w:t>
      </w:r>
      <w:r>
        <w:t xml:space="preserve">19%</w:t>
      </w:r>
      <w:r>
        <w:t xml:space="preserve"> </w:t>
      </w:r>
      <w:r>
        <w:t xml:space="preserve">29%</w:t>
      </w:r>
      <w:r>
        <w:t xml:space="preserve"> </w:t>
      </w:r>
      <w:r>
        <w:t xml:space="preserve">35%</w:t>
      </w:r>
      <w:r>
        <w:t xml:space="preserve"> </w:t>
      </w:r>
      <w:r>
        <w:t xml:space="preserve">22%</w:t>
      </w:r>
      <w:r>
        <w:t xml:space="preserve"> </w:t>
      </w:r>
      <w:r>
        <w:t xml:space="preserve">17%</w:t>
      </w:r>
      <w:r>
        <w:t xml:space="preserve"> </w:t>
      </w:r>
      <w:r>
        <w:t xml:space="preserve">45%</w:t>
      </w:r>
      <w:r>
        <w:t xml:space="preserve"> </w:t>
      </w:r>
      <w:r>
        <w:t xml:space="preserve">34%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28%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26%</w:t>
      </w:r>
      <w:r>
        <w:t xml:space="preserve"> </w:t>
      </w:r>
      <w:r>
        <w:t xml:space="preserve">7%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30%</w:t>
      </w:r>
      <w:r>
        <w:t xml:space="preserve"> </w:t>
      </w:r>
      <w:r>
        <w:t xml:space="preserve">19%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11%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16%</w:t>
      </w:r>
      <w:r>
        <w:t xml:space="preserve"> </w:t>
      </w:r>
      <w:r>
        <w:t xml:space="preserve">3%</w:t>
      </w:r>
      <w:r>
        <w:t xml:space="preserve"> </w:t>
      </w:r>
      <w:r>
        <w:t xml:space="preserve">10%</w:t>
      </w:r>
      <w:r>
        <w:t xml:space="preserve"> </w:t>
      </w:r>
      <w:r>
        <w:t xml:space="preserve">18%</w:t>
      </w:r>
      <w:r>
        <w:t xml:space="preserve"> </w:t>
      </w:r>
      <w:r>
        <w:t xml:space="preserve">23%</w:t>
      </w:r>
      <w:r>
        <w:t xml:space="preserve"> </w:t>
      </w:r>
      <w:r>
        <w:t xml:space="preserve">8%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14%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12%</w:t>
      </w:r>
      <w:r>
        <w:t xml:space="preserve"> </w:t>
      </w:r>
      <w:r>
        <w:t xml:space="preserve">20%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12%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If it was used next to open fire</w:t>
      </w:r>
      <w:r>
        <w:t xml:space="preserve"> </w:t>
      </w:r>
      <w:r>
        <w:t xml:space="preserve">If the product was inhaled or</w:t>
      </w:r>
      <w:r>
        <w:t xml:space="preserve"> </w:t>
      </w:r>
      <w:r>
        <w:t xml:space="preserve">swallowed</w:t>
      </w:r>
      <w:r>
        <w:t xml:space="preserve"> </w:t>
      </w:r>
      <w:r>
        <w:t xml:space="preserve">If the product was dispersed into</w:t>
      </w:r>
      <w:r>
        <w:t xml:space="preserve"> </w:t>
      </w:r>
      <w:r>
        <w:t xml:space="preserve">the environment</w:t>
      </w:r>
      <w:r>
        <w:t xml:space="preserve"> </w:t>
      </w:r>
      <w:r>
        <w:t xml:space="preserve">If the product got into the</w:t>
      </w:r>
      <w:r>
        <w:t xml:space="preserve"> </w:t>
      </w:r>
      <w:r>
        <w:t xml:space="preserve">water/sewage system</w:t>
      </w:r>
      <w:r>
        <w:t xml:space="preserve"> </w:t>
      </w:r>
      <w:r>
        <w:t xml:space="preserve">If the product got onto surfaces</w:t>
      </w:r>
      <w:r>
        <w:t xml:space="preserve"> </w:t>
      </w:r>
      <w:r>
        <w:t xml:space="preserve">If the product got onto skin</w:t>
      </w:r>
      <w:r>
        <w:t xml:space="preserve"> </w:t>
      </w:r>
      <w:r>
        <w:t xml:space="preserve">If the product got into eyes</w:t>
      </w:r>
      <w:r>
        <w:t xml:space="preserve"> </w:t>
      </w:r>
      <w:r>
        <w:t xml:space="preserve">Glue</w:t>
      </w:r>
      <w:r>
        <w:t xml:space="preserve"> </w:t>
      </w:r>
      <w:r>
        <w:t xml:space="preserve">If it was used next to open fire</w:t>
      </w:r>
      <w:r>
        <w:t xml:space="preserve"> </w:t>
      </w:r>
      <w:r>
        <w:t xml:space="preserve">If the product was inhaled or</w:t>
      </w:r>
      <w:r>
        <w:t xml:space="preserve"> </w:t>
      </w:r>
      <w:r>
        <w:t xml:space="preserve">swallowed</w:t>
      </w:r>
      <w:r>
        <w:t xml:space="preserve"> </w:t>
      </w:r>
      <w:r>
        <w:t xml:space="preserve">If the product was dispersed into</w:t>
      </w:r>
      <w:r>
        <w:t xml:space="preserve"> </w:t>
      </w:r>
      <w:r>
        <w:t xml:space="preserve">the environment</w:t>
      </w:r>
      <w:r>
        <w:t xml:space="preserve"> </w:t>
      </w:r>
      <w:r>
        <w:t xml:space="preserve">If the product got into the</w:t>
      </w:r>
      <w:r>
        <w:t xml:space="preserve"> </w:t>
      </w:r>
      <w:r>
        <w:t xml:space="preserve">water/sewage system</w:t>
      </w:r>
      <w:r>
        <w:t xml:space="preserve"> </w:t>
      </w:r>
      <w:r>
        <w:t xml:space="preserve">If the product got onto surfaces</w:t>
      </w:r>
      <w:r>
        <w:t xml:space="preserve"> </w:t>
      </w:r>
      <w:r>
        <w:t xml:space="preserve">If the product got onto skin</w:t>
      </w:r>
      <w:r>
        <w:t xml:space="preserve"> </w:t>
      </w:r>
      <w:r>
        <w:t xml:space="preserve">If the product got into eyes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Very dangerous</w:t>
      </w:r>
      <w:r>
        <w:t xml:space="preserve"> </w:t>
      </w:r>
      <w:r>
        <w:t xml:space="preserve">Somewhat dangerous</w:t>
      </w:r>
      <w:r>
        <w:t xml:space="preserve"> </w:t>
      </w:r>
      <w:r>
        <w:t xml:space="preserve">Neither dangerous nor harmless</w:t>
      </w:r>
      <w:r>
        <w:t xml:space="preserve"> </w:t>
      </w:r>
      <w:r>
        <w:t xml:space="preserve">Rather harmless</w:t>
      </w:r>
      <w:r>
        <w:t xml:space="preserve"> </w:t>
      </w:r>
      <w:r>
        <w:t xml:space="preserve">Completely harmless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need to additionally consult a search engine would indicate that information on the packaging</w:t>
      </w:r>
      <w:r>
        <w:t xml:space="preserve"> </w:t>
      </w:r>
      <w:r>
        <w:t xml:space="preserve">is not sufficient.</w:t>
      </w:r>
      <w:r>
        <w:br/>
      </w:r>
      <w:r>
        <w:t xml:space="preserve">Motivation to Read and Follow Instructions</w:t>
      </w:r>
      <w:r>
        <w:t xml:space="preserve"> </w:t>
      </w:r>
      <w:r>
        <w:t xml:space="preserve">Results regarding consumers’ motivation to read and follow instructions may be found in</w:t>
      </w:r>
      <w:r>
        <w:t xml:space="preserve"> </w:t>
      </w:r>
      <w:r>
        <w:t xml:space="preserve">Figure 41. The results show that over 80% of the participants (regardless of product) would</w:t>
      </w:r>
      <w:r>
        <w:t xml:space="preserve"> </w:t>
      </w:r>
      <w:r>
        <w:t xml:space="preserve">indeed read the label and follow the relevant instructions on dosage, use and precautions.</w:t>
      </w:r>
      <w:r>
        <w:t xml:space="preserve"> </w:t>
      </w:r>
      <w:r>
        <w:t xml:space="preserve">Trying to find further information only applies to 37% of the participants and asking for</w:t>
      </w:r>
      <w:r>
        <w:t xml:space="preserve"> </w:t>
      </w:r>
      <w:r>
        <w:t xml:space="preserve">further help either from relatives or friends or the retailer is only applicable to 19% and 22%</w:t>
      </w:r>
      <w:r>
        <w:t xml:space="preserve"> </w:t>
      </w:r>
      <w:r>
        <w:t xml:space="preserve">respectively.</w:t>
      </w:r>
      <w:r>
        <w:t xml:space="preserve"> </w:t>
      </w:r>
      <w:r>
        <w:t xml:space="preserve">Figure 41: Motivation to Read and Follow Instructions by Product (Status Quo Label)</w:t>
      </w:r>
    </w:p>
    <w:p>
      <w:pPr>
        <w:pStyle w:val="BodyText"/>
      </w:pPr>
      <w:r>
        <w:t xml:space="preserve">Notes: The question was: “Does this label motivate you to:”</w:t>
      </w:r>
      <w:r>
        <w:t xml:space="preserve"> </w:t>
      </w:r>
      <w:r>
        <w:t xml:space="preserve">Number of observations: N=670 (LD), N=670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84%</w:t>
      </w:r>
      <w:r>
        <w:t xml:space="preserve"> </w:t>
      </w:r>
      <w:r>
        <w:t xml:space="preserve">85%</w:t>
      </w:r>
      <w:r>
        <w:t xml:space="preserve"> </w:t>
      </w:r>
      <w:r>
        <w:t xml:space="preserve">85%</w:t>
      </w:r>
      <w:r>
        <w:t xml:space="preserve"> </w:t>
      </w:r>
      <w:r>
        <w:t xml:space="preserve">21%</w:t>
      </w:r>
      <w:r>
        <w:t xml:space="preserve"> </w:t>
      </w:r>
      <w:r>
        <w:t xml:space="preserve">16%</w:t>
      </w:r>
      <w:r>
        <w:t xml:space="preserve"> </w:t>
      </w:r>
      <w:r>
        <w:t xml:space="preserve">28%</w:t>
      </w:r>
      <w:r>
        <w:t xml:space="preserve"> </w:t>
      </w:r>
      <w:r>
        <w:t xml:space="preserve">24%</w:t>
      </w:r>
      <w:r>
        <w:t xml:space="preserve"> </w:t>
      </w:r>
      <w:r>
        <w:t xml:space="preserve">38%</w:t>
      </w:r>
      <w:r>
        <w:t xml:space="preserve"> </w:t>
      </w:r>
      <w:r>
        <w:t xml:space="preserve">84%</w:t>
      </w:r>
      <w:r>
        <w:t xml:space="preserve"> </w:t>
      </w:r>
      <w:r>
        <w:t xml:space="preserve">80%</w:t>
      </w:r>
      <w:r>
        <w:t xml:space="preserve"> </w:t>
      </w:r>
      <w:r>
        <w:t xml:space="preserve">81%</w:t>
      </w:r>
      <w:r>
        <w:t xml:space="preserve"> </w:t>
      </w:r>
      <w:r>
        <w:t xml:space="preserve">84%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16%</w:t>
      </w:r>
      <w:r>
        <w:t xml:space="preserve"> </w:t>
      </w:r>
      <w:r>
        <w:t xml:space="preserve">15%</w:t>
      </w:r>
      <w:r>
        <w:t xml:space="preserve"> </w:t>
      </w:r>
      <w:r>
        <w:t xml:space="preserve">36%</w:t>
      </w:r>
      <w:r>
        <w:t xml:space="preserve"> </w:t>
      </w:r>
      <w:r>
        <w:t xml:space="preserve">81%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69%</w:t>
      </w:r>
      <w:r>
        <w:t xml:space="preserve"> </w:t>
      </w:r>
      <w:r>
        <w:t xml:space="preserve">71%</w:t>
      </w:r>
      <w:r>
        <w:t xml:space="preserve"> </w:t>
      </w:r>
      <w:r>
        <w:t xml:space="preserve">62%</w:t>
      </w:r>
      <w:r>
        <w:t xml:space="preserve"> </w:t>
      </w:r>
      <w:r>
        <w:t xml:space="preserve">65%</w:t>
      </w:r>
      <w:r>
        <w:t xml:space="preserve"> </w:t>
      </w:r>
      <w:r>
        <w:t xml:space="preserve">50%</w:t>
      </w:r>
      <w:r>
        <w:t xml:space="preserve"> </w:t>
      </w:r>
      <w:r>
        <w:t xml:space="preserve">11%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11%</w:t>
      </w:r>
      <w:r>
        <w:t xml:space="preserve"> </w:t>
      </w:r>
      <w:r>
        <w:t xml:space="preserve">79%</w:t>
      </w:r>
      <w:r>
        <w:t xml:space="preserve"> </w:t>
      </w:r>
      <w:r>
        <w:t xml:space="preserve">77%</w:t>
      </w:r>
      <w:r>
        <w:t xml:space="preserve"> </w:t>
      </w:r>
      <w:r>
        <w:t xml:space="preserve">75%</w:t>
      </w:r>
      <w:r>
        <w:t xml:space="preserve"> </w:t>
      </w:r>
      <w:r>
        <w:t xml:space="preserve">74%</w:t>
      </w:r>
      <w:r>
        <w:t xml:space="preserve"> </w:t>
      </w:r>
      <w:r>
        <w:t xml:space="preserve">54%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12%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Follow instructions to prevent</w:t>
      </w:r>
      <w:r>
        <w:t xml:space="preserve"> </w:t>
      </w:r>
      <w:r>
        <w:t xml:space="preserve">adverse effects</w:t>
      </w:r>
      <w:r>
        <w:t xml:space="preserve"> </w:t>
      </w:r>
      <w:r>
        <w:t xml:space="preserve">Follow instructions on use, storage</w:t>
      </w:r>
      <w:r>
        <w:t xml:space="preserve"> </w:t>
      </w:r>
      <w:r>
        <w:t xml:space="preserve">and disposal</w:t>
      </w:r>
      <w:r>
        <w:t xml:space="preserve"> </w:t>
      </w:r>
      <w:r>
        <w:t xml:space="preserve">Follow instructions for application</w:t>
      </w:r>
      <w:r>
        <w:t xml:space="preserve"> </w:t>
      </w:r>
      <w:r>
        <w:t xml:space="preserve">and dosage</w:t>
      </w:r>
      <w:r>
        <w:t xml:space="preserve"> </w:t>
      </w:r>
      <w:r>
        <w:t xml:space="preserve">Not use the product</w:t>
      </w:r>
      <w:r>
        <w:t xml:space="preserve"> </w:t>
      </w:r>
      <w:r>
        <w:t xml:space="preserve">Return the product</w:t>
      </w:r>
      <w:r>
        <w:t xml:space="preserve"> </w:t>
      </w:r>
      <w:r>
        <w:t xml:space="preserve">Ask a retailer for help</w:t>
      </w:r>
      <w:r>
        <w:t xml:space="preserve"> </w:t>
      </w:r>
      <w:r>
        <w:t xml:space="preserve">Ask a relative or friend for help</w:t>
      </w:r>
      <w:r>
        <w:t xml:space="preserve"> </w:t>
      </w:r>
      <w:r>
        <w:t xml:space="preserve">Try to find further information</w:t>
      </w:r>
      <w:r>
        <w:t xml:space="preserve"> </w:t>
      </w:r>
      <w:r>
        <w:t xml:space="preserve">Read the label</w:t>
      </w:r>
      <w:r>
        <w:t xml:space="preserve"> </w:t>
      </w:r>
      <w:r>
        <w:t xml:space="preserve">Glue</w:t>
      </w:r>
      <w:r>
        <w:t xml:space="preserve"> </w:t>
      </w:r>
      <w:r>
        <w:t xml:space="preserve">Follow instructions to prevent</w:t>
      </w:r>
      <w:r>
        <w:t xml:space="preserve"> </w:t>
      </w:r>
      <w:r>
        <w:t xml:space="preserve">adverse effects</w:t>
      </w:r>
      <w:r>
        <w:t xml:space="preserve"> </w:t>
      </w:r>
      <w:r>
        <w:t xml:space="preserve">Follow instructions on use, storage</w:t>
      </w:r>
      <w:r>
        <w:t xml:space="preserve"> </w:t>
      </w:r>
      <w:r>
        <w:t xml:space="preserve">and disposal</w:t>
      </w:r>
      <w:r>
        <w:t xml:space="preserve"> </w:t>
      </w:r>
      <w:r>
        <w:t xml:space="preserve">Follow instructions for application</w:t>
      </w:r>
      <w:r>
        <w:t xml:space="preserve"> </w:t>
      </w:r>
      <w:r>
        <w:t xml:space="preserve">and dosage</w:t>
      </w:r>
      <w:r>
        <w:t xml:space="preserve"> </w:t>
      </w:r>
      <w:r>
        <w:t xml:space="preserve">Not use the product</w:t>
      </w:r>
      <w:r>
        <w:t xml:space="preserve"> </w:t>
      </w:r>
      <w:r>
        <w:t xml:space="preserve">Return the product</w:t>
      </w:r>
      <w:r>
        <w:t xml:space="preserve"> </w:t>
      </w:r>
      <w:r>
        <w:t xml:space="preserve">Ask a retailer for help</w:t>
      </w:r>
      <w:r>
        <w:t xml:space="preserve"> </w:t>
      </w:r>
      <w:r>
        <w:t xml:space="preserve">Ask a relative or friend for help</w:t>
      </w:r>
      <w:r>
        <w:t xml:space="preserve"> </w:t>
      </w:r>
      <w:r>
        <w:t xml:space="preserve">Try to find further information</w:t>
      </w:r>
      <w:r>
        <w:t xml:space="preserve"> </w:t>
      </w:r>
      <w:r>
        <w:t xml:space="preserve">Read the label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In conclusion, results show that consumers are motivated to apply appropriate steps related</w:t>
      </w:r>
      <w:r>
        <w:t xml:space="preserve"> </w:t>
      </w:r>
      <w:r>
        <w:t xml:space="preserve">to labelling information. Especially reading the label and following instructions appears to</w:t>
      </w:r>
      <w:r>
        <w:t xml:space="preserve"> </w:t>
      </w:r>
      <w:r>
        <w:t xml:space="preserve">be relevant whereas there is no indication that provided information was insufficient and</w:t>
      </w:r>
      <w:r>
        <w:t xml:space="preserve"> </w:t>
      </w:r>
      <w:r>
        <w:t xml:space="preserve">consumers would need further information or help.</w:t>
      </w:r>
      <w:r>
        <w:t xml:space="preserve"> </w:t>
      </w:r>
      <w:r>
        <w:t xml:space="preserve">Behaviour in Case of an Accident</w:t>
      </w:r>
      <w:r>
        <w:t xml:space="preserve"> </w:t>
      </w:r>
      <w:r>
        <w:t xml:space="preserve">Results regarding consumers’ behaviour in case of an accident are displayed in Figure 42. The</w:t>
      </w:r>
      <w:r>
        <w:t xml:space="preserve"> </w:t>
      </w:r>
      <w:r>
        <w:t xml:space="preserve">results show that consumers indeed would be willing to take appropriate actions. The</w:t>
      </w:r>
      <w:r>
        <w:t xml:space="preserve"> </w:t>
      </w:r>
      <w:r>
        <w:t xml:space="preserve">majority indicated performing first aid measure, bringing the packaging to the doctor and</w:t>
      </w:r>
      <w:r>
        <w:t xml:space="preserve"> </w:t>
      </w:r>
      <w:r>
        <w:t xml:space="preserve">calling a doctor. In contrast, only 11% indicated that they would need to consult further</w:t>
      </w:r>
      <w:r>
        <w:t xml:space="preserve"> </w:t>
      </w:r>
      <w:r>
        <w:t xml:space="preserve">sources, i.e. via a search engine or the website of the manufacturer.</w:t>
      </w:r>
      <w:r>
        <w:t xml:space="preserve"> </w:t>
      </w:r>
      <w:r>
        <w:t xml:space="preserve">Figure 42: Behaviour in Case of an Accident by Product (Status Quo Label)</w:t>
      </w:r>
    </w:p>
    <w:p>
      <w:pPr>
        <w:pStyle w:val="BodyText"/>
      </w:pPr>
      <w:r>
        <w:t xml:space="preserve">Notes: The question was: “Imagine an accident occurs while using this product. This could be that you or a</w:t>
      </w:r>
      <w:r>
        <w:t xml:space="preserve"> </w:t>
      </w:r>
      <w:r>
        <w:t xml:space="preserve">member of your household swallows the product or the product splashes into someone’s eyes. What would you</w:t>
      </w:r>
      <w:r>
        <w:t xml:space="preserve"> </w:t>
      </w:r>
      <w:r>
        <w:t xml:space="preserve">do? (Select all that apply)”</w:t>
      </w:r>
      <w:r>
        <w:t xml:space="preserve"> </w:t>
      </w:r>
      <w:r>
        <w:t xml:space="preserve">Number of observations: N=670 (LD), N=670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The results confirm previous findings and show that consumers would take the appropriate</w:t>
      </w:r>
      <w:r>
        <w:t xml:space="preserve"> </w:t>
      </w:r>
      <w:r>
        <w:t xml:space="preserve">measures in case of an accidents. Furthermore, they did not indicate a need for further</w:t>
      </w:r>
      <w:r>
        <w:t xml:space="preserve"> </w:t>
      </w:r>
      <w:r>
        <w:t xml:space="preserve">information by consulting additional resources.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72%</w:t>
      </w:r>
      <w:r>
        <w:t xml:space="preserve"> </w:t>
      </w:r>
      <w:r>
        <w:t xml:space="preserve">63%</w:t>
      </w:r>
      <w:r>
        <w:t xml:space="preserve"> </w:t>
      </w:r>
      <w:r>
        <w:t xml:space="preserve">11%</w:t>
      </w:r>
      <w:r>
        <w:t xml:space="preserve"> </w:t>
      </w:r>
      <w:r>
        <w:t xml:space="preserve">47%</w:t>
      </w:r>
      <w:r>
        <w:t xml:space="preserve"> </w:t>
      </w:r>
      <w:r>
        <w:t xml:space="preserve">38%</w:t>
      </w:r>
      <w:r>
        <w:t xml:space="preserve"> </w:t>
      </w:r>
      <w:r>
        <w:t xml:space="preserve">53%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10%</w:t>
      </w:r>
      <w:r>
        <w:t xml:space="preserve"> </w:t>
      </w:r>
      <w:r>
        <w:t xml:space="preserve">72%</w:t>
      </w:r>
      <w:r>
        <w:t xml:space="preserve"> </w:t>
      </w:r>
      <w:r>
        <w:t xml:space="preserve">54%</w:t>
      </w:r>
      <w:r>
        <w:t xml:space="preserve"> </w:t>
      </w:r>
      <w:r>
        <w:t xml:space="preserve">11%</w:t>
      </w:r>
      <w:r>
        <w:t xml:space="preserve"> </w:t>
      </w:r>
      <w:r>
        <w:t xml:space="preserve">51%</w:t>
      </w:r>
      <w:r>
        <w:t xml:space="preserve"> </w:t>
      </w:r>
      <w:r>
        <w:t xml:space="preserve">36%</w:t>
      </w:r>
      <w:r>
        <w:t xml:space="preserve"> </w:t>
      </w:r>
      <w:r>
        <w:t xml:space="preserve">49%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Don’t know</w:t>
      </w:r>
      <w:r>
        <w:t xml:space="preserve"> </w:t>
      </w:r>
      <w:r>
        <w:t xml:space="preserve">All of the above</w:t>
      </w:r>
      <w:r>
        <w:t xml:space="preserve"> </w:t>
      </w:r>
      <w:r>
        <w:t xml:space="preserve">None of the above</w:t>
      </w:r>
      <w:r>
        <w:t xml:space="preserve"> </w:t>
      </w:r>
      <w:r>
        <w:t xml:space="preserve">Other</w:t>
      </w:r>
      <w:r>
        <w:t xml:space="preserve"> </w:t>
      </w:r>
      <w:r>
        <w:t xml:space="preserve">Consult the internet</w:t>
      </w:r>
      <w:r>
        <w:t xml:space="preserve"> </w:t>
      </w:r>
      <w:r>
        <w:t xml:space="preserve">Perform first aid measures</w:t>
      </w:r>
      <w:r>
        <w:t xml:space="preserve"> </w:t>
      </w:r>
      <w:r>
        <w:t xml:space="preserve">Bring packaging or picture of label</w:t>
      </w:r>
      <w:r>
        <w:t xml:space="preserve"> </w:t>
      </w:r>
      <w:r>
        <w:t xml:space="preserve">to doctor</w:t>
      </w:r>
      <w:r>
        <w:t xml:space="preserve"> </w:t>
      </w:r>
      <w:r>
        <w:t xml:space="preserve">Consult website of manufacturer</w:t>
      </w:r>
      <w:r>
        <w:t xml:space="preserve"> </w:t>
      </w:r>
      <w:r>
        <w:t xml:space="preserve">Read label instructions</w:t>
      </w:r>
      <w:r>
        <w:t xml:space="preserve"> </w:t>
      </w:r>
      <w:r>
        <w:t xml:space="preserve">Call a poison centre</w:t>
      </w:r>
      <w:r>
        <w:t xml:space="preserve"> </w:t>
      </w:r>
      <w:r>
        <w:t xml:space="preserve">Call a doctor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Glue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Dosage Behaviour</w:t>
      </w:r>
      <w:r>
        <w:t xml:space="preserve"> </w:t>
      </w:r>
      <w:r>
        <w:t xml:space="preserve">As highlighted before, there is no “good” or “bad” behaviour when it comes to dosing the</w:t>
      </w:r>
      <w:r>
        <w:t xml:space="preserve"> </w:t>
      </w:r>
      <w:r>
        <w:t xml:space="preserve">product. Nevertheless, dosage information following legislation considers several relevant</w:t>
      </w:r>
      <w:r>
        <w:t xml:space="preserve"> </w:t>
      </w:r>
      <w:r>
        <w:t xml:space="preserve">aspects such as the water hardness and degree of soiling that determine the optimal amount of</w:t>
      </w:r>
      <w:r>
        <w:t xml:space="preserve"> </w:t>
      </w:r>
      <w:r>
        <w:t xml:space="preserve">a product. Furthermore, tools such as a measuring cup or the product lid are helpful in order to</w:t>
      </w:r>
      <w:r>
        <w:t xml:space="preserve"> </w:t>
      </w:r>
      <w:r>
        <w:t xml:space="preserve">avoid over-dosing. On the other hand, measuring from experience would only be appropriate</w:t>
      </w:r>
      <w:r>
        <w:t xml:space="preserve"> </w:t>
      </w:r>
      <w:r>
        <w:t xml:space="preserve">if a consumer uses a product that he/she used before (and already considered relevant dosage</w:t>
      </w:r>
      <w:r>
        <w:t xml:space="preserve"> </w:t>
      </w:r>
      <w:r>
        <w:t xml:space="preserve">information).</w:t>
      </w:r>
      <w:r>
        <w:t xml:space="preserve"> </w:t>
      </w:r>
      <w:r>
        <w:t xml:space="preserve">Figure 43 displays the results on dosage behaviour for the laundry detergent.34 Results show</w:t>
      </w:r>
      <w:r>
        <w:t xml:space="preserve"> </w:t>
      </w:r>
      <w:r>
        <w:t xml:space="preserve">that indeed relevant measures were claimed to be taken by at least 40%, whereas only 25%</w:t>
      </w:r>
      <w:r>
        <w:t xml:space="preserve"> </w:t>
      </w:r>
      <w:r>
        <w:t xml:space="preserve">of the participants would rely on their personal experience of using such a product. Lastly,</w:t>
      </w:r>
      <w:r>
        <w:t xml:space="preserve"> </w:t>
      </w:r>
      <w:r>
        <w:t xml:space="preserve">only 1% of the participants indicated to take none of the presented actions.</w:t>
      </w:r>
      <w:r>
        <w:t xml:space="preserve"> </w:t>
      </w:r>
      <w:r>
        <w:t xml:space="preserve">Figure 43: Dosage Behaviour for Laundry Detergent (Status Quo Label)</w:t>
      </w:r>
    </w:p>
    <w:p>
      <w:pPr>
        <w:pStyle w:val="BodyText"/>
      </w:pPr>
      <w:r>
        <w:t xml:space="preserve">Notes: The question was: “Imagine you would like to use this product. Which aspects do you consider and which</w:t>
      </w:r>
      <w:r>
        <w:t xml:space="preserve"> </w:t>
      </w:r>
      <w:r>
        <w:t xml:space="preserve">tools would you use when dosing the product? (Select all that apply)”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Again, results demonstrate that consumers would follow relevant instructions included in the</w:t>
      </w:r>
      <w:r>
        <w:t xml:space="preserve"> </w:t>
      </w:r>
      <w:r>
        <w:t xml:space="preserve">dosage table of a product. Therefore, both water hardness as well as degree of soiling would</w:t>
      </w:r>
      <w:r>
        <w:t xml:space="preserve"> </w:t>
      </w:r>
      <w:r>
        <w:t xml:space="preserve">be considered. Similarly, consumers indicated that they would measure the product by using a</w:t>
      </w:r>
      <w:r>
        <w:t xml:space="preserve"> </w:t>
      </w:r>
      <w:r>
        <w:t xml:space="preserve">tool instead of basing their decision on experience alone.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Taken the results on the third research question together consumers are (subjectively) able to</w:t>
      </w:r>
      <w:r>
        <w:t xml:space="preserve"> </w:t>
      </w:r>
      <w:r>
        <w:t xml:space="preserve">interpret chemical labels under the current legislation/regulations. They draw appropriate</w:t>
      </w:r>
    </w:p>
    <w:p>
      <w:pPr>
        <w:pStyle w:val="BodyText"/>
      </w:pPr>
      <w:r>
        <w:t xml:space="preserve">34 Dosage behaviour was not elicited if a participant was assigned to the glue treatments.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25%</w:t>
      </w:r>
      <w:r>
        <w:t xml:space="preserve"> </w:t>
      </w:r>
      <w:r>
        <w:t xml:space="preserve">51%</w:t>
      </w:r>
      <w:r>
        <w:t xml:space="preserve"> </w:t>
      </w:r>
      <w:r>
        <w:t xml:space="preserve">49%</w:t>
      </w:r>
      <w:r>
        <w:t xml:space="preserve"> </w:t>
      </w:r>
      <w:r>
        <w:t xml:space="preserve">50%</w:t>
      </w:r>
      <w:r>
        <w:t xml:space="preserve"> </w:t>
      </w:r>
      <w:r>
        <w:t xml:space="preserve">49%</w:t>
      </w:r>
      <w:r>
        <w:t xml:space="preserve"> </w:t>
      </w:r>
      <w:r>
        <w:t xml:space="preserve">42%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Don’t know</w:t>
      </w:r>
      <w:r>
        <w:t xml:space="preserve"> </w:t>
      </w:r>
      <w:r>
        <w:t xml:space="preserve">All of the above</w:t>
      </w:r>
      <w:r>
        <w:t xml:space="preserve"> </w:t>
      </w:r>
      <w:r>
        <w:t xml:space="preserve">None of the above</w:t>
      </w:r>
      <w:r>
        <w:t xml:space="preserve"> </w:t>
      </w:r>
      <w:r>
        <w:t xml:space="preserve">Measure from experience</w:t>
      </w:r>
      <w:r>
        <w:t xml:space="preserve"> </w:t>
      </w:r>
      <w:r>
        <w:t xml:space="preserve">Use lid</w:t>
      </w:r>
      <w:r>
        <w:t xml:space="preserve"> </w:t>
      </w:r>
      <w:r>
        <w:t xml:space="preserve">Use measuring cup</w:t>
      </w:r>
      <w:r>
        <w:t xml:space="preserve"> </w:t>
      </w:r>
      <w:r>
        <w:t xml:space="preserve">Consider the amount of laundry</w:t>
      </w:r>
      <w:r>
        <w:t xml:space="preserve"> </w:t>
      </w:r>
      <w:r>
        <w:t xml:space="preserve">Consider degree of soiling</w:t>
      </w:r>
      <w:r>
        <w:t xml:space="preserve"> </w:t>
      </w:r>
      <w:r>
        <w:t xml:space="preserve">Consider water hardness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conclusions from the given information at display, i.e. the questions on risk ratings uniformly</w:t>
      </w:r>
      <w:r>
        <w:t xml:space="preserve"> </w:t>
      </w:r>
      <w:r>
        <w:t xml:space="preserve">show that consumers attach more risk to an objectively riskier product. Furthermore, they are</w:t>
      </w:r>
      <w:r>
        <w:t xml:space="preserve"> </w:t>
      </w:r>
      <w:r>
        <w:t xml:space="preserve">able to interpret specific label elements on hazards and process them correctly. In addition, the</w:t>
      </w:r>
      <w:r>
        <w:t xml:space="preserve"> </w:t>
      </w:r>
      <w:r>
        <w:t xml:space="preserve">results show that CLP-relevant label elements are the ones consumers base their perception on,</w:t>
      </w:r>
      <w:r>
        <w:t xml:space="preserve"> </w:t>
      </w:r>
      <w:r>
        <w:t xml:space="preserve">i.e. the GHS pictogram as well as hazard and precautionary statements. In the light of the</w:t>
      </w:r>
      <w:r>
        <w:t xml:space="preserve"> </w:t>
      </w:r>
      <w:r>
        <w:t xml:space="preserve">second research question on the importance of labelling elements, results are confirmative.</w:t>
      </w:r>
      <w:r>
        <w:t xml:space="preserve"> </w:t>
      </w:r>
      <w:r>
        <w:t xml:space="preserve">Hence, consumers not only rate CLP elements as important but also base their risk perception</w:t>
      </w:r>
      <w:r>
        <w:t xml:space="preserve"> </w:t>
      </w:r>
      <w:r>
        <w:t xml:space="preserve">on them.</w:t>
      </w:r>
      <w:r>
        <w:t xml:space="preserve"> </w:t>
      </w:r>
      <w:r>
        <w:t xml:space="preserve">Next to the interpretation of labels it is also important that labelling induces appropriate</w:t>
      </w:r>
      <w:r>
        <w:t xml:space="preserve"> </w:t>
      </w:r>
      <w:r>
        <w:t xml:space="preserve">behaviour. Hence, labelling should be constructed so that consumers take the correct measures</w:t>
      </w:r>
      <w:r>
        <w:t xml:space="preserve"> </w:t>
      </w:r>
      <w:r>
        <w:t xml:space="preserve">in case of an accident and it should be assured that no further information is lacking. The results</w:t>
      </w:r>
      <w:r>
        <w:t xml:space="preserve"> </w:t>
      </w:r>
      <w:r>
        <w:t xml:space="preserve">show that indeed consumers would take appropriate measures and do not indicate a need</w:t>
      </w:r>
      <w:r>
        <w:t xml:space="preserve"> </w:t>
      </w:r>
      <w:r>
        <w:t xml:space="preserve">for further information or help. Additionally, consumers are motivated to read instructions</w:t>
      </w:r>
      <w:r>
        <w:t xml:space="preserve"> </w:t>
      </w:r>
      <w:r>
        <w:t xml:space="preserve">and consider dosage aspects as instructed. It must be noted that results are not based on actual</w:t>
      </w:r>
      <w:r>
        <w:t xml:space="preserve"> </w:t>
      </w:r>
      <w:r>
        <w:t xml:space="preserve">behaviour but rather self-reported. Nevertheless, it is in the best interest of consumers to follow</w:t>
      </w:r>
      <w:r>
        <w:t xml:space="preserve"> </w:t>
      </w:r>
      <w:r>
        <w:t xml:space="preserve">instructions in order to promote safe use and prevent adverse effects that may arise from</w:t>
      </w:r>
      <w:r>
        <w:t xml:space="preserve"> </w:t>
      </w:r>
      <w:r>
        <w:t xml:space="preserve">chemical substances.</w:t>
      </w:r>
      <w:r>
        <w:t xml:space="preserve"> </w:t>
      </w:r>
      <w:r>
        <w:t xml:space="preserve">RQ 4: Does label simplification and the introduction of digital tools positively or</w:t>
      </w:r>
      <w:r>
        <w:t xml:space="preserve"> </w:t>
      </w:r>
      <w:r>
        <w:t xml:space="preserve">negatively affect consumers’ understanding and perceptions?</w:t>
      </w:r>
      <w:r>
        <w:t xml:space="preserve"> </w:t>
      </w:r>
      <w:r>
        <w:t xml:space="preserve">The fourth research question aimed at investigating whether labels could be simplified. As</w:t>
      </w:r>
      <w:r>
        <w:t xml:space="preserve"> </w:t>
      </w:r>
      <w:r>
        <w:t xml:space="preserve">described in the methodology section based on desk research a third treatment was introduced</w:t>
      </w:r>
      <w:r>
        <w:t xml:space="preserve"> </w:t>
      </w:r>
      <w:r>
        <w:t xml:space="preserve">that was a simplification of the Status Quo Label. While most CLP-related information was</w:t>
      </w:r>
      <w:r>
        <w:t xml:space="preserve"> </w:t>
      </w:r>
      <w:r>
        <w:t xml:space="preserve">maintained, certain aspects were reduced and moved to a website that could be accessed via a</w:t>
      </w:r>
      <w:r>
        <w:t xml:space="preserve"> </w:t>
      </w:r>
      <w:r>
        <w:t xml:space="preserve">QR code. In the following, we refer to the third label as Simplified Label with QR Code and</w:t>
      </w:r>
      <w:r>
        <w:t xml:space="preserve"> </w:t>
      </w:r>
      <w:r>
        <w:t xml:space="preserve">investigate how it performs compared to the No Label Baseline as well as the Status Quo Label.</w:t>
      </w:r>
      <w:r>
        <w:t xml:space="preserve"> </w:t>
      </w:r>
      <w:r>
        <w:t xml:space="preserve">Therefore, several questions on understanding as well as consumer perceptions are presented.</w:t>
      </w:r>
    </w:p>
    <w:p>
      <w:pPr>
        <w:pStyle w:val="BodyText"/>
      </w:pPr>
      <w:r>
        <w:t xml:space="preserve">Objective Understanding</w:t>
      </w:r>
      <w:r>
        <w:t xml:space="preserve"> </w:t>
      </w:r>
      <w:r>
        <w:t xml:space="preserve">The first set of questions that aimed at investigating the performance of the different labelling</w:t>
      </w:r>
      <w:r>
        <w:t xml:space="preserve"> </w:t>
      </w:r>
      <w:r>
        <w:t xml:space="preserve">treatments regarded the objective understanding of label information. Therefore, participants</w:t>
      </w:r>
      <w:r>
        <w:t xml:space="preserve"> </w:t>
      </w:r>
      <w:r>
        <w:t xml:space="preserve">were asked to reply to three objective questions on hazards, precautions as well as</w:t>
      </w:r>
      <w:r>
        <w:t xml:space="preserve"> </w:t>
      </w:r>
      <w:r>
        <w:t xml:space="preserve">ingredients that applied to the products.</w:t>
      </w:r>
      <w:r>
        <w:t xml:space="preserve"> </w:t>
      </w:r>
      <w:r>
        <w:t xml:space="preserve">Figure 44 displays the results for product hazards. 55% of the participants in the Simplified</w:t>
      </w:r>
      <w:r>
        <w:t xml:space="preserve"> </w:t>
      </w:r>
      <w:r>
        <w:t xml:space="preserve">Label treatment of the laundry detergent were able to correctly answer the question on</w:t>
      </w:r>
      <w:r>
        <w:t xml:space="preserve"> </w:t>
      </w:r>
      <w:r>
        <w:t xml:space="preserve">hazards. The share of correct answers in the Status Quo treatment was 54% and in the No Label</w:t>
      </w:r>
      <w:r>
        <w:t xml:space="preserve"> </w:t>
      </w:r>
      <w:r>
        <w:t xml:space="preserve">Baseline 8%. When comparing performance by treatment the difference between the</w:t>
      </w:r>
      <w:r>
        <w:t xml:space="preserve"> </w:t>
      </w:r>
      <w:r>
        <w:t xml:space="preserve">Simplified Label and No Label Baseline is highly statistically significant (p&lt;0.001).</w:t>
      </w:r>
      <w:r>
        <w:t xml:space="preserve"> </w:t>
      </w:r>
      <w:r>
        <w:t xml:space="preserve">Performance between the Simplified and Status Quo Label on the other hand is not (p=0.61).</w:t>
      </w:r>
      <w:r>
        <w:t xml:space="preserve"> </w:t>
      </w:r>
      <w:r>
        <w:t xml:space="preserve">The same pattern may be observed for the glue. In the Simplified Label treatment 28% of the</w:t>
      </w:r>
      <w:r>
        <w:t xml:space="preserve"> </w:t>
      </w:r>
      <w:r>
        <w:t xml:space="preserve">participants answered the question correctly, in the Status Quo Label treatment the share was</w:t>
      </w:r>
      <w:r>
        <w:t xml:space="preserve"> </w:t>
      </w:r>
      <w:r>
        <w:t xml:space="preserve">29% and for the No Label Baseline it was only 6%. Again, the difference between the</w:t>
      </w:r>
      <w:r>
        <w:t xml:space="preserve"> </w:t>
      </w:r>
      <w:r>
        <w:t xml:space="preserve">Simplified and Status Quo Label is not significant (p=0.79) while it is highly significant for the</w:t>
      </w:r>
      <w:r>
        <w:t xml:space="preserve"> </w:t>
      </w:r>
      <w:r>
        <w:t xml:space="preserve">Simplified Label and the No Label Baseline (p&lt;0.001).</w:t>
      </w:r>
      <w:r>
        <w:t xml:space="preserve"> </w:t>
      </w:r>
      <w:r>
        <w:t xml:space="preserve">Figure 44: Objective Understanding of Product Hazards by Treatment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Notes: The question was: “Please select all statements that are true about the product displayed on the left:”</w:t>
      </w:r>
      <w:r>
        <w:t xml:space="preserve"> </w:t>
      </w:r>
      <w:r>
        <w:t xml:space="preserve">(Status Quo Label &amp; Simplified Label (QR)) and “Thinking about a [laundry detergent / glue], please select all</w:t>
      </w:r>
      <w:r>
        <w:t xml:space="preserve"> </w:t>
      </w:r>
      <w:r>
        <w:t xml:space="preserve">statements that are usually true about such a product:” (No Label Baseline).</w:t>
      </w:r>
      <w:r>
        <w:t xml:space="preserve"> </w:t>
      </w:r>
      <w:r>
        <w:t xml:space="preserve">Number of observations: N=2,001 (LD), N=2,002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Furthermore, data reveals that 75% of the participants assigned to the Simplified Label of the</w:t>
      </w:r>
      <w:r>
        <w:t xml:space="preserve"> </w:t>
      </w:r>
      <w:r>
        <w:t xml:space="preserve">laundry detergent zoomed in on the label. Of those who took a closer look 70% answered the</w:t>
      </w:r>
      <w:r>
        <w:t xml:space="preserve"> </w:t>
      </w:r>
      <w:r>
        <w:t xml:space="preserve">question on hazards correctly, while the share of correct answers among those who did not</w:t>
      </w:r>
      <w:r>
        <w:t xml:space="preserve"> </w:t>
      </w:r>
      <w:r>
        <w:t xml:space="preserve">zoom was only 11%. The difference between the groups is statistically highly significant</w:t>
      </w:r>
      <w:r>
        <w:t xml:space="preserve"> </w:t>
      </w:r>
      <w:r>
        <w:t xml:space="preserve">(p&lt;0.001). The same pattern emerges for the glue. Overall, 80% of the participants in the</w:t>
      </w:r>
      <w:r>
        <w:t xml:space="preserve"> </w:t>
      </w:r>
      <w:r>
        <w:t xml:space="preserve">Simplified Label treatment zoomed in on the label. Among those who zoomed the share of</w:t>
      </w:r>
      <w:r>
        <w:t xml:space="preserve"> </w:t>
      </w:r>
      <w:r>
        <w:t xml:space="preserve">correct answers was 34%, while it was only 5% among those who did not take a closer look at</w:t>
      </w:r>
      <w:r>
        <w:t xml:space="preserve"> </w:t>
      </w:r>
      <w:r>
        <w:t xml:space="preserve">the label. Again, the difference is highly statistically significant (p&lt;0.001).</w:t>
      </w:r>
      <w:r>
        <w:t xml:space="preserve"> </w:t>
      </w:r>
      <w:r>
        <w:t xml:space="preserve">Overall, participants in the Simplified Label treatment of the laundry detergent spent on</w:t>
      </w:r>
      <w:r>
        <w:t xml:space="preserve"> </w:t>
      </w:r>
      <w:r>
        <w:t xml:space="preserve">average 78 seconds to answer the question on hazards. For those assigned to the glue the</w:t>
      </w:r>
      <w:r>
        <w:t xml:space="preserve"> </w:t>
      </w:r>
      <w:r>
        <w:t xml:space="preserve">average was 89 seconds. Furthermore, the data reveals that there exists a positive and</w:t>
      </w:r>
      <w:r>
        <w:t xml:space="preserve"> </w:t>
      </w:r>
      <w:r>
        <w:t xml:space="preserve">significant correlation between time spent on the question and performance (0.43 for the</w:t>
      </w:r>
      <w:r>
        <w:t xml:space="preserve"> </w:t>
      </w:r>
      <w:r>
        <w:t xml:space="preserve">laundry detergent and 0.41 for the glue, both p&lt;0.001).</w:t>
      </w:r>
      <w:r>
        <w:t xml:space="preserve"> </w:t>
      </w:r>
      <w:r>
        <w:t xml:space="preserve">Figure 45 displays the results for precautionary statements that apply to the products. As can</w:t>
      </w:r>
      <w:r>
        <w:t xml:space="preserve"> </w:t>
      </w:r>
      <w:r>
        <w:t xml:space="preserve">be seen on the left (laundry detergent), the share of participants who correctly answer the</w:t>
      </w:r>
      <w:r>
        <w:t xml:space="preserve"> </w:t>
      </w:r>
      <w:r>
        <w:t xml:space="preserve">question in the Simplified Label treatment was 15%. For the Status Quo Label it was 17%</w:t>
      </w:r>
      <w:r>
        <w:t xml:space="preserve"> </w:t>
      </w:r>
      <w:r>
        <w:t xml:space="preserve">and for the No Label Baseline 1%. The difference between the Simplified Label and the No</w:t>
      </w:r>
      <w:r>
        <w:t xml:space="preserve"> </w:t>
      </w:r>
      <w:r>
        <w:t xml:space="preserve">Label Baseline is highly statistically significant (p&lt;0.001), while it is not when comparing the</w:t>
      </w:r>
      <w:r>
        <w:t xml:space="preserve"> </w:t>
      </w:r>
      <w:r>
        <w:t xml:space="preserve">Simplified and the Status Quo Label (p=0.31).</w:t>
      </w:r>
      <w:r>
        <w:t xml:space="preserve"> </w:t>
      </w:r>
      <w:r>
        <w:t xml:space="preserve">The same picture emerges when considering the glue (right side of the figure below). 11% in</w:t>
      </w:r>
      <w:r>
        <w:t xml:space="preserve"> </w:t>
      </w:r>
      <w:r>
        <w:t xml:space="preserve">the Simplified Label treatment answered the question correctly. The share for the Status Quo</w:t>
      </w:r>
      <w:r>
        <w:t xml:space="preserve"> </w:t>
      </w:r>
      <w:r>
        <w:t xml:space="preserve">Label was 12% and for the No Label Baseline it was 0%. The difference between the Simplified</w:t>
      </w:r>
      <w:r>
        <w:t xml:space="preserve"> </w:t>
      </w:r>
      <w:r>
        <w:t xml:space="preserve">Label and the No Label Baseline is again highly statistically significant (p&lt;0.001), while it is</w:t>
      </w:r>
      <w:r>
        <w:t xml:space="preserve"> </w:t>
      </w:r>
      <w:r>
        <w:t xml:space="preserve">not when comparing the Simplified and Status Quo Label (p=0.61).</w:t>
      </w:r>
      <w:r>
        <w:t xml:space="preserve"> </w:t>
      </w:r>
      <w:r>
        <w:t xml:space="preserve">Figure 45: Objective Understanding of Precautions by Treatment</w:t>
      </w:r>
      <w:r>
        <w:t xml:space="preserve"> </w:t>
      </w:r>
      <w:r>
        <w:t xml:space="preserve">54%</w:t>
      </w:r>
      <w:r>
        <w:t xml:space="preserve"> </w:t>
      </w:r>
      <w:r>
        <w:t xml:space="preserve">55%</w:t>
      </w:r>
      <w:r>
        <w:t xml:space="preserve"> </w:t>
      </w:r>
      <w:r>
        <w:t xml:space="preserve">8%</w:t>
      </w:r>
      <w:r>
        <w:t xml:space="preserve"> </w:t>
      </w:r>
      <w:r>
        <w:t xml:space="preserve">29%</w:t>
      </w:r>
      <w:r>
        <w:t xml:space="preserve"> </w:t>
      </w:r>
      <w:r>
        <w:t xml:space="preserve">28%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Status Quo</w:t>
      </w:r>
      <w:r>
        <w:t xml:space="preserve"> </w:t>
      </w:r>
      <w:r>
        <w:t xml:space="preserve">Label</w:t>
      </w:r>
      <w:r>
        <w:t xml:space="preserve"> </w:t>
      </w:r>
      <w:r>
        <w:t xml:space="preserve">Simplified</w:t>
      </w:r>
      <w:r>
        <w:t xml:space="preserve"> </w:t>
      </w:r>
      <w:r>
        <w:t xml:space="preserve">Label (QR)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No Label</w:t>
      </w:r>
      <w:r>
        <w:t xml:space="preserve"> </w:t>
      </w:r>
      <w:r>
        <w:t xml:space="preserve">Baseline</w:t>
      </w:r>
      <w:r>
        <w:t xml:space="preserve"> </w:t>
      </w:r>
      <w:r>
        <w:t xml:space="preserve">Status Quo</w:t>
      </w:r>
      <w:r>
        <w:t xml:space="preserve"> </w:t>
      </w:r>
      <w:r>
        <w:t xml:space="preserve">Label</w:t>
      </w:r>
      <w:r>
        <w:t xml:space="preserve"> </w:t>
      </w:r>
      <w:r>
        <w:t xml:space="preserve">Simplified</w:t>
      </w:r>
      <w:r>
        <w:t xml:space="preserve"> </w:t>
      </w:r>
      <w:r>
        <w:t xml:space="preserve">Label (QR)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No Label</w:t>
      </w:r>
      <w:r>
        <w:t xml:space="preserve"> </w:t>
      </w:r>
      <w:r>
        <w:t xml:space="preserve">Baseline</w:t>
      </w:r>
      <w:r>
        <w:t xml:space="preserve"> </w:t>
      </w:r>
      <w:r>
        <w:t xml:space="preserve">Hazards (Percentage Correct)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Glue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Notes: The question was: “From your reading of the label, when using this product would you: (Select all that</w:t>
      </w:r>
      <w:r>
        <w:t xml:space="preserve"> </w:t>
      </w:r>
      <w:r>
        <w:t xml:space="preserve">apply)” (Status Quo Label &amp; Simplified Label (QR)) and “When using a [laundry detergent / glue] would you:</w:t>
      </w:r>
      <w:r>
        <w:t xml:space="preserve"> </w:t>
      </w:r>
      <w:r>
        <w:t xml:space="preserve">(Select all that apply)” (No Label Baseline).</w:t>
      </w:r>
      <w:r>
        <w:t xml:space="preserve"> </w:t>
      </w:r>
      <w:r>
        <w:t xml:space="preserve">Number of observations: N=2,001 (LD), N=2,002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With respect to taking a closer look at the Simplified Label (zooming) the following results</w:t>
      </w:r>
      <w:r>
        <w:t xml:space="preserve"> </w:t>
      </w:r>
      <w:r>
        <w:t xml:space="preserve">emerge: In the Simplified Label treatment of the laundry detergent 64% of the participants</w:t>
      </w:r>
      <w:r>
        <w:t xml:space="preserve"> </w:t>
      </w:r>
      <w:r>
        <w:t xml:space="preserve">zoomed in on the label. Of those who zoomed 22% answered the question on precautionary</w:t>
      </w:r>
      <w:r>
        <w:t xml:space="preserve"> </w:t>
      </w:r>
      <w:r>
        <w:t xml:space="preserve">statements correctly, while the share of those who did not take a closer look was only 2%</w:t>
      </w:r>
      <w:r>
        <w:t xml:space="preserve"> </w:t>
      </w:r>
      <w:r>
        <w:t xml:space="preserve">(difference statistically significant, p&lt;0.001). Similarly, 68% in the Simplified Label treatment</w:t>
      </w:r>
      <w:r>
        <w:t xml:space="preserve"> </w:t>
      </w:r>
      <w:r>
        <w:t xml:space="preserve">of the glue zoomed in on the label. Among those participants who took a closer look 16%</w:t>
      </w:r>
      <w:r>
        <w:t xml:space="preserve"> </w:t>
      </w:r>
      <w:r>
        <w:t xml:space="preserve">answered the question correctly and among those who did not zoom the share was 1%</w:t>
      </w:r>
      <w:r>
        <w:t xml:space="preserve"> </w:t>
      </w:r>
      <w:r>
        <w:t xml:space="preserve">(difference statistically significant, p&lt;0.001).</w:t>
      </w:r>
      <w:r>
        <w:t xml:space="preserve"> </w:t>
      </w:r>
      <w:r>
        <w:t xml:space="preserve">Furthermore, the time spent to answer the question was on average 53 seconds for the laundry</w:t>
      </w:r>
      <w:r>
        <w:t xml:space="preserve"> </w:t>
      </w:r>
      <w:r>
        <w:t xml:space="preserve">detergent and 69 seconds for the glue. The more time participants spent to answer the question,</w:t>
      </w:r>
      <w:r>
        <w:t xml:space="preserve"> </w:t>
      </w:r>
      <w:r>
        <w:t xml:space="preserve">the higher were chances of answering the question correctly (correlation 0.37 for laundry</w:t>
      </w:r>
      <w:r>
        <w:t xml:space="preserve"> </w:t>
      </w:r>
      <w:r>
        <w:t xml:space="preserve">detergent and 0.31 for glue, both p&lt;0.001).</w:t>
      </w:r>
      <w:r>
        <w:t xml:space="preserve"> </w:t>
      </w:r>
      <w:r>
        <w:t xml:space="preserve">Lastly, Figure 46 displays the results for ingredients contained in the laundry detergent.</w:t>
      </w:r>
      <w:r>
        <w:t xml:space="preserve"> </w:t>
      </w:r>
      <w:r>
        <w:t xml:space="preserve">Participants in the Simplified Label treatment answered the question correctly in 36% of the</w:t>
      </w:r>
      <w:r>
        <w:t xml:space="preserve"> </w:t>
      </w:r>
      <w:r>
        <w:t xml:space="preserve">cases. The share of correct answers in the Status Quo Label treatment was 41% and in the No</w:t>
      </w:r>
      <w:r>
        <w:t xml:space="preserve"> </w:t>
      </w:r>
      <w:r>
        <w:t xml:space="preserve">Label Baseline it was 10%. Performance in the Simplified Label treatment was significantly</w:t>
      </w:r>
      <w:r>
        <w:t xml:space="preserve"> </w:t>
      </w:r>
      <w:r>
        <w:t xml:space="preserve">better than in the No Label Baseline (p&lt;0.001). Similarly, performance in the Status Quo Label</w:t>
      </w:r>
      <w:r>
        <w:t xml:space="preserve"> </w:t>
      </w:r>
      <w:r>
        <w:t xml:space="preserve">treatment was weakly, significantly better than in the Simplified Label treatment (p=0.05).</w:t>
      </w:r>
      <w:r>
        <w:t xml:space="preserve"> </w:t>
      </w:r>
      <w:r>
        <w:t xml:space="preserve">Nevertheless, the effect size of the performance is negligible (Cohen’s d = 0.11).</w:t>
      </w:r>
    </w:p>
    <w:p>
      <w:pPr>
        <w:pStyle w:val="BodyText"/>
      </w:pPr>
      <w:r>
        <w:t xml:space="preserve">17%</w:t>
      </w:r>
      <w:r>
        <w:t xml:space="preserve"> </w:t>
      </w:r>
      <w:r>
        <w:t xml:space="preserve">15%</w:t>
      </w:r>
      <w:r>
        <w:t xml:space="preserve"> </w:t>
      </w:r>
      <w:r>
        <w:t xml:space="preserve">1%</w:t>
      </w:r>
      <w:r>
        <w:t xml:space="preserve"> </w:t>
      </w:r>
      <w:r>
        <w:t xml:space="preserve">12%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Status Quo</w:t>
      </w:r>
      <w:r>
        <w:t xml:space="preserve"> </w:t>
      </w:r>
      <w:r>
        <w:t xml:space="preserve">Label</w:t>
      </w:r>
      <w:r>
        <w:t xml:space="preserve"> </w:t>
      </w:r>
      <w:r>
        <w:t xml:space="preserve">Simplified</w:t>
      </w:r>
      <w:r>
        <w:t xml:space="preserve"> </w:t>
      </w:r>
      <w:r>
        <w:t xml:space="preserve">Label (QR)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No Label</w:t>
      </w:r>
      <w:r>
        <w:t xml:space="preserve"> </w:t>
      </w:r>
      <w:r>
        <w:t xml:space="preserve">Baseline</w:t>
      </w:r>
      <w:r>
        <w:t xml:space="preserve"> </w:t>
      </w:r>
      <w:r>
        <w:t xml:space="preserve">Status Quo</w:t>
      </w:r>
      <w:r>
        <w:t xml:space="preserve"> </w:t>
      </w:r>
      <w:r>
        <w:t xml:space="preserve">Label</w:t>
      </w:r>
      <w:r>
        <w:t xml:space="preserve"> </w:t>
      </w:r>
      <w:r>
        <w:t xml:space="preserve">Simplified</w:t>
      </w:r>
      <w:r>
        <w:t xml:space="preserve"> </w:t>
      </w:r>
      <w:r>
        <w:t xml:space="preserve">Label (QR)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No Label</w:t>
      </w:r>
      <w:r>
        <w:t xml:space="preserve"> </w:t>
      </w:r>
      <w:r>
        <w:t xml:space="preserve">Baseline</w:t>
      </w:r>
      <w:r>
        <w:t xml:space="preserve"> </w:t>
      </w:r>
      <w:r>
        <w:t xml:space="preserve">Precautions (Percentage Correct)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Glue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Figure 46: Objective Understanding of Product Ingredients by Treatment</w:t>
      </w:r>
    </w:p>
    <w:p>
      <w:pPr>
        <w:pStyle w:val="BodyText"/>
      </w:pPr>
      <w:r>
        <w:t xml:space="preserve">Notes: The question was: “From your reading of the label, which ingredients are contained in this product?</w:t>
      </w:r>
      <w:r>
        <w:t xml:space="preserve"> </w:t>
      </w:r>
      <w:r>
        <w:t xml:space="preserve">(Select all that apply)” (Status Quo Label &amp; Simplified Label (QR)) and “From you experience with laundry</w:t>
      </w:r>
      <w:r>
        <w:t xml:space="preserve"> </w:t>
      </w:r>
      <w:r>
        <w:t xml:space="preserve">detergents which ingredients are usually contained in such a product? (Select all that apply)” (No Label</w:t>
      </w:r>
      <w:r>
        <w:t xml:space="preserve"> </w:t>
      </w:r>
      <w:r>
        <w:t xml:space="preserve">Baseline).</w:t>
      </w:r>
      <w:r>
        <w:t xml:space="preserve"> </w:t>
      </w:r>
      <w:r>
        <w:t xml:space="preserve">Number of observations: N=2,001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Information regarding the ingredients was not included on the actual packaging of the</w:t>
      </w:r>
      <w:r>
        <w:t xml:space="preserve"> </w:t>
      </w:r>
      <w:r>
        <w:t xml:space="preserve">Simplified Label but only could have been accessed via the QR code and the corresponding</w:t>
      </w:r>
      <w:r>
        <w:t xml:space="preserve"> </w:t>
      </w:r>
      <w:r>
        <w:t xml:space="preserve">website (pop-up to be shown on screen). Overall, 63% of the participants accessed the website</w:t>
      </w:r>
      <w:r>
        <w:t xml:space="preserve"> </w:t>
      </w:r>
      <w:r>
        <w:t xml:space="preserve">with the ingredients list. Among those who accessed the website the share of answering the</w:t>
      </w:r>
      <w:r>
        <w:t xml:space="preserve"> </w:t>
      </w:r>
      <w:r>
        <w:t xml:space="preserve">question on ingredients correctly was 54% while it was only 4% for those who did not access</w:t>
      </w:r>
      <w:r>
        <w:t xml:space="preserve"> </w:t>
      </w:r>
      <w:r>
        <w:t xml:space="preserve">the website (p&lt;0.001). Hence, consulting information enhances objective understanding by</w:t>
      </w:r>
      <w:r>
        <w:t xml:space="preserve"> </w:t>
      </w:r>
      <w:r>
        <w:t xml:space="preserve">consumers.</w:t>
      </w:r>
      <w:r>
        <w:t xml:space="preserve"> </w:t>
      </w:r>
      <w:r>
        <w:t xml:space="preserve">Furthermore, participants on average took 48 seconds to answer the question. Again, there</w:t>
      </w:r>
      <w:r>
        <w:t xml:space="preserve"> </w:t>
      </w:r>
      <w:r>
        <w:t xml:space="preserve">exists a positive and significant relationship between time spent to answer the question and</w:t>
      </w:r>
      <w:r>
        <w:t xml:space="preserve"> </w:t>
      </w:r>
      <w:r>
        <w:t xml:space="preserve">performance (0.38, p&lt;0.001).</w:t>
      </w:r>
      <w:r>
        <w:t xml:space="preserve"> </w:t>
      </w:r>
      <w:r>
        <w:t xml:space="preserve">In conclusion, the data shows that the Simplified Label with a QR Code performs</w:t>
      </w:r>
      <w:r>
        <w:t xml:space="preserve"> </w:t>
      </w:r>
      <w:r>
        <w:t xml:space="preserve">significantly better than the No Label Baseline, i.e. receiving relevant information induced</w:t>
      </w:r>
      <w:r>
        <w:t xml:space="preserve"> </w:t>
      </w:r>
      <w:r>
        <w:t xml:space="preserve">consumers to better understand safe use information compared to simply answering on</w:t>
      </w:r>
      <w:r>
        <w:t xml:space="preserve"> </w:t>
      </w:r>
      <w:r>
        <w:t xml:space="preserve">experience with chemical products. Furthermore, the Status Quo Label and the Simplified</w:t>
      </w:r>
      <w:r>
        <w:t xml:space="preserve"> </w:t>
      </w:r>
      <w:r>
        <w:t xml:space="preserve">Label perform equally with respect to hazards and precautions. Objective understanding of</w:t>
      </w:r>
      <w:r>
        <w:t xml:space="preserve"> </w:t>
      </w:r>
      <w:r>
        <w:t xml:space="preserve">the ingredients contained in the product was – at least weakly significantly – worse in the</w:t>
      </w:r>
      <w:r>
        <w:t xml:space="preserve"> </w:t>
      </w:r>
      <w:r>
        <w:t xml:space="preserve">Simplified Label treatment compared to the Status Quo Label, but the effect size was</w:t>
      </w:r>
      <w:r>
        <w:t xml:space="preserve"> </w:t>
      </w:r>
      <w:r>
        <w:t xml:space="preserve">negligible. An explanation for this could be that ingredient information in the Simplified Label</w:t>
      </w:r>
      <w:r>
        <w:t xml:space="preserve"> </w:t>
      </w:r>
      <w:r>
        <w:t xml:space="preserve">treatment was moved to a separate website to be accessed via a QR-code (pop-up on screen).</w:t>
      </w:r>
      <w:r>
        <w:t xml:space="preserve"> </w:t>
      </w:r>
      <w:r>
        <w:t xml:space="preserve">Accessing this website might be causing additional effort on the side of the consumer and</w:t>
      </w:r>
      <w:r>
        <w:t xml:space="preserve"> </w:t>
      </w:r>
      <w:r>
        <w:t xml:space="preserve">hence, not taking this further step on average negatively affects objective understanding.</w:t>
      </w:r>
      <w:r>
        <w:t xml:space="preserve"> </w:t>
      </w:r>
      <w:r>
        <w:t xml:space="preserve">Lastly, the data on actively consulting the label, i.e. zooming, confirms previous results. The</w:t>
      </w:r>
      <w:r>
        <w:t xml:space="preserve"> </w:t>
      </w:r>
      <w:r>
        <w:t xml:space="preserve">majority of participants were willing to take a closer look at the label in the experiment and</w:t>
      </w:r>
      <w:r>
        <w:t xml:space="preserve"> </w:t>
      </w:r>
      <w:r>
        <w:t xml:space="preserve">if they consulted the label their understanding was also better than when they did not consult</w:t>
      </w:r>
      <w:r>
        <w:t xml:space="preserve"> </w:t>
      </w:r>
      <w:r>
        <w:t xml:space="preserve">the label.</w:t>
      </w:r>
      <w:r>
        <w:br/>
      </w:r>
      <w:r>
        <w:t xml:space="preserve">41%</w:t>
      </w:r>
      <w:r>
        <w:t xml:space="preserve"> </w:t>
      </w:r>
      <w:r>
        <w:t xml:space="preserve">36%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Status Quo</w:t>
      </w:r>
      <w:r>
        <w:t xml:space="preserve"> </w:t>
      </w:r>
      <w:r>
        <w:t xml:space="preserve">Label</w:t>
      </w:r>
      <w:r>
        <w:t xml:space="preserve"> </w:t>
      </w:r>
      <w:r>
        <w:t xml:space="preserve">Simplified Label</w:t>
      </w:r>
      <w:r>
        <w:t xml:space="preserve"> </w:t>
      </w:r>
      <w:r>
        <w:t xml:space="preserve">(QR)</w:t>
      </w:r>
      <w:r>
        <w:t xml:space="preserve"> </w:t>
      </w:r>
      <w:r>
        <w:t xml:space="preserve">No Label</w:t>
      </w:r>
      <w:r>
        <w:t xml:space="preserve"> </w:t>
      </w:r>
      <w:r>
        <w:t xml:space="preserve">Baseline</w:t>
      </w:r>
      <w:r>
        <w:t xml:space="preserve"> </w:t>
      </w:r>
      <w:r>
        <w:t xml:space="preserve">Ingredients</w:t>
      </w:r>
      <w:r>
        <w:t xml:space="preserve"> </w:t>
      </w:r>
      <w:r>
        <w:t xml:space="preserve">(Percentage Correct)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Ability to Identify a Potentially Hazardous Product</w:t>
      </w:r>
      <w:r>
        <w:t xml:space="preserve"> </w:t>
      </w:r>
      <w:r>
        <w:t xml:space="preserve">In addition to the questions on objective understanding, the comparative choice task carried</w:t>
      </w:r>
      <w:r>
        <w:t xml:space="preserve"> </w:t>
      </w:r>
      <w:r>
        <w:t xml:space="preserve">out in the experiment may be taken as further evidence on consumers’ understanding of</w:t>
      </w:r>
      <w:r>
        <w:t xml:space="preserve"> </w:t>
      </w:r>
      <w:r>
        <w:t xml:space="preserve">labelling information. Participants were asked to identify the potentially less harmful</w:t>
      </w:r>
      <w:r>
        <w:t xml:space="preserve"> </w:t>
      </w:r>
      <w:r>
        <w:t xml:space="preserve">product among two.</w:t>
      </w:r>
      <w:r>
        <w:t xml:space="preserve"> </w:t>
      </w:r>
      <w:r>
        <w:t xml:space="preserve">As described previously for the laundry detergent, the original product was less harmful than</w:t>
      </w:r>
      <w:r>
        <w:t xml:space="preserve"> </w:t>
      </w:r>
      <w:r>
        <w:t xml:space="preserve">its twin. Figure 47 displays the results by treatment. It can be observed that the majority of the</w:t>
      </w:r>
      <w:r>
        <w:t xml:space="preserve"> </w:t>
      </w:r>
      <w:r>
        <w:t xml:space="preserve">participants (62%) in the Simplified Label treatment were able to correctly identify the less</w:t>
      </w:r>
      <w:r>
        <w:t xml:space="preserve"> </w:t>
      </w:r>
      <w:r>
        <w:t xml:space="preserve">harmful product. The share among participants in the Status Quo Label was 64% and in the No</w:t>
      </w:r>
      <w:r>
        <w:t xml:space="preserve"> </w:t>
      </w:r>
      <w:r>
        <w:t xml:space="preserve">Label Baseline it was 16%. When comparing the treatments with respect to correct answers, it</w:t>
      </w:r>
      <w:r>
        <w:t xml:space="preserve"> </w:t>
      </w:r>
      <w:r>
        <w:t xml:space="preserve">can be found that the distribution of the Simplified Label and the No Label Baseline is highly</w:t>
      </w:r>
      <w:r>
        <w:t xml:space="preserve"> </w:t>
      </w:r>
      <w:r>
        <w:t xml:space="preserve">statistically different (p&lt;0.001). The difference between the Simplified Label and Status Quo</w:t>
      </w:r>
      <w:r>
        <w:t xml:space="preserve"> </w:t>
      </w:r>
      <w:r>
        <w:t xml:space="preserve">Label, on the other hand, is not statistically significant (p=0.46).</w:t>
      </w:r>
      <w:r>
        <w:t xml:space="preserve"> </w:t>
      </w:r>
      <w:r>
        <w:t xml:space="preserve">Figure 47: Comparative Choice Task Laundry Detergent by Treatment</w:t>
      </w:r>
    </w:p>
    <w:p>
      <w:pPr>
        <w:pStyle w:val="BodyText"/>
      </w:pPr>
      <w:r>
        <w:t xml:space="preserve">Notes: The question was: “Please take a look at the two laundry detergents. Taking into consideration the</w:t>
      </w:r>
      <w:r>
        <w:t xml:space="preserve"> </w:t>
      </w:r>
      <w:r>
        <w:t xml:space="preserve">information available here, which product is less harmful, i.e. less hazardous for human health or the</w:t>
      </w:r>
      <w:r>
        <w:t xml:space="preserve"> </w:t>
      </w:r>
      <w:r>
        <w:t xml:space="preserve">environment?”. “Don’t know”-category only available for No Label Baseline.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Furthermore, the data from the comparative choice task shows that 72% of the participants</w:t>
      </w:r>
      <w:r>
        <w:t xml:space="preserve"> </w:t>
      </w:r>
      <w:r>
        <w:t xml:space="preserve">zoomed in on both labels displayed on screen. 21% consulted one of the two labels and 8%</w:t>
      </w:r>
      <w:r>
        <w:t xml:space="preserve"> </w:t>
      </w:r>
      <w:r>
        <w:t xml:space="preserve">did not zoom. Among those who zoomed in on both labels 66% were able to correctly identify</w:t>
      </w:r>
      <w:r>
        <w:t xml:space="preserve"> </w:t>
      </w:r>
      <w:r>
        <w:t xml:space="preserve">the less harmful product. The share among those who only consulted one of the two labels was</w:t>
      </w:r>
      <w:r>
        <w:t xml:space="preserve"> </w:t>
      </w:r>
      <w:r>
        <w:t xml:space="preserve">55% and among those who zoomed in on none it was 47% (difference highly statistically</w:t>
      </w:r>
      <w:r>
        <w:t xml:space="preserve"> </w:t>
      </w:r>
      <w:r>
        <w:t xml:space="preserve">significant, p&lt;0.001).</w:t>
      </w:r>
      <w:r>
        <w:t xml:space="preserve"> </w:t>
      </w:r>
      <w:r>
        <w:t xml:space="preserve">The comparative choice task for the glue was designed such that the original product was more</w:t>
      </w:r>
      <w:r>
        <w:t xml:space="preserve"> </w:t>
      </w:r>
      <w:r>
        <w:t xml:space="preserve">harmful than its twin. Hence, correctly interpreting labelling information would lead</w:t>
      </w:r>
      <w:r>
        <w:t xml:space="preserve"> </w:t>
      </w:r>
      <w:r>
        <w:t xml:space="preserve">participants to choose the twin product. Figure 48 displays the results by treatment. Again, the</w:t>
      </w:r>
      <w:r>
        <w:t xml:space="preserve"> </w:t>
      </w:r>
      <w:r>
        <w:t xml:space="preserve">majority of participants (69%) in the Simplified Label treatment were able to make the</w:t>
      </w:r>
      <w:r>
        <w:t xml:space="preserve"> </w:t>
      </w:r>
      <w:r>
        <w:t xml:space="preserve">correct choice. The share for the Status Quo Label is 68% and for the No Label Baseline it is</w:t>
      </w:r>
      <w:r>
        <w:t xml:space="preserve"> </w:t>
      </w:r>
      <w:r>
        <w:t xml:space="preserve">16%. When comparing the distribution of correct answers by treatment it can be found that the</w:t>
      </w:r>
      <w:r>
        <w:t xml:space="preserve"> </w:t>
      </w:r>
      <w:r>
        <w:t xml:space="preserve">Simplified Label treatment and the No Label Baseline are highly statistically different</w:t>
      </w:r>
      <w:r>
        <w:t xml:space="preserve"> </w:t>
      </w:r>
      <w:r>
        <w:t xml:space="preserve">64%</w:t>
      </w:r>
      <w:r>
        <w:t xml:space="preserve"> </w:t>
      </w:r>
      <w:r>
        <w:t xml:space="preserve">62%</w:t>
      </w:r>
      <w:r>
        <w:t xml:space="preserve"> </w:t>
      </w:r>
      <w:r>
        <w:t xml:space="preserve">16%</w:t>
      </w:r>
      <w:r>
        <w:t xml:space="preserve"> </w:t>
      </w:r>
      <w:r>
        <w:t xml:space="preserve">36%</w:t>
      </w:r>
      <w:r>
        <w:t xml:space="preserve"> </w:t>
      </w:r>
      <w:r>
        <w:t xml:space="preserve">38%</w:t>
      </w:r>
      <w:r>
        <w:t xml:space="preserve"> </w:t>
      </w:r>
      <w:r>
        <w:t xml:space="preserve">28%</w:t>
      </w:r>
      <w:r>
        <w:t xml:space="preserve"> </w:t>
      </w:r>
      <w:r>
        <w:t xml:space="preserve">56%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Status Quo Label</w:t>
      </w:r>
      <w:r>
        <w:t xml:space="preserve"> </w:t>
      </w:r>
      <w:r>
        <w:t xml:space="preserve">Simplified Label (QR)</w:t>
      </w:r>
      <w:r>
        <w:t xml:space="preserve"> </w:t>
      </w:r>
      <w:r>
        <w:t xml:space="preserve">No Label Baseline</w:t>
      </w:r>
      <w:r>
        <w:t xml:space="preserve"> </w:t>
      </w:r>
      <w:r>
        <w:t xml:space="preserve">Comparative Choice:</w:t>
      </w:r>
      <w:r>
        <w:t xml:space="preserve"> </w:t>
      </w:r>
      <w:r>
        <w:t xml:space="preserve">Laundry Detergent</w:t>
      </w:r>
      <w:r>
        <w:t xml:space="preserve"> </w:t>
      </w:r>
      <w:r>
        <w:t xml:space="preserve">Original</w:t>
      </w:r>
      <w:r>
        <w:t xml:space="preserve"> </w:t>
      </w:r>
      <w:r>
        <w:t xml:space="preserve">Twin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(p&lt;0.001). The difference between the Simplified Label and the Status Quo Label, on the other</w:t>
      </w:r>
      <w:r>
        <w:t xml:space="preserve"> </w:t>
      </w:r>
      <w:r>
        <w:t xml:space="preserve">hand, is not significant (p=0.77).</w:t>
      </w:r>
      <w:r>
        <w:t xml:space="preserve"> </w:t>
      </w:r>
      <w:r>
        <w:t xml:space="preserve">Figure 48: Comparative Choice Task Glue by Treatment</w:t>
      </w:r>
    </w:p>
    <w:p>
      <w:pPr>
        <w:pStyle w:val="BodyText"/>
      </w:pPr>
      <w:r>
        <w:t xml:space="preserve">Notes: The question was: “Please take a look at the two glues. Taking into consideration the information available</w:t>
      </w:r>
      <w:r>
        <w:t xml:space="preserve"> </w:t>
      </w:r>
      <w:r>
        <w:t xml:space="preserve">here, which product is less harmful, i.e. less hazardous for human health or the environment?”. “Don’t know”-</w:t>
      </w:r>
      <w:r>
        <w:t xml:space="preserve"> </w:t>
      </w:r>
      <w:r>
        <w:t xml:space="preserve">category only available for No Label Baseline.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With respect to zooming behaviour the data shows that 71% of the participants in the</w:t>
      </w:r>
      <w:r>
        <w:t xml:space="preserve"> </w:t>
      </w:r>
      <w:r>
        <w:t xml:space="preserve">Simplified Label treatment consulted both labels, 25% consulted one of the two and 5%</w:t>
      </w:r>
      <w:r>
        <w:t xml:space="preserve"> </w:t>
      </w:r>
      <w:r>
        <w:t xml:space="preserve">consulted none. Among those who consulted both labels, 70% answered the question correctly,</w:t>
      </w:r>
      <w:r>
        <w:t xml:space="preserve"> </w:t>
      </w:r>
      <w:r>
        <w:t xml:space="preserve">among those who zoomed on one of the two labels the share was 65% and among those who</w:t>
      </w:r>
      <w:r>
        <w:t xml:space="preserve"> </w:t>
      </w:r>
      <w:r>
        <w:t xml:space="preserve">did not zoom the share was 65% (differences not statistically significant, p=0.24).</w:t>
      </w:r>
      <w:r>
        <w:br/>
      </w:r>
      <w:r>
        <w:t xml:space="preserve">In conclusion, the results from the comparative choice task confirm the findings from the</w:t>
      </w:r>
      <w:r>
        <w:t xml:space="preserve"> </w:t>
      </w:r>
      <w:r>
        <w:t xml:space="preserve">previous question on objective understanding. The Simplified Label performs significantly</w:t>
      </w:r>
      <w:r>
        <w:t xml:space="preserve"> </w:t>
      </w:r>
      <w:r>
        <w:t xml:space="preserve">better than the No Label Baseline, i.e. having label information allows consumers to make</w:t>
      </w:r>
      <w:r>
        <w:t xml:space="preserve"> </w:t>
      </w:r>
      <w:r>
        <w:t xml:space="preserve">the correct choice. Similarly, the Simplified Label and the Status Quo Label perform</w:t>
      </w:r>
      <w:r>
        <w:t xml:space="preserve"> </w:t>
      </w:r>
      <w:r>
        <w:t xml:space="preserve">equally well. Lastly, consumers were willing to consult the label to gather relevant</w:t>
      </w:r>
      <w:r>
        <w:t xml:space="preserve"> </w:t>
      </w:r>
      <w:r>
        <w:t xml:space="preserve">information and zooming in on the label partially helped consumers to make a better choice.</w:t>
      </w:r>
    </w:p>
    <w:p>
      <w:pPr>
        <w:pStyle w:val="BodyText"/>
      </w:pPr>
      <w:r>
        <w:t xml:space="preserve">Rating of understandability and ease to find</w:t>
      </w:r>
      <w:r>
        <w:t xml:space="preserve"> </w:t>
      </w:r>
      <w:r>
        <w:t xml:space="preserve">As presented in the section on the first research question, consumers rated the Status Quo Label</w:t>
      </w:r>
      <w:r>
        <w:t xml:space="preserve"> </w:t>
      </w:r>
      <w:r>
        <w:t xml:space="preserve">on average as rather or very easy to understand. Similarly, the individual label elements such</w:t>
      </w:r>
      <w:r>
        <w:t xml:space="preserve"> </w:t>
      </w:r>
      <w:r>
        <w:t xml:space="preserve">as GHS-pictograms, hazard and precautionary statements were on average rated as rather or</w:t>
      </w:r>
      <w:r>
        <w:t xml:space="preserve"> </w:t>
      </w:r>
      <w:r>
        <w:t xml:space="preserve">very easy to find on the packaging. In the following the rating of understandability and ease to</w:t>
      </w:r>
      <w:r>
        <w:t xml:space="preserve"> </w:t>
      </w:r>
      <w:r>
        <w:t xml:space="preserve">find of the Simplified Label with QR-code is presented. Furthermore, the difference between</w:t>
      </w:r>
      <w:r>
        <w:t xml:space="preserve"> </w:t>
      </w:r>
      <w:r>
        <w:t xml:space="preserve">the two labelling variants is statistically analysed.</w:t>
      </w:r>
      <w:r>
        <w:t xml:space="preserve"> </w:t>
      </w:r>
      <w:r>
        <w:t xml:space="preserve">The question on understandability was rated on a scale from “very easy to understand” (1) to</w:t>
      </w:r>
      <w:r>
        <w:t xml:space="preserve"> </w:t>
      </w:r>
      <w:r>
        <w:t xml:space="preserve">“very difficult to understand” (5). The average rating over both products and all information</w:t>
      </w:r>
      <w:r>
        <w:t xml:space="preserve"> </w:t>
      </w:r>
      <w:r>
        <w:t xml:space="preserve">elements was 2.00 for the Simplified Label which corresponds with “rather easy to</w:t>
      </w:r>
      <w:r>
        <w:t xml:space="preserve"> </w:t>
      </w:r>
      <w:r>
        <w:t xml:space="preserve">understand”. The average rating of the Status Quo Label was slightly better with 1.94 which</w:t>
      </w:r>
      <w:r>
        <w:t xml:space="preserve"> </w:t>
      </w:r>
      <w:r>
        <w:t xml:space="preserve">also corresponds with “rather easy to understand”. Although the difference between the</w:t>
      </w:r>
      <w:r>
        <w:t xml:space="preserve"> </w:t>
      </w:r>
      <w:r>
        <w:t xml:space="preserve">32%</w:t>
      </w:r>
      <w:r>
        <w:t xml:space="preserve"> </w:t>
      </w:r>
      <w:r>
        <w:t xml:space="preserve">31%</w:t>
      </w:r>
      <w:r>
        <w:t xml:space="preserve"> </w:t>
      </w:r>
      <w:r>
        <w:t xml:space="preserve">18%</w:t>
      </w:r>
      <w:r>
        <w:t xml:space="preserve"> </w:t>
      </w:r>
      <w:r>
        <w:t xml:space="preserve">68%</w:t>
      </w:r>
      <w:r>
        <w:t xml:space="preserve"> </w:t>
      </w:r>
      <w:r>
        <w:t xml:space="preserve">69%</w:t>
      </w:r>
      <w:r>
        <w:t xml:space="preserve"> </w:t>
      </w:r>
      <w:r>
        <w:t xml:space="preserve">16%</w:t>
      </w:r>
      <w:r>
        <w:t xml:space="preserve"> </w:t>
      </w:r>
      <w:r>
        <w:t xml:space="preserve">66%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Status Quo Label</w:t>
      </w:r>
      <w:r>
        <w:t xml:space="preserve"> </w:t>
      </w:r>
      <w:r>
        <w:t xml:space="preserve">Simplified Label (QR)</w:t>
      </w:r>
      <w:r>
        <w:t xml:space="preserve"> </w:t>
      </w:r>
      <w:r>
        <w:t xml:space="preserve">No Label Baseline</w:t>
      </w:r>
      <w:r>
        <w:t xml:space="preserve"> </w:t>
      </w:r>
      <w:r>
        <w:t xml:space="preserve">Comparative Choice:</w:t>
      </w:r>
      <w:r>
        <w:t xml:space="preserve"> </w:t>
      </w:r>
      <w:r>
        <w:t xml:space="preserve">Glue</w:t>
      </w:r>
      <w:r>
        <w:t xml:space="preserve"> </w:t>
      </w:r>
      <w:r>
        <w:t xml:space="preserve">Original</w:t>
      </w:r>
      <w:r>
        <w:t xml:space="preserve"> </w:t>
      </w:r>
      <w:r>
        <w:t xml:space="preserve">Twin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Simplified and Status Quo Label is weakly statistically significant (p=0.04) the absolute</w:t>
      </w:r>
      <w:r>
        <w:t xml:space="preserve"> </w:t>
      </w:r>
      <w:r>
        <w:t xml:space="preserve">difference is rather negligible.</w:t>
      </w:r>
      <w:r>
        <w:t xml:space="preserve"> </w:t>
      </w:r>
      <w:r>
        <w:t xml:space="preserve">The question on ease to find the relevant label elements was rated on a scale for “very easy to</w:t>
      </w:r>
      <w:r>
        <w:t xml:space="preserve"> </w:t>
      </w:r>
      <w:r>
        <w:t xml:space="preserve">find” (1) to “very difficult to find” (5). The average rating over both products and information</w:t>
      </w:r>
      <w:r>
        <w:t xml:space="preserve"> </w:t>
      </w:r>
      <w:r>
        <w:t xml:space="preserve">elements was 2.06 for the Simplified Label which corresponds with “rather easy to find”.</w:t>
      </w:r>
      <w:r>
        <w:t xml:space="preserve"> </w:t>
      </w:r>
      <w:r>
        <w:t xml:space="preserve">The average of the Status Quo Label was slightly better with 2.00 which also corresponds with</w:t>
      </w:r>
      <w:r>
        <w:t xml:space="preserve"> </w:t>
      </w:r>
      <w:r>
        <w:t xml:space="preserve">“rather easy to find”. Although the difference between the two label variants is weakly</w:t>
      </w:r>
      <w:r>
        <w:t xml:space="preserve"> </w:t>
      </w:r>
      <w:r>
        <w:t xml:space="preserve">statistically significant (p=0.05), it again appears not very large.</w:t>
      </w:r>
      <w:r>
        <w:t xml:space="preserve"> </w:t>
      </w:r>
      <w:r>
        <w:t xml:space="preserve">As noted above, the Simplified Label was constructed such that the dosage table on-pack was</w:t>
      </w:r>
      <w:r>
        <w:t xml:space="preserve"> </w:t>
      </w:r>
      <w:r>
        <w:t xml:space="preserve">reduced and the full table was available on a separate website to be accessed via the QR code.</w:t>
      </w:r>
      <w:r>
        <w:t xml:space="preserve"> </w:t>
      </w:r>
      <w:r>
        <w:t xml:space="preserve">Furthermore, the list of ingredients was removed from the package label and moved to the QR</w:t>
      </w:r>
      <w:r>
        <w:t xml:space="preserve"> </w:t>
      </w:r>
      <w:r>
        <w:t xml:space="preserve">code website. Hence, the analysis investigates the ease to find for those two label elements in</w:t>
      </w:r>
      <w:r>
        <w:t xml:space="preserve"> </w:t>
      </w:r>
      <w:r>
        <w:t xml:space="preserve">more detail and compares the ratings between the Status Quo and Simplified Label. The</w:t>
      </w:r>
      <w:r>
        <w:t xml:space="preserve"> </w:t>
      </w:r>
      <w:r>
        <w:t xml:space="preserve">average rating of the ease to find the dosage table was 1.70 for the Status Quo Label and 2.10</w:t>
      </w:r>
      <w:r>
        <w:t xml:space="preserve"> </w:t>
      </w:r>
      <w:r>
        <w:t xml:space="preserve">for the Simplified Label, i.e. “rather easy to find”. Although the difference is statistically</w:t>
      </w:r>
      <w:r>
        <w:t xml:space="preserve"> </w:t>
      </w:r>
      <w:r>
        <w:t xml:space="preserve">significant (p&lt;0.001), the effect size is low (Cohen’ d = 0.43). Similarly, the ease to find-rating</w:t>
      </w:r>
      <w:r>
        <w:t xml:space="preserve"> </w:t>
      </w:r>
      <w:r>
        <w:t xml:space="preserve">of the list of ingredients was on average 1.90 for the Status Quo Label and 2.19 for the</w:t>
      </w:r>
      <w:r>
        <w:t xml:space="preserve"> </w:t>
      </w:r>
      <w:r>
        <w:t xml:space="preserve">Simplified Label. The difference is statistically significant (p&lt;0.001), but again, the effect size</w:t>
      </w:r>
      <w:r>
        <w:t xml:space="preserve"> </w:t>
      </w:r>
      <w:r>
        <w:t xml:space="preserve">is only small (Cohen’s d = 0.32).</w:t>
      </w:r>
      <w:r>
        <w:t xml:space="preserve"> </w:t>
      </w:r>
      <w:r>
        <w:t xml:space="preserve">Hence, both the results from subjective understanding and ease to find relevant label elements</w:t>
      </w:r>
      <w:r>
        <w:t xml:space="preserve"> </w:t>
      </w:r>
      <w:r>
        <w:t xml:space="preserve">show that the Simplified and the Status Quo Label are rated equally well by consumers.</w:t>
      </w:r>
      <w:r>
        <w:t xml:space="preserve"> </w:t>
      </w:r>
      <w:r>
        <w:t xml:space="preserve">Nevertheless, it must me noted that the rating questions are subjective and self-reported and</w:t>
      </w:r>
      <w:r>
        <w:t xml:space="preserve"> </w:t>
      </w:r>
      <w:r>
        <w:t xml:space="preserve">hence, the appreciation of the labels could be over-rated by participants. Especially, because</w:t>
      </w:r>
      <w:r>
        <w:t xml:space="preserve"> </w:t>
      </w:r>
      <w:r>
        <w:t xml:space="preserve">the overall performance in the questions on objective understanding is poor. But both</w:t>
      </w:r>
      <w:r>
        <w:t xml:space="preserve"> </w:t>
      </w:r>
      <w:r>
        <w:t xml:space="preserve">subjective ratings and objective performance point in the same direction, i.e. the Status Quo</w:t>
      </w:r>
      <w:r>
        <w:t xml:space="preserve"> </w:t>
      </w:r>
      <w:r>
        <w:t xml:space="preserve">Label and the Simplified Label perform equally.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In conclusion, the results on the fourth research question show that the Simplified Label with</w:t>
      </w:r>
      <w:r>
        <w:t xml:space="preserve"> </w:t>
      </w:r>
      <w:r>
        <w:t xml:space="preserve">QR code performs significantly better than the No Label Baseline. Hence, providing this</w:t>
      </w:r>
      <w:r>
        <w:t xml:space="preserve"> </w:t>
      </w:r>
      <w:r>
        <w:t xml:space="preserve">type of labelling information can inform consumers with respect to relevant measures on safe</w:t>
      </w:r>
      <w:r>
        <w:t xml:space="preserve"> </w:t>
      </w:r>
      <w:r>
        <w:t xml:space="preserve">use. Additionally, the Simplified Label performs equally well as the Status Quo Label, with</w:t>
      </w:r>
      <w:r>
        <w:t xml:space="preserve"> </w:t>
      </w:r>
      <w:r>
        <w:t xml:space="preserve">the exception of ingredients information where the Status Quo Label performs slightly better.</w:t>
      </w:r>
      <w:r>
        <w:t xml:space="preserve"> </w:t>
      </w:r>
      <w:r>
        <w:t xml:space="preserve">An explanation for the later finding may be that the effort of receiving ingredients</w:t>
      </w:r>
      <w:r>
        <w:t xml:space="preserve"> </w:t>
      </w:r>
      <w:r>
        <w:t xml:space="preserve">information is larger for the Simplified Label, i.e. information is moved to a separate website</w:t>
      </w:r>
      <w:r>
        <w:t xml:space="preserve"> </w:t>
      </w:r>
      <w:r>
        <w:t xml:space="preserve">to be accessed via the QR-code. It must be noted that the experiment was only able to mimic</w:t>
      </w:r>
      <w:r>
        <w:t xml:space="preserve"> </w:t>
      </w:r>
      <w:r>
        <w:t xml:space="preserve">access behaviour, i.e. opening the QR code in the experiment was comparatively easy and</w:t>
      </w:r>
      <w:r>
        <w:t xml:space="preserve"> </w:t>
      </w:r>
      <w:r>
        <w:t xml:space="preserve">consumers could access the website as a pop-up directly on screen. In reality consumers would</w:t>
      </w:r>
      <w:r>
        <w:t xml:space="preserve"> </w:t>
      </w:r>
      <w:r>
        <w:t xml:space="preserve">need to take their smartphone and scan the QR code in order to receive relevant information</w:t>
      </w:r>
      <w:r>
        <w:t xml:space="preserve"> </w:t>
      </w:r>
      <w:r>
        <w:t xml:space="preserve">which might require more effort. Furthermore, accessing the QR code is only possible for</w:t>
      </w:r>
      <w:r>
        <w:t xml:space="preserve"> </w:t>
      </w:r>
      <w:r>
        <w:t xml:space="preserve">consumers that own a smartphone and have access to mobile data.</w:t>
      </w:r>
      <w:r>
        <w:t xml:space="preserve"> </w:t>
      </w:r>
      <w:r>
        <w:t xml:space="preserve">Lastly, both labels are also subjectively rated very positive, i.e. with respect to subjective</w:t>
      </w:r>
      <w:r>
        <w:t xml:space="preserve"> </w:t>
      </w:r>
      <w:r>
        <w:t xml:space="preserve">understanding and ease to find relevant labelling elements. The Status Quo Label under current</w:t>
      </w:r>
      <w:r>
        <w:t xml:space="preserve"> </w:t>
      </w:r>
      <w:r>
        <w:t xml:space="preserve">regulation is rated slightly better than the Simplified Label. Nevertheless, the difference is not</w:t>
      </w:r>
      <w:r>
        <w:t xml:space="preserve"> </w:t>
      </w:r>
      <w:r>
        <w:t xml:space="preserve">great and hence, both labels should be interpreted as equally good.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RQ 5: Do consumers prefer information to remain on the physical label or to be</w:t>
      </w:r>
      <w:r>
        <w:t xml:space="preserve"> </w:t>
      </w:r>
      <w:r>
        <w:t xml:space="preserve">communicated via digital tools?</w:t>
      </w:r>
      <w:r>
        <w:t xml:space="preserve"> </w:t>
      </w:r>
      <w:r>
        <w:t xml:space="preserve">The fifth research question focusses on consumers’ preferences regarding the ways to</w:t>
      </w:r>
      <w:r>
        <w:t xml:space="preserve"> </w:t>
      </w:r>
      <w:r>
        <w:t xml:space="preserve">communicate CLP- and Detergents-relevant information. As the previous section</w:t>
      </w:r>
      <w:r>
        <w:t xml:space="preserve"> </w:t>
      </w:r>
      <w:r>
        <w:t xml:space="preserve">demonstrated, both the Status Quo Label under current regulation and the Simplified Label</w:t>
      </w:r>
      <w:r>
        <w:t xml:space="preserve"> </w:t>
      </w:r>
      <w:r>
        <w:t xml:space="preserve">with a QR code performed equally well with respect to objective understanding of hazards and</w:t>
      </w:r>
      <w:r>
        <w:t xml:space="preserve"> </w:t>
      </w:r>
      <w:r>
        <w:t xml:space="preserve">precautions. Although the understanding of ingredients and ratings of subjective</w:t>
      </w:r>
      <w:r>
        <w:t xml:space="preserve"> </w:t>
      </w:r>
      <w:r>
        <w:t xml:space="preserve">understandability and ease to find were slightly lower for the Simplified Label, the results are</w:t>
      </w:r>
      <w:r>
        <w:t xml:space="preserve"> </w:t>
      </w:r>
      <w:r>
        <w:t xml:space="preserve">not conclusive regarding whether analogue or digital labelling is preferred by consumers.</w:t>
      </w:r>
      <w:r>
        <w:t xml:space="preserve"> </w:t>
      </w:r>
      <w:r>
        <w:t xml:space="preserve">Hence, the final set of questions asked participants to indicate their willingness to consult</w:t>
      </w:r>
      <w:r>
        <w:t xml:space="preserve"> </w:t>
      </w:r>
      <w:r>
        <w:t xml:space="preserve">labelling information via different means. Furthermore, participants were asked to choose</w:t>
      </w:r>
      <w:r>
        <w:t xml:space="preserve"> </w:t>
      </w:r>
      <w:r>
        <w:t xml:space="preserve">between physical and digital communication for CLP- and Detergents-relevant labelling</w:t>
      </w:r>
      <w:r>
        <w:t xml:space="preserve"> </w:t>
      </w:r>
      <w:r>
        <w:t xml:space="preserve">aspects.</w:t>
      </w:r>
    </w:p>
    <w:p>
      <w:pPr>
        <w:pStyle w:val="BodyText"/>
      </w:pPr>
      <w:r>
        <w:t xml:space="preserve">Reading Behaviour</w:t>
      </w:r>
      <w:r>
        <w:t xml:space="preserve"> </w:t>
      </w:r>
      <w:r>
        <w:t xml:space="preserve">As a first step, participants were asked about their reading behaviour of chemical labels, i.e. </w:t>
      </w:r>
      <w:r>
        <w:t xml:space="preserve"> </w:t>
      </w:r>
      <w:r>
        <w:t xml:space="preserve">the point in time when they would usually read safety information. Figure 49 displays the</w:t>
      </w:r>
      <w:r>
        <w:t xml:space="preserve"> </w:t>
      </w:r>
      <w:r>
        <w:t xml:space="preserve">results. The most frequent answers with 44% and 43% respectively indicated reading the label</w:t>
      </w:r>
      <w:r>
        <w:t xml:space="preserve"> </w:t>
      </w:r>
      <w:r>
        <w:t xml:space="preserve">before first use or before purchase. 33% said to read it when in doubt and 17% every use.</w:t>
      </w:r>
      <w:r>
        <w:t xml:space="preserve"> </w:t>
      </w:r>
      <w:r>
        <w:t xml:space="preserve">13% indicated to read it in case of an accident and only 8% said not to read the label.</w:t>
      </w:r>
      <w:r>
        <w:t xml:space="preserve"> </w:t>
      </w:r>
      <w:r>
        <w:t xml:space="preserve">Figure 49: Reading Behaviour of Labels</w:t>
      </w:r>
    </w:p>
    <w:p>
      <w:pPr>
        <w:pStyle w:val="BodyText"/>
      </w:pPr>
      <w:r>
        <w:t xml:space="preserve">Notes: The question was: “When do you usually read the safety information on a label of a chemical product such</w:t>
      </w:r>
      <w:r>
        <w:t xml:space="preserve"> </w:t>
      </w:r>
      <w:r>
        <w:t xml:space="preserve">as a laundry detergent or glue? (Select all that apply)”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Hence, the point in time when consumers usually consult labelling information is either at</w:t>
      </w:r>
      <w:r>
        <w:t xml:space="preserve"> </w:t>
      </w:r>
      <w:r>
        <w:t xml:space="preserve">purchase (before buying the product) or before using the product at home. Hence, the means</w:t>
      </w:r>
      <w:r>
        <w:t xml:space="preserve"> </w:t>
      </w:r>
      <w:r>
        <w:t xml:space="preserve">of communicating relevant information on safe use, ingredients and dosage should be tailored</w:t>
      </w:r>
      <w:r>
        <w:t xml:space="preserve"> </w:t>
      </w:r>
      <w:r>
        <w:t xml:space="preserve">to these situations. The share of consulting the label in case of an accident was comparatively</w:t>
      </w:r>
      <w:r>
        <w:t xml:space="preserve"> </w:t>
      </w:r>
      <w:r>
        <w:t xml:space="preserve">low which might be because not too many consumers “usually” experience accidents with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13%</w:t>
      </w:r>
      <w:r>
        <w:t xml:space="preserve"> </w:t>
      </w:r>
      <w:r>
        <w:t xml:space="preserve">33%</w:t>
      </w:r>
      <w:r>
        <w:t xml:space="preserve"> </w:t>
      </w:r>
      <w:r>
        <w:t xml:space="preserve">17%</w:t>
      </w:r>
      <w:r>
        <w:t xml:space="preserve"> </w:t>
      </w:r>
      <w:r>
        <w:t xml:space="preserve">44%</w:t>
      </w:r>
      <w:r>
        <w:t xml:space="preserve"> </w:t>
      </w:r>
      <w:r>
        <w:t xml:space="preserve">43%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Don’t know</w:t>
      </w:r>
      <w:r>
        <w:t xml:space="preserve"> </w:t>
      </w:r>
      <w:r>
        <w:t xml:space="preserve">Usually do not read</w:t>
      </w:r>
      <w:r>
        <w:t xml:space="preserve"> </w:t>
      </w:r>
      <w:r>
        <w:t xml:space="preserve">In an accident</w:t>
      </w:r>
      <w:r>
        <w:t xml:space="preserve"> </w:t>
      </w:r>
      <w:r>
        <w:t xml:space="preserve">When in doubt</w:t>
      </w:r>
      <w:r>
        <w:t xml:space="preserve"> </w:t>
      </w:r>
      <w:r>
        <w:t xml:space="preserve">Every use</w:t>
      </w:r>
      <w:r>
        <w:t xml:space="preserve"> </w:t>
      </w:r>
      <w:r>
        <w:t xml:space="preserve">Before first use</w:t>
      </w:r>
      <w:r>
        <w:t xml:space="preserve"> </w:t>
      </w:r>
      <w:r>
        <w:t xml:space="preserve">Before purchase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chemical products. When looking at the results from the third research question, it can be seen</w:t>
      </w:r>
      <w:r>
        <w:t xml:space="preserve"> </w:t>
      </w:r>
      <w:r>
        <w:t xml:space="preserve">that consulting the label in case of an accident is indeed a relevant measure to prevent adverse</w:t>
      </w:r>
      <w:r>
        <w:t xml:space="preserve"> </w:t>
      </w:r>
      <w:r>
        <w:t xml:space="preserve">effects.</w:t>
      </w:r>
    </w:p>
    <w:p>
      <w:pPr>
        <w:pStyle w:val="BodyText"/>
      </w:pPr>
      <w:r>
        <w:t xml:space="preserve">Information Channels</w:t>
      </w:r>
      <w:r>
        <w:t xml:space="preserve"> </w:t>
      </w:r>
      <w:r>
        <w:t xml:space="preserve">The second question focusses on the general willingness to consult chemical labels by</w:t>
      </w:r>
      <w:r>
        <w:t xml:space="preserve"> </w:t>
      </w:r>
      <w:r>
        <w:t xml:space="preserve">different analogue and digital means. Therefore, participants were asked to indicate whether</w:t>
      </w:r>
      <w:r>
        <w:t xml:space="preserve"> </w:t>
      </w:r>
      <w:r>
        <w:t xml:space="preserve">they would actively consult label instructions and safe use information via the package label,</w:t>
      </w:r>
      <w:r>
        <w:t xml:space="preserve"> </w:t>
      </w:r>
      <w:r>
        <w:t xml:space="preserve">different types of websites as well as digital tools such as QR-codes or smartphone apps.</w:t>
      </w:r>
      <w:r>
        <w:t xml:space="preserve"> </w:t>
      </w:r>
      <w:r>
        <w:t xml:space="preserve">Figure 50 displays the results by information channel. The vast majority of participants (75%)</w:t>
      </w:r>
      <w:r>
        <w:t xml:space="preserve"> </w:t>
      </w:r>
      <w:r>
        <w:t xml:space="preserve">indicated that they would consult labelling information via the physical packaging. All other</w:t>
      </w:r>
      <w:r>
        <w:t xml:space="preserve"> </w:t>
      </w:r>
      <w:r>
        <w:t xml:space="preserve">means were less popular. 18% chose the manufacturer’s website, 13% digital tools such as QR-</w:t>
      </w:r>
      <w:r>
        <w:t xml:space="preserve"> </w:t>
      </w:r>
      <w:r>
        <w:t xml:space="preserve">or barcodes, 11% an online store website and 6% an in-store scanning station or smartphone</w:t>
      </w:r>
      <w:r>
        <w:t xml:space="preserve"> </w:t>
      </w:r>
      <w:r>
        <w:t xml:space="preserve">app. The percentage of consumers who are willing to consult at least one digital tool is 35%.35</w:t>
      </w:r>
      <w:r>
        <w:t xml:space="preserve"> </w:t>
      </w:r>
      <w:r>
        <w:t xml:space="preserve">Figure 50: Willingness to Consult Labelling Information via different Information Channels</w:t>
      </w:r>
    </w:p>
    <w:p>
      <w:pPr>
        <w:pStyle w:val="BodyText"/>
      </w:pPr>
      <w:r>
        <w:t xml:space="preserve">Notes: The question was: “When purchasing or using a chemical product such as a laundry detergent or glue,</w:t>
      </w:r>
      <w:r>
        <w:t xml:space="preserve"> </w:t>
      </w:r>
      <w:r>
        <w:t xml:space="preserve">would you actively consult use instructions, information on hazards or precautions via any of the following means:</w:t>
      </w:r>
      <w:r>
        <w:t xml:space="preserve"> </w:t>
      </w:r>
      <w:r>
        <w:t xml:space="preserve">(Select all that apply)”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In conclusion, the results are a first indication that physical labelling is the preferred option.</w:t>
      </w:r>
      <w:r>
        <w:t xml:space="preserve"> </w:t>
      </w:r>
      <w:r>
        <w:t xml:space="preserve">The vast majority indicated to be willing to consult information via the packaging of the</w:t>
      </w:r>
      <w:r>
        <w:t xml:space="preserve"> </w:t>
      </w:r>
      <w:r>
        <w:t xml:space="preserve">product. Nevertheless, it must also be noted that approx. one third of the consumers are at</w:t>
      </w:r>
      <w:r>
        <w:t xml:space="preserve"> </w:t>
      </w:r>
      <w:r>
        <w:t xml:space="preserve">least willing to consider digital means.</w:t>
      </w:r>
    </w:p>
    <w:p>
      <w:pPr>
        <w:pStyle w:val="BodyText"/>
      </w:pPr>
      <w:r>
        <w:t xml:space="preserve">Preference for Communicating Label Elements (analogue versus digital)</w:t>
      </w:r>
      <w:r>
        <w:t xml:space="preserve"> </w:t>
      </w:r>
      <w:r>
        <w:t xml:space="preserve">Following the previous results on the general willingness to consult labelling information via</w:t>
      </w:r>
      <w:r>
        <w:t xml:space="preserve"> </w:t>
      </w:r>
      <w:r>
        <w:t xml:space="preserve">different means, the subsequent question asked participants to indicate their preference</w:t>
      </w:r>
    </w:p>
    <w:p>
      <w:pPr>
        <w:pStyle w:val="BodyText"/>
      </w:pPr>
      <w:r>
        <w:t xml:space="preserve">35 The binary variable groups those consumers who selected either the manufacturer’s website, online store</w:t>
      </w:r>
      <w:r>
        <w:t xml:space="preserve"> </w:t>
      </w:r>
      <w:r>
        <w:t xml:space="preserve">website, in-store scanning station, digital tools (QR- / barcode), smartphone app or a combination of the digital</w:t>
      </w:r>
      <w:r>
        <w:t xml:space="preserve"> </w:t>
      </w:r>
      <w:r>
        <w:t xml:space="preserve">tools versus those who did not select any digital tool.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13%</w:t>
      </w:r>
      <w:r>
        <w:t xml:space="preserve"> </w:t>
      </w:r>
      <w:r>
        <w:t xml:space="preserve">6%</w:t>
      </w:r>
      <w:r>
        <w:t xml:space="preserve"> </w:t>
      </w:r>
      <w:r>
        <w:t xml:space="preserve">11%</w:t>
      </w:r>
      <w:r>
        <w:t xml:space="preserve"> </w:t>
      </w:r>
      <w:r>
        <w:t xml:space="preserve">18%</w:t>
      </w:r>
      <w:r>
        <w:t xml:space="preserve"> </w:t>
      </w:r>
      <w:r>
        <w:t xml:space="preserve">75%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Don’t know</w:t>
      </w:r>
      <w:r>
        <w:t xml:space="preserve"> </w:t>
      </w:r>
      <w:r>
        <w:t xml:space="preserve">None of the above</w:t>
      </w:r>
      <w:r>
        <w:t xml:space="preserve"> </w:t>
      </w:r>
      <w:r>
        <w:t xml:space="preserve">Other</w:t>
      </w:r>
      <w:r>
        <w:t xml:space="preserve"> </w:t>
      </w:r>
      <w:r>
        <w:t xml:space="preserve">Smartphone app</w:t>
      </w:r>
      <w:r>
        <w:t xml:space="preserve"> </w:t>
      </w:r>
      <w:r>
        <w:t xml:space="preserve">Digital tools (QR-/barcode)</w:t>
      </w:r>
      <w:r>
        <w:t xml:space="preserve"> </w:t>
      </w:r>
      <w:r>
        <w:t xml:space="preserve">In-store scanning station</w:t>
      </w:r>
      <w:r>
        <w:t xml:space="preserve"> </w:t>
      </w:r>
      <w:r>
        <w:t xml:space="preserve">Online store website</w:t>
      </w:r>
      <w:r>
        <w:t xml:space="preserve"> </w:t>
      </w:r>
      <w:r>
        <w:t xml:space="preserve">Manufacturer’s website</w:t>
      </w:r>
      <w:r>
        <w:t xml:space="preserve"> </w:t>
      </w:r>
      <w:r>
        <w:t xml:space="preserve">Package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between physical and digital labelling for different CLP-related information elements such</w:t>
      </w:r>
      <w:r>
        <w:t xml:space="preserve"> </w:t>
      </w:r>
      <w:r>
        <w:t xml:space="preserve">as hazard pictograms, ingredients, and instructions for safe use.</w:t>
      </w:r>
      <w:r>
        <w:t xml:space="preserve"> </w:t>
      </w:r>
      <w:r>
        <w:t xml:space="preserve">Figure 51 shows that for all types of labelling elements the majority of over 80% prefers</w:t>
      </w:r>
      <w:r>
        <w:t xml:space="preserve"> </w:t>
      </w:r>
      <w:r>
        <w:t xml:space="preserve">physical labelling over digital tools.</w:t>
      </w:r>
      <w:r>
        <w:t xml:space="preserve"> </w:t>
      </w:r>
      <w:r>
        <w:t xml:space="preserve">Figure 51: Preference for Communicating Label Elements (analogue versus digital)</w:t>
      </w:r>
    </w:p>
    <w:p>
      <w:pPr>
        <w:pStyle w:val="BodyText"/>
      </w:pPr>
      <w:r>
        <w:t xml:space="preserve">Notes: The question was: “Thinking of a product label for a chemical product such as a laundry detergent or</w:t>
      </w:r>
      <w:r>
        <w:t xml:space="preserve"> </w:t>
      </w:r>
      <w:r>
        <w:t xml:space="preserve">glue, how would you like to receive the following product information: You can either choose to have it on the</w:t>
      </w:r>
      <w:r>
        <w:t xml:space="preserve"> </w:t>
      </w:r>
      <w:r>
        <w:t xml:space="preserve">package label or to access it through / by using a digital tool such as websites, QR-codes or apps. Please select</w:t>
      </w:r>
      <w:r>
        <w:t xml:space="preserve"> </w:t>
      </w:r>
      <w:r>
        <w:t xml:space="preserve">one answer per row”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Furthermore, the question was repeated for ingredients contained in detergent products.</w:t>
      </w:r>
      <w:r>
        <w:t xml:space="preserve"> </w:t>
      </w:r>
      <w:r>
        <w:t xml:space="preserve">Participants again were asked to choose among physical or digital labelling for a list of specific</w:t>
      </w:r>
      <w:r>
        <w:t xml:space="preserve"> </w:t>
      </w:r>
      <w:r>
        <w:t xml:space="preserve">laundry detergent ingredients. Again, the results confirm previous findings (see Figure 52). For</w:t>
      </w:r>
      <w:r>
        <w:t xml:space="preserve"> </w:t>
      </w:r>
      <w:r>
        <w:t xml:space="preserve">all different types of specific ingredients potentially contained in detergents, approx. 80%</w:t>
      </w:r>
      <w:r>
        <w:t xml:space="preserve"> </w:t>
      </w:r>
      <w:r>
        <w:t xml:space="preserve">preferred the physical label over digital means.</w:t>
      </w:r>
      <w:r>
        <w:t xml:space="preserve"> </w:t>
      </w:r>
      <w:r>
        <w:t xml:space="preserve">Figure 52: Preference for Communicating Ingredient Information (analogue versus digital)</w:t>
      </w:r>
      <w:r>
        <w:t xml:space="preserve"> </w:t>
      </w:r>
      <w:r>
        <w:t xml:space="preserve">83%</w:t>
      </w:r>
      <w:r>
        <w:t xml:space="preserve"> </w:t>
      </w:r>
      <w:r>
        <w:t xml:space="preserve">82%</w:t>
      </w:r>
      <w:r>
        <w:t xml:space="preserve"> </w:t>
      </w:r>
      <w:r>
        <w:t xml:space="preserve">80%</w:t>
      </w:r>
      <w:r>
        <w:t xml:space="preserve"> </w:t>
      </w:r>
      <w:r>
        <w:t xml:space="preserve">89%</w:t>
      </w:r>
      <w:r>
        <w:t xml:space="preserve"> </w:t>
      </w:r>
      <w:r>
        <w:t xml:space="preserve">88%</w:t>
      </w:r>
      <w:r>
        <w:t xml:space="preserve"> </w:t>
      </w:r>
      <w:r>
        <w:t xml:space="preserve">82%</w:t>
      </w:r>
      <w:r>
        <w:t xml:space="preserve"> </w:t>
      </w:r>
      <w:r>
        <w:t xml:space="preserve">81%</w:t>
      </w:r>
      <w:r>
        <w:t xml:space="preserve"> </w:t>
      </w:r>
      <w:r>
        <w:t xml:space="preserve">89%</w:t>
      </w:r>
      <w:r>
        <w:t xml:space="preserve"> </w:t>
      </w:r>
      <w:r>
        <w:t xml:space="preserve">92%</w:t>
      </w:r>
      <w:r>
        <w:t xml:space="preserve"> </w:t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Statements to prevent adverse</w:t>
      </w:r>
      <w:r>
        <w:t xml:space="preserve"> </w:t>
      </w:r>
      <w:r>
        <w:t xml:space="preserve">effects</w:t>
      </w:r>
      <w:r>
        <w:t xml:space="preserve"> </w:t>
      </w:r>
      <w:r>
        <w:t xml:space="preserve">Statements on precautions</w:t>
      </w:r>
      <w:r>
        <w:t xml:space="preserve"> </w:t>
      </w:r>
      <w:r>
        <w:t xml:space="preserve">Statements on products hazards</w:t>
      </w:r>
      <w:r>
        <w:t xml:space="preserve"> </w:t>
      </w:r>
      <w:r>
        <w:t xml:space="preserve">Signal word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Information relevant in case of</w:t>
      </w:r>
      <w:r>
        <w:t xml:space="preserve"> </w:t>
      </w:r>
      <w:r>
        <w:t xml:space="preserve">intoxication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On-Package</w:t>
      </w:r>
      <w:r>
        <w:t xml:space="preserve"> </w:t>
      </w:r>
      <w:r>
        <w:t xml:space="preserve">Digital Tool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Notes: The question was: “Thinking of a product label for a laundry detergent in specific, how would you like to</w:t>
      </w:r>
      <w:r>
        <w:t xml:space="preserve"> </w:t>
      </w:r>
      <w:r>
        <w:t xml:space="preserve">receive the information on certain / some of the ingredients contained in the product:”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The findings show that the preferences of consumers are clear. When having the choice</w:t>
      </w:r>
      <w:r>
        <w:t xml:space="preserve"> </w:t>
      </w:r>
      <w:r>
        <w:t xml:space="preserve">between either analogue or digital means, the analogue communication was strictly</w:t>
      </w:r>
      <w:r>
        <w:t xml:space="preserve"> </w:t>
      </w:r>
      <w:r>
        <w:t xml:space="preserve">preferred. This holds true for all CLP- and Detergent-relevant labelling elements.</w:t>
      </w:r>
      <w:r>
        <w:t xml:space="preserve"> </w:t>
      </w:r>
      <w:r>
        <w:t xml:space="preserve">Furthermore, the preference for analogue versus digital labelling was analysed with respect to</w:t>
      </w:r>
      <w:r>
        <w:t xml:space="preserve"> </w:t>
      </w:r>
      <w:r>
        <w:t xml:space="preserve">two socio-demographic aspects, i.e. age and digital readiness. The preference in favour of</w:t>
      </w:r>
      <w:r>
        <w:t xml:space="preserve"> </w:t>
      </w:r>
      <w:r>
        <w:t xml:space="preserve">digital labelling is negatively correlated with age (–0.28, p&lt;0.001). Nevertheless, the</w:t>
      </w:r>
      <w:r>
        <w:t xml:space="preserve"> </w:t>
      </w:r>
      <w:r>
        <w:t xml:space="preserve">correlation is rather low. Furthermore, the preference for digital labelling is positively</w:t>
      </w:r>
      <w:r>
        <w:t xml:space="preserve"> </w:t>
      </w:r>
      <w:r>
        <w:t xml:space="preserve">correlated with digital readiness (0.25, p&lt;0.001), hence, again rather low.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The results on the fifth research question on the preference between physical and digital</w:t>
      </w:r>
      <w:r>
        <w:t xml:space="preserve"> </w:t>
      </w:r>
      <w:r>
        <w:t xml:space="preserve">labelling can be summarised as follows: Firstly, the survey data shows that consumers usually</w:t>
      </w:r>
      <w:r>
        <w:t xml:space="preserve"> </w:t>
      </w:r>
      <w:r>
        <w:t xml:space="preserve">read labelling information either before first use or before purchase. Therefore, all means</w:t>
      </w:r>
      <w:r>
        <w:t xml:space="preserve"> </w:t>
      </w:r>
      <w:r>
        <w:t xml:space="preserve">of communication should be accessible in both situations, i.e. not only when consumers are at</w:t>
      </w:r>
      <w:r>
        <w:t xml:space="preserve"> </w:t>
      </w:r>
      <w:r>
        <w:t xml:space="preserve">home but also when they are in the shop deciding upon a product. When considering digital</w:t>
      </w:r>
      <w:r>
        <w:t xml:space="preserve"> </w:t>
      </w:r>
      <w:r>
        <w:t xml:space="preserve">tools, it is therefore relevant that consumers either have a personal device to access information</w:t>
      </w:r>
      <w:r>
        <w:t xml:space="preserve"> </w:t>
      </w:r>
      <w:r>
        <w:t xml:space="preserve">or the retailer provides an accessible way to gather information.</w:t>
      </w:r>
      <w:r>
        <w:t xml:space="preserve"> </w:t>
      </w:r>
      <w:r>
        <w:t xml:space="preserve">Overall, approximately a third of consumers is open to consult labelling information via</w:t>
      </w:r>
      <w:r>
        <w:t xml:space="preserve"> </w:t>
      </w:r>
      <w:r>
        <w:t xml:space="preserve">digital tools such as websites, scanning stations or their phone. It must be noted that especially</w:t>
      </w:r>
      <w:r>
        <w:t xml:space="preserve"> </w:t>
      </w:r>
      <w:r>
        <w:t xml:space="preserve">in-store scanning stations as well as specific smartphone apps for labelling information are</w:t>
      </w:r>
      <w:r>
        <w:t xml:space="preserve"> </w:t>
      </w:r>
      <w:r>
        <w:t xml:space="preserve">currently rather uncommon. Hence, consumers do not have experience with using such tools,</w:t>
      </w:r>
      <w:r>
        <w:t xml:space="preserve"> </w:t>
      </w:r>
      <w:r>
        <w:t xml:space="preserve">but their general openness shows that at least some would consider them.</w:t>
      </w:r>
      <w:r>
        <w:t xml:space="preserve"> </w:t>
      </w:r>
      <w:r>
        <w:t xml:space="preserve">Nevertheless, the results demonstrate that when consumers would need to decide between</w:t>
      </w:r>
      <w:r>
        <w:t xml:space="preserve"> </w:t>
      </w:r>
      <w:r>
        <w:t xml:space="preserve">either physical labelling on the packaging or digital tools, their preferences are clear. The</w:t>
      </w:r>
      <w:r>
        <w:t xml:space="preserve"> </w:t>
      </w:r>
      <w:r>
        <w:t xml:space="preserve">majority prefers physical over digital labelling when it comes to relevant CLP- and</w:t>
      </w:r>
      <w:r>
        <w:t xml:space="preserve"> </w:t>
      </w:r>
      <w:r>
        <w:t xml:space="preserve">Detergents-information. A potential explanation could be consumers’ age and their digital</w:t>
      </w:r>
      <w:r>
        <w:t xml:space="preserve"> </w:t>
      </w:r>
      <w:r>
        <w:t xml:space="preserve">readiness. Nevertheless, the analysis only indicates the effects to be small.</w:t>
      </w:r>
      <w:r>
        <w:t xml:space="preserve"> </w:t>
      </w:r>
      <w:r>
        <w:t xml:space="preserve">79%</w:t>
      </w:r>
      <w:r>
        <w:t xml:space="preserve"> </w:t>
      </w:r>
      <w:r>
        <w:t xml:space="preserve">84%</w:t>
      </w:r>
      <w:r>
        <w:t xml:space="preserve"> </w:t>
      </w:r>
      <w:r>
        <w:t xml:space="preserve">83%</w:t>
      </w:r>
      <w:r>
        <w:t xml:space="preserve"> </w:t>
      </w:r>
      <w:r>
        <w:t xml:space="preserve">76%</w:t>
      </w:r>
      <w:r>
        <w:t xml:space="preserve"> </w:t>
      </w:r>
      <w:r>
        <w:t xml:space="preserve">77%</w:t>
      </w:r>
      <w:r>
        <w:t xml:space="preserve"> </w:t>
      </w:r>
      <w:r>
        <w:t xml:space="preserve">14%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16%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Preservatives</w:t>
      </w:r>
      <w:r>
        <w:t xml:space="preserve"> </w:t>
      </w:r>
      <w:r>
        <w:t xml:space="preserve">Allergens</w:t>
      </w:r>
      <w:r>
        <w:t xml:space="preserve"> </w:t>
      </w:r>
      <w:r>
        <w:t xml:space="preserve">Perfumes</w:t>
      </w:r>
      <w:r>
        <w:t xml:space="preserve"> </w:t>
      </w:r>
      <w:r>
        <w:t xml:space="preserve">Enzymes</w:t>
      </w:r>
      <w:r>
        <w:t xml:space="preserve"> </w:t>
      </w:r>
      <w:r>
        <w:t xml:space="preserve">Surfactants</w:t>
      </w:r>
      <w:r>
        <w:t xml:space="preserve"> </w:t>
      </w:r>
      <w:r>
        <w:t xml:space="preserve">On-Package</w:t>
      </w:r>
      <w:r>
        <w:t xml:space="preserve"> </w:t>
      </w:r>
      <w:r>
        <w:t xml:space="preserve">Digital Tool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Assumptions for the estimation of economic impacts</w:t>
      </w:r>
      <w:r>
        <w:t xml:space="preserve"> </w:t>
      </w:r>
      <w:r>
        <w:t xml:space="preserve">The EU Standard Cost Model has served as the basis for estimating administrative costs to</w:t>
      </w:r>
      <w:r>
        <w:t xml:space="preserve"> </w:t>
      </w:r>
      <w:r>
        <w:t xml:space="preserve">industry and public authorities. It estimates the costs of reporting as:</w:t>
      </w:r>
      <w:r>
        <w:t xml:space="preserve"> </w:t>
      </w:r>
      <w:r>
        <w:t xml:space="preserve">Administrative cost = Σ P x Q</w:t>
      </w:r>
      <w:r>
        <w:t xml:space="preserve"> </w:t>
      </w:r>
      <w:r>
        <w:t xml:space="preserve">P (Price) = Tariff x Time</w:t>
      </w:r>
      <w:r>
        <w:t xml:space="preserve"> </w:t>
      </w:r>
      <w:r>
        <w:t xml:space="preserve">Q (Quantity) = Number of businesses x Frequency</w:t>
      </w:r>
      <w:r>
        <w:t xml:space="preserve"> </w:t>
      </w:r>
      <w:r>
        <w:t xml:space="preserve">In relation to the reporting required under the policy options considered here, the costs elements</w:t>
      </w:r>
      <w:r>
        <w:t xml:space="preserve"> </w:t>
      </w:r>
      <w:r>
        <w:t xml:space="preserve">are:</w:t>
      </w:r>
      <w:r>
        <w:t xml:space="preserve"> </w:t>
      </w:r>
      <w:r>
        <w:t xml:space="preserve"> Tariff = hour salary for staff;</w:t>
      </w:r>
      <w:r>
        <w:t xml:space="preserve"> </w:t>
      </w:r>
      <w:r>
        <w:t xml:space="preserve"> Time = hours to perform the activity;</w:t>
      </w:r>
      <w:r>
        <w:t xml:space="preserve"> </w:t>
      </w:r>
      <w:r>
        <w:t xml:space="preserve"> Frequency = annual expectation for activity;</w:t>
      </w:r>
      <w:r>
        <w:t xml:space="preserve"> </w:t>
      </w:r>
      <w:r>
        <w:t xml:space="preserve"> Number of businesses = number of duty-holders that have to classify, label, use suitable</w:t>
      </w:r>
      <w:r>
        <w:t xml:space="preserve"> </w:t>
      </w:r>
      <w:r>
        <w:t xml:space="preserve">packaging and/or notify to poison centres.</w:t>
      </w:r>
      <w:r>
        <w:t xml:space="preserve"> </w:t>
      </w:r>
      <w:r>
        <w:t xml:space="preserve">The tariff used in all subsequent calculations is 40 EUR/hour, as reported in the Fitness Check</w:t>
      </w:r>
      <w:r>
        <w:t xml:space="preserve"> </w:t>
      </w:r>
      <w:r>
        <w:t xml:space="preserve">(EC, 2019e) as the hourly rate for a professional. The administrative costs have been calculated</w:t>
      </w:r>
      <w:r>
        <w:t xml:space="preserve"> </w:t>
      </w:r>
      <w:r>
        <w:t xml:space="preserve">according to the costs accrued by the companies individually where possible. If the total</w:t>
      </w:r>
      <w:r>
        <w:t xml:space="preserve"> </w:t>
      </w:r>
      <w:r>
        <w:t xml:space="preserve">number of companies affected is not known, the total cost across all companies is shown. The</w:t>
      </w:r>
      <w:r>
        <w:t xml:space="preserve"> </w:t>
      </w:r>
      <w:r>
        <w:t xml:space="preserve">activities can comprise of one-off and recurrent costs. The one-off costs relate to the initial</w:t>
      </w:r>
      <w:r>
        <w:t xml:space="preserve"> </w:t>
      </w:r>
      <w:r>
        <w:t xml:space="preserve">adjustment to a new requirement, such as the (re-)classification of substances to consider the</w:t>
      </w:r>
      <w:r>
        <w:t xml:space="preserve"> </w:t>
      </w:r>
      <w:r>
        <w:t xml:space="preserve">new hazard classes. The recurrent costs encompass the repeated requirements to update, e.g. </w:t>
      </w:r>
      <w:r>
        <w:t xml:space="preserve"> </w:t>
      </w:r>
      <w:r>
        <w:t xml:space="preserve">CLI notifications. When it comes to costs for administration, including ECHA, a full-time</w:t>
      </w:r>
      <w:r>
        <w:t xml:space="preserve"> </w:t>
      </w:r>
      <w:r>
        <w:t xml:space="preserve">equivalent was used. The cost of such an FTE, including 19% of over-head costs is equal to</w:t>
      </w:r>
      <w:r>
        <w:t xml:space="preserve"> </w:t>
      </w:r>
      <w:r>
        <w:t xml:space="preserve">€170,000 per year.</w:t>
      </w:r>
      <w:r>
        <w:t xml:space="preserve"> </w:t>
      </w:r>
      <w:r>
        <w:t xml:space="preserve">Where possible and accurate to do so the impacts have been assessed quantitatively, otherwise</w:t>
      </w:r>
      <w:r>
        <w:t xml:space="preserve"> </w:t>
      </w:r>
      <w:r>
        <w:t xml:space="preserve">a qualitative approach has been taken. The impacts have been categorised according to their</w:t>
      </w:r>
      <w:r>
        <w:t xml:space="preserve"> </w:t>
      </w:r>
      <w:r>
        <w:t xml:space="preserve">direction (Positive (+)/Neutral (o)/Negative (-)), their causation (Direct/Indirect) and their</w:t>
      </w:r>
      <w:r>
        <w:t xml:space="preserve"> </w:t>
      </w:r>
      <w:r>
        <w:t xml:space="preserve">frequency (One off/Recurrent).</w:t>
      </w:r>
      <w:r>
        <w:t xml:space="preserve"> </w:t>
      </w:r>
      <w:r>
        <w:t xml:space="preserve">Where appropriate, separate consideration has been given to SMEs compared to larger</w:t>
      </w:r>
      <w:r>
        <w:t xml:space="preserve"> </w:t>
      </w:r>
      <w:r>
        <w:t xml:space="preserve">companies. In this respect, efforts were made to ensure SME views are represented, for</w:t>
      </w:r>
      <w:r>
        <w:t xml:space="preserve"> </w:t>
      </w:r>
      <w:r>
        <w:t xml:space="preserve">example, through discussions with relevant European associations (SMEunited, CIHEF) and</w:t>
      </w:r>
      <w:r>
        <w:t xml:space="preserve"> </w:t>
      </w:r>
      <w:r>
        <w:t xml:space="preserve">separate analysis of cost information provided by SMEs where relevant.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Annex 5 – The CLP Regulation and other Pieces of</w:t>
      </w:r>
      <w:r>
        <w:t xml:space="preserve"> </w:t>
      </w:r>
      <w:r>
        <w:t xml:space="preserve">Chemical Legislation</w:t>
      </w:r>
    </w:p>
    <w:p>
      <w:pPr>
        <w:pStyle w:val="BodyText"/>
      </w:pPr>
      <w:r>
        <w:t xml:space="preserve">THE CLP REGULATION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CLP is a legal instrument that provides for obligations on duty-holders to classify, label</w:t>
      </w:r>
      <w:r>
        <w:t xml:space="preserve"> </w:t>
      </w:r>
      <w:r>
        <w:t xml:space="preserve">and package substances and mixtures, and in some cases pertains to articles. However, not all</w:t>
      </w:r>
      <w:r>
        <w:t xml:space="preserve"> </w:t>
      </w:r>
      <w:r>
        <w:t xml:space="preserve">duty-holders have the same obligations. Downstream users e.g. can use the labelling</w:t>
      </w:r>
      <w:r>
        <w:t xml:space="preserve"> </w:t>
      </w:r>
      <w:r>
        <w:t xml:space="preserve">information from their supplier provided they do not change the composition of the substance</w:t>
      </w:r>
      <w:r>
        <w:t xml:space="preserve"> </w:t>
      </w:r>
      <w:r>
        <w:t xml:space="preserve">or mixture that had been supplied to them. Notification to Poison Centres is required only from</w:t>
      </w:r>
      <w:r>
        <w:t xml:space="preserve"> </w:t>
      </w:r>
      <w:r>
        <w:t xml:space="preserve">importers and downstream users of mixtures.</w:t>
      </w:r>
    </w:p>
    <w:p>
      <w:pPr>
        <w:pStyle w:val="BodyText"/>
      </w:pPr>
      <w:r>
        <w:t xml:space="preserve">Figure 53: Breaking down the risk-assessement and hazard communication related parts.</w:t>
      </w:r>
    </w:p>
    <w:p>
      <w:pPr>
        <w:pStyle w:val="BodyText"/>
      </w:pPr>
      <w:r>
        <w:t xml:space="preserve">Hazard identification, evaluation and classification</w:t>
      </w:r>
      <w:r>
        <w:t xml:space="preserve"> </w:t>
      </w:r>
      <w:r>
        <w:t xml:space="preserve">The first step to determine whether a substance or a mixture is hazardous is to identify and</w:t>
      </w:r>
      <w:r>
        <w:t xml:space="preserve"> </w:t>
      </w:r>
      <w:r>
        <w:t xml:space="preserve">evaluate, based on available data, whether they correspond to the classification criteria as</w:t>
      </w:r>
      <w:r>
        <w:t xml:space="preserve"> </w:t>
      </w:r>
      <w:r>
        <w:t xml:space="preserve">provided for in Annex I of CLP. In that Annex, each of the hazard classes (e.g. carcinogenicity,</w:t>
      </w:r>
      <w:r>
        <w:t xml:space="preserve"> </w:t>
      </w:r>
      <w:r>
        <w:t xml:space="preserve">chronic aquatic toxicity) is described with the criteria to be fulfilled and the type of evidence</w:t>
      </w:r>
      <w:r>
        <w:t xml:space="preserve"> </w:t>
      </w:r>
      <w:r>
        <w:t xml:space="preserve">to be provided, as well as, the category/ies within each hazard class – the latter reflects the</w:t>
      </w:r>
      <w:r>
        <w:t xml:space="preserve"> </w:t>
      </w:r>
      <w:r>
        <w:t xml:space="preserve">‘severity’ of a hazard (e.g. carcinogenic 1A is more severe than carcinogenic 2). Sometimes,</w:t>
      </w:r>
      <w:r>
        <w:t xml:space="preserve"> </w:t>
      </w:r>
      <w:r>
        <w:t xml:space="preserve">such evaluation needs to weigh different pieces of evidence against each other (‘weight of</w:t>
      </w:r>
      <w:r>
        <w:t xml:space="preserve"> </w:t>
      </w:r>
      <w:r>
        <w:t xml:space="preserve">evidence’ approach) and is based on expert judgment. Once the evaluation is performed and it</w:t>
      </w:r>
      <w:r>
        <w:t xml:space="preserve"> </w:t>
      </w:r>
      <w:r>
        <w:t xml:space="preserve">is concluded that a substance or mixture fulfils the criteria of one or more hazard</w:t>
      </w:r>
      <w:r>
        <w:t xml:space="preserve"> </w:t>
      </w:r>
      <w:r>
        <w:t xml:space="preserve">classes/categories, the duty-holder has to ‘classify’ its substance or mixture. It may happen</w:t>
      </w:r>
      <w:r>
        <w:t xml:space="preserve"> </w:t>
      </w:r>
      <w:r>
        <w:t xml:space="preserve">that such classification is warranted only for a particular endpoint (e.g. the inhalation route</w:t>
      </w:r>
      <w:r>
        <w:t xml:space="preserve"> </w:t>
      </w:r>
      <w:r>
        <w:t xml:space="preserve">only). Classification of substances may be based on ‘self-classification’ or on ‘harmonised</w:t>
      </w:r>
      <w:r>
        <w:t xml:space="preserve"> </w:t>
      </w:r>
      <w:r>
        <w:t xml:space="preserve">classification’. The latter is possible and required only when a classification has been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harmonised, which in practice means that an entry exists in Table 3 of Part 3 of VI to CLP.</w:t>
      </w:r>
      <w:r>
        <w:t xml:space="preserve"> </w:t>
      </w:r>
      <w:r>
        <w:t xml:space="preserve">That table is regularly updated via the ‘Adaptations to Technical and Scientific progress’ which</w:t>
      </w:r>
      <w:r>
        <w:t xml:space="preserve"> </w:t>
      </w:r>
      <w:r>
        <w:t xml:space="preserve">are in the form of ‘Commission Delegated Regulations’. Those Regulations group many entries</w:t>
      </w:r>
      <w:r>
        <w:t xml:space="preserve"> </w:t>
      </w:r>
      <w:r>
        <w:t xml:space="preserve">on which ECHA has delivered an Opinion and which it transmits to the Commission for</w:t>
      </w:r>
      <w:r>
        <w:t xml:space="preserve"> </w:t>
      </w:r>
      <w:r>
        <w:t xml:space="preserve">decision-making, in accordance with the procedure in Article 37 of CLP.</w:t>
      </w:r>
      <w:r>
        <w:br/>
      </w:r>
      <w:r>
        <w:t xml:space="preserve">Hazard communication</w:t>
      </w:r>
      <w:r>
        <w:br/>
      </w:r>
      <w:r>
        <w:t xml:space="preserve">Labelling</w:t>
      </w:r>
      <w:r>
        <w:t xml:space="preserve"> </w:t>
      </w:r>
      <w:r>
        <w:t xml:space="preserve">Once a substance or mixture has been classified, such classification information needs to be</w:t>
      </w:r>
      <w:r>
        <w:t xml:space="preserve"> </w:t>
      </w:r>
      <w:r>
        <w:t xml:space="preserve">communicated so that each actor in the supply chain is aware of the potential hazards of the</w:t>
      </w:r>
      <w:r>
        <w:t xml:space="preserve"> </w:t>
      </w:r>
      <w:r>
        <w:t xml:space="preserve">substance or mixture. That communication is usually performed via the label, which displays</w:t>
      </w:r>
      <w:r>
        <w:t xml:space="preserve"> </w:t>
      </w:r>
      <w:r>
        <w:t xml:space="preserve">hazard pictograms as well as hazard statements and precautionary statements. More detailed</w:t>
      </w:r>
      <w:r>
        <w:t xml:space="preserve"> </w:t>
      </w:r>
      <w:r>
        <w:t xml:space="preserve">information is provided in the Safety Data Sheets, developed according to the REACH</w:t>
      </w:r>
      <w:r>
        <w:t xml:space="preserve"> </w:t>
      </w:r>
      <w:r>
        <w:t xml:space="preserve">provisions (in particular Article 31 and Annex II to REACH). In case of harmonised</w:t>
      </w:r>
      <w:r>
        <w:t xml:space="preserve"> </w:t>
      </w:r>
      <w:r>
        <w:t xml:space="preserve">classification, most of the labelling elements pertaining to the hazards will also be harmonised</w:t>
      </w:r>
      <w:r>
        <w:t xml:space="preserve"> </w:t>
      </w:r>
      <w:r>
        <w:t xml:space="preserve">and hence duty holders have no choice but applying the labelling information corresponding to</w:t>
      </w:r>
      <w:r>
        <w:t xml:space="preserve"> </w:t>
      </w:r>
      <w:r>
        <w:t xml:space="preserve">each respective substance included in Table 3 of Part 3 of Annex VI. In case no harmonised</w:t>
      </w:r>
      <w:r>
        <w:t xml:space="preserve"> </w:t>
      </w:r>
      <w:r>
        <w:t xml:space="preserve">classification exists – which is the case for mixtures and most of the substances - it will be up</w:t>
      </w:r>
      <w:r>
        <w:t xml:space="preserve"> </w:t>
      </w:r>
      <w:r>
        <w:t xml:space="preserve">to the duty holder to check the labelling information triggered by its classification decision.</w:t>
      </w:r>
      <w:r>
        <w:t xml:space="preserve"> </w:t>
      </w:r>
      <w:r>
        <w:t xml:space="preserve">Notification to the classification and labelling inventory</w:t>
      </w:r>
      <w:r>
        <w:t xml:space="preserve"> </w:t>
      </w:r>
      <w:r>
        <w:t xml:space="preserve">CLP also provides for the obligation for manufacturers, importers and downstream users to</w:t>
      </w:r>
      <w:r>
        <w:t xml:space="preserve"> </w:t>
      </w:r>
      <w:r>
        <w:t xml:space="preserve">notify certain information to ECHA, which will feed into the CLI (database). The inventory</w:t>
      </w:r>
      <w:r>
        <w:t xml:space="preserve"> </w:t>
      </w:r>
      <w:r>
        <w:t xml:space="preserve">was set up with the view to ensure a harmonised level of protection for the general public (in</w:t>
      </w:r>
      <w:r>
        <w:t xml:space="preserve"> </w:t>
      </w:r>
      <w:r>
        <w:t xml:space="preserve">particular persons who come into contact with certain substances) and to ensure proper</w:t>
      </w:r>
      <w:r>
        <w:t xml:space="preserve"> </w:t>
      </w:r>
      <w:r>
        <w:t xml:space="preserve">functioning of legislation relying on classification and labelling. Notifiers need to update their</w:t>
      </w:r>
      <w:r>
        <w:t xml:space="preserve"> </w:t>
      </w:r>
      <w:r>
        <w:t xml:space="preserve">notifications in case of changed classifications and they are required to make every effort to</w:t>
      </w:r>
      <w:r>
        <w:t xml:space="preserve"> </w:t>
      </w:r>
      <w:r>
        <w:t xml:space="preserve">come to an ‘agreed entry’, meaning a classification of a substance on which all notifiers agree</w:t>
      </w:r>
      <w:r>
        <w:t xml:space="preserve"> </w:t>
      </w:r>
      <w:r>
        <w:t xml:space="preserve">- which does not prevent that in certain cases divergent classifications may be justified because</w:t>
      </w:r>
      <w:r>
        <w:t xml:space="preserve"> </w:t>
      </w:r>
      <w:r>
        <w:t xml:space="preserve">e.g. the presence of an impurity.</w:t>
      </w:r>
      <w:r>
        <w:t xml:space="preserve"> </w:t>
      </w:r>
      <w:r>
        <w:t xml:space="preserve">Notifications to poison centres</w:t>
      </w:r>
      <w:r>
        <w:t xml:space="preserve"> </w:t>
      </w:r>
      <w:r>
        <w:t xml:space="preserve">Another aim CLP pursues is to ensure that information on mixtures is available in case of</w:t>
      </w:r>
      <w:r>
        <w:t xml:space="preserve"> </w:t>
      </w:r>
      <w:r>
        <w:t xml:space="preserve">poisoning accidents. Poison centres will collect the information that is notified to them, which</w:t>
      </w:r>
      <w:r>
        <w:t xml:space="preserve"> </w:t>
      </w:r>
      <w:r>
        <w:t xml:space="preserve">will enable them to give the most appropriate advice to carers in emergency situations.</w:t>
      </w:r>
      <w:r>
        <w:t xml:space="preserve"> </w:t>
      </w:r>
      <w:r>
        <w:t xml:space="preserve">Importers and downstream users need to communicate the composition of their mixture which</w:t>
      </w:r>
      <w:r>
        <w:t xml:space="preserve"> </w:t>
      </w:r>
      <w:r>
        <w:t xml:space="preserve">will feed into the poison centre’s databases (which is either a national database or the EU</w:t>
      </w:r>
      <w:r>
        <w:t xml:space="preserve"> </w:t>
      </w:r>
      <w:r>
        <w:t xml:space="preserve">database managed by ECHA).</w:t>
      </w:r>
      <w:r>
        <w:t xml:space="preserve"> </w:t>
      </w:r>
      <w:r>
        <w:t xml:space="preserve">Packaging</w:t>
      </w:r>
      <w:r>
        <w:t xml:space="preserve"> </w:t>
      </w:r>
      <w:r>
        <w:t xml:space="preserve">CLP contains a number of packaging provisions, to ensure that the packaging of hazardous</w:t>
      </w:r>
      <w:r>
        <w:t xml:space="preserve"> </w:t>
      </w:r>
      <w:r>
        <w:t xml:space="preserve">substances and mixtures is sufficiently resistant under normal conditions of use. A few generic</w:t>
      </w:r>
      <w:r>
        <w:t xml:space="preserve"> </w:t>
      </w:r>
      <w:r>
        <w:t xml:space="preserve">provisions are included in the main text of CLP, which refers to more specific provisions which</w:t>
      </w:r>
      <w:r>
        <w:t xml:space="preserve"> </w:t>
      </w:r>
      <w:r>
        <w:t xml:space="preserve">apply depending on the type of hazards or product (e.g. packaging of substances and mixtures</w:t>
      </w:r>
      <w:r>
        <w:t xml:space="preserve"> </w:t>
      </w:r>
      <w:r>
        <w:t xml:space="preserve">containing 3% or more of methanol will require a child resistant fastening).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The United Nations’ Globally Harmonised System (UN-GHS)</w:t>
      </w:r>
      <w:r>
        <w:t xml:space="preserve"> </w:t>
      </w:r>
      <w:r>
        <w:t xml:space="preserve">The CLP is based on the UN-GHS classification and labelling system and is implementing it.</w:t>
      </w:r>
      <w:r>
        <w:t xml:space="preserve"> </w:t>
      </w:r>
      <w:r>
        <w:t xml:space="preserve">The aim is to have globally harmonised classification and labelling rules, in order to allow for</w:t>
      </w:r>
      <w:r>
        <w:t xml:space="preserve"> </w:t>
      </w:r>
      <w:r>
        <w:t xml:space="preserve">classification and labelling of the same substances and mixtures in the same way at global (UN)</w:t>
      </w:r>
      <w:r>
        <w:t xml:space="preserve"> </w:t>
      </w:r>
      <w:r>
        <w:t xml:space="preserve">level. It needs to be noted that the UN-GHS is a system that operates through the so called</w:t>
      </w:r>
      <w:r>
        <w:t xml:space="preserve"> </w:t>
      </w:r>
      <w:r>
        <w:t xml:space="preserve">‘building block approach’, meaning that Members may implement some parts of the UN-GHS</w:t>
      </w:r>
      <w:r>
        <w:t xml:space="preserve"> </w:t>
      </w:r>
      <w:r>
        <w:t xml:space="preserve">rules or follow a stepwise approach. It also needs to be noted that the UN-GHS harmonises</w:t>
      </w:r>
      <w:r>
        <w:t xml:space="preserve"> </w:t>
      </w:r>
      <w:r>
        <w:t xml:space="preserve">rules and criteria but there are no ‘UN wide classified substances’ as the actual harmonised</w:t>
      </w:r>
      <w:r>
        <w:t xml:space="preserve"> </w:t>
      </w:r>
      <w:r>
        <w:t xml:space="preserve">classification process is performed by each member individually and endeavours to come to a</w:t>
      </w:r>
      <w:r>
        <w:t xml:space="preserve"> </w:t>
      </w:r>
      <w:r>
        <w:t xml:space="preserve">‘global list’ have not been very successful so far.</w:t>
      </w:r>
    </w:p>
    <w:p>
      <w:pPr>
        <w:pStyle w:val="BodyText"/>
      </w:pPr>
      <w:r>
        <w:t xml:space="preserve">MAPPING LINKAGE FROM CLP TO OTHER PIECES OF CHEMICALS LEGISLATION</w:t>
      </w:r>
      <w:r>
        <w:t xml:space="preserve"> </w:t>
      </w:r>
      <w:r>
        <w:t xml:space="preserve">Data generation</w:t>
      </w:r>
      <w:r>
        <w:t xml:space="preserve"> </w:t>
      </w:r>
      <w:r>
        <w:t xml:space="preserve">Chemical risk assessment involves the analysis of the inherent hazardous properties of a</w:t>
      </w:r>
      <w:r>
        <w:t xml:space="preserve"> </w:t>
      </w:r>
      <w:r>
        <w:t xml:space="preserve">substance or a mixture and the extent of exposure to that substance or mixture. The human</w:t>
      </w:r>
      <w:r>
        <w:t xml:space="preserve"> </w:t>
      </w:r>
      <w:r>
        <w:t xml:space="preserve">health and environmental risks related to exposure to hazardous chemicals are addressed via</w:t>
      </w:r>
      <w:r>
        <w:t xml:space="preserve"> </w:t>
      </w:r>
      <w:r>
        <w:t xml:space="preserve">the hazard and risk assessment procedures and requirements set out in the different key pieces</w:t>
      </w:r>
      <w:r>
        <w:t xml:space="preserve"> </w:t>
      </w:r>
      <w:r>
        <w:t xml:space="preserve">of the EU chemicals legislation such as the CLP, the Plant Protection Products and Biocidal</w:t>
      </w:r>
      <w:r>
        <w:t xml:space="preserve"> </w:t>
      </w:r>
      <w:r>
        <w:t xml:space="preserve">Products Regulations, etc. To be noted that, while additional information requirements in</w:t>
      </w:r>
      <w:r>
        <w:t xml:space="preserve"> </w:t>
      </w:r>
      <w:r>
        <w:t xml:space="preserve">REACH could lead to additional animal testing, there is no data requirement under CLP with</w:t>
      </w:r>
      <w:r>
        <w:t xml:space="preserve"> </w:t>
      </w:r>
      <w:r>
        <w:t xml:space="preserve">regards animal testing. The decision to classify a substance or a mixture is exclusively based</w:t>
      </w:r>
      <w:r>
        <w:t xml:space="preserve"> </w:t>
      </w:r>
      <w:r>
        <w:t xml:space="preserve">on existing available information.</w:t>
      </w:r>
    </w:p>
    <w:p>
      <w:pPr>
        <w:pStyle w:val="BodyText"/>
      </w:pPr>
      <w:r>
        <w:t xml:space="preserve">Figure 53: Interaction between CLP and other pieces of legislation (from figure 1 in the SWD)</w:t>
      </w:r>
    </w:p>
    <w:p>
      <w:pPr>
        <w:pStyle w:val="BodyText"/>
      </w:pPr>
      <w:r>
        <w:t xml:space="preserve">Regulations using hazard identification from CLP</w:t>
      </w:r>
      <w:r>
        <w:t xml:space="preserve"> </w:t>
      </w:r>
      <w:r>
        <w:t xml:space="preserve">The main steps of a chemical risk assessment involve:</w:t>
      </w:r>
    </w:p>
    <w:p>
      <w:pPr>
        <w:pStyle w:val="BodyText"/>
      </w:pPr>
      <w:r>
        <w:t xml:space="preserve">hazard identification (based on toxicity tests and other relevant information);</w:t>
      </w:r>
    </w:p>
    <w:p>
      <w:pPr>
        <w:pStyle w:val="BodyText"/>
      </w:pPr>
      <w:r>
        <w:t xml:space="preserve">dose (concentration) – response (effect) assessment;</w:t>
      </w:r>
    </w:p>
    <w:p>
      <w:pPr>
        <w:pStyle w:val="BodyText"/>
      </w:pPr>
      <w:r>
        <w:t xml:space="preserve">exposure assessment – exposure scenarios (based on models and measurements of the</w:t>
      </w:r>
      <w:r>
        <w:t xml:space="preserve"> </w:t>
      </w:r>
      <w:r>
        <w:t xml:space="preserve">occurrence of the chemical);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risk characterisation; and</w:t>
      </w:r>
      <w:r>
        <w:br/>
      </w:r>
      <w:r>
        <w:t xml:space="preserve">risk estimation.</w:t>
      </w:r>
      <w:r>
        <w:br/>
      </w:r>
      <w:r>
        <w:t xml:space="preserve">Risk management measures – which can be policy-based and/or technical in nature - are then</w:t>
      </w:r>
      <w:r>
        <w:t xml:space="preserve"> </w:t>
      </w:r>
      <w:r>
        <w:t xml:space="preserve">decided in light of the identified hazards and/or risks. Risk management measures can range</w:t>
      </w:r>
      <w:r>
        <w:t xml:space="preserve"> </w:t>
      </w:r>
      <w:r>
        <w:t xml:space="preserve">from (and involve a mix of) a total ban to any condition to the manufacture, use or placing on</w:t>
      </w:r>
      <w:r>
        <w:t xml:space="preserve"> </w:t>
      </w:r>
      <w:r>
        <w:t xml:space="preserve">the market of chemicals (such as setting emission/concentration/migration limits, obligations</w:t>
      </w:r>
      <w:r>
        <w:t xml:space="preserve"> </w:t>
      </w:r>
      <w:r>
        <w:t xml:space="preserve">to communicate hazards and risks, labelling requirements, obligations to use personal</w:t>
      </w:r>
      <w:r>
        <w:t xml:space="preserve"> </w:t>
      </w:r>
      <w:r>
        <w:t xml:space="preserve">protection equipment, etc.).</w:t>
      </w:r>
      <w:r>
        <w:t xml:space="preserve"> </w:t>
      </w:r>
      <w:r>
        <w:t xml:space="preserve">Regulations using hazard identification from CLP</w:t>
      </w:r>
      <w:r>
        <w:t xml:space="preserve"> </w:t>
      </w:r>
      <w:r>
        <w:t xml:space="preserve">There are two basic approaches to risk management often used in combination, in the EU</w:t>
      </w:r>
      <w:r>
        <w:t xml:space="preserve"> </w:t>
      </w:r>
      <w:r>
        <w:t xml:space="preserve">chemicals acquis: one based on specific risk assessment (SRA) and the other one based on</w:t>
      </w:r>
      <w:r>
        <w:t xml:space="preserve"> </w:t>
      </w:r>
      <w:r>
        <w:t xml:space="preserve">generic risk considerations (GRC).</w:t>
      </w:r>
      <w:r>
        <w:t xml:space="preserve"> </w:t>
      </w:r>
      <w:r>
        <w:t xml:space="preserve">The main difference between these two approaches is the point in time when the exposure</w:t>
      </w:r>
      <w:r>
        <w:t xml:space="preserve"> </w:t>
      </w:r>
      <w:r>
        <w:t xml:space="preserve">assessment is considered and the specificity of the exposure assessment. For risk management</w:t>
      </w:r>
      <w:r>
        <w:t xml:space="preserve"> </w:t>
      </w:r>
      <w:r>
        <w:t xml:space="preserve">based on GRC, the potential exposures and risks are considered generically, prior to the</w:t>
      </w:r>
      <w:r>
        <w:t xml:space="preserve"> </w:t>
      </w:r>
      <w:r>
        <w:t xml:space="preserve">adoption of legislation. The GRC-based approach is built into the legislation in the form of an</w:t>
      </w:r>
      <w:r>
        <w:t xml:space="preserve"> </w:t>
      </w:r>
      <w:r>
        <w:t xml:space="preserve">automatic trigger of pre-determined risk management measures (e.g. packaging requirement,</w:t>
      </w:r>
      <w:r>
        <w:t xml:space="preserve"> </w:t>
      </w:r>
      <w:r>
        <w:t xml:space="preserve">communication requirement, restrictions, bans, etc.) based on the hazardous properties of the</w:t>
      </w:r>
      <w:r>
        <w:t xml:space="preserve"> </w:t>
      </w:r>
      <w:r>
        <w:t xml:space="preserve">chemical, without the need or possibility to assess and take into account specific exposure</w:t>
      </w:r>
      <w:r>
        <w:t xml:space="preserve"> </w:t>
      </w:r>
      <w:r>
        <w:t xml:space="preserve">levels for a specific situation or use. For example, under the Cosmetic Products Regulation any</w:t>
      </w:r>
      <w:r>
        <w:t xml:space="preserve"> </w:t>
      </w:r>
      <w:r>
        <w:t xml:space="preserve">substance classified as carcinogenic, mutagenic or toxic for reproduction (CMR) categories</w:t>
      </w:r>
      <w:r>
        <w:t xml:space="preserve"> </w:t>
      </w:r>
      <w:r>
        <w:t xml:space="preserve">1A/B and 2, shall be banned from use in cosmetics (subject to strict derogations), given the fact</w:t>
      </w:r>
      <w:r>
        <w:t xml:space="preserve"> </w:t>
      </w:r>
      <w:r>
        <w:t xml:space="preserve">that direct exposure of humans is taking place through the application of a cosmetic product on</w:t>
      </w:r>
      <w:r>
        <w:t xml:space="preserve"> </w:t>
      </w:r>
      <w:r>
        <w:t xml:space="preserve">the external parts of the human body (or teeth or mucous membranes of the oral cavity). Similar</w:t>
      </w:r>
      <w:r>
        <w:t xml:space="preserve"> </w:t>
      </w:r>
      <w:r>
        <w:t xml:space="preserve">approaches have been taken for active ingredients in plant protection products and biocides,</w:t>
      </w:r>
      <w:r>
        <w:t xml:space="preserve"> </w:t>
      </w:r>
      <w:r>
        <w:t xml:space="preserve">for substances in toys, etc.</w:t>
      </w:r>
      <w:r>
        <w:br/>
      </w:r>
      <w:r>
        <w:t xml:space="preserve">The decision to link particular hazard properties (e.g. CMR, persistent bioaccumulative and</w:t>
      </w:r>
      <w:r>
        <w:t xml:space="preserve"> </w:t>
      </w:r>
      <w:r>
        <w:t xml:space="preserve">toxic substances (PBT), endocrine disruptors (EDs)) to automatic risk management measures</w:t>
      </w:r>
      <w:r>
        <w:t xml:space="preserve"> </w:t>
      </w:r>
      <w:r>
        <w:t xml:space="preserve">without the intervening step of a specific risk assessment is done on the basis of generic risk</w:t>
      </w:r>
      <w:r>
        <w:t xml:space="preserve"> </w:t>
      </w:r>
      <w:r>
        <w:t xml:space="preserve">consideration without prejudice to performing also a full risk assessment for the other</w:t>
      </w:r>
      <w:r>
        <w:t xml:space="preserve"> </w:t>
      </w:r>
      <w:r>
        <w:t xml:space="preserve">properties of the substances which are not linked to the related hazard properties. In the</w:t>
      </w:r>
      <w:r>
        <w:t xml:space="preserve"> </w:t>
      </w:r>
      <w:r>
        <w:t xml:space="preserve">legislation evaluated in this Fitness Check, the generic risk consideration approach is typically</w:t>
      </w:r>
      <w:r>
        <w:t xml:space="preserve"> </w:t>
      </w:r>
      <w:r>
        <w:t xml:space="preserve">applied for the following use applications and the following substances:</w:t>
      </w:r>
      <w:r>
        <w:br/>
      </w:r>
      <w:r>
        <w:t xml:space="preserve">Use applications:</w:t>
      </w:r>
    </w:p>
    <w:p>
      <w:pPr>
        <w:pStyle w:val="BodyText"/>
      </w:pPr>
      <w:r>
        <w:t xml:space="preserve">when there is a need to obtain and pass on information to enable</w:t>
      </w:r>
      <w:r>
        <w:t xml:space="preserve"> </w:t>
      </w:r>
      <w:r>
        <w:t xml:space="preserve">[further/specific] risk assessment or risk management (e.g. labelling obligations</w:t>
      </w:r>
      <w:r>
        <w:t xml:space="preserve"> </w:t>
      </w:r>
      <w:r>
        <w:t xml:space="preserve">under CLP, labelling requirements and use instructions under the Plant</w:t>
      </w:r>
      <w:r>
        <w:t xml:space="preserve"> </w:t>
      </w:r>
      <w:r>
        <w:t xml:space="preserve">Protection Products and the Biocidal Products Regulations).</w:t>
      </w:r>
    </w:p>
    <w:p>
      <w:pPr>
        <w:pStyle w:val="BodyText"/>
      </w:pPr>
      <w:r>
        <w:t xml:space="preserve">for use in widely dispersive or open applications which result in a significant</w:t>
      </w:r>
      <w:r>
        <w:t xml:space="preserve"> </w:t>
      </w:r>
      <w:r>
        <w:t xml:space="preserve">exposure of humans or the environment (e.g. plant protection products).</w:t>
      </w:r>
    </w:p>
    <w:p>
      <w:pPr>
        <w:pStyle w:val="BodyText"/>
      </w:pPr>
      <w:r>
        <w:t xml:space="preserve">for use in applications where the exposure is considered to be more difficult to</w:t>
      </w:r>
      <w:r>
        <w:t xml:space="preserve"> </w:t>
      </w:r>
      <w:r>
        <w:t xml:space="preserve">control and monitor (e.g. plant protection products).</w:t>
      </w:r>
    </w:p>
    <w:p>
      <w:pPr>
        <w:pStyle w:val="BodyText"/>
      </w:pPr>
      <w:r>
        <w:t xml:space="preserve">for use in applications resulting in exposure of vulnerable groups (e.g. children).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for use to prioritise the risk assessment of certain chemicals and under certain conditions (e.g. </w:t>
      </w:r>
      <w:r>
        <w:t xml:space="preserve"> </w:t>
      </w:r>
      <w:r>
        <w:t xml:space="preserve">food contact materials).</w:t>
      </w:r>
      <w:r>
        <w:t xml:space="preserve"> </w:t>
      </w:r>
      <w:r>
        <w:t xml:space="preserve">Substances:</w:t>
      </w:r>
    </w:p>
    <w:p>
      <w:pPr>
        <w:pStyle w:val="BodyText"/>
      </w:pPr>
      <w:r>
        <w:t xml:space="preserve">for substances with hazard properties that result in severe adverse effects on</w:t>
      </w:r>
      <w:r>
        <w:t xml:space="preserve"> </w:t>
      </w:r>
      <w:r>
        <w:t xml:space="preserve">human health or the environment should exposures occur (e.g. CMR, PBT, EDs,</w:t>
      </w:r>
      <w:r>
        <w:t xml:space="preserve"> </w:t>
      </w:r>
      <w:r>
        <w:t xml:space="preserve">chemicals with Single Target Organ Toxicity (STOT) properties); and</w:t>
      </w:r>
      <w:r>
        <w:t xml:space="preserve"> </w:t>
      </w:r>
      <w:r>
        <w:t xml:space="preserve">for substances where it is difficult/impossible to identify a safe threshold and, therefore, where</w:t>
      </w:r>
      <w:r>
        <w:t xml:space="preserve"> </w:t>
      </w:r>
      <w:r>
        <w:t xml:space="preserve">most specific risk assessments are likely to identify risks that lead to a need for risk</w:t>
      </w:r>
      <w:r>
        <w:t xml:space="preserve"> </w:t>
      </w:r>
      <w:r>
        <w:t xml:space="preserve">management measures (e.g. PBT, vPvB, respiratory sensitisers).</w:t>
      </w:r>
      <w:r>
        <w:t xml:space="preserve"> </w:t>
      </w:r>
      <w:r>
        <w:t xml:space="preserve">The Commission Staff Working document on the Fitness Check of the most relevant chemicals</w:t>
      </w:r>
      <w:r>
        <w:t xml:space="preserve"> </w:t>
      </w:r>
      <w:r>
        <w:t xml:space="preserve">legislation (excluding REACH)36 contains an Annex (Annex 4) that provides a summary of</w:t>
      </w:r>
      <w:r>
        <w:t xml:space="preserve"> </w:t>
      </w:r>
      <w:r>
        <w:t xml:space="preserve">legislation of hazard/risk assessment chemicals legislation that distinguished between</w:t>
      </w:r>
      <w:r>
        <w:t xml:space="preserve"> </w:t>
      </w:r>
      <w:r>
        <w:t xml:space="preserve">legislation that relies or not on the hazard assessment according to CLP.</w:t>
      </w:r>
    </w:p>
    <w:p>
      <w:pPr>
        <w:pStyle w:val="BodyText"/>
      </w:pPr>
      <w:r>
        <w:t xml:space="preserve">36 COMMISSION STAFF WORKING DOCUMENT FITNESS CHECK of the most relevant chemicals legislation</w:t>
      </w:r>
      <w:r>
        <w:t xml:space="preserve"> </w:t>
      </w:r>
      <w:r>
        <w:t xml:space="preserve">(excluding REACH), as well as related aspects of legislation applied to downstream industries Accompanying</w:t>
      </w:r>
      <w:r>
        <w:t xml:space="preserve"> </w:t>
      </w:r>
      <w:r>
        <w:t xml:space="preserve">the document REPORT FROM THE COMMISSION TO THE EUROPEAN PARLIAMENT, THE COUNCIL, THE</w:t>
      </w:r>
      <w:r>
        <w:t xml:space="preserve"> </w:t>
      </w:r>
      <w:r>
        <w:t xml:space="preserve">EUROPEAN ECONOMIC AND SOCIAL COMMITTEE AND THE COMMITTEE OF THE REGIONS Findings of the</w:t>
      </w:r>
      <w:r>
        <w:t xml:space="preserve"> </w:t>
      </w:r>
      <w:r>
        <w:t xml:space="preserve">Fitness Check of the most relevant chemicals legislation (excluding REACH) and identified challenges, gaps and</w:t>
      </w:r>
      <w:r>
        <w:t xml:space="preserve"> </w:t>
      </w:r>
      <w:r>
        <w:t xml:space="preserve">weaknesses, p 164-178, https://ec.europa.eu/info/sites/default/files/swd_2019_0199_en.pdf .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Annex 6 – Summary of the findings of the Fitness</w:t>
      </w:r>
      <w:r>
        <w:t xml:space="preserve"> </w:t>
      </w:r>
      <w:r>
        <w:t xml:space="preserve">Check on Chemical Regulations (except REACH)</w:t>
      </w:r>
      <w:r>
        <w:t xml:space="preserve"> </w:t>
      </w:r>
      <w:r>
        <w:t xml:space="preserve">This annex sums up the findings of the Fitness Check performed on the most relevant pieces</w:t>
      </w:r>
      <w:r>
        <w:t xml:space="preserve"> </w:t>
      </w:r>
      <w:r>
        <w:t xml:space="preserve">of chemical legislation (excluding REACH). Only CLP-relevant findings are reported below.</w:t>
      </w:r>
      <w:r>
        <w:br/>
      </w:r>
      <w:r>
        <w:t xml:space="preserve">The development of EU legislation on chemicals started with the adoption of the Dangerous</w:t>
      </w:r>
      <w:r>
        <w:t xml:space="preserve"> </w:t>
      </w:r>
      <w:r>
        <w:t xml:space="preserve">Substances Directive in 1967, followed by the Dangerous Preparations Directive in 1988,</w:t>
      </w:r>
      <w:r>
        <w:t xml:space="preserve"> </w:t>
      </w:r>
      <w:r>
        <w:t xml:space="preserve">which were the forerunners of the CLP harmonizing the criteria for classification, labelling and</w:t>
      </w:r>
      <w:r>
        <w:t xml:space="preserve"> </w:t>
      </w:r>
      <w:r>
        <w:t xml:space="preserve">packaging of substances and mixtures. The CLP identifies hazardous chemicals and provides</w:t>
      </w:r>
      <w:r>
        <w:t xml:space="preserve"> </w:t>
      </w:r>
      <w:r>
        <w:t xml:space="preserve">criteria how to classify those chemicals (either via self-classification or harmonised</w:t>
      </w:r>
      <w:r>
        <w:t xml:space="preserve"> </w:t>
      </w:r>
      <w:r>
        <w:t xml:space="preserve">classification). Based on the classification, the CLP provides rules on their labelling and</w:t>
      </w:r>
      <w:r>
        <w:t xml:space="preserve"> </w:t>
      </w:r>
      <w:r>
        <w:t xml:space="preserve">packaging.</w:t>
      </w:r>
      <w:r>
        <w:br/>
      </w:r>
      <w:r>
        <w:t xml:space="preserve">The Commission decided to undertake this Fitness Check to see what elements of the European</w:t>
      </w:r>
      <w:r>
        <w:t xml:space="preserve"> </w:t>
      </w:r>
      <w:r>
        <w:t xml:space="preserve">chemicals acquis work well and what needs to be improved, both in terms of meeting the policy</w:t>
      </w:r>
      <w:r>
        <w:t xml:space="preserve"> </w:t>
      </w:r>
      <w:r>
        <w:t xml:space="preserve">objectives and in terms of reducing regulatory burden. An assessment of the CLP framework</w:t>
      </w:r>
      <w:r>
        <w:t xml:space="preserve"> </w:t>
      </w:r>
      <w:r>
        <w:t xml:space="preserve">is part of that Fitness Check.</w:t>
      </w:r>
      <w:r>
        <w:br/>
      </w:r>
      <w:r>
        <w:t xml:space="preserve">Overall, the Fitness Check concludes that EU Chemicals legislation, including CLP, meets its</w:t>
      </w:r>
      <w:r>
        <w:t xml:space="preserve"> </w:t>
      </w:r>
      <w:r>
        <w:t xml:space="preserve">objectives in terms of hazard assessment and management.</w:t>
      </w:r>
      <w:r>
        <w:br/>
      </w:r>
      <w:r>
        <w:t xml:space="preserve">The linkages between the different pieces of EU chemicals legislation are generally well-</w:t>
      </w:r>
      <w:r>
        <w:t xml:space="preserve"> </w:t>
      </w:r>
      <w:r>
        <w:t xml:space="preserve">established and functioning reasonably well. The EU legal framework on chemicals is</w:t>
      </w:r>
      <w:r>
        <w:t xml:space="preserve"> </w:t>
      </w:r>
      <w:r>
        <w:t xml:space="preserve">generally designed to make science- and evidence-based decisions. The approach allows it to</w:t>
      </w:r>
      <w:r>
        <w:t xml:space="preserve"> </w:t>
      </w:r>
      <w:r>
        <w:t xml:space="preserve">deliver in an effective, efficient and coherent way. The added value of policy action at the EU</w:t>
      </w:r>
      <w:r>
        <w:t xml:space="preserve"> </w:t>
      </w:r>
      <w:r>
        <w:t xml:space="preserve">level is high and remains relevant. Significant benefits in terms of avoided health and</w:t>
      </w:r>
      <w:r>
        <w:t xml:space="preserve"> </w:t>
      </w:r>
      <w:r>
        <w:t xml:space="preserve">environmental impacts (e.g. healthcare costs, productivity losses, suffering and premature</w:t>
      </w:r>
      <w:r>
        <w:t xml:space="preserve"> </w:t>
      </w:r>
      <w:r>
        <w:t xml:space="preserve">deaths, remediation costs, and degradation of environmental/eco-system services) could be</w:t>
      </w:r>
      <w:r>
        <w:t xml:space="preserve"> </w:t>
      </w:r>
      <w:r>
        <w:t xml:space="preserve">registered. Also quality and the availability of data needed to perform robust risk assessments</w:t>
      </w:r>
      <w:r>
        <w:t xml:space="preserve"> </w:t>
      </w:r>
      <w:r>
        <w:t xml:space="preserve">and to make sound risk management decisions has improved considerably in recent years.</w:t>
      </w:r>
      <w:r>
        <w:br/>
      </w:r>
      <w:r>
        <w:t xml:space="preserve">Remaining challenges, gaps and weaknesses identified by the Fitness Check – and relevant for</w:t>
      </w:r>
      <w:r>
        <w:t xml:space="preserve"> </w:t>
      </w:r>
      <w:r>
        <w:t xml:space="preserve">CLP – are the following:</w:t>
      </w:r>
      <w:r>
        <w:br/>
      </w:r>
      <w:r>
        <w:t xml:space="preserve">Implementation and enforcement</w:t>
      </w:r>
      <w:r>
        <w:br/>
      </w:r>
      <w:r>
        <w:t xml:space="preserve">The correct functioning of the EU chemicals legislation relies heavily on the availability of the</w:t>
      </w:r>
      <w:r>
        <w:t xml:space="preserve"> </w:t>
      </w:r>
      <w:r>
        <w:t xml:space="preserve">resources of public authorities in charge of its implementation and enforcement but variations</w:t>
      </w:r>
      <w:r>
        <w:t xml:space="preserve"> </w:t>
      </w:r>
      <w:r>
        <w:t xml:space="preserve">between the capacity, available resources and expertise of Member States’ competent</w:t>
      </w:r>
      <w:r>
        <w:t xml:space="preserve"> </w:t>
      </w:r>
      <w:r>
        <w:t xml:space="preserve">authorities present significant challenges for implementation and enforcement and the systems’</w:t>
      </w:r>
      <w:r>
        <w:t xml:space="preserve"> </w:t>
      </w:r>
      <w:r>
        <w:t xml:space="preserve">overall effectiveness and efficiency.</w:t>
      </w:r>
      <w:r>
        <w:br/>
      </w:r>
      <w:r>
        <w:t xml:space="preserve">Resource constraints at national level affect the capacity to carry out different enforcement</w:t>
      </w:r>
      <w:r>
        <w:t xml:space="preserve"> </w:t>
      </w:r>
      <w:r>
        <w:t xml:space="preserve">activities, such as inspections and other controls including market surveillance activities or</w:t>
      </w:r>
      <w:r>
        <w:t xml:space="preserve"> </w:t>
      </w:r>
      <w:r>
        <w:t xml:space="preserve">reporting. There is also a considerable lack of information on the level of compliance with the</w:t>
      </w:r>
      <w:r>
        <w:t xml:space="preserve"> </w:t>
      </w:r>
      <w:r>
        <w:t xml:space="preserve">existing EU chemicals legislation, particularly with respect to consumer products.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Duplication, burdens and pace of procedures</w:t>
      </w:r>
      <w:r>
        <w:t xml:space="preserve"> </w:t>
      </w:r>
      <w:r>
        <w:t xml:space="preserve">Scientific advice and risk assessment are provided to the Commission by different agencies</w:t>
      </w:r>
      <w:r>
        <w:t xml:space="preserve"> </w:t>
      </w:r>
      <w:r>
        <w:t xml:space="preserve">and scientific committees depending on their areas of intervention and their competencies.</w:t>
      </w:r>
      <w:r>
        <w:t xml:space="preserve"> </w:t>
      </w:r>
      <w:r>
        <w:t xml:space="preserve">Ensuring good and effective cooperation among the EU agencies and the rules of procedure</w:t>
      </w:r>
      <w:r>
        <w:t xml:space="preserve"> </w:t>
      </w:r>
      <w:r>
        <w:t xml:space="preserve">governing the functioning of the existing committees is a must and could be improved. The</w:t>
      </w:r>
      <w:r>
        <w:t xml:space="preserve"> </w:t>
      </w:r>
      <w:r>
        <w:t xml:space="preserve">substance-by-substance approach could be improved as well, especially in view of assessing</w:t>
      </w:r>
      <w:r>
        <w:t xml:space="preserve"> </w:t>
      </w:r>
      <w:r>
        <w:t xml:space="preserve">chemicals with similar hazard, risk or function as a group a more holistic approach should be</w:t>
      </w:r>
      <w:r>
        <w:t xml:space="preserve"> </w:t>
      </w:r>
      <w:r>
        <w:t xml:space="preserve">considered.</w:t>
      </w:r>
      <w:r>
        <w:br/>
      </w:r>
      <w:r>
        <w:t xml:space="preserve">Communication of hazard and safety information:</w:t>
      </w:r>
      <w:r>
        <w:t xml:space="preserve"> </w:t>
      </w:r>
      <w:r>
        <w:t xml:space="preserve">A survey found that 45% of correspondents feel well informed about the potential dangers of</w:t>
      </w:r>
      <w:r>
        <w:t xml:space="preserve"> </w:t>
      </w:r>
      <w:r>
        <w:t xml:space="preserve">chemicals contained in products. The relatively low level of understanding of certain labels</w:t>
      </w:r>
      <w:r>
        <w:t xml:space="preserve"> </w:t>
      </w:r>
      <w:r>
        <w:t xml:space="preserve">and statements is partly due to the overload of information or to the overlaps in legal</w:t>
      </w:r>
      <w:r>
        <w:t xml:space="preserve"> </w:t>
      </w:r>
      <w:r>
        <w:t xml:space="preserve">requirements. This makes it difficult for downstream users and consumers to focus on the</w:t>
      </w:r>
      <w:r>
        <w:t xml:space="preserve"> </w:t>
      </w:r>
      <w:r>
        <w:t xml:space="preserve">essential hazard information. At the same time, the lack of some information on consumer</w:t>
      </w:r>
      <w:r>
        <w:t xml:space="preserve"> </w:t>
      </w:r>
      <w:r>
        <w:t xml:space="preserve">goods (labelling requirements on environmental hazards for cosmetic products) impacts the</w:t>
      </w:r>
      <w:r>
        <w:t xml:space="preserve"> </w:t>
      </w:r>
      <w:r>
        <w:t xml:space="preserve">consumers’ ability to make informed choices. The communication of hazard and safety</w:t>
      </w:r>
      <w:r>
        <w:t xml:space="preserve"> </w:t>
      </w:r>
      <w:r>
        <w:t xml:space="preserve">information to consumers can thus be improved and simplified, including by using digital</w:t>
      </w:r>
      <w:r>
        <w:t xml:space="preserve"> </w:t>
      </w:r>
      <w:r>
        <w:t xml:space="preserve">technologies such as Q-R codes. Also ECHA’s classification and labelling inventory (C&amp;L)</w:t>
      </w:r>
      <w:r>
        <w:t xml:space="preserve"> </w:t>
      </w:r>
      <w:r>
        <w:t xml:space="preserve">could be improved so as to reduce the number of different entries for the same substance.</w:t>
      </w:r>
      <w:r>
        <w:br/>
      </w:r>
      <w:r>
        <w:t xml:space="preserve">Consistency of risk management measures</w:t>
      </w:r>
      <w:r>
        <w:t xml:space="preserve"> </w:t>
      </w:r>
      <w:r>
        <w:t xml:space="preserve">A potential important gap is the lack of an overarching approach to the protection of vulnerable</w:t>
      </w:r>
      <w:r>
        <w:t xml:space="preserve"> </w:t>
      </w:r>
      <w:r>
        <w:t xml:space="preserve">groups. Reference to vulnerable groups is not systematic across the legislation and risks to</w:t>
      </w:r>
      <w:r>
        <w:t xml:space="preserve"> </w:t>
      </w:r>
      <w:r>
        <w:t xml:space="preserve">these groups are not always addressed in a consistent manner across product, risk, or sector</w:t>
      </w:r>
      <w:r>
        <w:t xml:space="preserve"> </w:t>
      </w:r>
      <w:r>
        <w:t xml:space="preserve">specific legislation.</w:t>
      </w:r>
      <w:r>
        <w:br/>
      </w:r>
      <w:r>
        <w:t xml:space="preserve">Due to different risk management decisions of various legislations, inconsistencies exist for</w:t>
      </w:r>
      <w:r>
        <w:t xml:space="preserve"> </w:t>
      </w:r>
      <w:r>
        <w:t xml:space="preserve">substances that are endocrine disruptors, persistent, bio-accumulative, toxic, very persistent</w:t>
      </w:r>
      <w:r>
        <w:t xml:space="preserve"> </w:t>
      </w:r>
      <w:r>
        <w:t xml:space="preserve">and very bio-accumulative and fulfil the classification criteria for specific target organ toxicity.</w:t>
      </w:r>
      <w:r>
        <w:t xml:space="preserve"> </w:t>
      </w:r>
      <w:r>
        <w:t xml:space="preserve">The potential added value of introducing new hazard classes in the CLP Regulation (e.g. </w:t>
      </w:r>
      <w:r>
        <w:t xml:space="preserve"> </w:t>
      </w:r>
      <w:r>
        <w:t xml:space="preserve">terrestrial toxicity, neurotoxicity, immunotoxicity, endocrine disruption, persistent</w:t>
      </w:r>
      <w:r>
        <w:t xml:space="preserve"> </w:t>
      </w:r>
      <w:r>
        <w:t xml:space="preserve">bioaccumulative and toxic, very persistent very bioaccumulative) could be explored.</w:t>
      </w:r>
      <w:r>
        <w:t xml:space="preserve"> </w:t>
      </w:r>
      <w:r>
        <w:t xml:space="preserve">Risk assessment, knowledge gaps and challenges in keeping up with science</w:t>
      </w:r>
      <w:r>
        <w:t xml:space="preserve"> </w:t>
      </w:r>
      <w:r>
        <w:t xml:space="preserve">The proper functioning of the EU chemicals legislation and its capacity to respond to future</w:t>
      </w:r>
      <w:r>
        <w:t xml:space="preserve"> </w:t>
      </w:r>
      <w:r>
        <w:t xml:space="preserve">challenges depends on the ability of the EU and Member States to make their decisions based</w:t>
      </w:r>
      <w:r>
        <w:t xml:space="preserve"> </w:t>
      </w:r>
      <w:r>
        <w:t xml:space="preserve">on robust and relevant up-to-date data. Important knowledge gaps remain regarding exposure</w:t>
      </w:r>
      <w:r>
        <w:t xml:space="preserve"> </w:t>
      </w:r>
      <w:r>
        <w:t xml:space="preserve">to hazardous chemicals, their use and their impacts on humans and the environment, including</w:t>
      </w:r>
      <w:r>
        <w:t xml:space="preserve"> </w:t>
      </w:r>
      <w:r>
        <w:t xml:space="preserve">on biodiversity and ecosystems’ resilience.</w:t>
      </w:r>
      <w:r>
        <w:t xml:space="preserve"> </w:t>
      </w:r>
      <w:r>
        <w:t xml:space="preserve">Moreover, there are still barriers to the use and acceptance of alternative (non-animal) test</w:t>
      </w:r>
      <w:r>
        <w:t xml:space="preserve"> </w:t>
      </w:r>
      <w:r>
        <w:t xml:space="preserve">methods for regulatory purposes, partially linked to gaps in the available test guidelines.</w:t>
      </w:r>
      <w:r>
        <w:t xml:space="preserve"> </w:t>
      </w:r>
      <w:r>
        <w:t xml:space="preserve">Lack of knowledge about substances in articles is increasingly concerning as the EU is in the</w:t>
      </w:r>
      <w:r>
        <w:t xml:space="preserve"> </w:t>
      </w:r>
      <w:r>
        <w:t xml:space="preserve">process of shifting towards a more circular economy, therefore, a life-cycle assessment is</w:t>
      </w:r>
      <w:r>
        <w:t xml:space="preserve"> </w:t>
      </w:r>
      <w:r>
        <w:t xml:space="preserve">needed and information on recyclability.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Global competitiveness, innovation and sustainability</w:t>
      </w:r>
      <w:r>
        <w:br/>
      </w:r>
      <w:r>
        <w:t xml:space="preserve">Globalisation, a strong growth in the production of chemicals in other parts of the world and</w:t>
      </w:r>
      <w:r>
        <w:t xml:space="preserve"> </w:t>
      </w:r>
      <w:r>
        <w:t xml:space="preserve">rapid technological change are the main challenges for the EU chemicals industry. Significant</w:t>
      </w:r>
      <w:r>
        <w:t xml:space="preserve"> </w:t>
      </w:r>
      <w:r>
        <w:t xml:space="preserve">efforts will be needed by all interested parties at all levels and most importantly by industry</w:t>
      </w:r>
      <w:r>
        <w:t xml:space="preserve"> </w:t>
      </w:r>
      <w:r>
        <w:t xml:space="preserve">itself to maintain and reinforce Europe’s industrial leadership (main assets of the EU chemicals</w:t>
      </w:r>
      <w:r>
        <w:t xml:space="preserve"> </w:t>
      </w:r>
      <w:r>
        <w:t xml:space="preserve">industry are a high level of technological development, a skilled and talented workforce and a</w:t>
      </w:r>
      <w:r>
        <w:t xml:space="preserve"> </w:t>
      </w:r>
      <w:r>
        <w:t xml:space="preserve">world-class science base).</w:t>
      </w:r>
      <w:r>
        <w:br/>
      </w:r>
      <w:r>
        <w:t xml:space="preserve">The internal market is another asset that the EU and Member States authorities as well as the</w:t>
      </w:r>
      <w:r>
        <w:t xml:space="preserve"> </w:t>
      </w:r>
      <w:r>
        <w:t xml:space="preserve">EU industry can build upon such as digitalisation, IT tools and other smart technologies. Smart</w:t>
      </w:r>
      <w:r>
        <w:t xml:space="preserve"> </w:t>
      </w:r>
      <w:r>
        <w:t xml:space="preserve">technologies offer better communication of chemical hazard and safety information to</w:t>
      </w:r>
      <w:r>
        <w:t xml:space="preserve"> </w:t>
      </w:r>
      <w:r>
        <w:t xml:space="preserve">consumers and digitalisation means potential burden reduction for SMEs.</w:t>
      </w:r>
      <w:r>
        <w:t xml:space="preserve"> </w:t>
      </w:r>
      <w:r>
        <w:t xml:space="preserve">Additional support to the development of smart, innovative, and sustainable chemicals and to</w:t>
      </w:r>
      <w:r>
        <w:t xml:space="preserve"> </w:t>
      </w:r>
      <w:r>
        <w:t xml:space="preserve">encourage ‘green chemistry’ will be critical to ensure sustainability as well as the</w:t>
      </w:r>
      <w:r>
        <w:t xml:space="preserve"> </w:t>
      </w:r>
      <w:r>
        <w:t xml:space="preserve">competitiveness of the EU chemicals industry for the future.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Annex 7 – Baseline, discarded measures and</w:t>
      </w:r>
      <w:r>
        <w:t xml:space="preserve"> </w:t>
      </w:r>
      <w:r>
        <w:t xml:space="preserve">assessment of policy measures</w:t>
      </w:r>
      <w:r>
        <w:t xml:space="preserve"> </w:t>
      </w:r>
      <w:r>
        <w:t xml:space="preserve">1</w:t>
      </w:r>
      <w:r>
        <w:t xml:space="preserve"> </w:t>
      </w:r>
      <w:r>
        <w:t xml:space="preserve">BASELINE</w:t>
      </w:r>
      <w:r>
        <w:br/>
      </w:r>
      <w:r>
        <w:t xml:space="preserve">The baseline has been defined to allow for the assessment of the environmental, economic and</w:t>
      </w:r>
      <w:r>
        <w:t xml:space="preserve"> </w:t>
      </w:r>
      <w:r>
        <w:t xml:space="preserve">social impacts of the policy options considered. It includes a brief description of the wider</w:t>
      </w:r>
      <w:r>
        <w:t xml:space="preserve"> </w:t>
      </w:r>
      <w:r>
        <w:t xml:space="preserve">socioeconomic context, the evolution of the macroaggregates of the EU chemical industry and</w:t>
      </w:r>
      <w:r>
        <w:t xml:space="preserve"> </w:t>
      </w:r>
      <w:r>
        <w:t xml:space="preserve">the assumptions on the continuation of the existing legal framework and scope. The latter is</w:t>
      </w:r>
      <w:r>
        <w:t xml:space="preserve"> </w:t>
      </w:r>
      <w:r>
        <w:t xml:space="preserve">described in more detail by the seven intervention areas.</w:t>
      </w:r>
      <w:r>
        <w:t xml:space="preserve"> </w:t>
      </w:r>
      <w:r>
        <w:t xml:space="preserve">Box 1 – Choice of the appraisal period</w:t>
      </w:r>
      <w:r>
        <w:t xml:space="preserve"> </w:t>
      </w:r>
      <w:r>
        <w:t xml:space="preserve">The 2023-2042 period (20 years) is considered adequate for the projections under the</w:t>
      </w:r>
      <w:r>
        <w:t xml:space="preserve"> </w:t>
      </w:r>
      <w:r>
        <w:t xml:space="preserve">baseline scenario and the impact assessment of the proposed options. Its length has been</w:t>
      </w:r>
      <w:r>
        <w:t xml:space="preserve"> </w:t>
      </w:r>
      <w:r>
        <w:t xml:space="preserve">decided in consideration of the expected time-span for the realisation of impacts: the policy</w:t>
      </w:r>
      <w:r>
        <w:t xml:space="preserve"> </w:t>
      </w:r>
      <w:r>
        <w:t xml:space="preserve">options considered are expected to entail one-off and recurring costs for businesses and</w:t>
      </w:r>
      <w:r>
        <w:t xml:space="preserve"> </w:t>
      </w:r>
      <w:r>
        <w:t xml:space="preserve">Member State competent authorities. It is important to stress that even the one-off costs are</w:t>
      </w:r>
      <w:r>
        <w:t xml:space="preserve"> </w:t>
      </w:r>
      <w:r>
        <w:t xml:space="preserve">expected to be borne gradually over a number of years rather than all in year one: for</w:t>
      </w:r>
      <w:r>
        <w:t xml:space="preserve"> </w:t>
      </w:r>
      <w:r>
        <w:t xml:space="preserve">example, the costs of classifying and labelling chemical substances and mixtures as</w:t>
      </w:r>
      <w:r>
        <w:t xml:space="preserve"> </w:t>
      </w:r>
      <w:r>
        <w:t xml:space="preserve">endocrine disruptors depend on a number of factors:</w:t>
      </w:r>
      <w:r>
        <w:t xml:space="preserve"> </w:t>
      </w:r>
      <w:r>
        <w:t xml:space="preserve">The introduction of information requirements on endocrine disruption in REACH;</w:t>
      </w:r>
      <w:r>
        <w:t xml:space="preserve"> </w:t>
      </w:r>
      <w:r>
        <w:t xml:space="preserve">The generation of data by REACH registrants through the required testing: some of the tests</w:t>
      </w:r>
      <w:r>
        <w:t xml:space="preserve"> </w:t>
      </w:r>
      <w:r>
        <w:t xml:space="preserve">require two to three years to generate results;</w:t>
      </w:r>
      <w:r>
        <w:t xml:space="preserve"> </w:t>
      </w:r>
      <w:r>
        <w:t xml:space="preserve">The quality of the data generated and the follow-up activities by ECHA and Member State</w:t>
      </w:r>
      <w:r>
        <w:t xml:space="preserve"> </w:t>
      </w:r>
      <w:r>
        <w:t xml:space="preserve">competent authorities to fill data gaps and improve the overall information quality.</w:t>
      </w:r>
      <w:r>
        <w:t xml:space="preserve"> </w:t>
      </w:r>
      <w:r>
        <w:t xml:space="preserve">Also the benefits and cost savings of the policy options considered are expected to be</w:t>
      </w:r>
      <w:r>
        <w:t xml:space="preserve"> </w:t>
      </w:r>
      <w:r>
        <w:t xml:space="preserve">obtained over a number of years: while some of the cost savings may be generated relatively</w:t>
      </w:r>
      <w:r>
        <w:t xml:space="preserve"> </w:t>
      </w:r>
      <w:r>
        <w:t xml:space="preserve">shortly after the implementation of the measures (e.g. benefits accruing from the</w:t>
      </w:r>
      <w:r>
        <w:t xml:space="preserve"> </w:t>
      </w:r>
      <w:r>
        <w:t xml:space="preserve">improvements to the CLI, changes in the labelling requirements), human health and</w:t>
      </w:r>
      <w:r>
        <w:t xml:space="preserve"> </w:t>
      </w:r>
      <w:r>
        <w:t xml:space="preserve">environmental benefits of the introduction of new hazard classes to CLP may be obtained</w:t>
      </w:r>
      <w:r>
        <w:t xml:space="preserve"> </w:t>
      </w:r>
      <w:r>
        <w:t xml:space="preserve">only in the long term. To account for the long latency of some of the relevant health</w:t>
      </w:r>
      <w:r>
        <w:t xml:space="preserve"> </w:t>
      </w:r>
      <w:r>
        <w:t xml:space="preserve">outcomes, a sensitivity analysis was performed, considering a longer discounting period (40</w:t>
      </w:r>
      <w:r>
        <w:t xml:space="preserve"> </w:t>
      </w:r>
      <w:r>
        <w:t xml:space="preserve">years).</w:t>
      </w:r>
      <w:r>
        <w:br/>
      </w:r>
      <w:r>
        <w:t xml:space="preserve">Finally, the 20-year period is also consistent with the period considered by Ricardo (2021).</w:t>
      </w:r>
    </w:p>
    <w:p>
      <w:pPr>
        <w:pStyle w:val="BodyText"/>
      </w:pPr>
      <w:r>
        <w:t xml:space="preserve">Context</w:t>
      </w:r>
      <w:r>
        <w:br/>
      </w:r>
      <w:r>
        <w:t xml:space="preserve">1.1.1 Socioeconomic context</w:t>
      </w:r>
      <w:r>
        <w:t xml:space="preserve"> </w:t>
      </w:r>
      <w:r>
        <w:t xml:space="preserve">The short-term economic outlook for the EU is positive, as the economy is rebounding from</w:t>
      </w:r>
      <w:r>
        <w:t xml:space="preserve"> </w:t>
      </w:r>
      <w:r>
        <w:t xml:space="preserve">the crisis onset by the COVID-19 pandemic faster than expected. Households’ spending is</w:t>
      </w:r>
      <w:r>
        <w:t xml:space="preserve"> </w:t>
      </w:r>
      <w:r>
        <w:t xml:space="preserve">recovering but supply’s growth is hindered by labour shortages, challenges in global logistics,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shortages in the production of key raw materials and microprocessors, and surging energy</w:t>
      </w:r>
      <w:r>
        <w:t xml:space="preserve"> </w:t>
      </w:r>
      <w:r>
        <w:t xml:space="preserve">prices37. The OECD long-term projections forecast the GDP of the Euro Area (17 countries) to</w:t>
      </w:r>
      <w:r>
        <w:t xml:space="preserve"> </w:t>
      </w:r>
      <w:r>
        <w:t xml:space="preserve">pass from USD201513.97 billion (EUR201512.59 billion) in 2020 to USD201518.65 billion</w:t>
      </w:r>
      <w:r>
        <w:t xml:space="preserve"> </w:t>
      </w:r>
      <w:r>
        <w:t xml:space="preserve">(EUR201516.81 billion) in 2040 (33.5% growth).38</w:t>
      </w:r>
      <w:r>
        <w:t xml:space="preserve"> </w:t>
      </w:r>
      <w:r>
        <w:t xml:space="preserve">The EU27’s population is projected to increase from 447.7 million in 2020 and peak to 449.3</w:t>
      </w:r>
      <w:r>
        <w:t xml:space="preserve"> </w:t>
      </w:r>
      <w:r>
        <w:t xml:space="preserve">million in 2026, then gradually decrease to 446.8 million in 204039. Both the size and the</w:t>
      </w:r>
      <w:r>
        <w:t xml:space="preserve"> </w:t>
      </w:r>
      <w:r>
        <w:t xml:space="preserve">proportion of older persons in the total population are expected to increase40, with the share of</w:t>
      </w:r>
      <w:r>
        <w:t xml:space="preserve"> </w:t>
      </w:r>
      <w:r>
        <w:t xml:space="preserve">elderly persons (65 years and over) projected to grow from 21% in 2020 to 27% in 204041.</w:t>
      </w:r>
      <w:r>
        <w:t xml:space="preserve"> </w:t>
      </w:r>
      <w:r>
        <w:t xml:space="preserve">Increasing demographic imbalances42, such as the ageing population, pose challenges for</w:t>
      </w:r>
      <w:r>
        <w:t xml:space="preserve"> </w:t>
      </w:r>
      <w:r>
        <w:t xml:space="preserve">public expenditure in relation to pensions, health care and long-term care costs.</w:t>
      </w:r>
      <w:r>
        <w:br/>
      </w:r>
      <w:r>
        <w:t xml:space="preserve">Accelerating technological change and hyperconnectivity is also expected to have a strong</w:t>
      </w:r>
      <w:r>
        <w:t xml:space="preserve"> </w:t>
      </w:r>
      <w:r>
        <w:t xml:space="preserve">influence on all aspects of human life in the next decades. The fifth generation of mobile</w:t>
      </w:r>
      <w:r>
        <w:t xml:space="preserve"> </w:t>
      </w:r>
      <w:r>
        <w:t xml:space="preserve">connectivity (5G), edge computing, next-generation batteries, precision sensors and quantum</w:t>
      </w:r>
      <w:r>
        <w:t xml:space="preserve"> </w:t>
      </w:r>
      <w:r>
        <w:t xml:space="preserve">computing are expected to enable innovation, in particular towards human augmentation43 (EY,</w:t>
      </w:r>
      <w:r>
        <w:t xml:space="preserve"> </w:t>
      </w:r>
      <w:r>
        <w:t xml:space="preserve">2020). This includes empowering consumers through enhanced decision-making thanks to, for</w:t>
      </w:r>
      <w:r>
        <w:t xml:space="preserve"> </w:t>
      </w:r>
      <w:r>
        <w:t xml:space="preserve">example, easier, faster and more tailored information. New disruptive technologies challenge</w:t>
      </w:r>
      <w:r>
        <w:t xml:space="preserve"> </w:t>
      </w:r>
      <w:r>
        <w:t xml:space="preserve">existing regulations but may also enable new regulatory approaches.</w:t>
      </w:r>
      <w:r>
        <w:br/>
      </w:r>
      <w:r>
        <w:t xml:space="preserve">Climate change and environmental degradation is affecting human activities at multiple</w:t>
      </w:r>
      <w:r>
        <w:t xml:space="preserve"> </w:t>
      </w:r>
      <w:r>
        <w:t xml:space="preserve">levels: ecosystems’ degradation is decreasing their ability to provide the services on which</w:t>
      </w:r>
      <w:r>
        <w:t xml:space="preserve"> </w:t>
      </w:r>
      <w:r>
        <w:t xml:space="preserve">human life depend on, such as food, availability of clean water, absorption and retention of</w:t>
      </w:r>
      <w:r>
        <w:t xml:space="preserve"> </w:t>
      </w:r>
      <w:r>
        <w:t xml:space="preserve">carbon dioxide, clean air and shelter. Climate change is likely to amplify other long-term</w:t>
      </w:r>
      <w:r>
        <w:t xml:space="preserve"> </w:t>
      </w:r>
      <w:r>
        <w:t xml:space="preserve">driving forces, such as significant migration and social inequalities.</w:t>
      </w:r>
      <w:r>
        <w:t xml:space="preserve"> </w:t>
      </w:r>
      <w:r>
        <w:t xml:space="preserve">The expanding influence of countries in the East and South of the world, fuelled by their</w:t>
      </w:r>
      <w:r>
        <w:t xml:space="preserve"> </w:t>
      </w:r>
      <w:r>
        <w:t xml:space="preserve">young populations and growing living standards, is driving the global economy to increased</w:t>
      </w:r>
      <w:r>
        <w:t xml:space="preserve"> </w:t>
      </w:r>
      <w:r>
        <w:t xml:space="preserve">protectionism, which may result in trade and investment flows becoming more regional. The</w:t>
      </w:r>
    </w:p>
    <w:p>
      <w:pPr>
        <w:pStyle w:val="BodyText"/>
      </w:pPr>
      <w:r>
        <w:t xml:space="preserve">37 Autumn 2021 Economic Forecast: From recovery to expansion, amid headwind, available at:</w:t>
      </w:r>
      <w:r>
        <w:t xml:space="preserve"> </w:t>
      </w:r>
      <w:r>
        <w:t xml:space="preserve">https://ec.europa.eu/info/business-economy-euro/economic-performance-and-forecasts/economic-</w:t>
      </w:r>
      <w:r>
        <w:t xml:space="preserve"> </w:t>
      </w:r>
      <w:r>
        <w:t xml:space="preserve">forecasts/autumn-2021-economic-forecast-recovery-expansion-amid-headwinds_en</w:t>
      </w:r>
      <w:r>
        <w:br/>
      </w:r>
      <w:r>
        <w:t xml:space="preserve">38 GDPVD, Gross Domestic Product, volume in USD, at constant 2015 purchasing power parities. Source:</w:t>
      </w:r>
      <w:r>
        <w:t xml:space="preserve"> </w:t>
      </w:r>
      <w:r>
        <w:t xml:space="preserve">https://www.oecd-ilibrary.org/economics/data/oecd-economic-outlook-statistics-and-projections/long-term-</w:t>
      </w:r>
      <w:r>
        <w:t xml:space="preserve"> </w:t>
      </w:r>
      <w:r>
        <w:t xml:space="preserve">baseline-projections-no-109-edition-2021_cbdb49e6-en</w:t>
      </w:r>
      <w:r>
        <w:br/>
      </w:r>
      <w:r>
        <w:t xml:space="preserve">2015 Exchange rate 1 USD – 0.9015 EUR. Source: https://www.exchangerates.org.uk/USD-EUR-spot-exchange-</w:t>
      </w:r>
      <w:r>
        <w:t xml:space="preserve"> </w:t>
      </w:r>
      <w:r>
        <w:t xml:space="preserve">rates-history-2015.html</w:t>
      </w:r>
      <w:r>
        <w:br/>
      </w:r>
      <w:r>
        <w:t xml:space="preserve">39 https://ec.europa.eu/eurostat/databrowser/view/proj_19np/default/table?lang=en</w:t>
      </w:r>
      <w:r>
        <w:br/>
      </w:r>
      <w:r>
        <w:t xml:space="preserve">40 https://ec.europa.eu/eurostat/statistics-explained/index.php?title=People_in_the_EU_-</w:t>
      </w:r>
      <w:r>
        <w:t xml:space="preserve"> </w:t>
      </w:r>
      <w:r>
        <w:t xml:space="preserve">_population_projections&amp;oldid=497115</w:t>
      </w:r>
      <w:r>
        <w:t xml:space="preserve"> </w:t>
      </w:r>
      <w:r>
        <w:t xml:space="preserve">41 https://ec.europa.eu/eurostat/databrowser/view/proj_19np/default/table?lang=en</w:t>
      </w:r>
      <w:r>
        <w:br/>
      </w:r>
      <w:r>
        <w:t xml:space="preserve">42 One of the 14 global megatrends — ‘long-term global driving forces that are observable in the present and are</w:t>
      </w:r>
      <w:r>
        <w:t xml:space="preserve"> </w:t>
      </w:r>
      <w:r>
        <w:t xml:space="preserve">likely to continue to have a significant influence for a few decades’ — monitored by the European Commission</w:t>
      </w:r>
      <w:r>
        <w:t xml:space="preserve"> </w:t>
      </w:r>
      <w:r>
        <w:t xml:space="preserve">and regularly used in foresight exercises. The other 13 are: accelerating technological change and</w:t>
      </w:r>
      <w:r>
        <w:t xml:space="preserve"> </w:t>
      </w:r>
      <w:r>
        <w:t xml:space="preserve">hyperconnectivity, aggravating resource scarcity, changing nature of work, changing security paradigm, climate</w:t>
      </w:r>
      <w:r>
        <w:t xml:space="preserve"> </w:t>
      </w:r>
      <w:r>
        <w:t xml:space="preserve">change and environmental degradation, continuing urbanisation, diversification of education and learning,</w:t>
      </w:r>
      <w:r>
        <w:t xml:space="preserve"> </w:t>
      </w:r>
      <w:r>
        <w:t xml:space="preserve">widening inequalities, expanding influence of East and South, growing consumption, increasing demographic</w:t>
      </w:r>
      <w:r>
        <w:t xml:space="preserve"> </w:t>
      </w:r>
      <w:r>
        <w:t xml:space="preserve">imbalances, increasing influence of new governing systems, increasing significant migration, shifting health</w:t>
      </w:r>
      <w:r>
        <w:t xml:space="preserve"> </w:t>
      </w:r>
      <w:r>
        <w:t xml:space="preserve">challenges. Source: https://knowledge4policy.ec.europa.eu/foresight/tool/megatrends-hub_en</w:t>
      </w:r>
      <w:r>
        <w:t xml:space="preserve"> </w:t>
      </w:r>
      <w:r>
        <w:t xml:space="preserve">43 Gartner, Human Augmentation, ‘Cognitive and physical improvements as an integral part of the human body’.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pandemic has also exposed the fragility of the global supply chains, which is encouraging</w:t>
      </w:r>
      <w:r>
        <w:t xml:space="preserve"> </w:t>
      </w:r>
      <w:r>
        <w:t xml:space="preserve">companies — but also governments — to explore more resilient systems.</w:t>
      </w:r>
      <w:r>
        <w:t xml:space="preserve"> </w:t>
      </w:r>
      <w:r>
        <w:t xml:space="preserve">1.1.2 The chemical industry</w:t>
      </w:r>
      <w:r>
        <w:t xml:space="preserve"> </w:t>
      </w:r>
      <w:r>
        <w:t xml:space="preserve">The EU27 chemical manufacturing industry accounts for approximately 7% of the total EU</w:t>
      </w:r>
      <w:r>
        <w:t xml:space="preserve"> </w:t>
      </w:r>
      <w:r>
        <w:t xml:space="preserve">industrial production (EC, 2019e). In 2020, chemical production dropped by 1.9% compared</w:t>
      </w:r>
      <w:r>
        <w:t xml:space="preserve"> </w:t>
      </w:r>
      <w:r>
        <w:t xml:space="preserve">to 2019 levels, but it is expected to bounce back in 2021 (expected growth of 3%) and 2022</w:t>
      </w:r>
      <w:r>
        <w:t xml:space="preserve"> </w:t>
      </w:r>
      <w:r>
        <w:t xml:space="preserve">(2% growth). The long-term response of the industry to the economic impacts of the COVID-</w:t>
      </w:r>
      <w:r>
        <w:t xml:space="preserve"> </w:t>
      </w:r>
      <w:r>
        <w:t xml:space="preserve">19 pandemic remains uncertain.44 Chemical sales accounted for €499 billion, contracting by</w:t>
      </w:r>
      <w:r>
        <w:t xml:space="preserve"> </w:t>
      </w:r>
      <w:r>
        <w:t xml:space="preserve">8.1% (€44 billion). The EU share of global sales continue to decrease (from 19.3% in 2010 to</w:t>
      </w:r>
      <w:r>
        <w:t xml:space="preserve"> </w:t>
      </w:r>
      <w:r>
        <w:t xml:space="preserve">14.4% in 2020, and projected to be 10.5% in 2030), but the global chemicals market is expected</w:t>
      </w:r>
      <w:r>
        <w:t xml:space="preserve"> </w:t>
      </w:r>
      <w:r>
        <w:t xml:space="preserve">to keep growing markedly (from €3.5 trillion in 2020 to €6.2 trillion in 2030) resulting in an</w:t>
      </w:r>
      <w:r>
        <w:t xml:space="preserve"> </w:t>
      </w:r>
      <w:r>
        <w:t xml:space="preserve">absolute growth of EU sales between 2020 and 2030 of around 30% (from €499.1 billion to</w:t>
      </w:r>
      <w:r>
        <w:t xml:space="preserve"> </w:t>
      </w:r>
      <w:r>
        <w:t xml:space="preserve">€651 billion). The industry spent €9.4 billion in R&amp;I (around 7.4% of added value).45</w:t>
      </w:r>
      <w:r>
        <w:t xml:space="preserve"> </w:t>
      </w:r>
      <w:r>
        <w:t xml:space="preserve">Table 9 provides an overview of the main economic aggregates (turnover, value added at factor</w:t>
      </w:r>
      <w:r>
        <w:t xml:space="preserve"> </w:t>
      </w:r>
      <w:r>
        <w:t xml:space="preserve">cost, number of enterprises and number of persons employed) of the chemical sector</w:t>
      </w:r>
      <w:r>
        <w:t xml:space="preserve"> </w:t>
      </w:r>
      <w:r>
        <w:t xml:space="preserve">(manufacturers, formulators and distributors):46 around 57,000 companies contributing roughly</w:t>
      </w:r>
      <w:r>
        <w:t xml:space="preserve"> </w:t>
      </w:r>
      <w:r>
        <w:t xml:space="preserve">to €309 billion in Gross Added Value and employing over 1.6 million people. Chemicals are</w:t>
      </w:r>
      <w:r>
        <w:t xml:space="preserve"> </w:t>
      </w:r>
      <w:r>
        <w:t xml:space="preserve">used in all aspects of modern life, and virtually all manufacturing sectors and many downstream</w:t>
      </w:r>
      <w:r>
        <w:t xml:space="preserve"> </w:t>
      </w:r>
      <w:r>
        <w:t xml:space="preserve">sectors rely on chemical products, from agriculture to automotive and aerospace. The industry</w:t>
      </w:r>
      <w:r>
        <w:t xml:space="preserve"> </w:t>
      </w:r>
      <w:r>
        <w:t xml:space="preserve">generates over 3.6 million indirect jobs.47</w:t>
      </w:r>
      <w:r>
        <w:t xml:space="preserve"> </w:t>
      </w:r>
      <w:r>
        <w:t xml:space="preserve">Table 9: Forecast of main aggregates for C20 Manufacture of chemicals and chemical products; G46.12</w:t>
      </w:r>
      <w:r>
        <w:t xml:space="preserve"> </w:t>
      </w:r>
      <w:r>
        <w:t xml:space="preserve">Agents involved in the sale of fuels, ores, metals and industrial chemicals; G46.75 Wholesale of chemical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2032</w:t>
      </w:r>
      <w:r>
        <w:t xml:space="preserve"> </w:t>
      </w:r>
      <w:r>
        <w:t xml:space="preserve">2042</w:t>
      </w:r>
      <w:r>
        <w:t xml:space="preserve"> </w:t>
      </w:r>
      <w:r>
        <w:t xml:space="preserve">C20 Manufacture of chemicals and chemical products</w:t>
      </w:r>
      <w:r>
        <w:t xml:space="preserve"> </w:t>
      </w:r>
      <w:r>
        <w:t xml:space="preserve">Enterprises - number</w:t>
      </w:r>
      <w:r>
        <w:t xml:space="preserve"> </w:t>
      </w:r>
      <w:r>
        <w:t xml:space="preserve">27,986</w:t>
      </w:r>
      <w:r>
        <w:t xml:space="preserve"> </w:t>
      </w:r>
      <w:r>
        <w:t xml:space="preserve">28,168</w:t>
      </w:r>
      <w:r>
        <w:t xml:space="preserve"> </w:t>
      </w:r>
      <w:r>
        <w:t xml:space="preserve">31,469</w:t>
      </w:r>
      <w:r>
        <w:t xml:space="preserve"> </w:t>
      </w:r>
      <w:r>
        <w:t xml:space="preserve">34,221</w:t>
      </w:r>
      <w:r>
        <w:t xml:space="preserve"> </w:t>
      </w:r>
      <w:r>
        <w:t xml:space="preserve">Turnover or gross premiums written - million euro</w:t>
      </w:r>
      <w:r>
        <w:t xml:space="preserve"> </w:t>
      </w:r>
      <w:r>
        <w:t xml:space="preserve">600,000</w:t>
      </w:r>
      <w:r>
        <w:t xml:space="preserve"> </w:t>
      </w:r>
      <w:r>
        <w:t xml:space="preserve">588,578</w:t>
      </w:r>
      <w:r>
        <w:t xml:space="preserve"> </w:t>
      </w:r>
      <w:r>
        <w:t xml:space="preserve">735,051</w:t>
      </w:r>
      <w:r>
        <w:t xml:space="preserve"> </w:t>
      </w:r>
      <w:r>
        <w:t xml:space="preserve">857,111</w:t>
      </w:r>
      <w:r>
        <w:t xml:space="preserve"> </w:t>
      </w:r>
      <w:r>
        <w:t xml:space="preserve">Value added at factor cost - million euro</w:t>
      </w:r>
      <w:r>
        <w:t xml:space="preserve"> </w:t>
      </w:r>
      <w:r>
        <w:t xml:space="preserve">130,000*</w:t>
      </w:r>
      <w:r>
        <w:t xml:space="preserve"> </w:t>
      </w:r>
      <w:r>
        <w:t xml:space="preserve">146,077</w:t>
      </w:r>
      <w:r>
        <w:t xml:space="preserve"> </w:t>
      </w:r>
      <w:r>
        <w:t xml:space="preserve">221,768</w:t>
      </w:r>
      <w:r>
        <w:t xml:space="preserve"> </w:t>
      </w:r>
      <w:r>
        <w:t xml:space="preserve">284,843</w:t>
      </w:r>
      <w:r>
        <w:t xml:space="preserve"> </w:t>
      </w:r>
      <w:r>
        <w:t xml:space="preserve">Persons employed - number</w:t>
      </w:r>
      <w:r>
        <w:t xml:space="preserve"> </w:t>
      </w:r>
      <w:r>
        <w:t xml:space="preserve">1,200,000</w:t>
      </w:r>
      <w:r>
        <w:t xml:space="preserve"> </w:t>
      </w:r>
      <w:r>
        <w:t xml:space="preserve">1,147,873</w:t>
      </w:r>
      <w:r>
        <w:t xml:space="preserve"> </w:t>
      </w:r>
      <w:r>
        <w:t xml:space="preserve">1,288,314</w:t>
      </w:r>
      <w:r>
        <w:t xml:space="preserve"> </w:t>
      </w:r>
      <w:r>
        <w:t xml:space="preserve">1,405,349</w:t>
      </w:r>
      <w:r>
        <w:t xml:space="preserve"> </w:t>
      </w:r>
      <w:r>
        <w:t xml:space="preserve">G46.12 Agents involved in the sale of fuels, ores, metals and industrial chemicals &amp; G46.75 Wholesale of</w:t>
      </w:r>
      <w:r>
        <w:t xml:space="preserve"> </w:t>
      </w:r>
      <w:r>
        <w:t xml:space="preserve">chemical products</w:t>
      </w:r>
      <w:r>
        <w:t xml:space="preserve"> </w:t>
      </w:r>
      <w:r>
        <w:t xml:space="preserve">Enterprises - number</w:t>
      </w:r>
      <w:r>
        <w:t xml:space="preserve"> </w:t>
      </w:r>
      <w:r>
        <w:t xml:space="preserve">43,413</w:t>
      </w:r>
      <w:r>
        <w:t xml:space="preserve"> </w:t>
      </w:r>
      <w:r>
        <w:t xml:space="preserve">41,337</w:t>
      </w:r>
      <w:r>
        <w:t xml:space="preserve"> </w:t>
      </w:r>
      <w:r>
        <w:t xml:space="preserve">30,591</w:t>
      </w:r>
      <w:r>
        <w:t xml:space="preserve"> </w:t>
      </w:r>
      <w:r>
        <w:t xml:space="preserve">21,636</w:t>
      </w:r>
      <w:r>
        <w:t xml:space="preserve"> </w:t>
      </w:r>
      <w:r>
        <w:t xml:space="preserve">Turnover or gross premiums written - million euro</w:t>
      </w:r>
      <w:r>
        <w:t xml:space="preserve"> </w:t>
      </w:r>
      <w:r>
        <w:t xml:space="preserve">198,268</w:t>
      </w:r>
      <w:r>
        <w:t xml:space="preserve"> </w:t>
      </w:r>
      <w:r>
        <w:t xml:space="preserve">200,906</w:t>
      </w:r>
      <w:r>
        <w:t xml:space="preserve"> </w:t>
      </w:r>
      <w:r>
        <w:t xml:space="preserve">205,727</w:t>
      </w:r>
      <w:r>
        <w:t xml:space="preserve"> </w:t>
      </w:r>
      <w:r>
        <w:t xml:space="preserve">209,744</w:t>
      </w:r>
      <w:r>
        <w:t xml:space="preserve"> </w:t>
      </w:r>
      <w:r>
        <w:t xml:space="preserve">Value added at factor cost - million euro</w:t>
      </w:r>
      <w:r>
        <w:t xml:space="preserve"> </w:t>
      </w:r>
      <w:r>
        <w:t xml:space="preserve">20,381</w:t>
      </w:r>
      <w:r>
        <w:t xml:space="preserve"> </w:t>
      </w:r>
      <w:r>
        <w:t xml:space="preserve">22,763</w:t>
      </w:r>
      <w:r>
        <w:t xml:space="preserve"> </w:t>
      </w:r>
      <w:r>
        <w:t xml:space="preserve">31,003</w:t>
      </w:r>
      <w:r>
        <w:t xml:space="preserve"> </w:t>
      </w:r>
      <w:r>
        <w:t xml:space="preserve">37,869</w:t>
      </w:r>
      <w:r>
        <w:t xml:space="preserve"> </w:t>
      </w:r>
      <w:r>
        <w:t xml:space="preserve">Persons employed - number</w:t>
      </w:r>
      <w:r>
        <w:t xml:space="preserve"> </w:t>
      </w:r>
      <w:r>
        <w:t xml:space="preserve">248,356</w:t>
      </w:r>
      <w:r>
        <w:t xml:space="preserve"> </w:t>
      </w:r>
      <w:r>
        <w:t xml:space="preserve">247,995</w:t>
      </w:r>
      <w:r>
        <w:t xml:space="preserve"> </w:t>
      </w:r>
      <w:r>
        <w:t xml:space="preserve">265,618</w:t>
      </w:r>
      <w:r>
        <w:t xml:space="preserve"> </w:t>
      </w:r>
      <w:r>
        <w:t xml:space="preserve">280,303</w:t>
      </w:r>
      <w:r>
        <w:t xml:space="preserve"> </w:t>
      </w:r>
      <w:r>
        <w:t xml:space="preserve">Source: Eurostat Annual detailed enterprise statistics for industry (NACE Rev. 2, B-E) – 2018 data</w:t>
      </w:r>
      <w:r>
        <w:t xml:space="preserve"> </w:t>
      </w:r>
      <w:r>
        <w:t xml:space="preserve">Notes: *2017 data; cells in light blue are linear forecasts based on Eurostat 2011-2018 values</w:t>
      </w:r>
    </w:p>
    <w:p>
      <w:pPr>
        <w:pStyle w:val="BodyText"/>
      </w:pPr>
      <w:r>
        <w:t xml:space="preserve">SMEs account for 96.7% of the number of enterprises in the chemical manufacturing sector</w:t>
      </w:r>
      <w:r>
        <w:t xml:space="preserve"> </w:t>
      </w:r>
      <w:r>
        <w:t xml:space="preserve">and 16.1% of the total turnover (Eurostat data).</w:t>
      </w:r>
    </w:p>
    <w:p>
      <w:pPr>
        <w:pStyle w:val="BodyText"/>
      </w:pPr>
      <w:r>
        <w:t xml:space="preserve">44 CEFIC, Facts and Figures of the European Chemical Industry, 2022.</w:t>
      </w:r>
      <w:r>
        <w:br/>
      </w:r>
      <w:r>
        <w:t xml:space="preserve">45 See CEFIC above.</w:t>
      </w:r>
      <w:r>
        <w:t xml:space="preserve"> </w:t>
      </w:r>
      <w:r>
        <w:t xml:space="preserve">46 It should be noted that many other companies categorised by Eurostat with other NACE codes may have CLP</w:t>
      </w:r>
      <w:r>
        <w:t xml:space="preserve"> </w:t>
      </w:r>
      <w:r>
        <w:t xml:space="preserve">duties. In other words, there may be companies which primary business activity is e.g. the ‘manufacture of rubber</w:t>
      </w:r>
      <w:r>
        <w:t xml:space="preserve"> </w:t>
      </w:r>
      <w:r>
        <w:t xml:space="preserve">and plastic products’ and therefore included in NACE code C22, that may have to classify substances and label</w:t>
      </w:r>
      <w:r>
        <w:t xml:space="preserve"> </w:t>
      </w:r>
      <w:r>
        <w:t xml:space="preserve">and package chemical products according to CLP requirements.</w:t>
      </w:r>
      <w:r>
        <w:t xml:space="preserve"> </w:t>
      </w:r>
      <w:r>
        <w:t xml:space="preserve">47 SWD(2019) 199.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Baseline by policy area</w:t>
      </w:r>
      <w:r>
        <w:t xml:space="preserve"> </w:t>
      </w:r>
      <w:r>
        <w:t xml:space="preserve">The baseline, or ‘no-policy-change’ scenario assumes the realistic implementation and</w:t>
      </w:r>
      <w:r>
        <w:t xml:space="preserve"> </w:t>
      </w:r>
      <w:r>
        <w:t xml:space="preserve">enforcement of the existing legislation. The following subsections describe the key</w:t>
      </w:r>
      <w:r>
        <w:t xml:space="preserve"> </w:t>
      </w:r>
      <w:r>
        <w:t xml:space="preserve">assumptions on the policies and measures contained in the baseline. These are presented by the</w:t>
      </w:r>
      <w:r>
        <w:t xml:space="preserve"> </w:t>
      </w:r>
      <w:r>
        <w:t xml:space="preserve">seven intervention areas identified for the revision of the CLP Regulation:</w:t>
      </w:r>
    </w:p>
    <w:p>
      <w:pPr>
        <w:pStyle w:val="BodyText"/>
      </w:pPr>
      <w:r>
        <w:t xml:space="preserve">Area 1: Hazard identification;</w:t>
      </w:r>
    </w:p>
    <w:p>
      <w:pPr>
        <w:pStyle w:val="BodyText"/>
      </w:pPr>
      <w:r>
        <w:t xml:space="preserve">Area 2: Toxicity reference values and harmonised classification and labelling;</w:t>
      </w:r>
    </w:p>
    <w:p>
      <w:pPr>
        <w:pStyle w:val="BodyText"/>
      </w:pPr>
      <w:r>
        <w:t xml:space="preserve">Area 3: Classification and Labelling Inventory and self-classification;</w:t>
      </w:r>
    </w:p>
    <w:p>
      <w:pPr>
        <w:pStyle w:val="BodyText"/>
      </w:pPr>
      <w:r>
        <w:t xml:space="preserve">Area 4: Labelling;</w:t>
      </w:r>
    </w:p>
    <w:p>
      <w:pPr>
        <w:pStyle w:val="BodyText"/>
      </w:pPr>
      <w:r>
        <w:t xml:space="preserve">Area 5: CLP scope exemptions;</w:t>
      </w:r>
    </w:p>
    <w:p>
      <w:pPr>
        <w:pStyle w:val="BodyText"/>
      </w:pPr>
      <w:r>
        <w:t xml:space="preserve">Area 6: Online sales;</w:t>
      </w:r>
      <w:r>
        <w:t xml:space="preserve"> </w:t>
      </w:r>
      <w:r>
        <w:t xml:space="preserve">Area 7: Poison centre notifications.</w:t>
      </w:r>
      <w:r>
        <w:t xml:space="preserve"> </w:t>
      </w:r>
      <w:r>
        <w:t xml:space="preserve">1.1.3 Area 1: Hazard identification</w:t>
      </w:r>
      <w:r>
        <w:t xml:space="preserve"> </w:t>
      </w:r>
      <w:r>
        <w:t xml:space="preserve">As explained in Section 2, CLP is the horizontal reference point for the identification and</w:t>
      </w:r>
      <w:r>
        <w:t xml:space="preserve"> </w:t>
      </w:r>
      <w:r>
        <w:t xml:space="preserve">classification of the physical, health and environmental hazards of chemical substances and</w:t>
      </w:r>
      <w:r>
        <w:t xml:space="preserve"> </w:t>
      </w:r>
      <w:r>
        <w:t xml:space="preserve">mixtures for most EU chemicals and chemicals-related legislation. However, the hazards</w:t>
      </w:r>
      <w:r>
        <w:t xml:space="preserve"> </w:t>
      </w:r>
      <w:r>
        <w:t xml:space="preserve">defined under CLP — and the UN GHS — are not exhaustive, resulting in lack of</w:t>
      </w:r>
      <w:r>
        <w:t xml:space="preserve"> </w:t>
      </w:r>
      <w:r>
        <w:t xml:space="preserve">communication on the hazards not covered by CLP.</w:t>
      </w:r>
      <w:r>
        <w:br/>
      </w:r>
      <w:r>
        <w:t xml:space="preserve">As CLP does not contain hazard identification criteria for substances with ED, PBT/vPvB and</w:t>
      </w:r>
      <w:r>
        <w:t xml:space="preserve"> </w:t>
      </w:r>
      <w:r>
        <w:t xml:space="preserve">PMT/vPvM properties, under the baseline these substances will keep being identified through</w:t>
      </w:r>
      <w:r>
        <w:t xml:space="preserve"> </w:t>
      </w:r>
      <w:r>
        <w:t xml:space="preserve">REACH (ED, PBT/vPvB and PMT/vPvM substances), BPR and PPPR (ED, PBT/vPvB</w:t>
      </w:r>
      <w:r>
        <w:t xml:space="preserve"> </w:t>
      </w:r>
      <w:r>
        <w:t xml:space="preserve">substances). The BPR and the PPPR have established identification criteria for EDs. While</w:t>
      </w:r>
      <w:r>
        <w:t xml:space="preserve"> </w:t>
      </w:r>
      <w:r>
        <w:t xml:space="preserve">REACH does not contain identification criteria for EDs, these can be identified as SVHCs on</w:t>
      </w:r>
      <w:r>
        <w:t xml:space="preserve"> </w:t>
      </w:r>
      <w:r>
        <w:t xml:space="preserve">a case-by-case basis following the IPCS/WHO definition and the assessment of the “equivalent</w:t>
      </w:r>
      <w:r>
        <w:t xml:space="preserve"> </w:t>
      </w:r>
      <w:r>
        <w:t xml:space="preserve">level of concern” carried out by the REACH Member State Committee. REACH requires</w:t>
      </w:r>
      <w:r>
        <w:t xml:space="preserve"> </w:t>
      </w:r>
      <w:r>
        <w:t xml:space="preserve">registrants to carry out a PBT assessment for substances placed on the market in quantities of</w:t>
      </w:r>
      <w:r>
        <w:t xml:space="preserve"> </w:t>
      </w:r>
      <w:r>
        <w:t xml:space="preserve">10 tonnes or more per year. Any substance under the scope of REACH can be identified</w:t>
      </w:r>
      <w:r>
        <w:t xml:space="preserve"> </w:t>
      </w:r>
      <w:r>
        <w:t xml:space="preserve">according to the criteria listed in Annex XIII of REACH as PBT or vPvB and, as for EDs, may</w:t>
      </w:r>
      <w:r>
        <w:t xml:space="preserve"> </w:t>
      </w:r>
      <w:r>
        <w:t xml:space="preserve">be identified as SVHCs (article 57 of REACH). The BPR refers to REACH Annex XIII criteria,</w:t>
      </w:r>
      <w:r>
        <w:t xml:space="preserve"> </w:t>
      </w:r>
      <w:r>
        <w:t xml:space="preserve">and the PPPR contains PBT/vPvB identification criteria. Neither REACH nor any other</w:t>
      </w:r>
      <w:r>
        <w:t xml:space="preserve"> </w:t>
      </w:r>
      <w:r>
        <w:t xml:space="preserve">legislative framework have identification criteria for substances with PMT/vPvM properties,</w:t>
      </w:r>
      <w:r>
        <w:t xml:space="preserve"> </w:t>
      </w:r>
      <w:r>
        <w:t xml:space="preserve">but they can be identified as SVHCs under REACH.</w:t>
      </w:r>
      <w:r>
        <w:t xml:space="preserve"> </w:t>
      </w:r>
      <w:r>
        <w:t xml:space="preserve">ECHA’s integrated regulatory strategy brings together the various regulatory processes of</w:t>
      </w:r>
      <w:r>
        <w:t xml:space="preserve"> </w:t>
      </w:r>
      <w:r>
        <w:t xml:space="preserve">REACH and CLP. It is based on the efficient selection of substances and groups of substances</w:t>
      </w:r>
      <w:r>
        <w:t xml:space="preserve"> </w:t>
      </w:r>
      <w:r>
        <w:t xml:space="preserve">that raise potential concern, so that information needed to assess their safety is generated and</w:t>
      </w:r>
      <w:r>
        <w:t xml:space="preserve"> </w:t>
      </w:r>
      <w:r>
        <w:t xml:space="preserve">any remaining concerns addressed through the most suitable regulatory risk management</w:t>
      </w:r>
      <w:r>
        <w:t xml:space="preserve"> </w:t>
      </w:r>
      <w:r>
        <w:t xml:space="preserve">measures. ECHA and MSCAs carry out the following substance-specific activities: data</w:t>
      </w:r>
      <w:r>
        <w:t xml:space="preserve"> </w:t>
      </w:r>
      <w:r>
        <w:t xml:space="preserve">generation and assessment (dossier evaluation, substance evaluation, informal hazard</w:t>
      </w:r>
      <w:r>
        <w:t xml:space="preserve"> </w:t>
      </w:r>
      <w:r>
        <w:t xml:space="preserve">assessment of PBT/vPvB/ED properties); assessment of regulatory needs (ARN); and</w:t>
      </w:r>
      <w:r>
        <w:t xml:space="preserve"> </w:t>
      </w:r>
      <w:r>
        <w:t xml:space="preserve">regulatory risk management (harmonised classification and labelling, SVHC identification,</w:t>
      </w:r>
      <w:r>
        <w:t xml:space="preserve"> </w:t>
      </w:r>
      <w:r>
        <w:t xml:space="preserve">restriction).48</w:t>
      </w:r>
    </w:p>
    <w:p>
      <w:pPr>
        <w:pStyle w:val="BodyText"/>
      </w:pPr>
      <w:r>
        <w:t xml:space="preserve">48 Planned, ongoing or completed activities are listed in the Public Activities Coordination Tool (PACT).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Under the baseline, it is assumed that these activities will keep contributing to the identification</w:t>
      </w:r>
      <w:r>
        <w:t xml:space="preserve"> </w:t>
      </w:r>
      <w:r>
        <w:t xml:space="preserve">of ED, PBT/vPvB and PMT/vPvM substances. The assessment of regulatory needs may be</w:t>
      </w:r>
      <w:r>
        <w:t xml:space="preserve"> </w:t>
      </w:r>
      <w:r>
        <w:t xml:space="preserve">based on sufficient available information or on data generated on missing hazard information</w:t>
      </w:r>
      <w:r>
        <w:t xml:space="preserve"> </w:t>
      </w:r>
      <w:r>
        <w:t xml:space="preserve">following compliance checks, testing proposals and substance evaluation. In addition, the ED</w:t>
      </w:r>
      <w:r>
        <w:t xml:space="preserve"> </w:t>
      </w:r>
      <w:r>
        <w:t xml:space="preserve">and PBT expert groups assuport the identification of ED and PBT/vPvB substances.</w:t>
      </w:r>
      <w:r>
        <w:t xml:space="preserve"> </w:t>
      </w:r>
      <w:r>
        <w:t xml:space="preserve">ECHA and MSCAs select substances that are to be evaluated to clarify whether their use poses</w:t>
      </w:r>
      <w:r>
        <w:t xml:space="preserve"> </w:t>
      </w:r>
      <w:r>
        <w:t xml:space="preserve">a risk to human health or the environment. The selection is carried out on the basis of risk-</w:t>
      </w:r>
      <w:r>
        <w:t xml:space="preserve"> </w:t>
      </w:r>
      <w:r>
        <w:t xml:space="preserve">based criteria. The substances selected for substance evaluation (Chapter 2 of the REACH</w:t>
      </w:r>
      <w:r>
        <w:t xml:space="preserve"> </w:t>
      </w:r>
      <w:r>
        <w:t xml:space="preserve">Regulation) are included in the community rolling action plan (CoRAP) following the opinion</w:t>
      </w:r>
      <w:r>
        <w:t xml:space="preserve"> </w:t>
      </w:r>
      <w:r>
        <w:t xml:space="preserve">of the Member State Committee. The evaluation of each substance is carried out by a</w:t>
      </w:r>
      <w:r>
        <w:t xml:space="preserve"> </w:t>
      </w:r>
      <w:r>
        <w:t xml:space="preserve">designated Member State by assessing all registration dossiers from all registrants specific to</w:t>
      </w:r>
      <w:r>
        <w:t xml:space="preserve"> </w:t>
      </w:r>
      <w:r>
        <w:t xml:space="preserve">the same substance or group of substances, considering other sources of information and by</w:t>
      </w:r>
      <w:r>
        <w:t xml:space="preserve"> </w:t>
      </w:r>
      <w:r>
        <w:t xml:space="preserve">requesting and assessing new data from the registrants, typically going beyond the standard</w:t>
      </w:r>
      <w:r>
        <w:t xml:space="preserve"> </w:t>
      </w:r>
      <w:r>
        <w:t xml:space="preserve">REACH information requirements. Following the assessment of all information, if the</w:t>
      </w:r>
      <w:r>
        <w:t xml:space="preserve"> </w:t>
      </w:r>
      <w:r>
        <w:t xml:space="preserve">evaluating Member State considers that the use of the substance poses a risk, it may proceed</w:t>
      </w:r>
      <w:r>
        <w:t xml:space="preserve"> </w:t>
      </w:r>
      <w:r>
        <w:t xml:space="preserve">by proposing: harmonised classification and labelling for certain hazards, identification of the</w:t>
      </w:r>
      <w:r>
        <w:t xml:space="preserve"> </w:t>
      </w:r>
      <w:r>
        <w:t xml:space="preserve">substance as SVHC, an EU-wide restriction, EU-wide occupational exposure limits, national</w:t>
      </w:r>
      <w:r>
        <w:t xml:space="preserve"> </w:t>
      </w:r>
      <w:r>
        <w:t xml:space="preserve">measures or voluntary industry actions.</w:t>
      </w:r>
      <w:r>
        <w:t xml:space="preserve"> </w:t>
      </w:r>
      <w:r>
        <w:t xml:space="preserve">As of February 2022, the CoRAP includes 392 unique substances/entries (Figure 53).49</w:t>
      </w:r>
      <w:r>
        <w:t xml:space="preserve"> </w:t>
      </w:r>
      <w:r>
        <w:t xml:space="preserve">Between 2012 and 2023, Member States evaluated, are evaluating or plan to evaluate 90</w:t>
      </w:r>
      <w:r>
        <w:t xml:space="preserve"> </w:t>
      </w:r>
      <w:r>
        <w:t xml:space="preserve">substances for their suspected ED properties and 151 substances for their suspected PBT/vPvB</w:t>
      </w:r>
      <w:r>
        <w:t xml:space="preserve"> </w:t>
      </w:r>
      <w:r>
        <w:t xml:space="preserve">properties. Additionally, 23 substances are undergoing an ED assessment under the BPR.50 No</w:t>
      </w:r>
      <w:r>
        <w:t xml:space="preserve"> </w:t>
      </w:r>
      <w:r>
        <w:t xml:space="preserve">data could be found on the number of substances undergoing an ED or PBT/vPvB assessment</w:t>
      </w:r>
      <w:r>
        <w:t xml:space="preserve"> </w:t>
      </w:r>
      <w:r>
        <w:t xml:space="preserve">under the PPPR.51 So far, no substances have been included in the CoRAP to investigate</w:t>
      </w:r>
      <w:r>
        <w:t xml:space="preserve"> </w:t>
      </w:r>
      <w:r>
        <w:t xml:space="preserve">suspected PMT/vPvM properties.</w:t>
      </w:r>
    </w:p>
    <w:p>
      <w:pPr>
        <w:pStyle w:val="BodyText"/>
      </w:pPr>
      <w:r>
        <w:t xml:space="preserve">49 Note that ECHA webpages may indicate a slightly lower number of substances/entries than those listed in the</w:t>
      </w:r>
      <w:r>
        <w:t xml:space="preserve"> </w:t>
      </w:r>
      <w:r>
        <w:t xml:space="preserve">downloadable</w:t>
      </w:r>
      <w:r>
        <w:t xml:space="preserve"> </w:t>
      </w:r>
      <w:r>
        <w:t xml:space="preserve">list,</w:t>
      </w:r>
      <w:r>
        <w:t xml:space="preserve"> </w:t>
      </w:r>
      <w:r>
        <w:t xml:space="preserve">also</w:t>
      </w:r>
      <w:r>
        <w:t xml:space="preserve"> </w:t>
      </w:r>
      <w:r>
        <w:t xml:space="preserve">because</w:t>
      </w:r>
      <w:r>
        <w:t xml:space="preserve"> </w:t>
      </w:r>
      <w:r>
        <w:t xml:space="preserve">group</w:t>
      </w:r>
      <w:r>
        <w:t xml:space="preserve"> </w:t>
      </w:r>
      <w:r>
        <w:t xml:space="preserve">entries</w:t>
      </w:r>
      <w:r>
        <w:t xml:space="preserve"> </w:t>
      </w:r>
      <w:r>
        <w:t xml:space="preserve">are</w:t>
      </w:r>
      <w:r>
        <w:t xml:space="preserve"> </w:t>
      </w:r>
      <w:r>
        <w:t xml:space="preserve">split</w:t>
      </w:r>
      <w:r>
        <w:t xml:space="preserve"> </w:t>
      </w:r>
      <w:r>
        <w:t xml:space="preserve">in</w:t>
      </w:r>
      <w:r>
        <w:t xml:space="preserve"> </w:t>
      </w:r>
      <w:r>
        <w:t xml:space="preserve">different</w:t>
      </w:r>
      <w:r>
        <w:t xml:space="preserve"> </w:t>
      </w:r>
      <w:r>
        <w:t xml:space="preserve">rows.</w:t>
      </w:r>
      <w:r>
        <w:t xml:space="preserve"> </w:t>
      </w:r>
      <w:r>
        <w:t xml:space="preserve">Source:</w:t>
      </w:r>
      <w:r>
        <w:t xml:space="preserve"> </w:t>
      </w:r>
      <w:r>
        <w:t xml:space="preserve">https://echa.europa.eu/information-on-chemicals/evaluation/community-rolling-action-plan/corap-table</w:t>
      </w:r>
      <w:r>
        <w:br/>
      </w:r>
      <w:r>
        <w:t xml:space="preserve">50 https://echa.europa.eu/ed-assessment</w:t>
      </w:r>
      <w:r>
        <w:br/>
      </w:r>
      <w:r>
        <w:t xml:space="preserve">51 It should be noted that the review under BPR and PPPR is systematic, but limited to ED category 1.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Figure 53: Number of substances with suspected ED or PBT/vPvB properties or other hazards per planned</w:t>
      </w:r>
      <w:r>
        <w:t xml:space="preserve"> </w:t>
      </w:r>
      <w:r>
        <w:t xml:space="preserve">evaluation year - Note: substances can be evaluated for multiple suspected hazards - Source: CoRAP</w:t>
      </w:r>
    </w:p>
    <w:p>
      <w:pPr>
        <w:pStyle w:val="BodyText"/>
      </w:pPr>
      <w:r>
        <w:t xml:space="preserve">Following data generation (or the evaluation of the available information considered sufficient</w:t>
      </w:r>
      <w:r>
        <w:t xml:space="preserve"> </w:t>
      </w:r>
      <w:r>
        <w:t xml:space="preserve">for the purpose), the regulatory needs of substances and groups of substances are assessed.52</w:t>
      </w:r>
      <w:r>
        <w:t xml:space="preserve"> </w:t>
      </w:r>
      <w:r>
        <w:t xml:space="preserve">The outcome can be that either there is no need for action or that regulatory risk management</w:t>
      </w:r>
      <w:r>
        <w:t xml:space="preserve"> </w:t>
      </w:r>
      <w:r>
        <w:t xml:space="preserve">at EU level is required. The follow-up regulatory actions are: harmonised classification and</w:t>
      </w:r>
      <w:r>
        <w:t xml:space="preserve"> </w:t>
      </w:r>
      <w:r>
        <w:t xml:space="preserve">labelling, SVHC identification, restriction, or action through other EU legislation. The</w:t>
      </w:r>
      <w:r>
        <w:t xml:space="preserve"> </w:t>
      </w:r>
      <w:r>
        <w:t xml:space="preserve">assessment can also result in a request for additional data (e.g. through substance evaluation).</w:t>
      </w:r>
      <w:r>
        <w:t xml:space="preserve"> </w:t>
      </w:r>
      <w:r>
        <w:t xml:space="preserve">As of February 2022, the candidate list of substances of very high concern for authorisation</w:t>
      </w:r>
      <w:r>
        <w:t xml:space="preserve"> </w:t>
      </w:r>
      <w:r>
        <w:t xml:space="preserve">includes 444 entries, of which 113 were included because of their ED properties, 114 because</w:t>
      </w:r>
      <w:r>
        <w:t xml:space="preserve"> </w:t>
      </w:r>
      <w:r>
        <w:t xml:space="preserve">of their PBT/vPvB properties and 21 because of their PMT/vPvM properties. It is assumed that</w:t>
      </w:r>
      <w:r>
        <w:t xml:space="preserve"> </w:t>
      </w:r>
      <w:r>
        <w:t xml:space="preserve">Member States or ECHA would keep proposing substances to be identified as SVHCs at the</w:t>
      </w:r>
      <w:r>
        <w:t xml:space="preserve"> </w:t>
      </w:r>
      <w:r>
        <w:t xml:space="preserve">same rhythm. It should be noted that the group approach may result in higher numbers of</w:t>
      </w:r>
      <w:r>
        <w:t xml:space="preserve"> </w:t>
      </w:r>
      <w:r>
        <w:t xml:space="preserve">substances being identified as EDs or with PBT/vPvB or PMT/vPvM properties. Substances</w:t>
      </w:r>
      <w:r>
        <w:t xml:space="preserve"> </w:t>
      </w:r>
      <w:r>
        <w:t xml:space="preserve">and groups of substances can also be identified for restriction rather than authorisation. The</w:t>
      </w:r>
      <w:r>
        <w:t xml:space="preserve"> </w:t>
      </w:r>
      <w:r>
        <w:t xml:space="preserve">effect of the inclusion of groups of substances could be large: for example, the announced</w:t>
      </w:r>
      <w:r>
        <w:t xml:space="preserve"> </w:t>
      </w:r>
      <w:r>
        <w:t xml:space="preserve">intention to submit a restriction proposal for PFAS would affect more than 6,000 substances,53</w:t>
      </w:r>
      <w:r>
        <w:t xml:space="preserve"> </w:t>
      </w:r>
      <w:r>
        <w:t xml:space="preserve">although only around 2,000 are currently registered.54 Finally, biocidal and plant protection</w:t>
      </w:r>
      <w:r>
        <w:t xml:space="preserve"> </w:t>
      </w:r>
      <w:r>
        <w:t xml:space="preserve">active substances that exhibit ED or PBT/vPvB properties should not be approved, in</w:t>
      </w:r>
    </w:p>
    <w:p>
      <w:pPr>
        <w:pStyle w:val="BodyText"/>
      </w:pPr>
      <w:r>
        <w:t xml:space="preserve">52 As of February 2022, the ARN registry (https://echa.europa.eu/assessment-regulatory-needs) lists 754 entries</w:t>
      </w:r>
      <w:r>
        <w:t xml:space="preserve"> </w:t>
      </w:r>
      <w:r>
        <w:t xml:space="preserve">between substances and groups of substances, for a total of 2,116 substances. In the downloadable spreadsheet,</w:t>
      </w:r>
      <w:r>
        <w:t xml:space="preserve"> </w:t>
      </w:r>
      <w:r>
        <w:t xml:space="preserve">group entries are split in different rows. However, not all groups are split (e.g. PFAS has one single row) and</w:t>
      </w:r>
      <w:r>
        <w:t xml:space="preserve"> </w:t>
      </w:r>
      <w:r>
        <w:t xml:space="preserve">therefore the total number of unique substances is larger. The need for regulatory action, if any, can be identified</w:t>
      </w:r>
      <w:r>
        <w:t xml:space="preserve"> </w:t>
      </w:r>
      <w:r>
        <w:t xml:space="preserve">for the whole group, a subgroup or a single substance.</w:t>
      </w:r>
      <w:r>
        <w:t xml:space="preserve"> </w:t>
      </w:r>
      <w:r>
        <w:t xml:space="preserve">53 Dutch Ministry of Health, Welfare and Sport, Official start to ban PFAS in Europe, available at:</w:t>
      </w:r>
      <w:r>
        <w:t xml:space="preserve"> </w:t>
      </w:r>
      <w:r>
        <w:t xml:space="preserve">https://www.rivm.nl/en/pfas/official-start-to-ban-pfas-in-europe</w:t>
      </w:r>
      <w:r>
        <w:t xml:space="preserve"> </w:t>
      </w:r>
      <w:r>
        <w:t xml:space="preserve">54 ECHA Page on Perfluoroalkyl chemicals (PFAS), available at:</w:t>
      </w:r>
      <w:r>
        <w:br/>
      </w:r>
      <w:r>
        <w:t xml:space="preserve">https://echa.europa.eu/hot-topics/perfluoroalkyl-chemicals-pfas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principle,55 for their use in biocidal and plant protection products, in accordance with the BPR</w:t>
      </w:r>
      <w:r>
        <w:t xml:space="preserve"> </w:t>
      </w:r>
      <w:r>
        <w:t xml:space="preserve">and PPPR.56</w:t>
      </w:r>
      <w:r>
        <w:br/>
      </w:r>
      <w:r>
        <w:t xml:space="preserve">By forecasting numbers of substances through linear regression using the known values for the</w:t>
      </w:r>
      <w:r>
        <w:t xml:space="preserve"> </w:t>
      </w:r>
      <w:r>
        <w:t xml:space="preserve">period 2008-2022, in 2032 the candidate list would include 799 substances, of which 206 for</w:t>
      </w:r>
      <w:r>
        <w:t xml:space="preserve"> </w:t>
      </w:r>
      <w:r>
        <w:t xml:space="preserve">ED properties, 214 for PBT/vPvB properties and 67 for PMT/vPvM properties. In 2042, the</w:t>
      </w:r>
      <w:r>
        <w:t xml:space="preserve"> </w:t>
      </w:r>
      <w:r>
        <w:t xml:space="preserve">candidate list would include 1,126 substances, of which 293 for ED properties, 306 for</w:t>
      </w:r>
      <w:r>
        <w:t xml:space="preserve"> </w:t>
      </w:r>
      <w:r>
        <w:t xml:space="preserve">PBT/vPvB properties and 110 for PMT/vPvM properties (Figure 54).</w:t>
      </w:r>
    </w:p>
    <w:p>
      <w:pPr>
        <w:pStyle w:val="BodyText"/>
      </w:pPr>
      <w:r>
        <w:t xml:space="preserve">Figure 54: Number of substances included in the candidate list of SVHCs for ED, PBT/vPvB or PMT/vPvM</w:t>
      </w:r>
      <w:r>
        <w:t xml:space="preserve"> </w:t>
      </w:r>
      <w:r>
        <w:t xml:space="preserve">properties or other hazards per year - Source: ECHA Candidate list (projections of the authors)</w:t>
      </w:r>
    </w:p>
    <w:p>
      <w:pPr>
        <w:pStyle w:val="BodyText"/>
      </w:pPr>
      <w:r>
        <w:t xml:space="preserve">As most of the substances may be used in more than one mixture, it is necessary to estimate</w:t>
      </w:r>
      <w:r>
        <w:t xml:space="preserve"> </w:t>
      </w:r>
      <w:r>
        <w:t xml:space="preserve">the number of mixtures that would be impacted by the identification of a substance with one</w:t>
      </w:r>
      <w:r>
        <w:t xml:space="preserve"> </w:t>
      </w:r>
      <w:r>
        <w:t xml:space="preserve">or more of the considered properties. Estimating this is difficult for several reasons:</w:t>
      </w:r>
    </w:p>
    <w:p>
      <w:pPr>
        <w:pStyle w:val="BodyText"/>
      </w:pPr>
      <w:r>
        <w:t xml:space="preserve">There is no central repository that compiles information on the number of mixtures for</w:t>
      </w:r>
      <w:r>
        <w:t xml:space="preserve"> </w:t>
      </w:r>
      <w:r>
        <w:t xml:space="preserve">the entire EU;</w:t>
      </w:r>
      <w:r>
        <w:t xml:space="preserve"> </w:t>
      </w:r>
      <w:r>
        <w:t xml:space="preserve">Some of the possible information sources are not publicly available, such as the information</w:t>
      </w:r>
      <w:r>
        <w:t xml:space="preserve"> </w:t>
      </w:r>
      <w:r>
        <w:t xml:space="preserve">provided to Poison centres for medical emergency57 or the German Federal Institute for Risk</w:t>
      </w:r>
      <w:r>
        <w:t xml:space="preserve"> </w:t>
      </w:r>
      <w:r>
        <w:t xml:space="preserve">Assessment (BfR).58</w:t>
      </w:r>
      <w:r>
        <w:t xml:space="preserve"> </w:t>
      </w:r>
      <w:r>
        <w:t xml:space="preserve">Ricardo (2021) estimated that 16,969 substances (including UVCBs) and 190,702 mixtures</w:t>
      </w:r>
      <w:r>
        <w:t xml:space="preserve"> </w:t>
      </w:r>
      <w:r>
        <w:t xml:space="preserve">would be impacted by the extension of the generic approach to risk management to the</w:t>
      </w:r>
      <w:r>
        <w:t xml:space="preserve"> </w:t>
      </w:r>
      <w:r>
        <w:t xml:space="preserve">following hazard classes: ED, PBT/vPvB, PMT/vPvM, respiratory sensitisation Cat. 1, 1A and</w:t>
      </w:r>
    </w:p>
    <w:p>
      <w:pPr>
        <w:pStyle w:val="BodyText"/>
      </w:pPr>
      <w:r>
        <w:t xml:space="preserve">55 Derogations are foreseen.</w:t>
      </w:r>
      <w:r>
        <w:t xml:space="preserve"> </w:t>
      </w:r>
      <w:r>
        <w:t xml:space="preserve">56 The reasons for non-approval of active substances are not easily retrieved from ECHA and EFSA databases, if</w:t>
      </w:r>
      <w:r>
        <w:t xml:space="preserve"> </w:t>
      </w:r>
      <w:r>
        <w:t xml:space="preserve">not by checking the opinions one-by-one.</w:t>
      </w:r>
      <w:r>
        <w:t xml:space="preserve"> </w:t>
      </w:r>
      <w:r>
        <w:t xml:space="preserve">57 https://poisoncentres.echa.europa.eu</w:t>
      </w:r>
      <w:r>
        <w:br/>
      </w:r>
      <w:r>
        <w:t xml:space="preserve">58 See e.g. https://www.bfr.bund.de/en/notification_of_products-10144.html, accessed November 2021.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1B, STOT RE/SE Cat. 1 and 2, immunotoxicity, neurotoxicity, CMR Cat. 2, Skin Sensitisation</w:t>
      </w:r>
      <w:r>
        <w:t xml:space="preserve"> </w:t>
      </w:r>
      <w:r>
        <w:t xml:space="preserve">Cat. 1, 1A and 1B, aquatic chronic 1 and 2 (Ricardo, 2021, p.50). These estimates imply an</w:t>
      </w:r>
      <w:r>
        <w:t xml:space="preserve"> </w:t>
      </w:r>
      <w:r>
        <w:t xml:space="preserve">average number of mixtures per substance of around 11.</w:t>
      </w:r>
      <w:r>
        <w:br/>
      </w:r>
      <w:r>
        <w:t xml:space="preserve">An alternative estimate was derived by analysing the SPIN (Substances of Preparations in</w:t>
      </w:r>
      <w:r>
        <w:t xml:space="preserve"> </w:t>
      </w:r>
      <w:r>
        <w:t xml:space="preserve">Nordic Countries) and extrapolating the result to the EU.59 The average of five mixtures per</w:t>
      </w:r>
      <w:r>
        <w:t xml:space="preserve"> </w:t>
      </w:r>
      <w:r>
        <w:t xml:space="preserve">substance was multiplied by a factor of five for projection to the entire EU, resulting in an</w:t>
      </w:r>
      <w:r>
        <w:t xml:space="preserve"> </w:t>
      </w:r>
      <w:r>
        <w:t xml:space="preserve">average of 25 mixtures placed on the EU market per single substance. This is consistent with</w:t>
      </w:r>
      <w:r>
        <w:t xml:space="preserve"> </w:t>
      </w:r>
      <w:r>
        <w:t xml:space="preserve">the estimates in the 2017 Fitness Check, which used figures of 99,000 substances and 2.5</w:t>
      </w:r>
      <w:r>
        <w:t xml:space="preserve"> </w:t>
      </w:r>
      <w:r>
        <w:t xml:space="preserve">million mixtures subject to reclassification, labelling and safety data sheets preparation to</w:t>
      </w:r>
      <w:r>
        <w:t xml:space="preserve"> </w:t>
      </w:r>
      <w:r>
        <w:t xml:space="preserve">produce an average of about 25 mixtures per substance.</w:t>
      </w:r>
      <w:r>
        <w:br/>
      </w:r>
      <w:r>
        <w:t xml:space="preserve">Applying these two estimates (11 and 25 mixtures per substance) to the numbers of SVHCs in</w:t>
      </w:r>
      <w:r>
        <w:t xml:space="preserve"> </w:t>
      </w:r>
      <w:r>
        <w:t xml:space="preserve">2022 and the estimated number of SVHCs in 2032 and 2042 produces the estimates for the</w:t>
      </w:r>
      <w:r>
        <w:t xml:space="preserve"> </w:t>
      </w:r>
      <w:r>
        <w:t xml:space="preserve">total numbers of mixtures in the table below.</w:t>
      </w:r>
      <w:r>
        <w:t xml:space="preserve"> </w:t>
      </w:r>
      <w:r>
        <w:t xml:space="preserve">Table 11: Estimated number of mixtures containing SVHCs with ED, PBT/vPvB, PMT/vPvM</w:t>
      </w:r>
      <w:r>
        <w:t xml:space="preserve"> </w:t>
      </w:r>
      <w:r>
        <w:t xml:space="preserve">properties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2032</w:t>
      </w:r>
      <w:r>
        <w:t xml:space="preserve"> </w:t>
      </w:r>
      <w:r>
        <w:t xml:space="preserve">2042</w:t>
      </w:r>
      <w:r>
        <w:t xml:space="preserve"> </w:t>
      </w:r>
      <w:r>
        <w:t xml:space="preserve">Number of mixtures based on 11 mixtures per substance</w:t>
      </w:r>
      <w:r>
        <w:t xml:space="preserve"> </w:t>
      </w:r>
      <w:r>
        <w:t xml:space="preserve">ED</w:t>
      </w:r>
      <w:r>
        <w:t xml:space="preserve"> </w:t>
      </w:r>
      <w:r>
        <w:t xml:space="preserve">100</w:t>
      </w:r>
      <w:r>
        <w:br/>
      </w:r>
      <w:r>
        <w:t xml:space="preserve">2,300</w:t>
      </w:r>
      <w:r>
        <w:br/>
      </w:r>
      <w:r>
        <w:t xml:space="preserve">3,200</w:t>
      </w:r>
      <w:r>
        <w:br/>
      </w:r>
      <w:r>
        <w:t xml:space="preserve">PBT/vPvB</w:t>
      </w:r>
      <w:r>
        <w:t xml:space="preserve"> </w:t>
      </w:r>
      <w:r>
        <w:t xml:space="preserve">200</w:t>
      </w:r>
      <w:r>
        <w:br/>
      </w:r>
      <w:r>
        <w:t xml:space="preserve">2,400</w:t>
      </w:r>
      <w:r>
        <w:br/>
      </w:r>
      <w:r>
        <w:t xml:space="preserve">3,400</w:t>
      </w:r>
      <w:r>
        <w:br/>
      </w:r>
      <w:r>
        <w:t xml:space="preserve">PMT/vPvM</w:t>
      </w:r>
      <w:r>
        <w:t xml:space="preserve"> </w:t>
      </w:r>
      <w:r>
        <w:t xml:space="preserve">100</w:t>
      </w:r>
      <w:r>
        <w:br/>
      </w:r>
      <w:r>
        <w:t xml:space="preserve">700</w:t>
      </w:r>
      <w:r>
        <w:br/>
      </w:r>
      <w:r>
        <w:t xml:space="preserve">1,200</w:t>
      </w:r>
      <w:r>
        <w:br/>
      </w:r>
      <w:r>
        <w:t xml:space="preserve">Total</w:t>
      </w:r>
      <w:r>
        <w:t xml:space="preserve"> </w:t>
      </w:r>
      <w:r>
        <w:t xml:space="preserve">400</w:t>
      </w:r>
      <w:r>
        <w:br/>
      </w:r>
      <w:r>
        <w:t xml:space="preserve">5,300</w:t>
      </w:r>
      <w:r>
        <w:br/>
      </w:r>
      <w:r>
        <w:t xml:space="preserve">7,800</w:t>
      </w:r>
      <w:r>
        <w:br/>
      </w:r>
      <w:r>
        <w:t xml:space="preserve">Number of mixtures based on 25 mixtures per substance</w:t>
      </w:r>
      <w:r>
        <w:t xml:space="preserve"> </w:t>
      </w:r>
      <w:r>
        <w:t xml:space="preserve">ED</w:t>
      </w:r>
      <w:r>
        <w:t xml:space="preserve"> </w:t>
      </w:r>
      <w:r>
        <w:t xml:space="preserve">300</w:t>
      </w:r>
      <w:r>
        <w:br/>
      </w:r>
      <w:r>
        <w:t xml:space="preserve">5,100</w:t>
      </w:r>
      <w:r>
        <w:br/>
      </w:r>
      <w:r>
        <w:t xml:space="preserve">7,300</w:t>
      </w:r>
      <w:r>
        <w:br/>
      </w:r>
      <w:r>
        <w:t xml:space="preserve">PBT/vPvB</w:t>
      </w:r>
      <w:r>
        <w:t xml:space="preserve"> </w:t>
      </w:r>
      <w:r>
        <w:t xml:space="preserve">400</w:t>
      </w:r>
      <w:r>
        <w:br/>
      </w:r>
      <w:r>
        <w:t xml:space="preserve">5,300</w:t>
      </w:r>
      <w:r>
        <w:br/>
      </w:r>
      <w:r>
        <w:t xml:space="preserve">7,700</w:t>
      </w:r>
      <w:r>
        <w:br/>
      </w:r>
      <w:r>
        <w:t xml:space="preserve">PMT/vPvM</w:t>
      </w:r>
      <w:r>
        <w:t xml:space="preserve"> </w:t>
      </w:r>
      <w:r>
        <w:t xml:space="preserve">200</w:t>
      </w:r>
      <w:r>
        <w:br/>
      </w:r>
      <w:r>
        <w:t xml:space="preserve">1,700</w:t>
      </w:r>
      <w:r>
        <w:br/>
      </w:r>
      <w:r>
        <w:t xml:space="preserve">2,700</w:t>
      </w:r>
      <w:r>
        <w:br/>
      </w:r>
      <w:r>
        <w:t xml:space="preserve">Total</w:t>
      </w:r>
      <w:r>
        <w:t xml:space="preserve"> </w:t>
      </w:r>
      <w:r>
        <w:t xml:space="preserve">900</w:t>
      </w:r>
      <w:r>
        <w:br/>
      </w:r>
      <w:r>
        <w:t xml:space="preserve">12,200</w:t>
      </w:r>
      <w:r>
        <w:br/>
      </w:r>
      <w:r>
        <w:t xml:space="preserve">17,700</w:t>
      </w:r>
    </w:p>
    <w:p>
      <w:pPr>
        <w:pStyle w:val="BodyText"/>
      </w:pPr>
      <w:r>
        <w:t xml:space="preserve">More accurately, the totals provided in the table relate to the number of classifications for</w:t>
      </w:r>
      <w:r>
        <w:t xml:space="preserve"> </w:t>
      </w:r>
      <w:r>
        <w:t xml:space="preserve">mixtures rather than the number of mixtures. This is because some mixtures may meet the</w:t>
      </w:r>
      <w:r>
        <w:t xml:space="preserve"> </w:t>
      </w:r>
      <w:r>
        <w:t xml:space="preserve">classification criteria for more than one of the hazards.</w:t>
      </w:r>
      <w:r>
        <w:t xml:space="preserve"> </w:t>
      </w:r>
      <w:r>
        <w:t xml:space="preserve">The table below the estimates of the numbers of substances and mixtures with ED, PBT/vPvB,</w:t>
      </w:r>
      <w:r>
        <w:t xml:space="preserve"> </w:t>
      </w:r>
      <w:r>
        <w:t xml:space="preserve">PMT/vPvM properties that would be identified and classified under the baseline.</w:t>
      </w:r>
      <w:r>
        <w:br/>
      </w:r>
      <w:r>
        <w:t xml:space="preserve">Table 12: Estimated number of substances and mixtures with ED, PBT/vPvB, PMT/vPvM properties that</w:t>
      </w:r>
      <w:r>
        <w:t xml:space="preserve"> </w:t>
      </w:r>
      <w:r>
        <w:t xml:space="preserve">would be identified and classified under the baseline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2032</w:t>
      </w:r>
      <w:r>
        <w:t xml:space="preserve"> </w:t>
      </w:r>
      <w:r>
        <w:t xml:space="preserve">2042</w:t>
      </w:r>
      <w:r>
        <w:t xml:space="preserve"> </w:t>
      </w:r>
      <w:r>
        <w:t xml:space="preserve">Number of substances*</w:t>
      </w:r>
      <w:r>
        <w:t xml:space="preserve"> </w:t>
      </w:r>
      <w:r>
        <w:t xml:space="preserve">ED</w:t>
      </w:r>
      <w:r>
        <w:t xml:space="preserve"> </w:t>
      </w:r>
      <w:r>
        <w:t xml:space="preserve">13</w:t>
      </w:r>
      <w:r>
        <w:t xml:space="preserve"> </w:t>
      </w:r>
      <w:r>
        <w:t xml:space="preserve">210</w:t>
      </w:r>
      <w:r>
        <w:t xml:space="preserve"> </w:t>
      </w:r>
      <w:r>
        <w:t xml:space="preserve">290</w:t>
      </w:r>
      <w:r>
        <w:t xml:space="preserve"> </w:t>
      </w:r>
      <w:r>
        <w:t xml:space="preserve">PBT/vPvB</w:t>
      </w:r>
      <w:r>
        <w:t xml:space="preserve"> </w:t>
      </w:r>
      <w:r>
        <w:t xml:space="preserve">15</w:t>
      </w:r>
      <w:r>
        <w:t xml:space="preserve"> </w:t>
      </w:r>
      <w:r>
        <w:t xml:space="preserve">210</w:t>
      </w:r>
      <w:r>
        <w:t xml:space="preserve"> </w:t>
      </w:r>
      <w:r>
        <w:t xml:space="preserve">310</w:t>
      </w:r>
      <w:r>
        <w:t xml:space="preserve"> </w:t>
      </w:r>
      <w:r>
        <w:t xml:space="preserve">PMT/vPvM</w:t>
      </w:r>
      <w:r>
        <w:t xml:space="preserve"> </w:t>
      </w:r>
      <w:r>
        <w:t xml:space="preserve">7</w:t>
      </w:r>
      <w:r>
        <w:t xml:space="preserve"> </w:t>
      </w:r>
      <w:r>
        <w:t xml:space="preserve">70</w:t>
      </w:r>
      <w:r>
        <w:t xml:space="preserve"> </w:t>
      </w:r>
      <w:r>
        <w:t xml:space="preserve">110</w:t>
      </w:r>
      <w:r>
        <w:t xml:space="preserve"> </w:t>
      </w:r>
      <w:r>
        <w:t xml:space="preserve">Total</w:t>
      </w:r>
      <w:r>
        <w:t xml:space="preserve"> </w:t>
      </w:r>
      <w:r>
        <w:t xml:space="preserve">35</w:t>
      </w:r>
      <w:r>
        <w:t xml:space="preserve"> </w:t>
      </w:r>
      <w:r>
        <w:t xml:space="preserve">490</w:t>
      </w:r>
      <w:r>
        <w:t xml:space="preserve"> </w:t>
      </w:r>
      <w:r>
        <w:t xml:space="preserve">710</w:t>
      </w:r>
      <w:r>
        <w:t xml:space="preserve"> </w:t>
      </w:r>
      <w:r>
        <w:t xml:space="preserve">Number of mixtures**</w:t>
      </w:r>
      <w:r>
        <w:t xml:space="preserve"> </w:t>
      </w:r>
      <w:r>
        <w:t xml:space="preserve">ED</w:t>
      </w:r>
      <w:r>
        <w:t xml:space="preserve"> </w:t>
      </w:r>
      <w:r>
        <w:t xml:space="preserve">100 – 300</w:t>
      </w:r>
      <w:r>
        <w:t xml:space="preserve"> </w:t>
      </w:r>
      <w:r>
        <w:t xml:space="preserve">2,300 – 5,100</w:t>
      </w:r>
      <w:r>
        <w:t xml:space="preserve"> </w:t>
      </w:r>
      <w:r>
        <w:t xml:space="preserve">3,200 – 7,300</w:t>
      </w:r>
      <w:r>
        <w:t xml:space="preserve"> </w:t>
      </w:r>
      <w:r>
        <w:t xml:space="preserve">PBT/vPvB</w:t>
      </w:r>
      <w:r>
        <w:t xml:space="preserve"> </w:t>
      </w:r>
      <w:r>
        <w:t xml:space="preserve">200 – 400</w:t>
      </w:r>
      <w:r>
        <w:t xml:space="preserve"> </w:t>
      </w:r>
      <w:r>
        <w:t xml:space="preserve">2,400 – 5,300</w:t>
      </w:r>
      <w:r>
        <w:t xml:space="preserve"> </w:t>
      </w:r>
      <w:r>
        <w:t xml:space="preserve">3,400 – 7,700</w:t>
      </w:r>
      <w:r>
        <w:t xml:space="preserve"> </w:t>
      </w:r>
      <w:r>
        <w:t xml:space="preserve">PMT/vPvM</w:t>
      </w:r>
      <w:r>
        <w:t xml:space="preserve"> </w:t>
      </w:r>
      <w:r>
        <w:t xml:space="preserve">100 – 200</w:t>
      </w:r>
      <w:r>
        <w:t xml:space="preserve"> </w:t>
      </w:r>
      <w:r>
        <w:t xml:space="preserve">700 – 1,700</w:t>
      </w:r>
      <w:r>
        <w:t xml:space="preserve"> </w:t>
      </w:r>
      <w:r>
        <w:t xml:space="preserve">1,200 – 2,700</w:t>
      </w:r>
      <w:r>
        <w:t xml:space="preserve"> </w:t>
      </w:r>
      <w:r>
        <w:t xml:space="preserve">Total</w:t>
      </w:r>
      <w:r>
        <w:t xml:space="preserve"> </w:t>
      </w:r>
      <w:r>
        <w:t xml:space="preserve">400 – 900</w:t>
      </w:r>
      <w:r>
        <w:t xml:space="preserve"> </w:t>
      </w:r>
      <w:r>
        <w:t xml:space="preserve">5,300 – 12,200</w:t>
      </w:r>
      <w:r>
        <w:t xml:space="preserve"> </w:t>
      </w:r>
      <w:r>
        <w:t xml:space="preserve">7,800 – 17,700</w:t>
      </w:r>
      <w:r>
        <w:t xml:space="preserve"> </w:t>
      </w:r>
      <w:r>
        <w:t xml:space="preserve">Notes: *rounded to the nearest tens; **rounded to the nearest hundreds</w:t>
      </w:r>
    </w:p>
    <w:p>
      <w:pPr>
        <w:pStyle w:val="BodyText"/>
      </w:pPr>
      <w:r>
        <w:t xml:space="preserve">59 The methodology and the results are detailed in Annex 1.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1.1.4 Toxicity reference values and harmonised classification and labelling</w:t>
      </w:r>
      <w:r>
        <w:t xml:space="preserve"> </w:t>
      </w:r>
      <w:r>
        <w:t xml:space="preserve">Already some initiatives or measures may be envisaged as developing harmonised toxicity</w:t>
      </w:r>
      <w:r>
        <w:t xml:space="preserve"> </w:t>
      </w:r>
      <w:r>
        <w:t xml:space="preserve">reference values. For example, the restriction of the aprotic solvent N,N-dimethylformamide60</w:t>
      </w:r>
      <w:r>
        <w:t xml:space="preserve"> </w:t>
      </w:r>
      <w:r>
        <w:t xml:space="preserve">involved the derivation of a ‘harmonised DNEL’ for workers (inhalation and dermal) by RAC.</w:t>
      </w:r>
      <w:r>
        <w:t xml:space="preserve"> </w:t>
      </w:r>
      <w:r>
        <w:t xml:space="preserve">However, harmonisation in this context only relates to the REACH Regulation and other</w:t>
      </w:r>
      <w:r>
        <w:t xml:space="preserve"> </w:t>
      </w:r>
      <w:r>
        <w:t xml:space="preserve">reference values remain in place, such as the IOELV established by Commission Directive</w:t>
      </w:r>
      <w:r>
        <w:t xml:space="preserve"> </w:t>
      </w:r>
      <w:r>
        <w:t xml:space="preserve">2009/161/EU of 17 December 2009 (15 mg/m3 as opposed to the ‘harmonised DNEL’ of 6</w:t>
      </w:r>
      <w:r>
        <w:t xml:space="preserve"> </w:t>
      </w:r>
      <w:r>
        <w:t xml:space="preserve">mg/m3) that is also legally binding limit value established under OSH legislation in many EU</w:t>
      </w:r>
      <w:r>
        <w:t xml:space="preserve"> </w:t>
      </w:r>
      <w:r>
        <w:t xml:space="preserve">MS. For companies, the different reference or limit values are confusing and the ‘harmonised</w:t>
      </w:r>
      <w:r>
        <w:t xml:space="preserve"> </w:t>
      </w:r>
      <w:r>
        <w:t xml:space="preserve">DNEL’ does not resolve the differences between REACH-DNELs and OELs.</w:t>
      </w:r>
      <w:r>
        <w:br/>
      </w:r>
      <w:r>
        <w:t xml:space="preserve">The differences between legislations are also evident in other examples. In the case of nonyl-</w:t>
      </w:r>
      <w:r>
        <w:t xml:space="preserve"> </w:t>
      </w:r>
      <w:r>
        <w:t xml:space="preserve">and octylphenols, EQS were derived under the Water Framework Directive. These may be</w:t>
      </w:r>
      <w:r>
        <w:t xml:space="preserve"> </w:t>
      </w:r>
      <w:r>
        <w:t xml:space="preserve">considered ‘harmonised reference values’. However, based on the RAC statement related to</w:t>
      </w:r>
      <w:r>
        <w:t xml:space="preserve"> </w:t>
      </w:r>
      <w:r>
        <w:t xml:space="preserve">the corresponding nonylphenol and octylphenol ethoxylates (ECHA, 2017), it appears</w:t>
      </w:r>
      <w:r>
        <w:t xml:space="preserve"> </w:t>
      </w:r>
      <w:r>
        <w:t xml:space="preserve">questionable that these EQS may be accepted as a threshold in applications for authorisation.</w:t>
      </w:r>
      <w:r>
        <w:t xml:space="preserve"> </w:t>
      </w:r>
      <w:r>
        <w:t xml:space="preserve">The same is true is even true within a single regulatory area. For example, the DNEL derived</w:t>
      </w:r>
      <w:r>
        <w:t xml:space="preserve"> </w:t>
      </w:r>
      <w:r>
        <w:t xml:space="preserve">by RAC for dibutyl phthalate (DBP) in 2013 may be considered a ‘harmonised DNEL’. With</w:t>
      </w:r>
      <w:r>
        <w:t xml:space="preserve"> </w:t>
      </w:r>
      <w:r>
        <w:t xml:space="preserve">the addition of DBP to REACH Annex XIV for endocrine disrupting properties (human health),</w:t>
      </w:r>
      <w:r>
        <w:t xml:space="preserve"> </w:t>
      </w:r>
      <w:r>
        <w:t xml:space="preserve">the validity of this reference value is unclear and RAC was not in a position to derive a DNEL</w:t>
      </w:r>
      <w:r>
        <w:t xml:space="preserve"> </w:t>
      </w:r>
      <w:r>
        <w:t xml:space="preserve">for these effects (ECHA, 2021). Again, diverging OELs are legally in place in several EU MS.</w:t>
      </w:r>
      <w:r>
        <w:t xml:space="preserve"> </w:t>
      </w:r>
      <w:r>
        <w:t xml:space="preserve">As noted in Annex 4 to this report, reference values established by regulatory agencies are not</w:t>
      </w:r>
      <w:r>
        <w:t xml:space="preserve"> </w:t>
      </w:r>
      <w:r>
        <w:t xml:space="preserve">necessarily lower than those derived e.g. by registrants under REACH. For example, different</w:t>
      </w:r>
      <w:r>
        <w:t xml:space="preserve"> </w:t>
      </w:r>
      <w:r>
        <w:t xml:space="preserve">studies were often available to REACH registrants for deriving PNECs compared to the ones</w:t>
      </w:r>
      <w:r>
        <w:t xml:space="preserve"> </w:t>
      </w:r>
      <w:r>
        <w:t xml:space="preserve">available to the competent authority for the same substance under the BPR. In some cases,</w:t>
      </w:r>
      <w:r>
        <w:t xml:space="preserve"> </w:t>
      </w:r>
      <w:r>
        <w:t xml:space="preserve">REACH registrants have derived lower PNECs than authorities under the BPR and it may not</w:t>
      </w:r>
      <w:r>
        <w:t xml:space="preserve"> </w:t>
      </w:r>
      <w:r>
        <w:t xml:space="preserve">be the most meaningful approach to establish the latter as ‘harmonised PNECs’.</w:t>
      </w:r>
      <w:r>
        <w:t xml:space="preserve"> </w:t>
      </w:r>
      <w:r>
        <w:t xml:space="preserve">It is assumed that the Commission would establish the repository of toxicity reference values</w:t>
      </w:r>
      <w:r>
        <w:t xml:space="preserve"> </w:t>
      </w:r>
      <w:r>
        <w:t xml:space="preserve">as for its commitment as part of the OSOA approach in the CSS, with the aim of promoting the</w:t>
      </w:r>
      <w:r>
        <w:t xml:space="preserve"> </w:t>
      </w:r>
      <w:r>
        <w:t xml:space="preserve">reuse of the values among EU risk assessors and managers. It is also assumed that EU agencies</w:t>
      </w:r>
      <w:r>
        <w:t xml:space="preserve"> </w:t>
      </w:r>
      <w:r>
        <w:t xml:space="preserve">would establish a central coordination mechanism, which would ensure better distribution and</w:t>
      </w:r>
      <w:r>
        <w:t xml:space="preserve"> </w:t>
      </w:r>
      <w:r>
        <w:t xml:space="preserve">coordination of tasks and access to all data by all agencies, as advocated by ECHA and EFSA</w:t>
      </w:r>
      <w:r>
        <w:t xml:space="preserve"> </w:t>
      </w:r>
      <w:r>
        <w:t xml:space="preserve">in their joint position paper.</w:t>
      </w:r>
      <w:r>
        <w:t xml:space="preserve"> </w:t>
      </w:r>
      <w:r>
        <w:t xml:space="preserve">In the period 2016-2020, there has been a steady increase of CLH for CMR substances (71 in</w:t>
      </w:r>
      <w:r>
        <w:t xml:space="preserve"> </w:t>
      </w:r>
      <w:r>
        <w:t xml:space="preserve">total), leading to the adoption of further RMMs to minimise workers’ exposure (ECHA,</w:t>
      </w:r>
      <w:r>
        <w:t xml:space="preserve"> </w:t>
      </w:r>
      <w:r>
        <w:t xml:space="preserve">2021c). The IRS has accelerated the screening of registered substances and the identification</w:t>
      </w:r>
      <w:r>
        <w:t xml:space="preserve"> </w:t>
      </w:r>
      <w:r>
        <w:t xml:space="preserve">of those requiring the generation of further data or risk management. Without intervention in</w:t>
      </w:r>
      <w:r>
        <w:t xml:space="preserve"> </w:t>
      </w:r>
      <w:r>
        <w:t xml:space="preserve">the coming years, the performance of the IRS and the rhythm of CLH adoption is assumed to</w:t>
      </w:r>
      <w:r>
        <w:t xml:space="preserve"> </w:t>
      </w:r>
      <w:r>
        <w:t xml:space="preserve">stay constant, as ECHA and RAC work at full capacity and MSCAs’ resources remain limited.</w:t>
      </w:r>
      <w:r>
        <w:t xml:space="preserve"> </w:t>
      </w:r>
      <w:r>
        <w:t xml:space="preserve">Also, the workload is assumed to remain uneven, with just a few MSCAs carrying most of the</w:t>
      </w:r>
      <w:r>
        <w:t xml:space="preserve"> </w:t>
      </w:r>
      <w:r>
        <w:t xml:space="preserve">burden.</w:t>
      </w:r>
    </w:p>
    <w:p>
      <w:pPr>
        <w:pStyle w:val="BodyText"/>
      </w:pPr>
      <w:r>
        <w:t xml:space="preserve">60 https://echa.europa.eu/de/registry-of-restriction-intentions/-/dislist/details/0b0236e18213ec9e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As of 2022, 4,335 entries61 have harmonised classifications. Harmonised classifications and</w:t>
      </w:r>
      <w:r>
        <w:t xml:space="preserve"> </w:t>
      </w:r>
      <w:r>
        <w:t xml:space="preserve">labelling of hazardous substances are introduced and updated through the Adaptations to</w:t>
      </w:r>
      <w:r>
        <w:t xml:space="preserve"> </w:t>
      </w:r>
      <w:r>
        <w:t xml:space="preserve">Technical Progress (ATPs), which are issued yearly by the European Commission. Table 12</w:t>
      </w:r>
      <w:r>
        <w:t xml:space="preserve"> </w:t>
      </w:r>
      <w:r>
        <w:t xml:space="preserve">accounts substances for which the CLH has been revised by subsequent ATPs in the ATP</w:t>
      </w:r>
      <w:r>
        <w:t xml:space="preserve"> </w:t>
      </w:r>
      <w:r>
        <w:t xml:space="preserve">introducing the CLH for the first time.</w:t>
      </w:r>
      <w:r>
        <w:t xml:space="preserve"> </w:t>
      </w:r>
      <w:r>
        <w:t xml:space="preserve">Table 13: Number of substances with CLH (2008-2022)</w:t>
      </w:r>
      <w:r>
        <w:t xml:space="preserve"> </w:t>
      </w:r>
      <w:r>
        <w:t xml:space="preserve">ATP</w:t>
      </w:r>
      <w:r>
        <w:t xml:space="preserve"> </w:t>
      </w:r>
      <w:r>
        <w:t xml:space="preserve">Entry into force</w:t>
      </w:r>
      <w:r>
        <w:t xml:space="preserve"> </w:t>
      </w:r>
      <w:r>
        <w:t xml:space="preserve">No. of substances</w:t>
      </w:r>
      <w:r>
        <w:t xml:space="preserve"> </w:t>
      </w:r>
      <w:r>
        <w:t xml:space="preserve">CLP00</w:t>
      </w:r>
      <w:r>
        <w:t xml:space="preserve"> </w:t>
      </w:r>
      <w:r>
        <w:t xml:space="preserve">2008</w:t>
      </w:r>
      <w:r>
        <w:t xml:space="preserve"> </w:t>
      </w:r>
      <w:r>
        <w:t xml:space="preserve">3,368*</w:t>
      </w:r>
      <w:r>
        <w:t xml:space="preserve"> </w:t>
      </w:r>
      <w:r>
        <w:t xml:space="preserve">ATP01</w:t>
      </w:r>
      <w:r>
        <w:t xml:space="preserve"> </w:t>
      </w:r>
      <w:r>
        <w:t xml:space="preserve">2010</w:t>
      </w:r>
      <w:r>
        <w:t xml:space="preserve"> </w:t>
      </w:r>
      <w:r>
        <w:t xml:space="preserve">758**</w:t>
      </w:r>
      <w:r>
        <w:t xml:space="preserve"> </w:t>
      </w:r>
      <w:r>
        <w:t xml:space="preserve">ATP03</w:t>
      </w:r>
      <w:r>
        <w:t xml:space="preserve"> </w:t>
      </w:r>
      <w:r>
        <w:t xml:space="preserve">2012</w:t>
      </w:r>
      <w:r>
        <w:t xml:space="preserve"> </w:t>
      </w:r>
      <w:r>
        <w:t xml:space="preserve">11</w:t>
      </w:r>
      <w:r>
        <w:t xml:space="preserve"> </w:t>
      </w:r>
      <w:r>
        <w:t xml:space="preserve">ATP05</w:t>
      </w:r>
      <w:r>
        <w:t xml:space="preserve"> </w:t>
      </w:r>
      <w:r>
        <w:t xml:space="preserve">2012</w:t>
      </w:r>
      <w:r>
        <w:t xml:space="preserve"> </w:t>
      </w:r>
      <w:r>
        <w:t xml:space="preserve">22</w:t>
      </w:r>
      <w:r>
        <w:t xml:space="preserve"> </w:t>
      </w:r>
      <w:r>
        <w:t xml:space="preserve">ATP06</w:t>
      </w:r>
      <w:r>
        <w:t xml:space="preserve"> </w:t>
      </w:r>
      <w:r>
        <w:t xml:space="preserve">2014</w:t>
      </w:r>
      <w:r>
        <w:t xml:space="preserve"> </w:t>
      </w:r>
      <w:r>
        <w:t xml:space="preserve">14</w:t>
      </w:r>
      <w:r>
        <w:t xml:space="preserve"> </w:t>
      </w:r>
      <w:r>
        <w:t xml:space="preserve">ATP07</w:t>
      </w:r>
      <w:r>
        <w:t xml:space="preserve"> </w:t>
      </w:r>
      <w:r>
        <w:t xml:space="preserve">2016</w:t>
      </w:r>
      <w:r>
        <w:t xml:space="preserve"> </w:t>
      </w:r>
      <w:r>
        <w:t xml:space="preserve">19</w:t>
      </w:r>
      <w:r>
        <w:t xml:space="preserve"> </w:t>
      </w:r>
      <w:r>
        <w:t xml:space="preserve">ATP09</w:t>
      </w:r>
      <w:r>
        <w:t xml:space="preserve"> </w:t>
      </w:r>
      <w:r>
        <w:t xml:space="preserve">2018</w:t>
      </w:r>
      <w:r>
        <w:t xml:space="preserve"> </w:t>
      </w:r>
      <w:r>
        <w:t xml:space="preserve">26</w:t>
      </w:r>
      <w:r>
        <w:t xml:space="preserve"> </w:t>
      </w:r>
      <w:r>
        <w:t xml:space="preserve">ATP10</w:t>
      </w:r>
      <w:r>
        <w:t xml:space="preserve"> </w:t>
      </w:r>
      <w:r>
        <w:t xml:space="preserve">2018</w:t>
      </w:r>
      <w:r>
        <w:t xml:space="preserve"> </w:t>
      </w:r>
      <w:r>
        <w:t xml:space="preserve">24</w:t>
      </w:r>
      <w:r>
        <w:t xml:space="preserve"> </w:t>
      </w:r>
      <w:r>
        <w:t xml:space="preserve">ATP13</w:t>
      </w:r>
      <w:r>
        <w:t xml:space="preserve"> </w:t>
      </w:r>
      <w:r>
        <w:t xml:space="preserve">2020</w:t>
      </w:r>
      <w:r>
        <w:t xml:space="preserve"> </w:t>
      </w:r>
      <w:r>
        <w:t xml:space="preserve">16</w:t>
      </w:r>
      <w:r>
        <w:t xml:space="preserve"> </w:t>
      </w:r>
      <w:r>
        <w:t xml:space="preserve">ATP14</w:t>
      </w:r>
      <w:r>
        <w:t xml:space="preserve"> </w:t>
      </w:r>
      <w:r>
        <w:t xml:space="preserve">2021</w:t>
      </w:r>
      <w:r>
        <w:t xml:space="preserve"> </w:t>
      </w:r>
      <w:r>
        <w:t xml:space="preserve">17</w:t>
      </w:r>
      <w:r>
        <w:t xml:space="preserve"> </w:t>
      </w:r>
      <w:r>
        <w:t xml:space="preserve">ATP15</w:t>
      </w:r>
      <w:r>
        <w:t xml:space="preserve"> </w:t>
      </w:r>
      <w:r>
        <w:t xml:space="preserve">2022</w:t>
      </w:r>
      <w:r>
        <w:t xml:space="preserve"> </w:t>
      </w:r>
      <w:r>
        <w:t xml:space="preserve">37</w:t>
      </w:r>
      <w:r>
        <w:t xml:space="preserve"> </w:t>
      </w:r>
      <w:r>
        <w:t xml:space="preserve">Source: Analysis of all CLH from: https://echa.europa.eu/information-on-chemicals/annex-vi-to-clp</w:t>
      </w:r>
      <w:r>
        <w:t xml:space="preserve"> </w:t>
      </w:r>
      <w:r>
        <w:t xml:space="preserve">Notes: *Harmonised classifications implemented under Directive 67/548/EEC; ** ATP01 brought the</w:t>
      </w:r>
      <w:r>
        <w:t xml:space="preserve"> </w:t>
      </w:r>
      <w:r>
        <w:t xml:space="preserve">entries from the 30th ATP &amp; 31st ATP of Directive 67/548/EEC into Annex VI of CLP</w:t>
      </w:r>
    </w:p>
    <w:p>
      <w:pPr>
        <w:pStyle w:val="BodyText"/>
      </w:pPr>
      <w:r>
        <w:t xml:space="preserve">RAC has adopted between 50-60 opinions on CLH since 2017 (previously the average was 35</w:t>
      </w:r>
      <w:r>
        <w:t xml:space="preserve"> </w:t>
      </w:r>
      <w:r>
        <w:t xml:space="preserve">per year). These cover both CLH for new substances and revisions of existing CLH. In the last</w:t>
      </w:r>
      <w:r>
        <w:t xml:space="preserve"> </w:t>
      </w:r>
      <w:r>
        <w:t xml:space="preserve">10 years (2012-2022), 209 new substances have received CLH (median of 20.5 per year). Sixty</w:t>
      </w:r>
      <w:r>
        <w:t xml:space="preserve"> </w:t>
      </w:r>
      <w:r>
        <w:t xml:space="preserve">is considered as the maximum number of CLH dossiers that RAC and the ECHA team</w:t>
      </w:r>
      <w:r>
        <w:t xml:space="preserve"> </w:t>
      </w:r>
      <w:r>
        <w:t xml:space="preserve">supporting the CLH procedure can process with the current capacity.62 Following the adoption</w:t>
      </w:r>
      <w:r>
        <w:t xml:space="preserve"> </w:t>
      </w:r>
      <w:r>
        <w:t xml:space="preserve">of the opinion on the CLH of a substance by the RAC, the European Commission takes a</w:t>
      </w:r>
      <w:r>
        <w:t xml:space="preserve"> </w:t>
      </w:r>
      <w:r>
        <w:t xml:space="preserve">decision and publishes the updated list in an ATP. Table 13 presents the estimate of the number</w:t>
      </w:r>
      <w:r>
        <w:t xml:space="preserve"> </w:t>
      </w:r>
      <w:r>
        <w:t xml:space="preserve">of substances with CLH that could be expected in 2032 and 2042, calculated as the linear</w:t>
      </w:r>
      <w:r>
        <w:t xml:space="preserve"> </w:t>
      </w:r>
      <w:r>
        <w:t xml:space="preserve">forecast of the number of substances with CLH based on the values from ATP03 to ATP17</w:t>
      </w:r>
      <w:r>
        <w:t xml:space="preserve"> </w:t>
      </w:r>
      <w:r>
        <w:t xml:space="preserve">(2012-2022).63</w:t>
      </w:r>
      <w:r>
        <w:t xml:space="preserve"> </w:t>
      </w:r>
      <w:r>
        <w:t xml:space="preserve">Table 14: Estimates of the number of CLH substances in 2032 and 2042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2032</w:t>
      </w:r>
      <w:r>
        <w:t xml:space="preserve"> </w:t>
      </w:r>
      <w:r>
        <w:t xml:space="preserve">2042</w:t>
      </w:r>
      <w:r>
        <w:t xml:space="preserve"> </w:t>
      </w:r>
      <w:r>
        <w:t xml:space="preserve">Linear forecast</w:t>
      </w:r>
      <w:r>
        <w:t xml:space="preserve"> </w:t>
      </w:r>
      <w:r>
        <w:t xml:space="preserve">4,385</w:t>
      </w:r>
      <w:r>
        <w:t xml:space="preserve"> </w:t>
      </w:r>
      <w:r>
        <w:t xml:space="preserve">4,450*</w:t>
      </w:r>
      <w:r>
        <w:t xml:space="preserve"> </w:t>
      </w:r>
      <w:r>
        <w:t xml:space="preserve">4,600*</w:t>
      </w:r>
      <w:r>
        <w:t xml:space="preserve"> </w:t>
      </w:r>
      <w:r>
        <w:t xml:space="preserve">Notes: *rounded to the nearest 50s.</w:t>
      </w:r>
    </w:p>
    <w:p>
      <w:pPr>
        <w:pStyle w:val="BodyText"/>
      </w:pPr>
      <w:r>
        <w:t xml:space="preserve">1.1.5 Self-classification and the CLI</w:t>
      </w:r>
      <w:r>
        <w:t xml:space="preserve"> </w:t>
      </w:r>
      <w:r>
        <w:t xml:space="preserve">As of 30th November 2021, 751,436 notifications have been submitted to the CLI on 205,903</w:t>
      </w:r>
      <w:r>
        <w:t xml:space="preserve"> </w:t>
      </w:r>
      <w:r>
        <w:t xml:space="preserve">substances, the majority coming from C&amp;L notifications (656,741) and the remainder coming</w:t>
      </w:r>
      <w:r>
        <w:t xml:space="preserve"> </w:t>
      </w:r>
      <w:r>
        <w:t xml:space="preserve">from REACH Registrations (94,695). Most substances (89%) notified to the CLI originate</w:t>
      </w:r>
    </w:p>
    <w:p>
      <w:pPr>
        <w:pStyle w:val="BodyText"/>
      </w:pPr>
      <w:r>
        <w:t xml:space="preserve">61 Some of the entries of Annex VI are group of substances (e.g. the metal compounds), so the number of</w:t>
      </w:r>
      <w:r>
        <w:t xml:space="preserve"> </w:t>
      </w:r>
      <w:r>
        <w:t xml:space="preserve">substances is higher.</w:t>
      </w:r>
      <w:r>
        <w:t xml:space="preserve"> </w:t>
      </w:r>
      <w:r>
        <w:t xml:space="preserve">62 ECHA and RAC estimates.</w:t>
      </w:r>
      <w:r>
        <w:t xml:space="preserve"> </w:t>
      </w:r>
      <w:r>
        <w:t xml:space="preserve">63 CLP00 and ATP01 introduced the CLHs that were adopted according to the previous legislation. Not all ATPs</w:t>
      </w:r>
      <w:r>
        <w:t xml:space="preserve"> </w:t>
      </w:r>
      <w:r>
        <w:t xml:space="preserve">introduce or revise CLHs.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exclusively from CLP notifications, with 11% originating from REACH registrations.</w:t>
      </w:r>
      <w:r>
        <w:t xml:space="preserve"> </w:t>
      </w:r>
      <w:r>
        <w:t xml:space="preserve">Notification submitters (excluding group members) amount to 22,745 legal entities, of which</w:t>
      </w:r>
      <w:r>
        <w:t xml:space="preserve"> </w:t>
      </w:r>
      <w:r>
        <w:t xml:space="preserve">14,888 are from REACH Registrations and 12,244 are from CLP notifications. Around 11,055</w:t>
      </w:r>
      <w:r>
        <w:t xml:space="preserve"> </w:t>
      </w:r>
      <w:r>
        <w:t xml:space="preserve">actual notification submitters are SMEs (48.6% of the total).</w:t>
      </w:r>
      <w:r>
        <w:t xml:space="preserve"> </w:t>
      </w:r>
      <w:r>
        <w:t xml:space="preserve">A single C&amp;L notification, described as a granular C&amp;L notification, contains a combination</w:t>
      </w:r>
      <w:r>
        <w:t xml:space="preserve"> </w:t>
      </w:r>
      <w:r>
        <w:t xml:space="preserve">of the following:</w:t>
      </w:r>
    </w:p>
    <w:p>
      <w:pPr>
        <w:pStyle w:val="BodyText"/>
      </w:pPr>
      <w:r>
        <w:t xml:space="preserve">Substance;</w:t>
      </w:r>
    </w:p>
    <w:p>
      <w:pPr>
        <w:pStyle w:val="BodyText"/>
      </w:pPr>
      <w:r>
        <w:t xml:space="preserve">Substance variant (e.g. physical state / form; chemical hydration; composition with an</w:t>
      </w:r>
      <w:r>
        <w:t xml:space="preserve"> </w:t>
      </w:r>
      <w:r>
        <w:t xml:space="preserve">impurity / additive etc);</w:t>
      </w:r>
    </w:p>
    <w:p>
      <w:pPr>
        <w:pStyle w:val="BodyText"/>
      </w:pPr>
      <w:r>
        <w:t xml:space="preserve">Classification;</w:t>
      </w:r>
    </w:p>
    <w:p>
      <w:pPr>
        <w:pStyle w:val="BodyText"/>
      </w:pPr>
      <w:r>
        <w:t xml:space="preserve">Labelling;</w:t>
      </w:r>
      <w:r>
        <w:t xml:space="preserve"> </w:t>
      </w:r>
      <w:r>
        <w:t xml:space="preserve">Legal entity.</w:t>
      </w:r>
      <w:r>
        <w:t xml:space="preserve"> </w:t>
      </w:r>
      <w:r>
        <w:t xml:space="preserve">C&amp;L notifications can be submitted by one legal entity on behalf of a group of manufacturers</w:t>
      </w:r>
      <w:r>
        <w:t xml:space="preserve"> </w:t>
      </w:r>
      <w:r>
        <w:t xml:space="preserve">and importers. For example, the notification submitted on behalf of 50 group members would</w:t>
      </w:r>
      <w:r>
        <w:t xml:space="preserve"> </w:t>
      </w:r>
      <w:r>
        <w:t xml:space="preserve">resolve into 50 granular C&amp;L notifications, and if the group notification contained two</w:t>
      </w:r>
      <w:r>
        <w:t xml:space="preserve"> </w:t>
      </w:r>
      <w:r>
        <w:t xml:space="preserve">substance variants, it would resolve into 100 granular notifications. When the number of</w:t>
      </w:r>
      <w:r>
        <w:t xml:space="preserve"> </w:t>
      </w:r>
      <w:r>
        <w:t xml:space="preserve">granular C&amp;L notifications is taken into account, over 10 million unique notifications have</w:t>
      </w:r>
      <w:r>
        <w:t xml:space="preserve"> </w:t>
      </w:r>
      <w:r>
        <w:t xml:space="preserve">been submitted to the CLI, which come mainly from expanding the group notifications into</w:t>
      </w:r>
      <w:r>
        <w:t xml:space="preserve"> </w:t>
      </w:r>
      <w:r>
        <w:t xml:space="preserve">their constituent C&amp;L notifications from the different group members. Data provided by ECHA</w:t>
      </w:r>
      <w:r>
        <w:t xml:space="preserve"> </w:t>
      </w:r>
      <w:r>
        <w:t xml:space="preserve">shows that on average a group notification contains 44 group members.</w:t>
      </w:r>
      <w:r>
        <w:br/>
      </w:r>
      <w:r>
        <w:t xml:space="preserve">The large number of granular C&amp;L notifications that come from group notifications</w:t>
      </w:r>
      <w:r>
        <w:t xml:space="preserve"> </w:t>
      </w:r>
      <w:r>
        <w:t xml:space="preserve">demonstrates that a significant amount of collaboration between duty-holders is already taking</w:t>
      </w:r>
      <w:r>
        <w:t xml:space="preserve"> </w:t>
      </w:r>
      <w:r>
        <w:t xml:space="preserve">place to agree on a single classification, which is illustrated in the graphics below. Figure 55</w:t>
      </w:r>
      <w:r>
        <w:t xml:space="preserve"> </w:t>
      </w:r>
      <w:r>
        <w:t xml:space="preserve">shows the level of agreement for different classifications and labelling combination for</w:t>
      </w:r>
      <w:r>
        <w:t xml:space="preserve"> </w:t>
      </w:r>
      <w:r>
        <w:t xml:space="preserve">substances in the CLI that have 5 or fewer distinct classifications and labelling combinations.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Figure 55: Level of consensus based on individual and lead submissions - Source: ECHA data</w:t>
      </w:r>
    </w:p>
    <w:p>
      <w:pPr>
        <w:pStyle w:val="BodyText"/>
      </w:pPr>
      <w:r>
        <w:t xml:space="preserve">Figure 56 factors in the agreement within group notifications is taken into account there is a</w:t>
      </w:r>
      <w:r>
        <w:t xml:space="preserve"> </w:t>
      </w:r>
      <w:r>
        <w:t xml:space="preserve">much higher level of consensus. It also just shows divergence caused by differences in</w:t>
      </w:r>
      <w:r>
        <w:t xml:space="preserve"> </w:t>
      </w:r>
      <w:r>
        <w:t xml:space="preserve">classification only, rather than divergence caused by different combinations of classification</w:t>
      </w:r>
      <w:r>
        <w:t xml:space="preserve"> </w:t>
      </w:r>
      <w:r>
        <w:t xml:space="preserve">and labelling, as substances with the same classification can have two distinct labelling blocks.</w:t>
      </w:r>
    </w:p>
    <w:p>
      <w:pPr>
        <w:pStyle w:val="BodyText"/>
      </w:pPr>
      <w:r>
        <w:t xml:space="preserve">Figure 56: Level of consensus factoring in M/I groups - Source: ECHA data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However, the level of divergence in Figure 56 is not currently displayed in the existing data</w:t>
      </w:r>
      <w:r>
        <w:t xml:space="preserve"> </w:t>
      </w:r>
      <w:r>
        <w:t xml:space="preserve">structure of the CLI. The summaries of notified classification and labelling entries are ordered</w:t>
      </w:r>
      <w:r>
        <w:t xml:space="preserve"> </w:t>
      </w:r>
      <w:r>
        <w:t xml:space="preserve">by number of notifiers, but this only counts M/I groups as one notifier.</w:t>
      </w:r>
      <w:r>
        <w:t xml:space="preserve"> </w:t>
      </w:r>
      <w:r>
        <w:t xml:space="preserve">78% of substances and 31% of notifications are aligned with a single classification, although</w:t>
      </w:r>
      <w:r>
        <w:t xml:space="preserve"> </w:t>
      </w:r>
      <w:r>
        <w:t xml:space="preserve">divergence amongst the remaining 22% of substances and 69% of notifications can be due to</w:t>
      </w:r>
      <w:r>
        <w:t xml:space="preserve"> </w:t>
      </w:r>
      <w:r>
        <w:t xml:space="preserve">legitimate reasons, such as differences in physical form, presence of impurities etc. ECHA also</w:t>
      </w:r>
      <w:r>
        <w:t xml:space="preserve"> </w:t>
      </w:r>
      <w:r>
        <w:t xml:space="preserve">reports that there is significant agreement for the majority classification (classification most</w:t>
      </w:r>
      <w:r>
        <w:t xml:space="preserve"> </w:t>
      </w:r>
      <w:r>
        <w:t xml:space="preserve">commonly notified) provided for around a quarter of substances with more than one</w:t>
      </w:r>
      <w:r>
        <w:t xml:space="preserve"> </w:t>
      </w:r>
      <w:r>
        <w:t xml:space="preserve">classification. This means that for these substances there is a clear preference for one</w:t>
      </w:r>
      <w:r>
        <w:t xml:space="preserve"> </w:t>
      </w:r>
      <w:r>
        <w:t xml:space="preserve">classification over others. When looking at the level of alignment in granular C&amp;L</w:t>
      </w:r>
      <w:r>
        <w:t xml:space="preserve"> </w:t>
      </w:r>
      <w:r>
        <w:t xml:space="preserve">notifications, which considers agreement within M/I groups, 77% of the 10 million granular</w:t>
      </w:r>
      <w:r>
        <w:t xml:space="preserve"> </w:t>
      </w:r>
      <w:r>
        <w:t xml:space="preserve">C&amp;L notifications agree on a classification.</w:t>
      </w:r>
      <w:r>
        <w:t xml:space="preserve"> </w:t>
      </w:r>
      <w:r>
        <w:t xml:space="preserve">The data shows that classification divergence affects around 22% of notified substances. Sixty-</w:t>
      </w:r>
      <w:r>
        <w:t xml:space="preserve"> </w:t>
      </w:r>
      <w:r>
        <w:t xml:space="preserve">nine percent (69%) of notifications diverge, but this figure is reduced to 23% once the</w:t>
      </w:r>
      <w:r>
        <w:t xml:space="preserve"> </w:t>
      </w:r>
      <w:r>
        <w:t xml:space="preserve">agreement within group notifications is taken into account, although this is not visible in the</w:t>
      </w:r>
      <w:r>
        <w:t xml:space="preserve"> </w:t>
      </w:r>
      <w:r>
        <w:t xml:space="preserve">CLI public portal.</w:t>
      </w:r>
      <w:r>
        <w:t xml:space="preserve"> </w:t>
      </w:r>
      <w:r>
        <w:t xml:space="preserve">A redesign of the CLI was initiated in 2019 with the aim to improve how data in the CLI is</w:t>
      </w:r>
      <w:r>
        <w:t xml:space="preserve"> </w:t>
      </w:r>
      <w:r>
        <w:t xml:space="preserve">displayed, structured and made available, in order to bring additional value and improve its</w:t>
      </w:r>
      <w:r>
        <w:t xml:space="preserve"> </w:t>
      </w:r>
      <w:r>
        <w:t xml:space="preserve">ease of use. While this initiative will not directly address the drivers of diverging classifications</w:t>
      </w:r>
      <w:r>
        <w:t xml:space="preserve"> </w:t>
      </w:r>
      <w:r>
        <w:t xml:space="preserve">in the CLI, it aims to provide transparency on the reasons for divergence and aims to make</w:t>
      </w:r>
      <w:r>
        <w:t xml:space="preserve"> </w:t>
      </w:r>
      <w:r>
        <w:t xml:space="preserve">consensus classifications prominent. The redesign is also expected to display agreement within</w:t>
      </w:r>
      <w:r>
        <w:t xml:space="preserve"> </w:t>
      </w:r>
      <w:r>
        <w:t xml:space="preserve">group notifications. When considering the outcome of the changes in the redesign, if the</w:t>
      </w:r>
      <w:r>
        <w:t xml:space="preserve"> </w:t>
      </w:r>
      <w:r>
        <w:t xml:space="preserve">changes are made as described, it is expected for the additional information and the prioritising</w:t>
      </w:r>
      <w:r>
        <w:t xml:space="preserve"> </w:t>
      </w:r>
      <w:r>
        <w:t xml:space="preserve">of consensus classifications to reduce the impacts of the problem. These changes will not</w:t>
      </w:r>
      <w:r>
        <w:t xml:space="preserve"> </w:t>
      </w:r>
      <w:r>
        <w:t xml:space="preserve">address the source of the divergence. However, the changes, if implemented as described, could</w:t>
      </w:r>
      <w:r>
        <w:t xml:space="preserve"> </w:t>
      </w:r>
      <w:r>
        <w:t xml:space="preserve">help users prioritise the information in the CLI and subsequently find the most relevant data</w:t>
      </w:r>
      <w:r>
        <w:t xml:space="preserve"> </w:t>
      </w:r>
      <w:r>
        <w:t xml:space="preserve">reducing the impact of the incorrect classifications. The outcome of the redesign cannot be</w:t>
      </w:r>
      <w:r>
        <w:t xml:space="preserve"> </w:t>
      </w:r>
      <w:r>
        <w:t xml:space="preserve">fully assessed currently, based on CARACAL discussions, because the redesigned Inventory</w:t>
      </w:r>
      <w:r>
        <w:t xml:space="preserve"> </w:t>
      </w:r>
      <w:r>
        <w:t xml:space="preserve">is expected to be launched in 2023.</w:t>
      </w:r>
      <w:r>
        <w:t xml:space="preserve"> </w:t>
      </w:r>
      <w:r>
        <w:t xml:space="preserve">1.1.6 Labelling</w:t>
      </w:r>
      <w:r>
        <w:t xml:space="preserve"> </w:t>
      </w:r>
      <w:r>
        <w:t xml:space="preserve">This subsection presents the expected evolution of the baseline up to 2042 for each of the four</w:t>
      </w:r>
      <w:r>
        <w:t xml:space="preserve"> </w:t>
      </w:r>
      <w:r>
        <w:t xml:space="preserve">categories of products that are affected by the problems investigated, namely:</w:t>
      </w:r>
    </w:p>
    <w:p>
      <w:pPr>
        <w:pStyle w:val="BodyText"/>
      </w:pPr>
      <w:r>
        <w:t xml:space="preserve">Substances/mixtures supplied in very small packaging (&lt; 10ml);</w:t>
      </w:r>
    </w:p>
    <w:p>
      <w:pPr>
        <w:pStyle w:val="BodyText"/>
      </w:pPr>
      <w:r>
        <w:t xml:space="preserve">Substances/mixtures supplied in bulk;</w:t>
      </w:r>
    </w:p>
    <w:p>
      <w:pPr>
        <w:pStyle w:val="BodyText"/>
      </w:pPr>
      <w:r>
        <w:t xml:space="preserve">Substances/mixtures supplied via re-fill; and</w:t>
      </w:r>
      <w:r>
        <w:t xml:space="preserve"> </w:t>
      </w:r>
      <w:r>
        <w:t xml:space="preserve">Substances/mixtures supplied with very small font size and fold out labels.</w:t>
      </w:r>
      <w:r>
        <w:t xml:space="preserve"> </w:t>
      </w:r>
      <w:r>
        <w:t xml:space="preserve">Substance/Mixtures Supplied in Very Small Packaging (&lt; 10ml)</w:t>
      </w:r>
      <w:r>
        <w:t xml:space="preserve"> </w:t>
      </w:r>
      <w:r>
        <w:t xml:space="preserve">How would the problem evolve?</w:t>
      </w:r>
      <w:r>
        <w:t xml:space="preserve"> </w:t>
      </w:r>
      <w:r>
        <w:t xml:space="preserve">There are two drivers contributing to the problem of hazardous substances/mixtures in very</w:t>
      </w:r>
      <w:r>
        <w:t xml:space="preserve"> </w:t>
      </w:r>
      <w:r>
        <w:t xml:space="preserve">small packaging being unlabelled or incorrectly labelled when placed on the market. The first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of these is the impracticality of labelling chemical products in small containers due to the lack</w:t>
      </w:r>
      <w:r>
        <w:t xml:space="preserve"> </w:t>
      </w:r>
      <w:r>
        <w:t xml:space="preserve">of economically feasible exemptions under the CLP Regulation for the labelling of substances</w:t>
      </w:r>
      <w:r>
        <w:t xml:space="preserve"> </w:t>
      </w:r>
      <w:r>
        <w:t xml:space="preserve">and mixtures supplied in small packaging and the complexity they introduce for suppliers of</w:t>
      </w:r>
      <w:r>
        <w:t xml:space="preserve"> </w:t>
      </w:r>
      <w:r>
        <w:t xml:space="preserve">these chemicals. The labelling requirements outlined in the CLP Regulation for bulk and refill</w:t>
      </w:r>
      <w:r>
        <w:t xml:space="preserve"> </w:t>
      </w:r>
      <w:r>
        <w:t xml:space="preserve">chemicals are expected to remain the same in the baseline scenario, and as there is no financial</w:t>
      </w:r>
      <w:r>
        <w:t xml:space="preserve"> </w:t>
      </w:r>
      <w:r>
        <w:t xml:space="preserve">incentive for suppliers to change their behaviour, and given that no change in the level of</w:t>
      </w:r>
      <w:r>
        <w:t xml:space="preserve"> </w:t>
      </w:r>
      <w:r>
        <w:t xml:space="preserve">enforcement surrounding labelling obligations is also expected, the level of non-compliance is</w:t>
      </w:r>
      <w:r>
        <w:t xml:space="preserve"> </w:t>
      </w:r>
      <w:r>
        <w:t xml:space="preserve">expected to remain the same.</w:t>
      </w:r>
      <w:r>
        <w:t xml:space="preserve"> </w:t>
      </w:r>
      <w:r>
        <w:t xml:space="preserve">The second driver is the existence of regulatory overlaps in labelling provisions of EU</w:t>
      </w:r>
      <w:r>
        <w:t xml:space="preserve"> </w:t>
      </w:r>
      <w:r>
        <w:t xml:space="preserve">chemicals legislation, such as those existing between the CLP Regulation and the Detergents</w:t>
      </w:r>
      <w:r>
        <w:t xml:space="preserve"> </w:t>
      </w:r>
      <w:r>
        <w:t xml:space="preserve">Regulation. The labelling requirements outlined in the CLP Regulation are expected to remain</w:t>
      </w:r>
      <w:r>
        <w:t xml:space="preserve"> </w:t>
      </w:r>
      <w:r>
        <w:t xml:space="preserve">the same in the baseline scenario. However, in light of the ongoing Impact Assessment into the</w:t>
      </w:r>
      <w:r>
        <w:t xml:space="preserve"> </w:t>
      </w:r>
      <w:r>
        <w:t xml:space="preserve">revision of the Detergents Regulation, there is a possibility that changes may be made to</w:t>
      </w:r>
      <w:r>
        <w:t xml:space="preserve"> </w:t>
      </w:r>
      <w:r>
        <w:t xml:space="preserve">labelling requirements applicable to detergents. Ensuring coherence with the CLP Regulation</w:t>
      </w:r>
      <w:r>
        <w:t xml:space="preserve"> </w:t>
      </w:r>
      <w:r>
        <w:t xml:space="preserve">is one of the aims of the Detergents Regulation Impact Assessment, but as of yet there is no</w:t>
      </w:r>
      <w:r>
        <w:t xml:space="preserve"> </w:t>
      </w:r>
      <w:r>
        <w:t xml:space="preserve">final decision as to how the interaction between the two on labelling will be addressed. In the</w:t>
      </w:r>
      <w:r>
        <w:t xml:space="preserve"> </w:t>
      </w:r>
      <w:r>
        <w:t xml:space="preserve">Draft Final Report to the Impact Assessment Study on the simplification of the labelling</w:t>
      </w:r>
      <w:r>
        <w:t xml:space="preserve"> </w:t>
      </w:r>
      <w:r>
        <w:t xml:space="preserve">requirements for chemicals and the use of e-labelling (VVA et al 2022), four policy options are</w:t>
      </w:r>
      <w:r>
        <w:t xml:space="preserve"> </w:t>
      </w:r>
      <w:r>
        <w:t xml:space="preserve">being assessed to allow for alignment of CLP and the Detergents Regulation regarding physical</w:t>
      </w:r>
      <w:r>
        <w:t xml:space="preserve"> </w:t>
      </w:r>
      <w:r>
        <w:t xml:space="preserve">labelling.</w:t>
      </w:r>
      <w:r>
        <w:br/>
      </w:r>
      <w:r>
        <w:t xml:space="preserve">One of the policy options is to align the two regulations to address inconsistencies, overlaps</w:t>
      </w:r>
      <w:r>
        <w:t xml:space="preserve"> </w:t>
      </w:r>
      <w:r>
        <w:t xml:space="preserve">and duplications in labelling requirements. No intervention would occur in the CLP Regulation</w:t>
      </w:r>
      <w:r>
        <w:t xml:space="preserve"> </w:t>
      </w:r>
      <w:r>
        <w:t xml:space="preserve">but in the Detergents Regulation: ingredients would only be labelled once, either following</w:t>
      </w:r>
      <w:r>
        <w:t xml:space="preserve"> </w:t>
      </w:r>
      <w:r>
        <w:t xml:space="preserve">CLP or Detergents Regulation rules, which ever is stricter; or removal of all overlapping</w:t>
      </w:r>
      <w:r>
        <w:t xml:space="preserve"> </w:t>
      </w:r>
      <w:r>
        <w:t xml:space="preserve">provisions. Therefore, it is possible that compliance with labelling provisions for hazardous</w:t>
      </w:r>
      <w:r>
        <w:t xml:space="preserve"> </w:t>
      </w:r>
      <w:r>
        <w:t xml:space="preserve">substances/mixtures in very small packaging could become easier for detergent products.</w:t>
      </w:r>
      <w:r>
        <w:t xml:space="preserve"> </w:t>
      </w:r>
      <w:r>
        <w:t xml:space="preserve">However, detergents were not one of the product categories identified as being supplied in very</w:t>
      </w:r>
      <w:r>
        <w:t xml:space="preserve"> </w:t>
      </w:r>
      <w:r>
        <w:t xml:space="preserve">small packaging. It should also be noted that compliance is an issue with packaging of less than</w:t>
      </w:r>
      <w:r>
        <w:t xml:space="preserve"> </w:t>
      </w:r>
      <w:r>
        <w:t xml:space="preserve">125ml and consultation with industry as part of this study revealed that labelling is difficult to</w:t>
      </w:r>
      <w:r>
        <w:t xml:space="preserve"> </w:t>
      </w:r>
      <w:r>
        <w:t xml:space="preserve">fit on packages of up to 200ml in size. In summary, no significant impact on the size of the</w:t>
      </w:r>
      <w:r>
        <w:t xml:space="preserve"> </w:t>
      </w:r>
      <w:r>
        <w:t xml:space="preserve">problem is expected from the removal of regulatory overlaps in labelling provisions in the</w:t>
      </w:r>
      <w:r>
        <w:t xml:space="preserve"> </w:t>
      </w:r>
      <w:r>
        <w:t xml:space="preserve">baseline scenario.</w:t>
      </w:r>
      <w:r>
        <w:t xml:space="preserve"> </w:t>
      </w:r>
      <w:r>
        <w:t xml:space="preserve">The sales of products supplied in packaging smaller than 10ml that are included in our analysis</w:t>
      </w:r>
      <w:r>
        <w:t xml:space="preserve"> </w:t>
      </w:r>
      <w:r>
        <w:t xml:space="preserve">are expected to slightly increase to 2042, thus maintaining the scale of the problem. This</w:t>
      </w:r>
      <w:r>
        <w:t xml:space="preserve"> </w:t>
      </w:r>
      <w:r>
        <w:t xml:space="preserve">projection is based on data obtained from Prodcom on annual production quantity dating back</w:t>
      </w:r>
      <w:r>
        <w:t xml:space="preserve"> </w:t>
      </w:r>
      <w:r>
        <w:t xml:space="preserve">to 2008 and uses the typical mass per product shown in Figure 5. The compound annual growth</w:t>
      </w:r>
      <w:r>
        <w:t xml:space="preserve"> </w:t>
      </w:r>
      <w:r>
        <w:t xml:space="preserve">rate (CAGR) between 2008 and 2019 was assumed to continue to 2042 for each of the product</w:t>
      </w:r>
      <w:r>
        <w:t xml:space="preserve"> </w:t>
      </w:r>
      <w:r>
        <w:t xml:space="preserve">categories, resulting in an annual growth rate of 1.1% for pens and writing instruments, -5.4%</w:t>
      </w:r>
      <w:r>
        <w:t xml:space="preserve"> </w:t>
      </w:r>
      <w:r>
        <w:t xml:space="preserve">for lighters, 1.2% for essential oils, -3.1% for inks, 4.0% for superglues, and -6.0% for</w:t>
      </w:r>
      <w:r>
        <w:t xml:space="preserve"> </w:t>
      </w:r>
      <w:r>
        <w:t xml:space="preserve">ammunitions. These trends seem to reflect a transition to digital versus printed documents in</w:t>
      </w:r>
      <w:r>
        <w:t xml:space="preserve"> </w:t>
      </w:r>
      <w:r>
        <w:t xml:space="preserve">certain contexts and the decreasing smoking rates. Additionally, an incompliance rate of 50%</w:t>
      </w:r>
      <w:r>
        <w:t xml:space="preserve"> </w:t>
      </w:r>
      <w:r>
        <w:t xml:space="preserve">with labelling requirements has been assumed based on enforcement data from ECHA.</w:t>
      </w:r>
      <w:r>
        <w:t xml:space="preserve"> </w:t>
      </w:r>
      <w:r>
        <w:t xml:space="preserve">Evidence on poisoning from chemicals in very small packaging is not reported by poison</w:t>
      </w:r>
      <w:r>
        <w:t xml:space="preserve"> </w:t>
      </w:r>
      <w:r>
        <w:t xml:space="preserve">centres, but consultation with the Croatian poison centre provided a datapoint for this in 2021</w:t>
      </w:r>
      <w:r>
        <w:t xml:space="preserve"> </w:t>
      </w:r>
      <w:r>
        <w:t xml:space="preserve">that has enabled the assumption that each incompliant product sold leads to a rate of 49</w:t>
      </w:r>
      <w:r>
        <w:t xml:space="preserve"> </w:t>
      </w:r>
      <w:r>
        <w:t xml:space="preserve">poisonings per million products sold. This rate, in the absence of further evidence of the</w:t>
      </w:r>
      <w:r>
        <w:t xml:space="preserve"> </w:t>
      </w:r>
      <w:r>
        <w:t xml:space="preserve">relationship between product labelling and poisoning incidence, will be treated as a permanent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relationship that will define the baseline, with the given baseline compliance level, and the</w:t>
      </w:r>
      <w:r>
        <w:t xml:space="preserve"> </w:t>
      </w:r>
      <w:r>
        <w:t xml:space="preserve">policy scenario, with its own compliance level.</w:t>
      </w:r>
      <w:r>
        <w:t xml:space="preserve"> </w:t>
      </w:r>
      <w:r>
        <w:t xml:space="preserve">The baseline projection of sales of products that include substances and mixtures in very small</w:t>
      </w:r>
      <w:r>
        <w:t xml:space="preserve"> </w:t>
      </w:r>
      <w:r>
        <w:t xml:space="preserve">packaging (&lt; 10 ml) is shown in Figure 57 below, along with the resulting incidence rate of</w:t>
      </w:r>
      <w:r>
        <w:t xml:space="preserve"> </w:t>
      </w:r>
      <w:r>
        <w:t xml:space="preserve">poisonings involving products in very small packaging in the EU-27.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Figure 57: Past series and future projection of the sales of products containing substances/mixtures supplied</w:t>
      </w:r>
      <w:r>
        <w:t xml:space="preserve"> </w:t>
      </w:r>
      <w:r>
        <w:t xml:space="preserve">in very small packaging (&lt; 10ml) by product category and overall, and baseline projection of poisoning cases</w:t>
      </w:r>
      <w:r>
        <w:t xml:space="preserve"> </w:t>
      </w:r>
      <w:r>
        <w:t xml:space="preserve">from products in very small packaging (right axis), 2008-2042.</w:t>
      </w:r>
    </w:p>
    <w:p>
      <w:pPr>
        <w:pStyle w:val="BodyText"/>
      </w:pPr>
      <w:r>
        <w:t xml:space="preserve">Substances/Mixtures Supplied in Bulk (i.e. fuels)</w:t>
      </w:r>
      <w:r>
        <w:t xml:space="preserve"> </w:t>
      </w:r>
      <w:r>
        <w:t xml:space="preserve">How would the problem evolve?</w:t>
      </w:r>
      <w:r>
        <w:t xml:space="preserve"> </w:t>
      </w:r>
      <w:r>
        <w:t xml:space="preserve">The problem of fuels supplied at fuel stations being unlabelled is caused by unclear labelling</w:t>
      </w:r>
      <w:r>
        <w:t xml:space="preserve"> </w:t>
      </w:r>
      <w:r>
        <w:t xml:space="preserve">requirements under the CLP Regulation for substances supplied in bulk. The lack of specific</w:t>
      </w:r>
      <w:r>
        <w:t xml:space="preserve"> </w:t>
      </w:r>
      <w:r>
        <w:t xml:space="preserve">provisions (i.e. specific rules or exemptions) in the CLP Regulation for bulk substances leads</w:t>
      </w:r>
      <w:r>
        <w:t xml:space="preserve"> </w:t>
      </w:r>
      <w:r>
        <w:t xml:space="preserve">to misinterpretation of the requirements which will not change unless action is taken to amend</w:t>
      </w:r>
      <w:r>
        <w:t xml:space="preserve"> </w:t>
      </w:r>
      <w:r>
        <w:t xml:space="preserve">the legal text of the CLP Regulation, or ECHA guidance on labelling and packaging is updated</w:t>
      </w:r>
      <w:r>
        <w:t xml:space="preserve"> </w:t>
      </w:r>
      <w:r>
        <w:t xml:space="preserve">to clarify labelling rules for how fuels should be labelled under the CLP Regulation. However,</w:t>
      </w:r>
      <w:r>
        <w:t xml:space="preserve"> </w:t>
      </w:r>
      <w:r>
        <w:t xml:space="preserve">it should be noted that the update of guidance may have limited impact on the labelling of bulk</w:t>
      </w:r>
      <w:r>
        <w:t xml:space="preserve"> </w:t>
      </w:r>
      <w:r>
        <w:t xml:space="preserve">chemicals without an explicit mention in the legal text, as it may be viewed as voluntary and</w:t>
      </w:r>
      <w:r>
        <w:t xml:space="preserve"> </w:t>
      </w:r>
      <w:r>
        <w:t xml:space="preserve">would be difficult to enforce. The current level of provision of CLP labelling of fuels at fuel</w:t>
      </w:r>
      <w:r>
        <w:t xml:space="preserve"> </w:t>
      </w:r>
      <w:r>
        <w:t xml:space="preserve">stations is not expected to change without regulatory pressure to do so. This is because</w:t>
      </w:r>
      <w:r>
        <w:t xml:space="preserve"> </w:t>
      </w:r>
      <w:r>
        <w:t xml:space="preserve">provision of labelling represents an addition business cost, and so there is no financial incentive</w:t>
      </w:r>
      <w:r>
        <w:t xml:space="preserve"> </w:t>
      </w:r>
      <w:r>
        <w:t xml:space="preserve">to provide labelling information. Therefore, without any change to the legal text of the CLP</w:t>
      </w:r>
      <w:r>
        <w:t xml:space="preserve"> </w:t>
      </w:r>
      <w:r>
        <w:t xml:space="preserve">Regulation to provide clarity on how fuels should be labelled, no change to the scale of the</w:t>
      </w:r>
      <w:r>
        <w:t xml:space="preserve"> </w:t>
      </w:r>
      <w:r>
        <w:t xml:space="preserve">problem is expected.</w:t>
      </w:r>
      <w:r>
        <w:t xml:space="preserve"> </w:t>
      </w:r>
      <w:r>
        <w:t xml:space="preserve">While no change in the scale of the problem is expected, the amount of unlabelled fuel placed</w:t>
      </w:r>
      <w:r>
        <w:t xml:space="preserve"> </w:t>
      </w:r>
      <w:r>
        <w:t xml:space="preserve">on the market is expected to decrease, which is expected to have a subsequent impact on the</w:t>
      </w:r>
      <w:r>
        <w:t xml:space="preserve"> </w:t>
      </w:r>
      <w:r>
        <w:t xml:space="preserve">number of poisoning incidents involving fuels.The baseline projection for how the size of the</w:t>
      </w:r>
      <w:r>
        <w:t xml:space="preserve"> </w:t>
      </w:r>
      <w:r>
        <w:t xml:space="preserve">market for fuels used for road and maritime transport will develop up to 2042 will be</w:t>
      </w:r>
      <w:r>
        <w:t xml:space="preserve"> </w:t>
      </w:r>
      <w:r>
        <w:t xml:space="preserve">determined by environmental objectives and fuel regulations in the road transport sector.</w:t>
      </w:r>
      <w:r>
        <w:t xml:space="preserve"> </w:t>
      </w:r>
      <w:r>
        <w:t xml:space="preserve">Building from the historic series of final consumption of fuels in road transport64, the latest</w:t>
      </w:r>
    </w:p>
    <w:p>
      <w:pPr>
        <w:pStyle w:val="BodyText"/>
      </w:pPr>
      <w:r>
        <w:t xml:space="preserve">64 Eurostat (2021). Supply, transformation and consumption of oil and petroleum products [nrg_cb_oil]. Available</w:t>
      </w:r>
      <w:r>
        <w:t xml:space="preserve"> </w:t>
      </w:r>
      <w:r>
        <w:t xml:space="preserve">at: https://appsso.eurostat.ec.europa.eu/nui/show.do?dataset=nrg_cb_oil</w:t>
      </w:r>
      <w:r>
        <w:br/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0,0</w:t>
      </w:r>
      <w:r>
        <w:t xml:space="preserve"> </w:t>
      </w:r>
      <w:r>
        <w:t xml:space="preserve">0,5</w:t>
      </w:r>
      <w:r>
        <w:t xml:space="preserve"> </w:t>
      </w:r>
      <w:r>
        <w:t xml:space="preserve">1,0</w:t>
      </w:r>
      <w:r>
        <w:t xml:space="preserve"> </w:t>
      </w:r>
      <w:r>
        <w:t xml:space="preserve">1,5</w:t>
      </w:r>
      <w:r>
        <w:t xml:space="preserve"> </w:t>
      </w:r>
      <w:r>
        <w:t xml:space="preserve">2,0</w:t>
      </w:r>
      <w:r>
        <w:t xml:space="preserve"> </w:t>
      </w:r>
      <w:r>
        <w:t xml:space="preserve">2,5</w:t>
      </w:r>
      <w:r>
        <w:t xml:space="preserve"> </w:t>
      </w:r>
      <w:r>
        <w:t xml:space="preserve">3,0</w:t>
      </w:r>
      <w:r>
        <w:t xml:space="preserve"> </w:t>
      </w:r>
      <w:r>
        <w:t xml:space="preserve">3,5</w:t>
      </w:r>
      <w:r>
        <w:t xml:space="preserve"> </w:t>
      </w:r>
      <w:r>
        <w:t xml:space="preserve">4,0</w:t>
      </w:r>
      <w:r>
        <w:t xml:space="preserve"> </w:t>
      </w:r>
      <w:r>
        <w:t xml:space="preserve">4,5</w:t>
      </w:r>
      <w:r>
        <w:t xml:space="preserve"> </w:t>
      </w:r>
      <w:r>
        <w:t xml:space="preserve">Thousand incidents</w:t>
      </w:r>
      <w:r>
        <w:t xml:space="preserve"> </w:t>
      </w:r>
      <w:r>
        <w:t xml:space="preserve">Sales (Million tonnes)</w:t>
      </w:r>
      <w:r>
        <w:t xml:space="preserve"> </w:t>
      </w:r>
      <w:r>
        <w:t xml:space="preserve">Ammunitions</w:t>
      </w:r>
      <w:r>
        <w:t xml:space="preserve"> </w:t>
      </w:r>
      <w:r>
        <w:t xml:space="preserve">Pens and writing instruments</w:t>
      </w:r>
      <w:r>
        <w:t xml:space="preserve"> </w:t>
      </w:r>
      <w:r>
        <w:t xml:space="preserve">Essential oils</w:t>
      </w:r>
      <w:r>
        <w:t xml:space="preserve"> </w:t>
      </w:r>
      <w:r>
        <w:t xml:space="preserve">Lighters</w:t>
      </w:r>
      <w:r>
        <w:t xml:space="preserve"> </w:t>
      </w:r>
      <w:r>
        <w:t xml:space="preserve">Inks</w:t>
      </w:r>
      <w:r>
        <w:t xml:space="preserve"> </w:t>
      </w:r>
      <w:r>
        <w:t xml:space="preserve">Superglues</w:t>
      </w:r>
      <w:r>
        <w:t xml:space="preserve"> </w:t>
      </w:r>
      <w:r>
        <w:t xml:space="preserve">Total &lt;10 ml</w:t>
      </w:r>
      <w:r>
        <w:t xml:space="preserve"> </w:t>
      </w:r>
      <w:r>
        <w:t xml:space="preserve">Baseline poisoning cases EU-27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projections of oil demand in the EU from the International Energy Agency (IEA, 2021)65 were</w:t>
      </w:r>
      <w:r>
        <w:t xml:space="preserve"> </w:t>
      </w:r>
      <w:r>
        <w:t xml:space="preserve">used as a reference for the projection of the baseline scenario of substances and mixtures</w:t>
      </w:r>
      <w:r>
        <w:t xml:space="preserve"> </w:t>
      </w:r>
      <w:r>
        <w:t xml:space="preserve">supplied in bulk. Other candidates considered for the projection of the historic series into the</w:t>
      </w:r>
      <w:r>
        <w:t xml:space="preserve"> </w:t>
      </w:r>
      <w:r>
        <w:t xml:space="preserve">future were: (a) IEA’s projections of oil demand for passenger cars in advanced economies,</w:t>
      </w:r>
      <w:r>
        <w:t xml:space="preserve"> </w:t>
      </w:r>
      <w:r>
        <w:t xml:space="preserve">discarded on the grounds that past 2030 oil demand for heavy duty transport will be of higher</w:t>
      </w:r>
      <w:r>
        <w:t xml:space="preserve"> </w:t>
      </w:r>
      <w:r>
        <w:t xml:space="preserve">relevance than for passenger cars and probably will follow a different path from them; (b)</w:t>
      </w:r>
      <w:r>
        <w:t xml:space="preserve"> </w:t>
      </w:r>
      <w:r>
        <w:t xml:space="preserve">IEA’s projections of energy consumption in road transport in the EU, discarded due to the</w:t>
      </w:r>
      <w:r>
        <w:t xml:space="preserve"> </w:t>
      </w:r>
      <w:r>
        <w:t xml:space="preserve">expected change in the energy mix composition of road transport over the next 20 years.</w:t>
      </w:r>
      <w:r>
        <w:t xml:space="preserve"> </w:t>
      </w:r>
      <w:r>
        <w:t xml:space="preserve">On the contrary, oil demand in the EU is expected to closely follow oil demand in road</w:t>
      </w:r>
      <w:r>
        <w:t xml:space="preserve"> </w:t>
      </w:r>
      <w:r>
        <w:t xml:space="preserve">transport, being the main source of oil consumption in advanced economies. According to</w:t>
      </w:r>
      <w:r>
        <w:t xml:space="preserve"> </w:t>
      </w:r>
      <w:r>
        <w:t xml:space="preserve">Eurostat66 48% of oil consumption in the EU belongs to road transport alone, followed by</w:t>
      </w:r>
      <w:r>
        <w:t xml:space="preserve"> </w:t>
      </w:r>
      <w:r>
        <w:t xml:space="preserve">consumption of oil for non-energy use (14%), for air transport (9%) and water transport (9%).</w:t>
      </w:r>
      <w:r>
        <w:t xml:space="preserve"> </w:t>
      </w:r>
      <w:r>
        <w:t xml:space="preserve">Thus, using current series of final (energy and non-energy) consumption of oil products in road</w:t>
      </w:r>
      <w:r>
        <w:t xml:space="preserve"> </w:t>
      </w:r>
      <w:r>
        <w:t xml:space="preserve">transport in the EU-27 and building from the projected scenario for oil demand in the EU</w:t>
      </w:r>
      <w:r>
        <w:t xml:space="preserve"> </w:t>
      </w:r>
      <w:r>
        <w:t xml:space="preserve">defined by the IEA in its Announced Pledges Scenario, the resulting growth rates between 2020</w:t>
      </w:r>
      <w:r>
        <w:t xml:space="preserve"> </w:t>
      </w:r>
      <w:r>
        <w:t xml:space="preserve">and 2042 were used to project a baseline for substances and mixtures supplied in bulk. The</w:t>
      </w:r>
      <w:r>
        <w:t xml:space="preserve"> </w:t>
      </w:r>
      <w:r>
        <w:t xml:space="preserve">projection for the overall EU-27 is shown in the figure below. This projection highlights that</w:t>
      </w:r>
      <w:r>
        <w:t xml:space="preserve"> </w:t>
      </w:r>
      <w:r>
        <w:t xml:space="preserve">without any regulatory intervention, the amount of unlabelled fuel being placed on the market</w:t>
      </w:r>
      <w:r>
        <w:t xml:space="preserve"> </w:t>
      </w:r>
      <w:r>
        <w:t xml:space="preserve">is expected to decrease, such that in 2042 less than half the amount of unlabelled fuel will be</w:t>
      </w:r>
      <w:r>
        <w:t xml:space="preserve"> </w:t>
      </w:r>
      <w:r>
        <w:t xml:space="preserve">placed on the market than 2019 levels.</w:t>
      </w:r>
      <w:r>
        <w:t xml:space="preserve"> </w:t>
      </w:r>
      <w:r>
        <w:t xml:space="preserve">Figure 58 below shows the past series and future projection of consumption quantity of oil</w:t>
      </w:r>
      <w:r>
        <w:t xml:space="preserve"> </w:t>
      </w:r>
      <w:r>
        <w:t xml:space="preserve">products in the road transport sector (i.e., substances/mixtures supplied in bulk) and estimated</w:t>
      </w:r>
      <w:r>
        <w:t xml:space="preserve"> </w:t>
      </w:r>
      <w:r>
        <w:t xml:space="preserve">number of related poisoning incidents in the EU-27 according to the assumed incidence rate</w:t>
      </w:r>
      <w:r>
        <w:t xml:space="preserve"> </w:t>
      </w:r>
      <w:r>
        <w:t xml:space="preserve">calculated.</w:t>
      </w:r>
      <w:r>
        <w:t xml:space="preserve"> </w:t>
      </w:r>
      <w:r>
        <w:t xml:space="preserve">Figure 58: Past series and future projection of consumption quantity of oil products in the road transport</w:t>
      </w:r>
      <w:r>
        <w:t xml:space="preserve"> </w:t>
      </w:r>
      <w:r>
        <w:t xml:space="preserve">sector (i.e., substances/mixtures supplied in bulk) and estimated number of related poisoning incidents in the</w:t>
      </w:r>
      <w:r>
        <w:t xml:space="preserve"> </w:t>
      </w:r>
      <w:r>
        <w:t xml:space="preserve">EU-27 (right axis), 2008-2042.</w:t>
      </w:r>
    </w:p>
    <w:p>
      <w:pPr>
        <w:pStyle w:val="BodyText"/>
      </w:pPr>
      <w:r>
        <w:t xml:space="preserve">65 International Energy Agency (2021). World Energy Outlook 2021.</w:t>
      </w:r>
      <w:r>
        <w:t xml:space="preserve"> </w:t>
      </w:r>
      <w:r>
        <w:t xml:space="preserve">66 Eurostat (2021) Oil and petroleum products - a statistical overview https://ec.europa.eu/eurostat/statistics-</w:t>
      </w:r>
      <w:r>
        <w:t xml:space="preserve"> </w:t>
      </w:r>
      <w:r>
        <w:t xml:space="preserve">explained/index.php?title=Oil_and_petroleum_products_-_a_statistical_overview#Consumption_in_sectors</w:t>
      </w:r>
      <w:r>
        <w:br/>
      </w:r>
      <w:r>
        <w:t xml:space="preserve">0,0</w:t>
      </w:r>
      <w:r>
        <w:t xml:space="preserve"> </w:t>
      </w:r>
      <w:r>
        <w:t xml:space="preserve">0,5</w:t>
      </w:r>
      <w:r>
        <w:t xml:space="preserve"> </w:t>
      </w:r>
      <w:r>
        <w:t xml:space="preserve">1,0</w:t>
      </w:r>
      <w:r>
        <w:t xml:space="preserve"> </w:t>
      </w:r>
      <w:r>
        <w:t xml:space="preserve">1,5</w:t>
      </w:r>
      <w:r>
        <w:t xml:space="preserve"> </w:t>
      </w:r>
      <w:r>
        <w:t xml:space="preserve">2,0</w:t>
      </w:r>
      <w:r>
        <w:t xml:space="preserve"> </w:t>
      </w:r>
      <w:r>
        <w:t xml:space="preserve">2,5</w:t>
      </w:r>
      <w:r>
        <w:t xml:space="preserve"> </w:t>
      </w:r>
      <w:r>
        <w:t xml:space="preserve">3,0</w:t>
      </w:r>
      <w:r>
        <w:t xml:space="preserve"> </w:t>
      </w:r>
      <w:r>
        <w:t xml:space="preserve">3,5</w:t>
      </w:r>
      <w:r>
        <w:t xml:space="preserve"> </w:t>
      </w:r>
      <w:r>
        <w:t xml:space="preserve">4,0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Thousand incidents</w:t>
      </w:r>
      <w:r>
        <w:t xml:space="preserve"> </w:t>
      </w:r>
      <w:r>
        <w:t xml:space="preserve">Final consumption (Mt)</w:t>
      </w:r>
      <w:r>
        <w:t xml:space="preserve"> </w:t>
      </w:r>
      <w:r>
        <w:t xml:space="preserve">Final consumption - transport</w:t>
      </w:r>
      <w:r>
        <w:t xml:space="preserve"> </w:t>
      </w:r>
      <w:r>
        <w:t xml:space="preserve">sector - road</w:t>
      </w:r>
      <w:r>
        <w:t xml:space="preserve"> </w:t>
      </w:r>
      <w:r>
        <w:t xml:space="preserve">Poisoning incidents, EU-27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Another factor contributing to the problem is the emergence and increasing trend of consumers</w:t>
      </w:r>
      <w:r>
        <w:t xml:space="preserve"> </w:t>
      </w:r>
      <w:r>
        <w:t xml:space="preserve">purchasing chemicals via re-fill. Refill sales of chemicals are valued for their potential to</w:t>
      </w:r>
      <w:r>
        <w:t xml:space="preserve"> </w:t>
      </w:r>
      <w:r>
        <w:t xml:space="preserve">contribute to sustainability and the circular economy by reducing the amount of packaging</w:t>
      </w:r>
      <w:r>
        <w:t xml:space="preserve"> </w:t>
      </w:r>
      <w:r>
        <w:t xml:space="preserve">waste generated. This is an area of innovation not foreseen when the CLP Regulation was</w:t>
      </w:r>
      <w:r>
        <w:t xml:space="preserve"> </w:t>
      </w:r>
      <w:r>
        <w:t xml:space="preserve">adopted in 2008 and which the Regulation has not kept pace with. A recent study by Eunomia</w:t>
      </w:r>
      <w:r>
        <w:t xml:space="preserve"> </w:t>
      </w:r>
      <w:r>
        <w:t xml:space="preserve">provided a first high-level attempt at assessing market trends of packaging free shops, reporting</w:t>
      </w:r>
      <w:r>
        <w:t xml:space="preserve"> </w:t>
      </w:r>
      <w:r>
        <w:t xml:space="preserve">a central estimate for the EU total turnover from bulk good sales in 2030 of approximately €1.2</w:t>
      </w:r>
      <w:r>
        <w:t xml:space="preserve"> </w:t>
      </w:r>
      <w:r>
        <w:t xml:space="preserve">billion, and a ‘best case scenario’ of over €3.5 billion. The authors acknowledged that if radical</w:t>
      </w:r>
      <w:r>
        <w:t xml:space="preserve"> </w:t>
      </w:r>
      <w:r>
        <w:t xml:space="preserve">shifts in the economy or consumer behaviour are also considered, the accurate projections made</w:t>
      </w:r>
      <w:r>
        <w:t xml:space="preserve"> </w:t>
      </w:r>
      <w:r>
        <w:t xml:space="preserve">on the future scale of the bulk and refill sale sector could be greater. Based on these findings,</w:t>
      </w:r>
      <w:r>
        <w:t xml:space="preserve"> </w:t>
      </w:r>
      <w:r>
        <w:t xml:space="preserve">the re-fill sale sector is an area with strong predicted growth over the next 10 years. The number</w:t>
      </w:r>
      <w:r>
        <w:t xml:space="preserve"> </w:t>
      </w:r>
      <w:r>
        <w:t xml:space="preserve">of re-fill chemicals accompanied without correct labelling and packaging and the level of non-</w:t>
      </w:r>
      <w:r>
        <w:t xml:space="preserve"> </w:t>
      </w:r>
      <w:r>
        <w:t xml:space="preserve">compliance by economic operators are only likely to increase if no action is taken.</w:t>
      </w:r>
      <w:r>
        <w:t xml:space="preserve"> </w:t>
      </w:r>
      <w:r>
        <w:t xml:space="preserve">Substances/Mixtures Supplied via Re-fill</w:t>
      </w:r>
      <w:r>
        <w:t xml:space="preserve"> </w:t>
      </w:r>
      <w:r>
        <w:t xml:space="preserve">How would the problem evolve?</w:t>
      </w:r>
      <w:r>
        <w:t xml:space="preserve"> </w:t>
      </w:r>
      <w:r>
        <w:t xml:space="preserve">The problem of re-fill chemicals being unlabelled or labelled incorrectly is caused by unclear</w:t>
      </w:r>
      <w:r>
        <w:t xml:space="preserve"> </w:t>
      </w:r>
      <w:r>
        <w:t xml:space="preserve">labelling requirements under the CLP Regulation for these chemicals. The lack of specific</w:t>
      </w:r>
      <w:r>
        <w:t xml:space="preserve"> </w:t>
      </w:r>
      <w:r>
        <w:t xml:space="preserve">provisions (i.e. specific rules or exemptions) in the CLP Regulation for re-fill chemicals leads</w:t>
      </w:r>
      <w:r>
        <w:t xml:space="preserve"> </w:t>
      </w:r>
      <w:r>
        <w:t xml:space="preserve">to misinterpretation of the requirements which will not change unless action is taken to amend</w:t>
      </w:r>
      <w:r>
        <w:t xml:space="preserve"> </w:t>
      </w:r>
      <w:r>
        <w:t xml:space="preserve">the legal text of the CLP Regulation, or ECHA guidance on labelling and packaging is updated</w:t>
      </w:r>
      <w:r>
        <w:t xml:space="preserve"> </w:t>
      </w:r>
      <w:r>
        <w:t xml:space="preserve">to clarify labelling rules for how re-fill chemicals should be labelled under the CLP Regulation.</w:t>
      </w:r>
      <w:r>
        <w:t xml:space="preserve"> </w:t>
      </w:r>
      <w:r>
        <w:t xml:space="preserve">However, it should be noted that the update of guidance may have limited impact on the</w:t>
      </w:r>
      <w:r>
        <w:t xml:space="preserve"> </w:t>
      </w:r>
      <w:r>
        <w:t xml:space="preserve">labelling of re-fill chemicals without an explicit mention in the legal text, as it may be viewed</w:t>
      </w:r>
      <w:r>
        <w:t xml:space="preserve"> </w:t>
      </w:r>
      <w:r>
        <w:t xml:space="preserve">as voluntary and would be difficult to enforce. The current level of provision of CLP labelling</w:t>
      </w:r>
      <w:r>
        <w:t xml:space="preserve"> </w:t>
      </w:r>
      <w:r>
        <w:t xml:space="preserve">of re-fill chemicals is not expected to change without regulatory pressure to do so. This is</w:t>
      </w:r>
      <w:r>
        <w:t xml:space="preserve"> </w:t>
      </w:r>
      <w:r>
        <w:t xml:space="preserve">because provision of labelling represents an addition business cost, and so there is no financial</w:t>
      </w:r>
      <w:r>
        <w:t xml:space="preserve"> </w:t>
      </w:r>
      <w:r>
        <w:t xml:space="preserve">incentive to provide labelling information.</w:t>
      </w:r>
      <w:r>
        <w:br/>
      </w:r>
      <w:r>
        <w:t xml:space="preserve">The labelling requirements outlined in the CLP Regulation for re-fill chemicals are expected</w:t>
      </w:r>
      <w:r>
        <w:t xml:space="preserve"> </w:t>
      </w:r>
      <w:r>
        <w:t xml:space="preserve">to remain the same in the baseline scenario. In light of the ongoing Impact Assessment into the</w:t>
      </w:r>
      <w:r>
        <w:t xml:space="preserve"> </w:t>
      </w:r>
      <w:r>
        <w:t xml:space="preserve">revision of the Detergents Regulation, there is a possibility that changes may be made to the</w:t>
      </w:r>
      <w:r>
        <w:t xml:space="preserve"> </w:t>
      </w:r>
      <w:r>
        <w:t xml:space="preserve">rules for refill detergents. Previous studies have identified problems with the Detergents</w:t>
      </w:r>
      <w:r>
        <w:t xml:space="preserve"> </w:t>
      </w:r>
      <w:r>
        <w:t xml:space="preserve">Regulation not keeping pace with technical and/ or other developments, such as the increase in</w:t>
      </w:r>
      <w:r>
        <w:t xml:space="preserve"> </w:t>
      </w:r>
      <w:r>
        <w:t xml:space="preserve">refill sales of detergents. Ensuring coherence with the CLP Regulation is one of the aims of the</w:t>
      </w:r>
      <w:r>
        <w:t xml:space="preserve"> </w:t>
      </w:r>
      <w:r>
        <w:t xml:space="preserve">Detergents Regulation Impact Assessment, but as of yet there is no final decision as to how the</w:t>
      </w:r>
      <w:r>
        <w:t xml:space="preserve"> </w:t>
      </w:r>
      <w:r>
        <w:t xml:space="preserve">interaction between the two on labelling will be addressed. In the Draft Final Report to the</w:t>
      </w:r>
      <w:r>
        <w:t xml:space="preserve"> </w:t>
      </w:r>
      <w:r>
        <w:t xml:space="preserve">Impact Assessment Study on the simplification of the labelling requirements for chemicals and</w:t>
      </w:r>
      <w:r>
        <w:t xml:space="preserve"> </w:t>
      </w:r>
      <w:r>
        <w:t xml:space="preserve">the use of e-labelling (VVA et al 2022), four policy options are being assessed to allow for</w:t>
      </w:r>
      <w:r>
        <w:t xml:space="preserve"> </w:t>
      </w:r>
      <w:r>
        <w:t xml:space="preserve">alignment of CLP and the Detergents Regulation regarding physical and digital labelling. These</w:t>
      </w:r>
      <w:r>
        <w:t xml:space="preserve"> </w:t>
      </w:r>
      <w:r>
        <w:t xml:space="preserve">include:</w:t>
      </w:r>
      <w:r>
        <w:t xml:space="preserve"> </w:t>
      </w:r>
      <w:r>
        <w:t xml:space="preserve">1. No change in the current mandatory regulatory framework but the setting of non-</w:t>
      </w:r>
      <w:r>
        <w:t xml:space="preserve"> </w:t>
      </w:r>
      <w:r>
        <w:t xml:space="preserve">mandatory standard on the voluntary use of electronic labels. This option does not allow</w:t>
      </w:r>
      <w:r>
        <w:t xml:space="preserve"> </w:t>
      </w:r>
      <w:r>
        <w:t xml:space="preserve">manufacturers to replace (partially or totally) physical labels with electronic labels.</w:t>
      </w:r>
      <w:r>
        <w:br/>
      </w:r>
      <w:r>
        <w:t xml:space="preserve">2. Aligning the two regulations to address inconsistencies, overlaps and duplications. No</w:t>
      </w:r>
      <w:r>
        <w:t xml:space="preserve"> </w:t>
      </w:r>
      <w:r>
        <w:t xml:space="preserve">intervention would occur in the CLP Regulation but in the Detergents Regulation: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ingredients would only be labelled once, either following CLP or Detergents Regulation</w:t>
      </w:r>
      <w:r>
        <w:t xml:space="preserve"> </w:t>
      </w:r>
      <w:r>
        <w:t xml:space="preserve">rules, which ever is stricter; or removal of all overlapping provisions.</w:t>
      </w:r>
      <w:r>
        <w:t xml:space="preserve"> </w:t>
      </w:r>
      <w:r>
        <w:t xml:space="preserve">3. Revision of the labelling rules to introduce digital labelling, whereby manufacturers</w:t>
      </w:r>
      <w:r>
        <w:t xml:space="preserve"> </w:t>
      </w:r>
      <w:r>
        <w:t xml:space="preserve">could use electronic labels, on a voluntary basis, to provide specific pieces of</w:t>
      </w:r>
      <w:r>
        <w:t xml:space="preserve"> </w:t>
      </w:r>
      <w:r>
        <w:t xml:space="preserve">information as an alternative to having this information on physical labels. This option</w:t>
      </w:r>
      <w:r>
        <w:t xml:space="preserve"> </w:t>
      </w:r>
      <w:r>
        <w:t xml:space="preserve">foresees the regulatory interventions discussed under Policy Option 2 to streamline the</w:t>
      </w:r>
      <w:r>
        <w:t xml:space="preserve"> </w:t>
      </w:r>
      <w:r>
        <w:t xml:space="preserve">regulatory framework.</w:t>
      </w:r>
      <w:r>
        <w:t xml:space="preserve"> </w:t>
      </w:r>
      <w:r>
        <w:t xml:space="preserve">4. Revision of the labelling rules in the regulations to introduce digital labelling in order</w:t>
      </w:r>
      <w:r>
        <w:t xml:space="preserve"> </w:t>
      </w:r>
      <w:r>
        <w:t xml:space="preserve">to further simplify physical label, and move the majority of information on the e-label.</w:t>
      </w:r>
      <w:r>
        <w:t xml:space="preserve"> </w:t>
      </w:r>
      <w:r>
        <w:t xml:space="preserve">5. Revision of the labelling rules in the regulations to introduce digital labelling which</w:t>
      </w:r>
      <w:r>
        <w:t xml:space="preserve"> </w:t>
      </w:r>
      <w:r>
        <w:t xml:space="preserve">provides all information in the form of an e-label, for specific products. Under the CLP</w:t>
      </w:r>
      <w:r>
        <w:t xml:space="preserve"> </w:t>
      </w:r>
      <w:r>
        <w:t xml:space="preserve">Regulation it is envisaged that this would refer to re-fill chemicals (fuels to be filled in</w:t>
      </w:r>
      <w:r>
        <w:t xml:space="preserve"> </w:t>
      </w:r>
      <w:r>
        <w:t xml:space="preserve">containers (not tanks), paints etc.); writing instruments and under the Detergents</w:t>
      </w:r>
      <w:r>
        <w:t xml:space="preserve"> </w:t>
      </w:r>
      <w:r>
        <w:t xml:space="preserve">Regulation, refill detergents.</w:t>
      </w:r>
      <w:r>
        <w:br/>
      </w:r>
      <w:r>
        <w:t xml:space="preserve">Therefore, without any change to the legal text of the CLP Regulation to provide clarity on</w:t>
      </w:r>
      <w:r>
        <w:t xml:space="preserve"> </w:t>
      </w:r>
      <w:r>
        <w:t xml:space="preserve">how re-fill chemicals should be labelled, no change to the scale of the problem is expected</w:t>
      </w:r>
      <w:r>
        <w:t xml:space="preserve"> </w:t>
      </w:r>
      <w:r>
        <w:t xml:space="preserve">except for that caused by market forces and consumer behaviour.</w:t>
      </w:r>
      <w:r>
        <w:t xml:space="preserve"> </w:t>
      </w:r>
      <w:r>
        <w:t xml:space="preserve">The volume of re-fill chemicals that are placed is expected to increase as there is a growing</w:t>
      </w:r>
      <w:r>
        <w:t xml:space="preserve"> </w:t>
      </w:r>
      <w:r>
        <w:t xml:space="preserve">trend of consumers purchasing chemicals via re-fill. Refill sales of chemicals are valued for</w:t>
      </w:r>
      <w:r>
        <w:t xml:space="preserve"> </w:t>
      </w:r>
      <w:r>
        <w:t xml:space="preserve">their potential to contribute to sustainability and the circular economy by reducing the amount</w:t>
      </w:r>
      <w:r>
        <w:t xml:space="preserve"> </w:t>
      </w:r>
      <w:r>
        <w:t xml:space="preserve">of packaging waste generated. This is an area of innovation not foreseen when the CLP</w:t>
      </w:r>
      <w:r>
        <w:t xml:space="preserve"> </w:t>
      </w:r>
      <w:r>
        <w:t xml:space="preserve">Regulation was adopted in 2008 and which the Regulation has not kept pace with. A recent</w:t>
      </w:r>
      <w:r>
        <w:t xml:space="preserve"> </w:t>
      </w:r>
      <w:r>
        <w:t xml:space="preserve">study by Eunomia provided a first high-level attempt at assessing market trends of packaging</w:t>
      </w:r>
      <w:r>
        <w:t xml:space="preserve"> </w:t>
      </w:r>
      <w:r>
        <w:t xml:space="preserve">free shops, reporting a central estimate for the EU total turnover from bulk good sales in 2030</w:t>
      </w:r>
      <w:r>
        <w:t xml:space="preserve"> </w:t>
      </w:r>
      <w:r>
        <w:t xml:space="preserve">of approximately €1.2 billion, and a ‘best case scenario’ of over €3.5 billion. The authors</w:t>
      </w:r>
      <w:r>
        <w:t xml:space="preserve"> </w:t>
      </w:r>
      <w:r>
        <w:t xml:space="preserve">acknowledged that if radical shifts in the economy or consumer behaviour are also considered,</w:t>
      </w:r>
      <w:r>
        <w:t xml:space="preserve"> </w:t>
      </w:r>
      <w:r>
        <w:t xml:space="preserve">the accurate projections made on the future scale of the bulk and refill sale sector could be</w:t>
      </w:r>
      <w:r>
        <w:t xml:space="preserve"> </w:t>
      </w:r>
      <w:r>
        <w:t xml:space="preserve">greater. Based on these findings, the re-fill sale sector is an area with strong predicted growth</w:t>
      </w:r>
      <w:r>
        <w:t xml:space="preserve"> </w:t>
      </w:r>
      <w:r>
        <w:t xml:space="preserve">over the next 10 years. The number of re-fill chemicals accompanied without correct labelling</w:t>
      </w:r>
      <w:r>
        <w:t xml:space="preserve"> </w:t>
      </w:r>
      <w:r>
        <w:t xml:space="preserve">and packaging and the level of non-compliance by economic operators are only likely to</w:t>
      </w:r>
      <w:r>
        <w:t xml:space="preserve"> </w:t>
      </w:r>
      <w:r>
        <w:t xml:space="preserve">increase if no action is taken.</w:t>
      </w:r>
      <w:r>
        <w:t xml:space="preserve"> </w:t>
      </w:r>
      <w:r>
        <w:t xml:space="preserve">Looking specifically at re-fill detergents, discussions with industry stakeholders provided</w:t>
      </w:r>
      <w:r>
        <w:t xml:space="preserve"> </w:t>
      </w:r>
      <w:r>
        <w:t xml:space="preserve">insights and access to the growth expectations for the market of re-fill detergents for the next</w:t>
      </w:r>
      <w:r>
        <w:t xml:space="preserve"> </w:t>
      </w:r>
      <w:r>
        <w:t xml:space="preserve">6 years in a subset of EU-27 countries. Those were extrapolated to the whole EU-27 by criteria</w:t>
      </w:r>
      <w:r>
        <w:t xml:space="preserve"> </w:t>
      </w:r>
      <w:r>
        <w:t xml:space="preserve">of proximity and current observed prevalence of re-fill sales of detergents, also provided by</w:t>
      </w:r>
      <w:r>
        <w:t xml:space="preserve"> </w:t>
      </w:r>
      <w:r>
        <w:t xml:space="preserve">the detergents industry. For years 2027-2042, the compound annual growth rate expected</w:t>
      </w:r>
      <w:r>
        <w:t xml:space="preserve"> </w:t>
      </w:r>
      <w:r>
        <w:t xml:space="preserve">between 2020 and 2026 was used to project future growth. The projected growth is positive</w:t>
      </w:r>
      <w:r>
        <w:t xml:space="preserve"> </w:t>
      </w:r>
      <w:r>
        <w:t xml:space="preserve">and around 2% per year, leading to a steady and moderately growing sector.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Figure 59: Average growth rates for sales of re-fill detergents as reported by the industry’s projected sales in</w:t>
      </w:r>
      <w:r>
        <w:t xml:space="preserve"> </w:t>
      </w:r>
      <w:r>
        <w:t xml:space="preserve">five EU-27 Member States for 2020-2026.</w:t>
      </w:r>
    </w:p>
    <w:p>
      <w:pPr>
        <w:pStyle w:val="BodyText"/>
      </w:pPr>
      <w:r>
        <w:t xml:space="preserve">Additionally, an average size per refill was estimated to be 2.9 kg, taking into account the most</w:t>
      </w:r>
      <w:r>
        <w:t xml:space="preserve"> </w:t>
      </w:r>
      <w:r>
        <w:t xml:space="preserve">common bottle sizes for detergents. The series of refills in overall EU-27 is shown in the figure</w:t>
      </w:r>
      <w:r>
        <w:t xml:space="preserve"> </w:t>
      </w:r>
      <w:r>
        <w:t xml:space="preserve">below. This projection highlights that without any regulatory intervention, the scale of the</w:t>
      </w:r>
      <w:r>
        <w:t xml:space="preserve"> </w:t>
      </w:r>
      <w:r>
        <w:t xml:space="preserve">problem of unlabelled detergent being placed on the market will increase, such that in 2042</w:t>
      </w:r>
      <w:r>
        <w:t xml:space="preserve"> </w:t>
      </w:r>
      <w:r>
        <w:t xml:space="preserve">approximately an additional 30 million refills of detergent will be placed on the market that</w:t>
      </w:r>
      <w:r>
        <w:t xml:space="preserve"> </w:t>
      </w:r>
      <w:r>
        <w:t xml:space="preserve">may be incorrectly labelled or not labelled at all, when compared to 2019 figures (a 50% overall</w:t>
      </w:r>
      <w:r>
        <w:t xml:space="preserve"> </w:t>
      </w:r>
      <w:r>
        <w:t xml:space="preserve">increase). The resulting number of poisoning incidents involving re-fill detergents is also</w:t>
      </w:r>
      <w:r>
        <w:t xml:space="preserve"> </w:t>
      </w:r>
      <w:r>
        <w:t xml:space="preserve">displayed based on the incidence rate calculated.</w:t>
      </w:r>
      <w:r>
        <w:t xml:space="preserve"> </w:t>
      </w:r>
      <w:r>
        <w:t xml:space="preserve">Figure 60: Projection of production quantity of substances/mixtures supplied via re-fill, 2019-2042</w:t>
      </w:r>
    </w:p>
    <w:p>
      <w:pPr>
        <w:pStyle w:val="BodyText"/>
      </w:pPr>
      <w:r>
        <w:t xml:space="preserve">Multilingual labels and font size</w:t>
      </w:r>
      <w:r>
        <w:t xml:space="preserve"> </w:t>
      </w:r>
      <w:r>
        <w:t xml:space="preserve">How would the problem evolve?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Growth</w:t>
      </w:r>
      <w:r>
        <w:t xml:space="preserve"> </w:t>
      </w:r>
      <w:r>
        <w:t xml:space="preserve">2019-2020</w:t>
      </w:r>
      <w:r>
        <w:t xml:space="preserve"> </w:t>
      </w:r>
      <w:r>
        <w:t xml:space="preserve">Growth</w:t>
      </w:r>
      <w:r>
        <w:t xml:space="preserve"> </w:t>
      </w:r>
      <w:r>
        <w:t xml:space="preserve">2020-2021</w:t>
      </w:r>
      <w:r>
        <w:t xml:space="preserve"> </w:t>
      </w:r>
      <w:r>
        <w:t xml:space="preserve">Growth</w:t>
      </w:r>
      <w:r>
        <w:t xml:space="preserve"> </w:t>
      </w:r>
      <w:r>
        <w:t xml:space="preserve">2021-2022</w:t>
      </w:r>
      <w:r>
        <w:t xml:space="preserve"> </w:t>
      </w:r>
      <w:r>
        <w:t xml:space="preserve">Growth</w:t>
      </w:r>
      <w:r>
        <w:t xml:space="preserve"> </w:t>
      </w:r>
      <w:r>
        <w:t xml:space="preserve">2022-2023</w:t>
      </w:r>
      <w:r>
        <w:t xml:space="preserve"> </w:t>
      </w:r>
      <w:r>
        <w:t xml:space="preserve">Growth</w:t>
      </w:r>
      <w:r>
        <w:t xml:space="preserve"> </w:t>
      </w:r>
      <w:r>
        <w:t xml:space="preserve">2023-2024</w:t>
      </w:r>
      <w:r>
        <w:t xml:space="preserve"> </w:t>
      </w:r>
      <w:r>
        <w:t xml:space="preserve">Growth</w:t>
      </w:r>
      <w:r>
        <w:t xml:space="preserve"> </w:t>
      </w:r>
      <w:r>
        <w:t xml:space="preserve">2024-2025</w:t>
      </w:r>
      <w:r>
        <w:t xml:space="preserve"> </w:t>
      </w:r>
      <w:r>
        <w:t xml:space="preserve">Growth</w:t>
      </w:r>
      <w:r>
        <w:t xml:space="preserve"> </w:t>
      </w:r>
      <w:r>
        <w:t xml:space="preserve">2025-2026</w:t>
      </w:r>
      <w:r>
        <w:t xml:space="preserve"> </w:t>
      </w:r>
      <w:r>
        <w:t xml:space="preserve">% gowth rate</w:t>
      </w:r>
      <w:r>
        <w:t xml:space="preserve"> </w:t>
      </w:r>
      <w:r>
        <w:t xml:space="preserve">Average growth rates for sales of re-fill</w:t>
      </w:r>
      <w:r>
        <w:t xml:space="preserve"> </w:t>
      </w:r>
      <w:r>
        <w:t xml:space="preserve">detergents in the EU-27, 2020-2026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Number of incidents</w:t>
      </w:r>
      <w:r>
        <w:t xml:space="preserve"> </w:t>
      </w:r>
      <w:r>
        <w:t xml:space="preserve">Estimated consumption of refills</w:t>
      </w:r>
      <w:r>
        <w:t xml:space="preserve"> </w:t>
      </w:r>
      <w:r>
        <w:t xml:space="preserve">(ktonnes)</w:t>
      </w:r>
      <w:r>
        <w:t xml:space="preserve"> </w:t>
      </w:r>
      <w:r>
        <w:t xml:space="preserve">Projected sales of re-fill detergents in the EU-27, 2019-2040</w:t>
      </w:r>
      <w:r>
        <w:t xml:space="preserve"> </w:t>
      </w:r>
      <w:r>
        <w:t xml:space="preserve">Packages sold</w:t>
      </w:r>
      <w:r>
        <w:t xml:space="preserve"> </w:t>
      </w:r>
      <w:r>
        <w:t xml:space="preserve">Incidents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There are two drivers contributing to the problem of multilingual labels having poor</w:t>
      </w:r>
      <w:r>
        <w:t xml:space="preserve"> </w:t>
      </w:r>
      <w:r>
        <w:t xml:space="preserve">readability. The first is the restricted use of multi-lingual fold-out labels. The labelling rules</w:t>
      </w:r>
      <w:r>
        <w:t xml:space="preserve"> </w:t>
      </w:r>
      <w:r>
        <w:t xml:space="preserve">outlined in the CLP Regulation for multi-lingual fold-out labels are expected to remain the</w:t>
      </w:r>
      <w:r>
        <w:t xml:space="preserve"> </w:t>
      </w:r>
      <w:r>
        <w:t xml:space="preserve">same in the baseline scenario. Given that there is no financial incentive for limiting the number</w:t>
      </w:r>
      <w:r>
        <w:t xml:space="preserve"> </w:t>
      </w:r>
      <w:r>
        <w:t xml:space="preserve">of languages on a label and producing a separate label for each destination country, the</w:t>
      </w:r>
      <w:r>
        <w:t xml:space="preserve"> </w:t>
      </w:r>
      <w:r>
        <w:t xml:space="preserve">readability issues regarding multilingual labels are expected to remain.</w:t>
      </w:r>
      <w:r>
        <w:br/>
      </w:r>
      <w:r>
        <w:t xml:space="preserve">The second driver is the existence of regulatory overlaps in labelling provisions of EU</w:t>
      </w:r>
      <w:r>
        <w:t xml:space="preserve"> </w:t>
      </w:r>
      <w:r>
        <w:t xml:space="preserve">chemicals legislation, such as those existing between the CLP Regulation and the Detergents</w:t>
      </w:r>
      <w:r>
        <w:t xml:space="preserve"> </w:t>
      </w:r>
      <w:r>
        <w:t xml:space="preserve">Regulation. The labelling requirements outlined in the CLP Regulation are expected to remain</w:t>
      </w:r>
      <w:r>
        <w:t xml:space="preserve"> </w:t>
      </w:r>
      <w:r>
        <w:t xml:space="preserve">the same in the baseline scenario. However, in light of the ongoing Impact Assessment into the</w:t>
      </w:r>
      <w:r>
        <w:t xml:space="preserve"> </w:t>
      </w:r>
      <w:r>
        <w:t xml:space="preserve">revision of the Detergents Regulation, there is a possibility that changes may be made to</w:t>
      </w:r>
      <w:r>
        <w:t xml:space="preserve"> </w:t>
      </w:r>
      <w:r>
        <w:t xml:space="preserve">labelling requirements applicable to detergents. Ensuring coherence with the CLP Regulation</w:t>
      </w:r>
      <w:r>
        <w:t xml:space="preserve"> </w:t>
      </w:r>
      <w:r>
        <w:t xml:space="preserve">is one of the aims of the Detergents Regulation Impact Assessment, but as of yet there is no</w:t>
      </w:r>
      <w:r>
        <w:t xml:space="preserve"> </w:t>
      </w:r>
      <w:r>
        <w:t xml:space="preserve">final decision as to how the interaction between the two on labelling will be addressed. In the</w:t>
      </w:r>
      <w:r>
        <w:t xml:space="preserve"> </w:t>
      </w:r>
      <w:r>
        <w:t xml:space="preserve">Draft Final Report to the Impact Assessment Study on the simplification of the labelling</w:t>
      </w:r>
      <w:r>
        <w:t xml:space="preserve"> </w:t>
      </w:r>
      <w:r>
        <w:t xml:space="preserve">requirements for chemicals and the use of e-labelling (VVA et al 2022), four policy options are</w:t>
      </w:r>
      <w:r>
        <w:t xml:space="preserve"> </w:t>
      </w:r>
      <w:r>
        <w:t xml:space="preserve">being assessed to allow for alignment of CLP and the Detergents Regulation regarding physical</w:t>
      </w:r>
      <w:r>
        <w:t xml:space="preserve"> </w:t>
      </w:r>
      <w:r>
        <w:t xml:space="preserve">labelling.</w:t>
      </w:r>
      <w:r>
        <w:br/>
      </w:r>
      <w:r>
        <w:t xml:space="preserve">One of the policy options is to align the two regulations to address inconsistencies, overlaps</w:t>
      </w:r>
      <w:r>
        <w:t xml:space="preserve"> </w:t>
      </w:r>
      <w:r>
        <w:t xml:space="preserve">and duplications in labelling requirements. No intervention would occur in the CLP Regulation</w:t>
      </w:r>
      <w:r>
        <w:t xml:space="preserve"> </w:t>
      </w:r>
      <w:r>
        <w:t xml:space="preserve">but in the Detergents Regulation: ingredients would only be labelled once, either following</w:t>
      </w:r>
      <w:r>
        <w:t xml:space="preserve"> </w:t>
      </w:r>
      <w:r>
        <w:t xml:space="preserve">CLP or Detergents Regulation rules, whichever is stricter; or removal of all overlapping</w:t>
      </w:r>
      <w:r>
        <w:t xml:space="preserve"> </w:t>
      </w:r>
      <w:r>
        <w:t xml:space="preserve">provisions. With a reduction in the amount of information legally required, the readability of</w:t>
      </w:r>
      <w:r>
        <w:t xml:space="preserve"> </w:t>
      </w:r>
      <w:r>
        <w:t xml:space="preserve">multilingual labels on detergents could improve under the baseline scenario.</w:t>
      </w:r>
      <w:r>
        <w:br/>
      </w:r>
      <w:r>
        <w:t xml:space="preserve">Data from Cefic (2021)67 presented in Table 14 shows the trend in sales between Member</w:t>
      </w:r>
      <w:r>
        <w:t xml:space="preserve"> </w:t>
      </w:r>
      <w:r>
        <w:t xml:space="preserve">States in the EU27 (intra-EU27 sales) has increased steadily from 2009. This suggests that the</w:t>
      </w:r>
      <w:r>
        <w:t xml:space="preserve"> </w:t>
      </w:r>
      <w:r>
        <w:t xml:space="preserve">number of products sold between Member States is also increasing and highlights the growing</w:t>
      </w:r>
      <w:r>
        <w:t xml:space="preserve"> </w:t>
      </w:r>
      <w:r>
        <w:t xml:space="preserve">international market for chemical products. Therefore, the sale of chemicals products in</w:t>
      </w:r>
      <w:r>
        <w:t xml:space="preserve"> </w:t>
      </w:r>
      <w:r>
        <w:t xml:space="preserve">multiple Member State markets is expected to grow, along with the number of multilingual</w:t>
      </w:r>
      <w:r>
        <w:t xml:space="preserve"> </w:t>
      </w:r>
      <w:r>
        <w:t xml:space="preserve">labels with poor readability and non-compliant with official language requirements.</w:t>
      </w:r>
    </w:p>
    <w:p>
      <w:pPr>
        <w:pStyle w:val="BodyText"/>
      </w:pPr>
      <w:r>
        <w:t xml:space="preserve">67 CEFIC, Facts and Figures of the European Chemical Industry, 2022.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Table 15: Trends in chemical sales</w:t>
      </w:r>
      <w:r>
        <w:t xml:space="preserve"> </w:t>
      </w:r>
      <w:r>
        <w:t xml:space="preserve">Year</w:t>
      </w:r>
      <w:r>
        <w:t xml:space="preserve"> </w:t>
      </w:r>
      <w:r>
        <w:t xml:space="preserve">EU27 Total Sales EU27</w:t>
      </w:r>
      <w:r>
        <w:t xml:space="preserve"> </w:t>
      </w:r>
      <w:r>
        <w:t xml:space="preserve">Home</w:t>
      </w:r>
      <w:r>
        <w:t xml:space="preserve"> </w:t>
      </w:r>
      <w:r>
        <w:t xml:space="preserve">Sales</w:t>
      </w:r>
      <w:r>
        <w:t xml:space="preserve"> </w:t>
      </w:r>
      <w:r>
        <w:t xml:space="preserve">Intra-EU27 Sales EU27</w:t>
      </w:r>
      <w:r>
        <w:t xml:space="preserve"> </w:t>
      </w:r>
      <w:r>
        <w:t xml:space="preserve">Foreign</w:t>
      </w:r>
      <w:r>
        <w:t xml:space="preserve"> </w:t>
      </w:r>
      <w:r>
        <w:t xml:space="preserve">Sales</w:t>
      </w:r>
      <w:r>
        <w:t xml:space="preserve"> </w:t>
      </w:r>
      <w:r>
        <w:t xml:space="preserve">2009</w:t>
      </w:r>
      <w:r>
        <w:t xml:space="preserve"> </w:t>
      </w:r>
      <w:r>
        <w:t xml:space="preserve">100%</w:t>
      </w:r>
      <w:r>
        <w:t xml:space="preserve"> </w:t>
      </w:r>
      <w:r>
        <w:t xml:space="preserve">26.2%</w:t>
      </w:r>
      <w:r>
        <w:t xml:space="preserve"> </w:t>
      </w:r>
      <w:r>
        <w:t xml:space="preserve">44.5%</w:t>
      </w:r>
      <w:r>
        <w:t xml:space="preserve"> </w:t>
      </w:r>
      <w:r>
        <w:t xml:space="preserve">29.2%</w:t>
      </w:r>
      <w:r>
        <w:t xml:space="preserve"> </w:t>
      </w:r>
      <w:r>
        <w:t xml:space="preserve">2010</w:t>
      </w:r>
      <w:r>
        <w:t xml:space="preserve"> </w:t>
      </w:r>
      <w:r>
        <w:t xml:space="preserve">100%</w:t>
      </w:r>
      <w:r>
        <w:t xml:space="preserve"> </w:t>
      </w:r>
      <w:r>
        <w:t xml:space="preserve">26.5%</w:t>
      </w:r>
      <w:r>
        <w:t xml:space="preserve"> </w:t>
      </w:r>
      <w:r>
        <w:t xml:space="preserve">44.5%</w:t>
      </w:r>
      <w:r>
        <w:t xml:space="preserve"> </w:t>
      </w:r>
      <w:r>
        <w:t xml:space="preserve">29.1%</w:t>
      </w:r>
      <w:r>
        <w:t xml:space="preserve"> </w:t>
      </w:r>
      <w:r>
        <w:t xml:space="preserve">2011</w:t>
      </w:r>
      <w:r>
        <w:t xml:space="preserve"> </w:t>
      </w:r>
      <w:r>
        <w:t xml:space="preserve">100%</w:t>
      </w:r>
      <w:r>
        <w:t xml:space="preserve"> </w:t>
      </w:r>
      <w:r>
        <w:t xml:space="preserve">26.1%</w:t>
      </w:r>
      <w:r>
        <w:t xml:space="preserve"> </w:t>
      </w:r>
      <w:r>
        <w:t xml:space="preserve">45.4%</w:t>
      </w:r>
      <w:r>
        <w:t xml:space="preserve"> </w:t>
      </w:r>
      <w:r>
        <w:t xml:space="preserve">28.5%</w:t>
      </w:r>
      <w:r>
        <w:t xml:space="preserve"> </w:t>
      </w:r>
      <w:r>
        <w:t xml:space="preserve">2012</w:t>
      </w:r>
      <w:r>
        <w:t xml:space="preserve"> </w:t>
      </w:r>
      <w:r>
        <w:t xml:space="preserve">100%</w:t>
      </w:r>
      <w:r>
        <w:t xml:space="preserve"> </w:t>
      </w:r>
      <w:r>
        <w:t xml:space="preserve">25.6%</w:t>
      </w:r>
      <w:r>
        <w:t xml:space="preserve"> </w:t>
      </w:r>
      <w:r>
        <w:t xml:space="preserve">44.7%</w:t>
      </w:r>
      <w:r>
        <w:t xml:space="preserve"> </w:t>
      </w:r>
      <w:r>
        <w:t xml:space="preserve">29.7%</w:t>
      </w:r>
      <w:r>
        <w:t xml:space="preserve"> </w:t>
      </w:r>
      <w:r>
        <w:t xml:space="preserve">2013</w:t>
      </w:r>
      <w:r>
        <w:t xml:space="preserve"> </w:t>
      </w:r>
      <w:r>
        <w:t xml:space="preserve">100%</w:t>
      </w:r>
      <w:r>
        <w:t xml:space="preserve"> </w:t>
      </w:r>
      <w:r>
        <w:t xml:space="preserve">24.8%</w:t>
      </w:r>
      <w:r>
        <w:t xml:space="preserve"> </w:t>
      </w:r>
      <w:r>
        <w:t xml:space="preserve">45.7%</w:t>
      </w:r>
      <w:r>
        <w:t xml:space="preserve"> </w:t>
      </w:r>
      <w:r>
        <w:t xml:space="preserve">29.5%</w:t>
      </w:r>
      <w:r>
        <w:t xml:space="preserve"> </w:t>
      </w:r>
      <w:r>
        <w:t xml:space="preserve">2014</w:t>
      </w:r>
      <w:r>
        <w:t xml:space="preserve"> </w:t>
      </w:r>
      <w:r>
        <w:t xml:space="preserve">100%</w:t>
      </w:r>
      <w:r>
        <w:t xml:space="preserve"> </w:t>
      </w:r>
      <w:r>
        <w:t xml:space="preserve">22.3%</w:t>
      </w:r>
      <w:r>
        <w:t xml:space="preserve"> </w:t>
      </w:r>
      <w:r>
        <w:t xml:space="preserve">47.7%</w:t>
      </w:r>
      <w:r>
        <w:t xml:space="preserve"> </w:t>
      </w:r>
      <w:r>
        <w:t xml:space="preserve">30.0%</w:t>
      </w:r>
      <w:r>
        <w:t xml:space="preserve"> </w:t>
      </w:r>
      <w:r>
        <w:t xml:space="preserve">2015</w:t>
      </w:r>
      <w:r>
        <w:t xml:space="preserve"> </w:t>
      </w:r>
      <w:r>
        <w:t xml:space="preserve">100%</w:t>
      </w:r>
      <w:r>
        <w:t xml:space="preserve"> </w:t>
      </w:r>
      <w:r>
        <w:t xml:space="preserve">19.8%</w:t>
      </w:r>
      <w:r>
        <w:t xml:space="preserve"> </w:t>
      </w:r>
      <w:r>
        <w:t xml:space="preserve">48.9%</w:t>
      </w:r>
      <w:r>
        <w:t xml:space="preserve"> </w:t>
      </w:r>
      <w:r>
        <w:t xml:space="preserve">31.4%</w:t>
      </w:r>
      <w:r>
        <w:t xml:space="preserve"> </w:t>
      </w:r>
      <w:r>
        <w:t xml:space="preserve">2016</w:t>
      </w:r>
      <w:r>
        <w:t xml:space="preserve"> </w:t>
      </w:r>
      <w:r>
        <w:t xml:space="preserve">100%</w:t>
      </w:r>
      <w:r>
        <w:t xml:space="preserve"> </w:t>
      </w:r>
      <w:r>
        <w:t xml:space="preserve">16.5%</w:t>
      </w:r>
      <w:r>
        <w:t xml:space="preserve"> </w:t>
      </w:r>
      <w:r>
        <w:t xml:space="preserve">50.6%</w:t>
      </w:r>
      <w:r>
        <w:t xml:space="preserve"> </w:t>
      </w:r>
      <w:r>
        <w:t xml:space="preserve">32.9%</w:t>
      </w:r>
      <w:r>
        <w:t xml:space="preserve"> </w:t>
      </w:r>
      <w:r>
        <w:t xml:space="preserve">2017</w:t>
      </w:r>
      <w:r>
        <w:t xml:space="preserve"> </w:t>
      </w:r>
      <w:r>
        <w:t xml:space="preserve">100%</w:t>
      </w:r>
      <w:r>
        <w:t xml:space="preserve"> </w:t>
      </w:r>
      <w:r>
        <w:t xml:space="preserve">19.4%</w:t>
      </w:r>
      <w:r>
        <w:t xml:space="preserve"> </w:t>
      </w:r>
      <w:r>
        <w:t xml:space="preserve">49.2%</w:t>
      </w:r>
      <w:r>
        <w:t xml:space="preserve"> </w:t>
      </w:r>
      <w:r>
        <w:t xml:space="preserve">31.4%</w:t>
      </w:r>
      <w:r>
        <w:t xml:space="preserve"> </w:t>
      </w:r>
      <w:r>
        <w:t xml:space="preserve">2018</w:t>
      </w:r>
      <w:r>
        <w:t xml:space="preserve"> </w:t>
      </w:r>
      <w:r>
        <w:t xml:space="preserve">100%</w:t>
      </w:r>
      <w:r>
        <w:t xml:space="preserve"> </w:t>
      </w:r>
      <w:r>
        <w:t xml:space="preserve">16.0%</w:t>
      </w:r>
      <w:r>
        <w:t xml:space="preserve"> </w:t>
      </w:r>
      <w:r>
        <w:t xml:space="preserve">52.3%</w:t>
      </w:r>
      <w:r>
        <w:t xml:space="preserve"> </w:t>
      </w:r>
      <w:r>
        <w:t xml:space="preserve">31.7%</w:t>
      </w:r>
      <w:r>
        <w:t xml:space="preserve"> </w:t>
      </w:r>
      <w:r>
        <w:t xml:space="preserve">2019</w:t>
      </w:r>
      <w:r>
        <w:t xml:space="preserve"> </w:t>
      </w:r>
      <w:r>
        <w:t xml:space="preserve">100%</w:t>
      </w:r>
      <w:r>
        <w:t xml:space="preserve"> </w:t>
      </w:r>
      <w:r>
        <w:t xml:space="preserve">15.0%</w:t>
      </w:r>
      <w:r>
        <w:t xml:space="preserve"> </w:t>
      </w:r>
      <w:r>
        <w:t xml:space="preserve">52.3%</w:t>
      </w:r>
      <w:r>
        <w:t xml:space="preserve"> </w:t>
      </w:r>
      <w:r>
        <w:t xml:space="preserve">32.7%</w:t>
      </w:r>
      <w:r>
        <w:t xml:space="preserve"> </w:t>
      </w:r>
      <w:r>
        <w:t xml:space="preserve">Source: Cefic Facts and Figures 2021</w:t>
      </w:r>
    </w:p>
    <w:p>
      <w:pPr>
        <w:pStyle w:val="BodyText"/>
      </w:pPr>
      <w:r>
        <w:t xml:space="preserve">Area 5: CLP scope exemptions</w:t>
      </w:r>
      <w:r>
        <w:t xml:space="preserve"> </w:t>
      </w:r>
      <w:r>
        <w:t xml:space="preserve">Table 15 shows the main economic aggregates for the sectors currently exempted from CLP</w:t>
      </w:r>
      <w:r>
        <w:t xml:space="preserve"> </w:t>
      </w:r>
      <w:r>
        <w:t xml:space="preserve">and the forecast for 2032 and 2042.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Table 16: Main economic aggregates (2018 data) for the sectors currently exempted from CLP</w:t>
      </w:r>
    </w:p>
    <w:p>
      <w:pPr>
        <w:pStyle w:val="BodyText"/>
      </w:pP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2032</w:t>
      </w:r>
      <w:r>
        <w:t xml:space="preserve"> </w:t>
      </w:r>
      <w:r>
        <w:t xml:space="preserve">2042</w:t>
      </w:r>
      <w:r>
        <w:t xml:space="preserve"> </w:t>
      </w:r>
      <w:r>
        <w:t xml:space="preserve">No. of enterprises</w:t>
      </w:r>
      <w:r>
        <w:t xml:space="preserve"> </w:t>
      </w:r>
      <w:r>
        <w:t xml:space="preserve">C10 Manufacture of food products</w:t>
      </w:r>
      <w:r>
        <w:t xml:space="preserve"> </w:t>
      </w:r>
      <w:r>
        <w:t xml:space="preserve">260,257</w:t>
      </w:r>
      <w:r>
        <w:t xml:space="preserve"> </w:t>
      </w:r>
      <w:r>
        <w:t xml:space="preserve">255,933</w:t>
      </w:r>
      <w:r>
        <w:t xml:space="preserve"> </w:t>
      </w:r>
      <w:r>
        <w:t xml:space="preserve">251,211</w:t>
      </w:r>
      <w:r>
        <w:t xml:space="preserve"> </w:t>
      </w:r>
      <w:r>
        <w:t xml:space="preserve">247,276</w:t>
      </w:r>
      <w:r>
        <w:t xml:space="preserve"> </w:t>
      </w:r>
      <w:r>
        <w:t xml:space="preserve">C10.9 Manufacture of prepared animal feeds</w:t>
      </w:r>
      <w:r>
        <w:t xml:space="preserve"> </w:t>
      </w:r>
      <w:r>
        <w:t xml:space="preserve">5,196</w:t>
      </w:r>
      <w:r>
        <w:t xml:space="preserve"> </w:t>
      </w:r>
      <w:r>
        <w:t xml:space="preserve">5,133</w:t>
      </w:r>
      <w:r>
        <w:t xml:space="preserve"> </w:t>
      </w:r>
      <w:r>
        <w:t xml:space="preserve">5,572</w:t>
      </w:r>
      <w:r>
        <w:t xml:space="preserve"> </w:t>
      </w:r>
      <w:r>
        <w:t xml:space="preserve">5,938</w:t>
      </w:r>
      <w:r>
        <w:t xml:space="preserve"> </w:t>
      </w:r>
      <w:r>
        <w:t xml:space="preserve">C20.42 Manufacture of perfumes and toilet</w:t>
      </w:r>
      <w:r>
        <w:t xml:space="preserve"> </w:t>
      </w:r>
      <w:r>
        <w:t xml:space="preserve">preparations</w:t>
      </w:r>
      <w:r>
        <w:t xml:space="preserve"> </w:t>
      </w:r>
      <w:r>
        <w:t xml:space="preserve">5,888</w:t>
      </w:r>
      <w:r>
        <w:t xml:space="preserve"> </w:t>
      </w:r>
      <w:r>
        <w:t xml:space="preserve">6,192</w:t>
      </w:r>
      <w:r>
        <w:t xml:space="preserve"> </w:t>
      </w:r>
      <w:r>
        <w:t xml:space="preserve">9,206</w:t>
      </w:r>
      <w:r>
        <w:t xml:space="preserve"> </w:t>
      </w:r>
      <w:r>
        <w:t xml:space="preserve">11,717</w:t>
      </w:r>
      <w:r>
        <w:t xml:space="preserve"> </w:t>
      </w:r>
      <w:r>
        <w:t xml:space="preserve">C21 Manufacture of basic pharmaceutical</w:t>
      </w:r>
      <w:r>
        <w:t xml:space="preserve"> </w:t>
      </w:r>
      <w:r>
        <w:t xml:space="preserve">products and pharmaceutical preparations**</w:t>
      </w:r>
      <w:r>
        <w:t xml:space="preserve"> </w:t>
      </w:r>
      <w:r>
        <w:t xml:space="preserve">4,263</w:t>
      </w:r>
      <w:r>
        <w:t xml:space="preserve"> </w:t>
      </w:r>
      <w:r>
        <w:t xml:space="preserve">4,455</w:t>
      </w:r>
      <w:r>
        <w:t xml:space="preserve"> </w:t>
      </w:r>
      <w:r>
        <w:t xml:space="preserve">5,609</w:t>
      </w:r>
      <w:r>
        <w:t xml:space="preserve"> </w:t>
      </w:r>
      <w:r>
        <w:t xml:space="preserve">6,570</w:t>
      </w:r>
      <w:r>
        <w:t xml:space="preserve"> </w:t>
      </w:r>
      <w:r>
        <w:t xml:space="preserve">Turnover – million euro</w:t>
      </w:r>
      <w:r>
        <w:t xml:space="preserve"> </w:t>
      </w:r>
      <w:r>
        <w:t xml:space="preserve">C10 Manufacture of food products</w:t>
      </w:r>
      <w:r>
        <w:t xml:space="preserve"> </w:t>
      </w:r>
      <w:r>
        <w:t xml:space="preserve">940,137</w:t>
      </w:r>
      <w:r>
        <w:t xml:space="preserve"> </w:t>
      </w:r>
      <w:r>
        <w:t xml:space="preserve">966,390</w:t>
      </w:r>
      <w:r>
        <w:t xml:space="preserve"> </w:t>
      </w:r>
      <w:r>
        <w:t xml:space="preserve">1,94,385</w:t>
      </w:r>
      <w:r>
        <w:t xml:space="preserve"> </w:t>
      </w:r>
      <w:r>
        <w:t xml:space="preserve">1,384,381</w:t>
      </w:r>
      <w:r>
        <w:t xml:space="preserve"> </w:t>
      </w:r>
      <w:r>
        <w:t xml:space="preserve">C10.9 Manufacture of prepared animal feeds</w:t>
      </w:r>
      <w:r>
        <w:t xml:space="preserve"> </w:t>
      </w:r>
      <w:r>
        <w:t xml:space="preserve">73,511.7</w:t>
      </w:r>
      <w:r>
        <w:t xml:space="preserve"> </w:t>
      </w:r>
      <w:r>
        <w:t xml:space="preserve">75,015</w:t>
      </w:r>
      <w:r>
        <w:t xml:space="preserve"> </w:t>
      </w:r>
      <w:r>
        <w:t xml:space="preserve">84,354</w:t>
      </w:r>
      <w:r>
        <w:t xml:space="preserve"> </w:t>
      </w:r>
      <w:r>
        <w:t xml:space="preserve">92,137</w:t>
      </w:r>
      <w:r>
        <w:t xml:space="preserve"> </w:t>
      </w:r>
      <w:r>
        <w:t xml:space="preserve">C20.42 Manufacture of perfumes and toilet</w:t>
      </w:r>
      <w:r>
        <w:t xml:space="preserve"> </w:t>
      </w:r>
      <w:r>
        <w:t xml:space="preserve">preparations</w:t>
      </w:r>
      <w:r>
        <w:t xml:space="preserve"> </w:t>
      </w:r>
      <w:r>
        <w:t xml:space="preserve">48,093.9</w:t>
      </w:r>
      <w:r>
        <w:t xml:space="preserve"> </w:t>
      </w:r>
      <w:r>
        <w:t xml:space="preserve">52,821</w:t>
      </w:r>
      <w:r>
        <w:t xml:space="preserve"> </w:t>
      </w:r>
      <w:r>
        <w:t xml:space="preserve">79,041</w:t>
      </w:r>
      <w:r>
        <w:t xml:space="preserve"> </w:t>
      </w:r>
      <w:r>
        <w:t xml:space="preserve">102,878</w:t>
      </w:r>
      <w:r>
        <w:t xml:space="preserve"> </w:t>
      </w:r>
      <w:r>
        <w:t xml:space="preserve">C21 Manufacture of basic pharmaceutical</w:t>
      </w:r>
      <w:r>
        <w:t xml:space="preserve"> </w:t>
      </w:r>
      <w:r>
        <w:t xml:space="preserve">products and pharmaceutical preparations**</w:t>
      </w:r>
      <w:r>
        <w:t xml:space="preserve"> </w:t>
      </w:r>
      <w:r>
        <w:t xml:space="preserve">277,391</w:t>
      </w:r>
      <w:r>
        <w:t xml:space="preserve"> </w:t>
      </w:r>
      <w:r>
        <w:t xml:space="preserve">299,581</w:t>
      </w:r>
      <w:r>
        <w:t xml:space="preserve"> </w:t>
      </w:r>
      <w:r>
        <w:t xml:space="preserve">432,721</w:t>
      </w:r>
      <w:r>
        <w:t xml:space="preserve"> </w:t>
      </w:r>
      <w:r>
        <w:t xml:space="preserve">543,670</w:t>
      </w:r>
      <w:r>
        <w:t xml:space="preserve"> </w:t>
      </w:r>
      <w:r>
        <w:t xml:space="preserve">Value added at factor cost – million euro</w:t>
      </w:r>
      <w:r>
        <w:t xml:space="preserve"> </w:t>
      </w:r>
      <w:r>
        <w:t xml:space="preserve">C10 Manufacture of food products</w:t>
      </w:r>
      <w:r>
        <w:t xml:space="preserve"> </w:t>
      </w:r>
      <w:r>
        <w:t xml:space="preserve">182,684.0</w:t>
      </w:r>
      <w:r>
        <w:t xml:space="preserve"> </w:t>
      </w:r>
      <w:r>
        <w:t xml:space="preserve">188,339</w:t>
      </w:r>
      <w:r>
        <w:t xml:space="preserve"> </w:t>
      </w:r>
      <w:r>
        <w:t xml:space="preserve">249,166</w:t>
      </w:r>
      <w:r>
        <w:t xml:space="preserve"> </w:t>
      </w:r>
      <w:r>
        <w:t xml:space="preserve">299,855</w:t>
      </w:r>
      <w:r>
        <w:t xml:space="preserve"> </w:t>
      </w:r>
      <w:r>
        <w:t xml:space="preserve">C10.9 Manufacture of prepared animal feeds</w:t>
      </w:r>
      <w:r>
        <w:t xml:space="preserve"> </w:t>
      </w:r>
      <w:r>
        <w:t xml:space="preserve">9,300.5</w:t>
      </w:r>
      <w:r>
        <w:t xml:space="preserve"> </w:t>
      </w:r>
      <w:r>
        <w:t xml:space="preserve">9,776</w:t>
      </w:r>
      <w:r>
        <w:t xml:space="preserve"> </w:t>
      </w:r>
      <w:r>
        <w:t xml:space="preserve">12,953</w:t>
      </w:r>
      <w:r>
        <w:t xml:space="preserve"> </w:t>
      </w:r>
      <w:r>
        <w:t xml:space="preserve">15,601</w:t>
      </w:r>
      <w:r>
        <w:t xml:space="preserve"> </w:t>
      </w:r>
      <w:r>
        <w:t xml:space="preserve">C20.42 Manufacture of perfumes and toilet</w:t>
      </w:r>
      <w:r>
        <w:t xml:space="preserve"> </w:t>
      </w:r>
      <w:r>
        <w:t xml:space="preserve">preparations</w:t>
      </w:r>
      <w:r>
        <w:t xml:space="preserve"> </w:t>
      </w:r>
      <w:r>
        <w:t xml:space="preserve">14,000</w:t>
      </w:r>
      <w:r>
        <w:t xml:space="preserve"> </w:t>
      </w:r>
      <w:r>
        <w:t xml:space="preserve">15,117</w:t>
      </w:r>
      <w:r>
        <w:t xml:space="preserve"> </w:t>
      </w:r>
      <w:r>
        <w:t xml:space="preserve">25,834</w:t>
      </w:r>
      <w:r>
        <w:t xml:space="preserve"> </w:t>
      </w:r>
      <w:r>
        <w:t xml:space="preserve">34,764</w:t>
      </w:r>
      <w:r>
        <w:t xml:space="preserve"> </w:t>
      </w:r>
      <w:r>
        <w:t xml:space="preserve">C21 Manufacture of basic pharmaceutical</w:t>
      </w:r>
      <w:r>
        <w:t xml:space="preserve"> </w:t>
      </w:r>
      <w:r>
        <w:t xml:space="preserve">products and pharmaceutical preparations**</w:t>
      </w:r>
      <w:r>
        <w:t xml:space="preserve"> </w:t>
      </w:r>
      <w:r>
        <w:t xml:space="preserve">112,511.1</w:t>
      </w:r>
      <w:r>
        <w:t xml:space="preserve"> </w:t>
      </w:r>
      <w:r>
        <w:t xml:space="preserve">115,415</w:t>
      </w:r>
      <w:r>
        <w:t xml:space="preserve"> </w:t>
      </w:r>
      <w:r>
        <w:t xml:space="preserve">180,350</w:t>
      </w:r>
      <w:r>
        <w:t xml:space="preserve"> </w:t>
      </w:r>
      <w:r>
        <w:t xml:space="preserve">234,462</w:t>
      </w:r>
      <w:r>
        <w:t xml:space="preserve"> </w:t>
      </w:r>
      <w:r>
        <w:t xml:space="preserve">Persons employed – number</w:t>
      </w:r>
      <w:r>
        <w:t xml:space="preserve"> </w:t>
      </w:r>
      <w:r>
        <w:t xml:space="preserve">C10 Manufacture of food products</w:t>
      </w:r>
      <w:r>
        <w:t xml:space="preserve"> </w:t>
      </w:r>
      <w:r>
        <w:t xml:space="preserve">4,100,000</w:t>
      </w:r>
      <w:r>
        <w:t xml:space="preserve"> </w:t>
      </w:r>
      <w:r>
        <w:t xml:space="preserve">4,051,567</w:t>
      </w:r>
      <w:r>
        <w:t xml:space="preserve"> </w:t>
      </w:r>
      <w:r>
        <w:t xml:space="preserve">4,556,534</w:t>
      </w:r>
      <w:r>
        <w:t xml:space="preserve"> </w:t>
      </w:r>
      <w:r>
        <w:t xml:space="preserve">4,977,340</w:t>
      </w:r>
      <w:r>
        <w:t xml:space="preserve"> </w:t>
      </w:r>
      <w:r>
        <w:t xml:space="preserve">C10.9 Manufacture of prepared animal feeds</w:t>
      </w:r>
      <w:r>
        <w:t xml:space="preserve"> </w:t>
      </w:r>
      <w:r>
        <w:t xml:space="preserve">123,395</w:t>
      </w:r>
      <w:r>
        <w:t xml:space="preserve"> </w:t>
      </w:r>
      <w:r>
        <w:t xml:space="preserve">125,287</w:t>
      </w:r>
      <w:r>
        <w:t xml:space="preserve"> </w:t>
      </w:r>
      <w:r>
        <w:t xml:space="preserve">148,180</w:t>
      </w:r>
      <w:r>
        <w:t xml:space="preserve"> </w:t>
      </w:r>
      <w:r>
        <w:t xml:space="preserve">167,258</w:t>
      </w:r>
      <w:r>
        <w:t xml:space="preserve"> </w:t>
      </w:r>
      <w:r>
        <w:t xml:space="preserve">C20.42 Manufacture of perfumes and toilet</w:t>
      </w:r>
      <w:r>
        <w:t xml:space="preserve"> </w:t>
      </w:r>
      <w:r>
        <w:t xml:space="preserve">preparations</w:t>
      </w:r>
      <w:r>
        <w:t xml:space="preserve"> </w:t>
      </w:r>
      <w:r>
        <w:t xml:space="preserve">173,891</w:t>
      </w:r>
      <w:r>
        <w:t xml:space="preserve"> </w:t>
      </w:r>
      <w:r>
        <w:t xml:space="preserve">179,791</w:t>
      </w:r>
      <w:r>
        <w:t xml:space="preserve"> </w:t>
      </w:r>
      <w:r>
        <w:t xml:space="preserve">274,672</w:t>
      </w:r>
      <w:r>
        <w:t xml:space="preserve"> </w:t>
      </w:r>
      <w:r>
        <w:t xml:space="preserve">352,987</w:t>
      </w:r>
      <w:r>
        <w:t xml:space="preserve"> </w:t>
      </w:r>
      <w:r>
        <w:t xml:space="preserve">C21 Manufacture of basic pharmaceutical</w:t>
      </w:r>
      <w:r>
        <w:t xml:space="preserve"> </w:t>
      </w:r>
      <w:r>
        <w:t xml:space="preserve">products and pharmaceutical preparations**</w:t>
      </w:r>
      <w:r>
        <w:t xml:space="preserve"> </w:t>
      </w:r>
      <w:r>
        <w:t xml:space="preserve">605,315</w:t>
      </w:r>
      <w:r>
        <w:t xml:space="preserve"> </w:t>
      </w:r>
      <w:r>
        <w:t xml:space="preserve">611,363</w:t>
      </w:r>
      <w:r>
        <w:t xml:space="preserve"> </w:t>
      </w:r>
      <w:r>
        <w:t xml:space="preserve">788,223</w:t>
      </w:r>
      <w:r>
        <w:t xml:space="preserve"> </w:t>
      </w:r>
      <w:r>
        <w:t xml:space="preserve">935,606</w:t>
      </w:r>
      <w:r>
        <w:t xml:space="preserve"> </w:t>
      </w:r>
      <w:r>
        <w:t xml:space="preserve">Notes: Eurostat database – Structural Business Statistics</w:t>
      </w:r>
      <w:r>
        <w:t xml:space="preserve"> </w:t>
      </w:r>
      <w:r>
        <w:rPr>
          <w:i/>
          <w:iCs/>
        </w:rPr>
        <w:t xml:space="preserve">2017 data;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include manufacture of in vitro diagnostics (NACE 21.20);</w:t>
      </w:r>
      <w:r>
        <w:rPr>
          <w:b/>
          <w:bCs/>
          <w:i/>
          <w:iCs/>
        </w:rPr>
        <w:t xml:space="preserve"> </w:t>
      </w:r>
      <w:r>
        <w:t xml:space="preserve">2016 data</w:t>
      </w:r>
    </w:p>
    <w:p>
      <w:pPr>
        <w:pStyle w:val="BodyText"/>
      </w:pPr>
      <w:r>
        <w:t xml:space="preserve">Without policy action, the environmental hazards of human medicinal products (HMPs) and</w:t>
      </w:r>
      <w:r>
        <w:t xml:space="preserve"> </w:t>
      </w:r>
      <w:r>
        <w:t xml:space="preserve">veterinary medicinal products (VMPs) will keep being identified through the environmental</w:t>
      </w:r>
      <w:r>
        <w:t xml:space="preserve"> </w:t>
      </w:r>
      <w:r>
        <w:t xml:space="preserve">risk assessments required by the relevant legislation. HMPs and VMPs are accompanied by</w:t>
      </w:r>
      <w:r>
        <w:t xml:space="preserve"> </w:t>
      </w:r>
      <w:r>
        <w:t xml:space="preserve">package leaflets that may also contain important information about the safety of the products,</w:t>
      </w:r>
      <w:r>
        <w:t xml:space="preserve"> </w:t>
      </w:r>
      <w:r>
        <w:t xml:space="preserve">their disposal or any precautionary measures to be taken, but environmental hazards identified</w:t>
      </w:r>
      <w:r>
        <w:t xml:space="preserve"> </w:t>
      </w:r>
      <w:r>
        <w:t xml:space="preserve">through risk assessment may not be necessarily displayed.</w:t>
      </w:r>
      <w:r>
        <w:br/>
      </w:r>
      <w:r>
        <w:t xml:space="preserve">In 2016, around 3,000 active pharmaceutical substances were authorised on the EU market</w:t>
      </w:r>
      <w:r>
        <w:t xml:space="preserve"> </w:t>
      </w:r>
      <w:r>
        <w:t xml:space="preserve">(Deloitte et al., 2016). The Union register of medicinal products68 lists around 12,370 items,</w:t>
      </w:r>
      <w:r>
        <w:t xml:space="preserve"> </w:t>
      </w:r>
      <w:r>
        <w:t xml:space="preserve">between centrally authorised and nationally authorised medicinal products for human and</w:t>
      </w:r>
      <w:r>
        <w:t xml:space="preserve"> </w:t>
      </w:r>
      <w:r>
        <w:t xml:space="preserve">veterinary use and orphan designations. The EMA recommends for authorisation a median of</w:t>
      </w:r>
      <w:r>
        <w:t xml:space="preserve"> </w:t>
      </w:r>
      <w:r>
        <w:t xml:space="preserve">39 new active substances for human and veterinary medicinal products per year and 97 new</w:t>
      </w:r>
      <w:r>
        <w:t xml:space="preserve"> </w:t>
      </w:r>
      <w:r>
        <w:t xml:space="preserve">human and veterinary medicinal products per year.69 Table 16 shows the estimates of the</w:t>
      </w:r>
    </w:p>
    <w:p>
      <w:pPr>
        <w:pStyle w:val="BodyText"/>
      </w:pPr>
      <w:r>
        <w:t xml:space="preserve">68 https://ec.europa.eu/health/documents/community-register/html/reg_index_inn.htm</w:t>
      </w:r>
      <w:r>
        <w:br/>
      </w:r>
      <w:r>
        <w:t xml:space="preserve">69 Based on the number of HMPs and VMPs (active substances and products) recommended for authorisation by</w:t>
      </w:r>
      <w:r>
        <w:t xml:space="preserve"> </w:t>
      </w:r>
      <w:r>
        <w:t xml:space="preserve">the EMA between 2015-2020. Source: https://www.ema.europa.eu/en/about-us/annual-reports-work-programmes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cumulative number of HMPs and VMPs (active substances and products) recommended for</w:t>
      </w:r>
      <w:r>
        <w:t xml:space="preserve"> </w:t>
      </w:r>
      <w:r>
        <w:t xml:space="preserve">authorisation by EMA in the period 2015-2020.</w:t>
      </w:r>
      <w:r>
        <w:br/>
      </w:r>
      <w:r>
        <w:t xml:space="preserve">Table 17: Estimates of the cumulative number of HMPs and VMPs (active substances and products) on the</w:t>
      </w:r>
      <w:r>
        <w:t xml:space="preserve"> </w:t>
      </w:r>
      <w:r>
        <w:t xml:space="preserve">EU market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2032</w:t>
      </w:r>
      <w:r>
        <w:t xml:space="preserve"> </w:t>
      </w:r>
      <w:r>
        <w:t xml:space="preserve">2042</w:t>
      </w:r>
      <w:r>
        <w:t xml:space="preserve"> </w:t>
      </w:r>
      <w:r>
        <w:t xml:space="preserve">Human and veterinary medicinal products</w:t>
      </w:r>
      <w:r>
        <w:t xml:space="preserve"> </w:t>
      </w:r>
      <w:r>
        <w:t xml:space="preserve">New medicines*</w:t>
      </w:r>
      <w:r>
        <w:t xml:space="preserve"> </w:t>
      </w:r>
      <w:r>
        <w:t xml:space="preserve">12,100</w:t>
      </w:r>
      <w:r>
        <w:t xml:space="preserve"> </w:t>
      </w:r>
      <w:r>
        <w:t xml:space="preserve">13,350</w:t>
      </w:r>
      <w:r>
        <w:t xml:space="preserve"> </w:t>
      </w:r>
      <w:r>
        <w:t xml:space="preserve">14,300</w:t>
      </w:r>
      <w:r>
        <w:t xml:space="preserve"> </w:t>
      </w:r>
      <w:r>
        <w:t xml:space="preserve">New active substances*</w:t>
      </w:r>
      <w:r>
        <w:t xml:space="preserve"> </w:t>
      </w:r>
      <w:r>
        <w:t xml:space="preserve">3,150</w:t>
      </w:r>
      <w:r>
        <w:t xml:space="preserve"> </w:t>
      </w:r>
      <w:r>
        <w:t xml:space="preserve">3,650</w:t>
      </w:r>
      <w:r>
        <w:t xml:space="preserve"> </w:t>
      </w:r>
      <w:r>
        <w:t xml:space="preserve">4,050</w:t>
      </w:r>
      <w:r>
        <w:t xml:space="preserve"> </w:t>
      </w:r>
      <w:r>
        <w:t xml:space="preserve">Notes: *Rounded to the nearest 50</w:t>
      </w:r>
    </w:p>
    <w:p>
      <w:pPr>
        <w:pStyle w:val="BodyText"/>
      </w:pPr>
      <w:r>
        <w:t xml:space="preserve">To tackle the presence of pharmaceuticals and their negative effects on the environment, in</w:t>
      </w:r>
      <w:r>
        <w:t xml:space="preserve"> </w:t>
      </w:r>
      <w:r>
        <w:t xml:space="preserve">2019 the European Commission has adopted the Strategic approach to pharmaceuticals in the</w:t>
      </w:r>
      <w:r>
        <w:t xml:space="preserve"> </w:t>
      </w:r>
      <w:r>
        <w:t xml:space="preserve">environment, which aims to mitigate the environmental issues caused by human and veterinary</w:t>
      </w:r>
      <w:r>
        <w:t xml:space="preserve"> </w:t>
      </w:r>
      <w:r>
        <w:t xml:space="preserve">medicines. Table 17 provides examples of measures to ensure protection from the</w:t>
      </w:r>
      <w:r>
        <w:t xml:space="preserve"> </w:t>
      </w:r>
      <w:r>
        <w:t xml:space="preserve">environmental hazards borne by pharmaceuticals that have been implemented within the</w:t>
      </w:r>
      <w:r>
        <w:t xml:space="preserve"> </w:t>
      </w:r>
      <w:r>
        <w:t xml:space="preserve">Strategic approach to pharmaceuticals in the environment.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Table 18: Overview of measures related to the environmental risk assessment and public awareness of the</w:t>
      </w:r>
      <w:r>
        <w:t xml:space="preserve"> </w:t>
      </w:r>
      <w:r>
        <w:t xml:space="preserve">environmental hazards of pharmaceuticals, compiled from European Commission, 2020</w:t>
      </w:r>
      <w:r>
        <w:t xml:space="preserve"> </w:t>
      </w:r>
      <w:r>
        <w:t xml:space="preserve">Measure</w:t>
      </w:r>
      <w:r>
        <w:t xml:space="preserve"> </w:t>
      </w:r>
      <w:r>
        <w:t xml:space="preserve">Status</w:t>
      </w:r>
      <w:r>
        <w:t xml:space="preserve"> </w:t>
      </w:r>
      <w:r>
        <w:t xml:space="preserve">Action 5.1.1 Promote the development of guidelines for healthcare professionals</w:t>
      </w:r>
      <w:r>
        <w:t xml:space="preserve"> </w:t>
      </w:r>
      <w:r>
        <w:t xml:space="preserve">on the prudent use of pharmaceuticals posing a risk to or via the environment.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5.1.4 Foster best-practice exchanges between the Member States on how</w:t>
      </w:r>
      <w:r>
        <w:t xml:space="preserve"> </w:t>
      </w:r>
      <w:r>
        <w:t xml:space="preserve">environmental considerations are taken into account in the advertising and</w:t>
      </w:r>
      <w:r>
        <w:t xml:space="preserve"> </w:t>
      </w:r>
      <w:r>
        <w:t xml:space="preserve">prescription of medicinal products and the choice of therapy more generally,</w:t>
      </w:r>
      <w:r>
        <w:t xml:space="preserve"> </w:t>
      </w:r>
      <w:r>
        <w:t xml:space="preserve">where appropriate.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5.3.1a In collaboration with the European Medicines Agency and the</w:t>
      </w:r>
      <w:r>
        <w:t xml:space="preserve"> </w:t>
      </w:r>
      <w:r>
        <w:t xml:space="preserve">Member States: Seek to improve the level of environmental expertise in the</w:t>
      </w:r>
      <w:r>
        <w:t xml:space="preserve"> </w:t>
      </w:r>
      <w:r>
        <w:t xml:space="preserve">Committees and networks involved in the environmental risk assessment of</w:t>
      </w:r>
      <w:r>
        <w:t xml:space="preserve"> </w:t>
      </w:r>
      <w:r>
        <w:t xml:space="preserve">medicinal products.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5.3.1b In collaboration with the European Medicines Agency and the</w:t>
      </w:r>
      <w:r>
        <w:t xml:space="preserve"> </w:t>
      </w:r>
      <w:r>
        <w:t xml:space="preserve">Member States: Consider developing guidance on the environmental risk</w:t>
      </w:r>
      <w:r>
        <w:t xml:space="preserve"> </w:t>
      </w:r>
      <w:r>
        <w:t xml:space="preserve">assessment of medicinal products for use in aquaculture including, where</w:t>
      </w:r>
      <w:r>
        <w:t xml:space="preserve"> </w:t>
      </w:r>
      <w:r>
        <w:t xml:space="preserve">appropriate, recommendations for risk management measures.</w:t>
      </w:r>
      <w:r>
        <w:t xml:space="preserve"> </w:t>
      </w:r>
      <w:r>
        <w:t xml:space="preserve">Started</w:t>
      </w:r>
      <w:r>
        <w:t xml:space="preserve"> </w:t>
      </w:r>
      <w:r>
        <w:t xml:space="preserve">Action 5.3.1c In collaboration with the European Medicines Agency and the</w:t>
      </w:r>
      <w:r>
        <w:t xml:space="preserve"> </w:t>
      </w:r>
      <w:r>
        <w:t xml:space="preserve">Member States: Examine how to improve public access to the main</w:t>
      </w:r>
      <w:r>
        <w:t xml:space="preserve"> </w:t>
      </w:r>
      <w:r>
        <w:t xml:space="preserve">environmental risk assessment results and relevant toxicological thresholds for</w:t>
      </w:r>
      <w:r>
        <w:t xml:space="preserve"> </w:t>
      </w:r>
      <w:r>
        <w:t xml:space="preserve">medicinal products while respecting data-protection rules.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5.3.1d In collaboration with the European Medicines Agency and the</w:t>
      </w:r>
      <w:r>
        <w:t xml:space="preserve"> </w:t>
      </w:r>
      <w:r>
        <w:t xml:space="preserve">Member States: Emphasise to applicants the importance of submitting a</w:t>
      </w:r>
      <w:r>
        <w:t xml:space="preserve"> </w:t>
      </w:r>
      <w:r>
        <w:t xml:space="preserve">completed assessment by the time of the authorisation for marketing human</w:t>
      </w:r>
      <w:r>
        <w:t xml:space="preserve"> </w:t>
      </w:r>
      <w:r>
        <w:t xml:space="preserve">medicinal products, so that adequate risk management measures can be</w:t>
      </w:r>
      <w:r>
        <w:t xml:space="preserve"> </w:t>
      </w:r>
      <w:r>
        <w:t xml:space="preserve">established and published.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5.3.2 Pursuant to the newly adopted Regulation on veterinary medicinal</w:t>
      </w:r>
      <w:r>
        <w:t xml:space="preserve"> </w:t>
      </w:r>
      <w:r>
        <w:t xml:space="preserve">products, report on the feasibility of setting up an EU-wide review system based</w:t>
      </w:r>
      <w:r>
        <w:t xml:space="preserve"> </w:t>
      </w:r>
      <w:r>
        <w:t xml:space="preserve">on active pharmaceutical ingredients, or similar, to support the environmental</w:t>
      </w:r>
      <w:r>
        <w:t xml:space="preserve"> </w:t>
      </w:r>
      <w:r>
        <w:t xml:space="preserve">risk assessment of veterinary medicinal products at the Union level.</w:t>
      </w:r>
      <w:r>
        <w:t xml:space="preserve"> </w:t>
      </w:r>
      <w:r>
        <w:t xml:space="preserve">Started</w:t>
      </w:r>
      <w:r>
        <w:t xml:space="preserve"> </w:t>
      </w:r>
      <w:r>
        <w:t xml:space="preserve">Action 5.3.3 Initiate a systematic catching-up procedure for veterinary medicinal</w:t>
      </w:r>
      <w:r>
        <w:t xml:space="preserve"> </w:t>
      </w:r>
      <w:r>
        <w:t xml:space="preserve">products without an (adequate) environmental risk assessment, as provided for in</w:t>
      </w:r>
      <w:r>
        <w:t xml:space="preserve"> </w:t>
      </w:r>
      <w:r>
        <w:t xml:space="preserve">the Regulation on veterinary medicinal products, and take stock of the results of</w:t>
      </w:r>
      <w:r>
        <w:t xml:space="preserve"> </w:t>
      </w:r>
      <w:r>
        <w:t xml:space="preserve">research under the Innovative Medicines Initiative in relation to human medicinal</w:t>
      </w:r>
      <w:r>
        <w:t xml:space="preserve"> </w:t>
      </w:r>
      <w:r>
        <w:t xml:space="preserve">products.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5.4.1b In collaboration with the Member States and the European</w:t>
      </w:r>
      <w:r>
        <w:t xml:space="preserve"> </w:t>
      </w:r>
      <w:r>
        <w:t xml:space="preserve">Medicines Agency: Facilitate the exchange of best practices among healthcare</w:t>
      </w:r>
      <w:r>
        <w:t xml:space="preserve"> </w:t>
      </w:r>
      <w:r>
        <w:t xml:space="preserve">professionals on the environmentally safe disposal of medicinal products and</w:t>
      </w:r>
      <w:r>
        <w:t xml:space="preserve"> </w:t>
      </w:r>
      <w:r>
        <w:t xml:space="preserve">clinical waste, and the collection of pharmaceutical residues as appropriate.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5.4.2 Assess the implementation of collection schemes for unused</w:t>
      </w:r>
      <w:r>
        <w:t xml:space="preserve"> </w:t>
      </w:r>
      <w:r>
        <w:t xml:space="preserve">pharmaceuticals and consider how their availability and functioning could be</w:t>
      </w:r>
      <w:r>
        <w:t xml:space="preserve"> </w:t>
      </w:r>
      <w:r>
        <w:t xml:space="preserve">improved, how to increase public awareness of the importance of using them, and</w:t>
      </w:r>
      <w:r>
        <w:t xml:space="preserve"> </w:t>
      </w:r>
      <w:r>
        <w:t xml:space="preserve">how extended producer responsibility could play a role in reducing inappropriate</w:t>
      </w:r>
      <w:r>
        <w:t xml:space="preserve"> </w:t>
      </w:r>
      <w:r>
        <w:t xml:space="preserve">disposal.</w:t>
      </w:r>
      <w:r>
        <w:t xml:space="preserve"> </w:t>
      </w:r>
      <w:r>
        <w:t xml:space="preserve">Good</w:t>
      </w:r>
      <w:r>
        <w:t xml:space="preserve"> </w:t>
      </w:r>
      <w:r>
        <w:t xml:space="preserve">progress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Currently, ‘the environmental concerns that substances used in cosmetic products may raise</w:t>
      </w:r>
      <w:r>
        <w:t xml:space="preserve"> </w:t>
      </w:r>
      <w:r>
        <w:t xml:space="preserve">are considered through the application of REACH’ (Recital 5 of the CPR). Chemical</w:t>
      </w:r>
      <w:r>
        <w:t xml:space="preserve"> </w:t>
      </w:r>
      <w:r>
        <w:t xml:space="preserve">substances used as cosmetic ingredients with adverse effects to the environment can be, for</w:t>
      </w:r>
      <w:r>
        <w:t xml:space="preserve"> </w:t>
      </w:r>
      <w:r>
        <w:t xml:space="preserve">example, subject to authorisations or restrictions. Without policy action, the labelling of the</w:t>
      </w:r>
      <w:r>
        <w:t xml:space="preserve"> </w:t>
      </w:r>
      <w:r>
        <w:t xml:space="preserve">environmental hazards of cosmetic products is not required and, therefore, the only way for</w:t>
      </w:r>
      <w:r>
        <w:t xml:space="preserve"> </w:t>
      </w:r>
      <w:r>
        <w:t xml:space="preserve">consumers to check this information is by consulting the list of ingredients and searching for</w:t>
      </w:r>
      <w:r>
        <w:t xml:space="preserve"> </w:t>
      </w:r>
      <w:r>
        <w:t xml:space="preserve">data online.</w:t>
      </w:r>
      <w:r>
        <w:t xml:space="preserve"> </w:t>
      </w:r>
      <w:r>
        <w:t xml:space="preserve">The CPR is being reviewed to align the current rules on cosmetics with the objectives of the</w:t>
      </w:r>
      <w:r>
        <w:t xml:space="preserve"> </w:t>
      </w:r>
      <w:r>
        <w:t xml:space="preserve">CSS and ensure better protection of human health and environment in line with boosting</w:t>
      </w:r>
      <w:r>
        <w:t xml:space="preserve"> </w:t>
      </w:r>
      <w:r>
        <w:t xml:space="preserve">innovation. Simplification and digitisation of product label information is one of the possible</w:t>
      </w:r>
      <w:r>
        <w:t xml:space="preserve"> </w:t>
      </w:r>
      <w:r>
        <w:t xml:space="preserve">options to be analysed (European Commission, 2021).70</w:t>
      </w:r>
      <w:r>
        <w:t xml:space="preserve"> </w:t>
      </w:r>
      <w:r>
        <w:t xml:space="preserve">Searching the ECHA registered substances database for substances with notified uses in</w:t>
      </w:r>
      <w:r>
        <w:t xml:space="preserve"> </w:t>
      </w:r>
      <w:r>
        <w:t xml:space="preserve">Product Category (PC) 28 ‘Perfumes, fragrances’ and PC39 ‘Cosmetics, personal care</w:t>
      </w:r>
      <w:r>
        <w:t xml:space="preserve"> </w:t>
      </w:r>
      <w:r>
        <w:t xml:space="preserve">products’ returns 3,248 substances.</w:t>
      </w:r>
      <w:r>
        <w:br/>
      </w:r>
      <w:r>
        <w:t xml:space="preserve">Table 19: Registered substances with product categories PC28 ‘Perfumes, fragrances’ and PC39 ‘Cosmetics,</w:t>
      </w:r>
      <w:r>
        <w:t xml:space="preserve"> </w:t>
      </w:r>
      <w:r>
        <w:t xml:space="preserve">personal care products’ per tonnage band</w:t>
      </w:r>
      <w:r>
        <w:t xml:space="preserve"> </w:t>
      </w:r>
      <w:r>
        <w:t xml:space="preserve">Tonnage band</w:t>
      </w:r>
      <w:r>
        <w:t xml:space="preserve"> </w:t>
      </w:r>
      <w:r>
        <w:t xml:space="preserve">Number of registered substances</w:t>
      </w:r>
      <w:r>
        <w:t xml:space="preserve"> </w:t>
      </w:r>
      <w:r>
        <w:t xml:space="preserve">1-10 tonnes per year</w:t>
      </w:r>
      <w:r>
        <w:t xml:space="preserve"> </w:t>
      </w:r>
      <w:r>
        <w:t xml:space="preserve">895</w:t>
      </w:r>
      <w:r>
        <w:t xml:space="preserve"> </w:t>
      </w:r>
      <w:r>
        <w:t xml:space="preserve">10-100 tonnes per year</w:t>
      </w:r>
      <w:r>
        <w:t xml:space="preserve"> </w:t>
      </w:r>
      <w:r>
        <w:t xml:space="preserve">719</w:t>
      </w:r>
      <w:r>
        <w:t xml:space="preserve"> </w:t>
      </w:r>
      <w:r>
        <w:t xml:space="preserve">100-1,000 tonnes per year</w:t>
      </w:r>
      <w:r>
        <w:t xml:space="preserve"> </w:t>
      </w:r>
      <w:r>
        <w:t xml:space="preserve">618</w:t>
      </w:r>
      <w:r>
        <w:t xml:space="preserve"> </w:t>
      </w:r>
      <w:r>
        <w:t xml:space="preserve">1,000-10,000 tonnes per year</w:t>
      </w:r>
      <w:r>
        <w:t xml:space="preserve"> </w:t>
      </w:r>
      <w:r>
        <w:t xml:space="preserve">499</w:t>
      </w:r>
      <w:r>
        <w:t xml:space="preserve"> </w:t>
      </w:r>
      <w:r>
        <w:t xml:space="preserve">10,000-100,000 tonnes per year</w:t>
      </w:r>
      <w:r>
        <w:t xml:space="preserve"> </w:t>
      </w:r>
      <w:r>
        <w:t xml:space="preserve">248</w:t>
      </w:r>
      <w:r>
        <w:t xml:space="preserve"> </w:t>
      </w:r>
      <w:r>
        <w:t xml:space="preserve">100,000-1,000,000 tonnes per year</w:t>
      </w:r>
      <w:r>
        <w:t xml:space="preserve"> </w:t>
      </w:r>
      <w:r>
        <w:t xml:space="preserve">106</w:t>
      </w:r>
      <w:r>
        <w:t xml:space="preserve"> </w:t>
      </w:r>
      <w:r>
        <w:t xml:space="preserve">1,000,000-10,000,000 tonnes per year</w:t>
      </w:r>
      <w:r>
        <w:t xml:space="preserve"> </w:t>
      </w:r>
      <w:r>
        <w:t xml:space="preserve">56</w:t>
      </w:r>
      <w:r>
        <w:t xml:space="preserve"> </w:t>
      </w:r>
      <w:r>
        <w:t xml:space="preserve">10,000,000-100,000,000 tonnes per year</w:t>
      </w:r>
      <w:r>
        <w:t xml:space="preserve"> </w:t>
      </w:r>
      <w:r>
        <w:t xml:space="preserve">16</w:t>
      </w:r>
      <w:r>
        <w:t xml:space="preserve"> </w:t>
      </w:r>
      <w:r>
        <w:t xml:space="preserve">Cease manufacture</w:t>
      </w:r>
      <w:r>
        <w:t xml:space="preserve"> </w:t>
      </w:r>
      <w:r>
        <w:t xml:space="preserve">48</w:t>
      </w:r>
      <w:r>
        <w:t xml:space="preserve"> </w:t>
      </w:r>
      <w:r>
        <w:t xml:space="preserve">No longer valid</w:t>
      </w:r>
      <w:r>
        <w:t xml:space="preserve"> </w:t>
      </w:r>
      <w:r>
        <w:t xml:space="preserve">25</w:t>
      </w:r>
      <w:r>
        <w:t xml:space="preserve"> </w:t>
      </w:r>
      <w:r>
        <w:t xml:space="preserve">Tonnage data confidential</w:t>
      </w:r>
      <w:r>
        <w:t xml:space="preserve"> </w:t>
      </w:r>
      <w:r>
        <w:t xml:space="preserve">9</w:t>
      </w:r>
      <w:r>
        <w:t xml:space="preserve"> </w:t>
      </w:r>
      <w:r>
        <w:t xml:space="preserve">Intermediate use only</w:t>
      </w:r>
      <w:r>
        <w:t xml:space="preserve"> </w:t>
      </w:r>
      <w:r>
        <w:t xml:space="preserve">9</w:t>
      </w:r>
      <w:r>
        <w:t xml:space="preserve"> </w:t>
      </w:r>
      <w:r>
        <w:t xml:space="preserve">Total</w:t>
      </w:r>
      <w:r>
        <w:t xml:space="preserve"> </w:t>
      </w:r>
      <w:r>
        <w:t xml:space="preserve">3,248</w:t>
      </w:r>
      <w:r>
        <w:t xml:space="preserve"> </w:t>
      </w:r>
      <w:r>
        <w:t xml:space="preserve">Source: registered substances database</w:t>
      </w:r>
      <w:r>
        <w:t xml:space="preserve"> </w:t>
      </w:r>
      <w:r>
        <w:t xml:space="preserve">https://echa.europa.eu/information-on-chemicals/registered-substances</w:t>
      </w:r>
    </w:p>
    <w:p>
      <w:pPr>
        <w:pStyle w:val="BodyText"/>
      </w:pPr>
      <w:r>
        <w:t xml:space="preserve">According to these data, a quantity between 229,648,885 and 2,296,488,850 tonnes71 of</w:t>
      </w:r>
      <w:r>
        <w:t xml:space="preserve"> </w:t>
      </w:r>
      <w:r>
        <w:t xml:space="preserve">substances used as ‘perfumes, fragrances’ and ‘cosmetics, personal care products’ is</w:t>
      </w:r>
      <w:r>
        <w:t xml:space="preserve"> </w:t>
      </w:r>
      <w:r>
        <w:t xml:space="preserve">manufactured or imported on the EU market every year. Table 19 shows the classification of</w:t>
      </w:r>
      <w:r>
        <w:t xml:space="preserve"> </w:t>
      </w:r>
      <w:r>
        <w:t xml:space="preserve">registered substances with notified uses in product categories PC28 ‘Perfumes, fragrances’ and</w:t>
      </w:r>
      <w:r>
        <w:t xml:space="preserve"> </w:t>
      </w:r>
      <w:r>
        <w:t xml:space="preserve">PC39 ‘Cosmetics, personal care products’.</w:t>
      </w:r>
    </w:p>
    <w:p>
      <w:pPr>
        <w:pStyle w:val="BodyText"/>
      </w:pPr>
      <w:r>
        <w:t xml:space="preserve">70 European Commission, EU Chemicals Strategy for Sustainability - Revision of the Cosmetic Products</w:t>
      </w:r>
      <w:r>
        <w:t xml:space="preserve"> </w:t>
      </w:r>
      <w:r>
        <w:t xml:space="preserve">Regulation, 2021.</w:t>
      </w:r>
      <w:r>
        <w:t xml:space="preserve"> </w:t>
      </w:r>
      <w:r>
        <w:t xml:space="preserve">71 The minimum and maximum quantities are obtained by multiplying the number of substances for the lower-</w:t>
      </w:r>
      <w:r>
        <w:t xml:space="preserve"> </w:t>
      </w:r>
      <w:r>
        <w:t xml:space="preserve">bound and upper-bound of the tonnage band. The average is 1,263,000,000 tpa.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Table 20: Classification of registered substances with product categories PC28 ‘Perfumes, fragrances’ and</w:t>
      </w:r>
      <w:r>
        <w:t xml:space="preserve"> </w:t>
      </w:r>
      <w:r>
        <w:t xml:space="preserve">PC39 ‘Cosmetics, personal care products’</w:t>
      </w:r>
      <w:r>
        <w:t xml:space="preserve"> </w:t>
      </w:r>
      <w:r>
        <w:t xml:space="preserve">Registered substances with product categories PC28 ‘Perfumes,</w:t>
      </w:r>
      <w:r>
        <w:t xml:space="preserve"> </w:t>
      </w:r>
      <w:r>
        <w:t xml:space="preserve">fragrances’ and PC39 ‘Cosmetics, personal care products</w:t>
      </w:r>
      <w:r>
        <w:t xml:space="preserve"> </w:t>
      </w:r>
      <w:r>
        <w:t xml:space="preserve">Number</w:t>
      </w:r>
      <w:r>
        <w:t xml:space="preserve"> </w:t>
      </w:r>
      <w:r>
        <w:t xml:space="preserve">Total</w:t>
      </w:r>
      <w:r>
        <w:t xml:space="preserve"> </w:t>
      </w:r>
      <w:r>
        <w:t xml:space="preserve">3,248</w:t>
      </w:r>
      <w:r>
        <w:t xml:space="preserve"> </w:t>
      </w:r>
      <w:r>
        <w:t xml:space="preserve">With CLP Notification C&amp;L data for environmental hazards</w:t>
      </w:r>
      <w:r>
        <w:t xml:space="preserve"> </w:t>
      </w:r>
      <w:r>
        <w:t xml:space="preserve">1,553 (47.8%)</w:t>
      </w:r>
      <w:r>
        <w:t xml:space="preserve"> </w:t>
      </w:r>
      <w:r>
        <w:t xml:space="preserve">With REACH Registration C&amp;L data for environmental hazards</w:t>
      </w:r>
      <w:r>
        <w:t xml:space="preserve"> </w:t>
      </w:r>
      <w:r>
        <w:t xml:space="preserve">1,132 (34.9%)</w:t>
      </w:r>
      <w:r>
        <w:t xml:space="preserve"> </w:t>
      </w:r>
      <w:r>
        <w:t xml:space="preserve">With CLH for any hazard</w:t>
      </w:r>
      <w:r>
        <w:t xml:space="preserve"> </w:t>
      </w:r>
      <w:r>
        <w:t xml:space="preserve">274 (8.4%)</w:t>
      </w:r>
      <w:r>
        <w:t xml:space="preserve"> </w:t>
      </w:r>
      <w:r>
        <w:t xml:space="preserve">With CLH for environmental hazards</w:t>
      </w:r>
      <w:r>
        <w:t xml:space="preserve"> </w:t>
      </w:r>
      <w:r>
        <w:t xml:space="preserve">167 (5.1%)</w:t>
      </w:r>
      <w:r>
        <w:t xml:space="preserve"> </w:t>
      </w:r>
      <w:r>
        <w:t xml:space="preserve">With recognised properties of concern*</w:t>
      </w:r>
      <w:r>
        <w:t xml:space="preserve"> </w:t>
      </w:r>
      <w:r>
        <w:t xml:space="preserve">83 (2.6%)</w:t>
      </w:r>
      <w:r>
        <w:t xml:space="preserve"> </w:t>
      </w:r>
      <w:r>
        <w:t xml:space="preserve">Included in the Candidate list (Art. 57 intrinsic properties)</w:t>
      </w:r>
      <w:r>
        <w:t xml:space="preserve"> </w:t>
      </w:r>
      <w:r>
        <w:t xml:space="preserve">14 (0.4%)</w:t>
      </w:r>
      <w:r>
        <w:t xml:space="preserve"> </w:t>
      </w:r>
      <w:r>
        <w:t xml:space="preserve">Source: registered substances database</w:t>
      </w:r>
      <w:r>
        <w:t xml:space="preserve"> </w:t>
      </w:r>
      <w:r>
        <w:t xml:space="preserve">https://echa.europa.eu/information-on-chemicals/registered-substances</w:t>
      </w:r>
      <w:r>
        <w:br/>
      </w:r>
      <w:r>
        <w:t xml:space="preserve">Notes: *Recognised as: carcinogenic or mutagenic or toxic to reproduction or respiratory sensitiser or skin</w:t>
      </w:r>
      <w:r>
        <w:t xml:space="preserve"> </w:t>
      </w:r>
      <w:r>
        <w:t xml:space="preserve">sensitiser or persistent, bioaccumulative and toxic or endocrine disrupting or persistent organic pollutants;</w:t>
      </w:r>
      <w:r>
        <w:t xml:space="preserve"> </w:t>
      </w:r>
      <w:r>
        <w:t xml:space="preserve">**ECHA restriction list (February 2022) contains 71 entries including 2,169 substances.</w:t>
      </w:r>
    </w:p>
    <w:p>
      <w:pPr>
        <w:pStyle w:val="BodyText"/>
      </w:pPr>
      <w:r>
        <w:t xml:space="preserve">Some cosmetic products, such as personal care products containing plastic microbeads,</w:t>
      </w:r>
      <w:r>
        <w:t xml:space="preserve"> </w:t>
      </w:r>
      <w:r>
        <w:t xml:space="preserve">siloxanes, synthetic fragrances, UV filters or triclosan, have negative effects on the</w:t>
      </w:r>
      <w:r>
        <w:t xml:space="preserve"> </w:t>
      </w:r>
      <w:r>
        <w:t xml:space="preserve">environment due to their hazardous properties and their releases to the environment during use.</w:t>
      </w:r>
      <w:r>
        <w:t xml:space="preserve"> </w:t>
      </w:r>
      <w:r>
        <w:t xml:space="preserve">Around 8% of the substances (274 out of 3,248) have CLH for different hazard classes. Fifty-</w:t>
      </w:r>
      <w:r>
        <w:t xml:space="preserve"> </w:t>
      </w:r>
      <w:r>
        <w:t xml:space="preserve">six (56) substances have CLH for acute aquatic toxicity and 111 for chronic aquatic toxicity.</w:t>
      </w:r>
      <w:r>
        <w:t xml:space="preserve"> </w:t>
      </w:r>
      <w:r>
        <w:t xml:space="preserve">Some of the environmental hazards of cosmetics ingredients have been and are being addressed</w:t>
      </w:r>
      <w:r>
        <w:t xml:space="preserve"> </w:t>
      </w:r>
      <w:r>
        <w:t xml:space="preserve">through restrictions under the REACH Regulation, such as the restriction of cyclopentasiloxane</w:t>
      </w:r>
      <w:r>
        <w:t xml:space="preserve"> </w:t>
      </w:r>
      <w:r>
        <w:t xml:space="preserve">(D5) and cyclotetrasiloxane (D4), microplastics, etc. (see the supporting study in Annex 4).</w:t>
      </w:r>
      <w:r>
        <w:t xml:space="preserve"> </w:t>
      </w:r>
      <w:r>
        <w:t xml:space="preserve">It should be noted that there is a growing interest in the environmental performance of</w:t>
      </w:r>
      <w:r>
        <w:t xml:space="preserve"> </w:t>
      </w:r>
      <w:r>
        <w:t xml:space="preserve">products in general and in providing consumers with transparent information in</w:t>
      </w:r>
      <w:r>
        <w:t xml:space="preserve"> </w:t>
      </w:r>
      <w:r>
        <w:t xml:space="preserve">particular. Actions such as the Sustainable Products Initiative, Ecolabel and the</w:t>
      </w:r>
      <w:r>
        <w:t xml:space="preserve"> </w:t>
      </w:r>
      <w:r>
        <w:t xml:space="preserve">EcoBeautyScore Consortium72 can influence communication of the environmental hazards of</w:t>
      </w:r>
      <w:r>
        <w:t xml:space="preserve"> </w:t>
      </w:r>
      <w:r>
        <w:t xml:space="preserve">cosmetic products.</w:t>
      </w:r>
      <w:r>
        <w:t xml:space="preserve"> </w:t>
      </w:r>
      <w:r>
        <w:t xml:space="preserve">The Sustainable Product Initiative (SPI) was announced by the European Commission in 2020</w:t>
      </w:r>
      <w:r>
        <w:t xml:space="preserve"> </w:t>
      </w:r>
      <w:r>
        <w:t xml:space="preserve">in the Circular Economy Action Plan. It revises the Ecodesign Directive and covers the</w:t>
      </w:r>
      <w:r>
        <w:t xml:space="preserve"> </w:t>
      </w:r>
      <w:r>
        <w:t xml:space="preserve">environmental performance of goods and services. The aim is to ensure high environmental</w:t>
      </w:r>
      <w:r>
        <w:t xml:space="preserve"> </w:t>
      </w:r>
      <w:r>
        <w:t xml:space="preserve">performance for all products (including cosmetic products) on the EU market. For this purpose,</w:t>
      </w:r>
      <w:r>
        <w:t xml:space="preserve"> </w:t>
      </w:r>
      <w:r>
        <w:t xml:space="preserve">specific environmental requirements and sustainability principles are being developed,</w:t>
      </w:r>
      <w:r>
        <w:t xml:space="preserve"> </w:t>
      </w:r>
      <w:r>
        <w:t xml:space="preserve">addressing the lack of reliable sustainability information about the products. By providing</w:t>
      </w:r>
      <w:r>
        <w:t xml:space="preserve"> </w:t>
      </w:r>
      <w:r>
        <w:t xml:space="preserve">suitable solutions, such as digital product passports, it will improve communication of the</w:t>
      </w:r>
      <w:r>
        <w:t xml:space="preserve"> </w:t>
      </w:r>
      <w:r>
        <w:t xml:space="preserve">environmental performance of the products to consumers and enable them to make informed</w:t>
      </w:r>
      <w:r>
        <w:t xml:space="preserve"> </w:t>
      </w:r>
      <w:r>
        <w:t xml:space="preserve">decisions when buying a product. The revision is planned to be completed in the first quarter</w:t>
      </w:r>
      <w:r>
        <w:t xml:space="preserve"> </w:t>
      </w:r>
      <w:r>
        <w:t xml:space="preserve">of 2022 (European Commission, 2020).73</w:t>
      </w:r>
      <w:r>
        <w:br/>
      </w:r>
      <w:r>
        <w:t xml:space="preserve">In 2021, the European Commission revised the EU Ecolabel criteria for cosmetics and extended</w:t>
      </w:r>
      <w:r>
        <w:t xml:space="preserve"> </w:t>
      </w:r>
      <w:r>
        <w:t xml:space="preserve">them to substances or mixtures that fall under the scope of the CPR and “intended to be placed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https://www.cosmeticsdesign-europe.com/Article/2021/09/20/Henkel-L-Oreal-LVMH-Natura-Co-Unilever-</w:t>
      </w:r>
      <w:r>
        <w:t xml:space="preserve"> </w:t>
      </w:r>
      <w:r>
        <w:t xml:space="preserve">forming-consortium-for-cosmetics-environmental-impact-system</w:t>
      </w:r>
      <w:r>
        <w:br/>
      </w:r>
      <w:r>
        <w:t xml:space="preserve">73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(2020).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Initiative.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https://ec.europa.eu/info/law/better-regulation/have-your-say/initiatives/12567-Sustainable-products-</w:t>
      </w:r>
      <w:r>
        <w:t xml:space="preserve"> </w:t>
      </w:r>
      <w:r>
        <w:t xml:space="preserve">initiative_en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in contact with the external parts of the human body, or with the teeth and the mucous</w:t>
      </w:r>
      <w:r>
        <w:t xml:space="preserve"> </w:t>
      </w:r>
      <w:r>
        <w:t xml:space="preserve">membranes of the oral cavity, with a view exclusively or mainly to cleaning them, perfuming</w:t>
      </w:r>
      <w:r>
        <w:t xml:space="preserve"> </w:t>
      </w:r>
      <w:r>
        <w:t xml:space="preserve">them, changing their appearance, protecting them, keeping them in good condition or</w:t>
      </w:r>
      <w:r>
        <w:t xml:space="preserve"> </w:t>
      </w:r>
      <w:r>
        <w:t xml:space="preserve">correcting body odours” (EC, 2021g, Article 1). The revised criteria for awarding the EU</w:t>
      </w:r>
      <w:r>
        <w:t xml:space="preserve"> </w:t>
      </w:r>
      <w:r>
        <w:t xml:space="preserve">Ecolabel now apply both to rinse-off and leave-on cosmetic products. They include:</w:t>
      </w:r>
    </w:p>
    <w:p>
      <w:pPr>
        <w:pStyle w:val="BodyText"/>
      </w:pPr>
      <w:r>
        <w:t xml:space="preserve">Toxicity to aquatic organisms: critical dilution volume (CDV) of rinse-off products;</w:t>
      </w:r>
    </w:p>
    <w:p>
      <w:pPr>
        <w:pStyle w:val="BodyText"/>
      </w:pPr>
      <w:r>
        <w:t xml:space="preserve">Biodegradability of rinse-off products;</w:t>
      </w:r>
    </w:p>
    <w:p>
      <w:pPr>
        <w:pStyle w:val="BodyText"/>
      </w:pPr>
      <w:r>
        <w:t xml:space="preserve">Aquatic toxicity and biodegradability of leave-on products;</w:t>
      </w:r>
    </w:p>
    <w:p>
      <w:pPr>
        <w:pStyle w:val="BodyText"/>
      </w:pPr>
      <w:r>
        <w:t xml:space="preserve">Excluded and restricted substances;</w:t>
      </w:r>
    </w:p>
    <w:p>
      <w:pPr>
        <w:pStyle w:val="BodyText"/>
      </w:pPr>
      <w:r>
        <w:t xml:space="preserve">Packaging;</w:t>
      </w:r>
    </w:p>
    <w:p>
      <w:pPr>
        <w:pStyle w:val="BodyText"/>
      </w:pPr>
      <w:r>
        <w:t xml:space="preserve">Sustainable sourcing of palm oil, palm kernel oil and their derivatives;</w:t>
      </w:r>
    </w:p>
    <w:p>
      <w:pPr>
        <w:pStyle w:val="BodyText"/>
      </w:pPr>
      <w:r>
        <w:t xml:space="preserve">Fitness for use;</w:t>
      </w:r>
      <w:r>
        <w:t xml:space="preserve"> </w:t>
      </w:r>
      <w:r>
        <w:t xml:space="preserve">Information on EU Ecolabel.</w:t>
      </w:r>
      <w:r>
        <w:t xml:space="preserve"> </w:t>
      </w:r>
      <w:r>
        <w:t xml:space="preserve">The European Commission has observed a growth in interest in obtaining the EU Ecolabel,</w:t>
      </w:r>
      <w:r>
        <w:t xml:space="preserve"> </w:t>
      </w:r>
      <w:r>
        <w:t xml:space="preserve">mirroring the increasing interest on green products by consumers. According to the European</w:t>
      </w:r>
      <w:r>
        <w:t xml:space="preserve"> </w:t>
      </w:r>
      <w:r>
        <w:t xml:space="preserve">Commission, 2,057 licences have been awarded for 83,590 products in the EU. Twenty-one</w:t>
      </w:r>
      <w:r>
        <w:t xml:space="preserve"> </w:t>
      </w:r>
      <w:r>
        <w:t xml:space="preserve">percent (21%) (118 out of 2,057) were awarded to rinse-off cosmetic products, covering 2,575</w:t>
      </w:r>
      <w:r>
        <w:t xml:space="preserve"> </w:t>
      </w:r>
      <w:r>
        <w:t xml:space="preserve">products (around 3% of the total number of awarded products) (EC, 2021g).</w:t>
      </w:r>
    </w:p>
    <w:p>
      <w:pPr>
        <w:pStyle w:val="BodyText"/>
      </w:pPr>
      <w:r>
        <w:t xml:space="preserve">Figure 61: Licences and products</w:t>
      </w:r>
    </w:p>
    <w:p>
      <w:pPr>
        <w:pStyle w:val="BodyText"/>
      </w:pPr>
      <w:r>
        <w:t xml:space="preserve">Finally, in 2021, Henkel, L’Oréal, LVMH, Natura &amp;Co, and Unilever launched a global</w:t>
      </w:r>
      <w:r>
        <w:t xml:space="preserve"> </w:t>
      </w:r>
      <w:r>
        <w:t xml:space="preserve">consortium, open to all cosmetics company, to develop an environmental impact assessment</w:t>
      </w:r>
      <w:r>
        <w:t xml:space="preserve"> </w:t>
      </w:r>
      <w:r>
        <w:t xml:space="preserve">and scoring system for cosmetics products. This initiative aims at providing consumers with</w:t>
      </w:r>
      <w:r>
        <w:t xml:space="preserve"> </w:t>
      </w:r>
      <w:r>
        <w:t xml:space="preserve">comparable and transparent information about the environmental impact of cosmetic products.</w:t>
      </w:r>
      <w:r>
        <w:t xml:space="preserve"> </w:t>
      </w:r>
      <w:r>
        <w:t xml:space="preserve">The assessment and scoring systems will be based on a common product lifecycle assessment</w:t>
      </w:r>
      <w:r>
        <w:t xml:space="preserve"> </w:t>
      </w:r>
      <w:r>
        <w:t xml:space="preserve">methodology for measuring the environmental impacts of a product, common database of</w:t>
      </w:r>
      <w:r>
        <w:t xml:space="preserve"> </w:t>
      </w:r>
      <w:r>
        <w:t xml:space="preserve">environmental impacts and tools to calculate them in line with a harmonized system for scoring</w:t>
      </w:r>
      <w:r>
        <w:t xml:space="preserve"> </w:t>
      </w:r>
      <w:r>
        <w:t xml:space="preserve">the environmental performance (Unilever, 2021).74 The initiative has just been launched and it</w:t>
      </w:r>
      <w:r>
        <w:t xml:space="preserve"> </w:t>
      </w:r>
      <w:r>
        <w:t xml:space="preserve">is therefore too early to judge its scope and potential results.</w:t>
      </w:r>
    </w:p>
    <w:p>
      <w:pPr>
        <w:pStyle w:val="BodyText"/>
      </w:pPr>
      <w:r>
        <w:t xml:space="preserve">74 Unilever, New cosmetics consortium to co-design environmental impact assessment and scoring system, 2021.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1.1.7 Online sales of chemicals</w:t>
      </w:r>
      <w:r>
        <w:br/>
      </w:r>
      <w:r>
        <w:t xml:space="preserve">The evolution of the problem of non-compliance of chemicals sold online with the CLP</w:t>
      </w:r>
      <w:r>
        <w:t xml:space="preserve"> </w:t>
      </w:r>
      <w:r>
        <w:t xml:space="preserve">Regulation over time will be shaped by the development in e-commerce and regulatory and</w:t>
      </w:r>
      <w:r>
        <w:t xml:space="preserve"> </w:t>
      </w:r>
      <w:r>
        <w:t xml:space="preserve">non-regulatory initiatives that have been already undertaken by the Commission.</w:t>
      </w:r>
      <w:r>
        <w:t xml:space="preserve"> </w:t>
      </w:r>
      <w:r>
        <w:t xml:space="preserve">Data underpinning the trend of increased online sales</w:t>
      </w:r>
      <w:r>
        <w:br/>
      </w:r>
      <w:r>
        <w:t xml:space="preserve">Concerning the uptake of e-commerce services by consumers, an increased number of</w:t>
      </w:r>
      <w:r>
        <w:t xml:space="preserve"> </w:t>
      </w:r>
      <w:r>
        <w:t xml:space="preserve">consumer purchases are made online, therefore, chances rise that consumers will be affected</w:t>
      </w:r>
      <w:r>
        <w:t xml:space="preserve"> </w:t>
      </w:r>
      <w:r>
        <w:t xml:space="preserve">by non-compliant chemicals sold online. Data from the EU annual survey on the use of</w:t>
      </w:r>
      <w:r>
        <w:t xml:space="preserve"> </w:t>
      </w:r>
      <w:r>
        <w:t xml:space="preserve">Information and Communication Technologies (ICT) in households and by individuals show</w:t>
      </w:r>
      <w:r>
        <w:t xml:space="preserve"> </w:t>
      </w:r>
      <w:r>
        <w:t xml:space="preserve">that in 2020 and 202175 around 8% of all individuals in the EU27 who have used the internet</w:t>
      </w:r>
      <w:r>
        <w:t xml:space="preserve"> </w:t>
      </w:r>
      <w:r>
        <w:t xml:space="preserve">in the three months prior to the survey bought cleaning products or personal hygiene products</w:t>
      </w:r>
      <w:r>
        <w:t xml:space="preserve"> </w:t>
      </w:r>
      <w:r>
        <w:t xml:space="preserve">online76.</w:t>
      </w:r>
      <w:r>
        <w:br/>
      </w:r>
      <w:r>
        <w:t xml:space="preserve">Online shopping behaviour of consumers was also explored by business entities. For instance,</w:t>
      </w:r>
      <w:r>
        <w:t xml:space="preserve"> </w:t>
      </w:r>
      <w:r>
        <w:t xml:space="preserve">in 2018, a research commissioned by Dynamic Parcel Distribution (DPD) to Kantar covered a</w:t>
      </w:r>
      <w:r>
        <w:t xml:space="preserve"> </w:t>
      </w:r>
      <w:r>
        <w:t xml:space="preserve">survey of 24,328 respondents from 21 European countries, while the survey performed by Ipsos</w:t>
      </w:r>
      <w:r>
        <w:t xml:space="preserve"> </w:t>
      </w:r>
      <w:r>
        <w:t xml:space="preserve">for PayPal covered 34,000 customers in 31 countries. The findings of these researches are in</w:t>
      </w:r>
      <w:r>
        <w:t xml:space="preserve"> </w:t>
      </w:r>
      <w:r>
        <w:t xml:space="preserve">line with the data by Eurostat and also provide additional insight into consumer behaviour:</w:t>
      </w:r>
      <w:r>
        <w:t xml:space="preserve"> </w:t>
      </w:r>
      <w:r>
        <w:t xml:space="preserve">According to PayPal research, 43% of shoppers in Western Europe and 44% in Eastern</w:t>
      </w:r>
      <w:r>
        <w:t xml:space="preserve"> </w:t>
      </w:r>
      <w:r>
        <w:t xml:space="preserve">Europe77 shop online domestically, while 9% and 10% are, respectively, engaged only in cross-</w:t>
      </w:r>
      <w:r>
        <w:t xml:space="preserve"> </w:t>
      </w:r>
      <w:r>
        <w:t xml:space="preserve">border shopping. Over 50% of Western and Eastern Europeans prefer large global stores</w:t>
      </w:r>
      <w:r>
        <w:t xml:space="preserve"> </w:t>
      </w:r>
      <w:r>
        <w:t xml:space="preserve">(e.g., Amazon or eBay) when purchasing from another country (PayPal &amp; Ipsos, 2018).</w:t>
      </w:r>
      <w:r>
        <w:t xml:space="preserve"> </w:t>
      </w:r>
      <w:r>
        <w:t xml:space="preserve">According to Dynamic Parcel Distribution research, 19% of online shoppers in Europe</w:t>
      </w:r>
      <w:r>
        <w:t xml:space="preserve"> </w:t>
      </w:r>
      <w:r>
        <w:t xml:space="preserve">purchased goods from foreign websites. However, in some countries the number of online</w:t>
      </w:r>
      <w:r>
        <w:t xml:space="preserve"> </w:t>
      </w:r>
      <w:r>
        <w:t xml:space="preserve">shoppers buying from foreign countries is much higher, e.g., in Croatia – 29.6%, Ireland –</w:t>
      </w:r>
      <w:r>
        <w:t xml:space="preserve"> </w:t>
      </w:r>
      <w:r>
        <w:t xml:space="preserve">28.6%, Latvia – 27.9%, Portugal – 27.6%, and Slovenia – 27.5%. 13% of online shoppers in</w:t>
      </w:r>
      <w:r>
        <w:t xml:space="preserve"> </w:t>
      </w:r>
      <w:r>
        <w:t xml:space="preserve">Europe in 2018 purchased online at least once per week (DPD Group &amp; Kantar, 2018).</w:t>
      </w:r>
      <w:r>
        <w:t xml:space="preserve"> </w:t>
      </w:r>
      <w:r>
        <w:t xml:space="preserve">Also the number of EU companies using e-commerce increases constantly, and web sales</w:t>
      </w:r>
      <w:r>
        <w:t xml:space="preserve"> </w:t>
      </w:r>
      <w:r>
        <w:t xml:space="preserve">through websites, online sales apps, and online marketplaces play an increasingly important</w:t>
      </w:r>
      <w:r>
        <w:t xml:space="preserve"> </w:t>
      </w:r>
      <w:r>
        <w:t xml:space="preserve">role. According to Eurostat, in the period 2010–2019, the number of enterprises with e-sales</w:t>
      </w:r>
      <w:r>
        <w:t xml:space="preserve"> </w:t>
      </w:r>
      <w:r>
        <w:t xml:space="preserve">increased from 15% in 2010 to 21% in 2019. The turnover of enterprises generated from e-</w:t>
      </w:r>
      <w:r>
        <w:t xml:space="preserve"> </w:t>
      </w:r>
      <w:r>
        <w:t xml:space="preserve">sales grew from 13% in 2010 to 20% in 2019. Fifteen percent (15%) of EU enterprises</w:t>
      </w:r>
      <w:r>
        <w:t xml:space="preserve"> </w:t>
      </w:r>
      <w:r>
        <w:t xml:space="preserve">conducted e-sales using only websites or apps, while 3% used only electronic data interchange</w:t>
      </w:r>
      <w:r>
        <w:t xml:space="preserve"> </w:t>
      </w:r>
      <w:r>
        <w:t xml:space="preserve">(EDI) for sales and another 3% used both.</w:t>
      </w:r>
      <w:r>
        <w:br/>
      </w:r>
      <w:r>
        <w:t xml:space="preserve">Chemicals industry is increasingly engaged in trading via online marketplaces. The</w:t>
      </w:r>
      <w:r>
        <w:t xml:space="preserve"> </w:t>
      </w:r>
      <w:r>
        <w:t xml:space="preserve">evolution of chemical online marketplaces could be tracked back to 1996 with the</w:t>
      </w:r>
    </w:p>
    <w:p>
      <w:pPr>
        <w:pStyle w:val="BodyText"/>
      </w:pPr>
      <w:r>
        <w:t xml:space="preserve">75 These are the only years for which data are provided.</w:t>
      </w:r>
      <w:r>
        <w:t xml:space="preserve"> </w:t>
      </w:r>
      <w:r>
        <w:t xml:space="preserve">76</w:t>
      </w:r>
      <w:r>
        <w:t xml:space="preserve"> </w:t>
      </w:r>
      <w:r>
        <w:t xml:space="preserve">Eurostat</w:t>
      </w:r>
      <w:r>
        <w:t xml:space="preserve"> </w:t>
      </w:r>
      <w:r>
        <w:t xml:space="preserve">database:</w:t>
      </w:r>
      <w:r>
        <w:t xml:space="preserve"> </w:t>
      </w:r>
      <w:r>
        <w:t xml:space="preserve">Internet</w:t>
      </w:r>
      <w:r>
        <w:t xml:space="preserve"> </w:t>
      </w:r>
      <w:r>
        <w:t xml:space="preserve">purchases</w:t>
      </w:r>
      <w:r>
        <w:t xml:space="preserve"> </w:t>
      </w:r>
      <w:r>
        <w:t xml:space="preserve">–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(2020</w:t>
      </w:r>
      <w:r>
        <w:t xml:space="preserve"> </w:t>
      </w:r>
      <w:r>
        <w:t xml:space="preserve">onwards)</w:t>
      </w:r>
      <w:r>
        <w:t xml:space="preserve"> </w:t>
      </w:r>
      <w:r>
        <w:t xml:space="preserve">[ISOC_EC_IBGS__custom_2139201]. This is the only product category reported in the survey which is subject</w:t>
      </w:r>
      <w:r>
        <w:t xml:space="preserve"> </w:t>
      </w:r>
      <w:r>
        <w:t xml:space="preserve">to CLP requirements. The statistics shows large differences between countries, with 24% of Dutch individuals in</w:t>
      </w:r>
      <w:r>
        <w:t xml:space="preserve"> </w:t>
      </w:r>
      <w:r>
        <w:t xml:space="preserve">2021 having purchased cleaning products or personal hygiene products online, against 1% of all individuals in</w:t>
      </w:r>
      <w:r>
        <w:t xml:space="preserve"> </w:t>
      </w:r>
      <w:r>
        <w:t xml:space="preserve">Bulgaria.</w:t>
      </w:r>
      <w:r>
        <w:t xml:space="preserve"> </w:t>
      </w:r>
      <w:r>
        <w:t xml:space="preserve">77 Russian Federation was also included in the group of Eastern European countries.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establishment of such platforms as EC Plaza in 1996. According to Accenture, early chemical</w:t>
      </w:r>
      <w:r>
        <w:t xml:space="preserve"> </w:t>
      </w:r>
      <w:r>
        <w:t xml:space="preserve">online marketplaces were mainly business-to-business services, while much later generalist</w:t>
      </w:r>
      <w:r>
        <w:t xml:space="preserve"> </w:t>
      </w:r>
      <w:r>
        <w:t xml:space="preserve">online marketplaces, such as Alibaba.com started to offer chemical products to consumers</w:t>
      </w:r>
      <w:r>
        <w:t xml:space="preserve"> </w:t>
      </w:r>
      <w:r>
        <w:t xml:space="preserve">(Elser &amp; Radel, 202078). In its annual chemical marketplaces report, Chembid listed 61 online</w:t>
      </w:r>
      <w:r>
        <w:t xml:space="preserve"> </w:t>
      </w:r>
      <w:r>
        <w:t xml:space="preserve">platforms. According to Chembid79, chemical online marketplaces usually offer up to 10,000</w:t>
      </w:r>
      <w:r>
        <w:t xml:space="preserve"> </w:t>
      </w:r>
      <w:r>
        <w:t xml:space="preserve">products from up to 25,000 suppliers (Chembid, 202080).</w:t>
      </w:r>
      <w:r>
        <w:t xml:space="preserve"> </w:t>
      </w:r>
      <w:r>
        <w:t xml:space="preserve">The following trends could be retrieved from a study on cross-border online sales (Cross-</w:t>
      </w:r>
      <w:r>
        <w:t xml:space="preserve"> </w:t>
      </w:r>
      <w:r>
        <w:t xml:space="preserve">Border Commerce Europe, 2020)81:</w:t>
      </w:r>
      <w:r>
        <w:br/>
      </w:r>
      <w:r>
        <w:t xml:space="preserve">Growing revenues in cross-border online retail sales. The study observed a 14.4% increase in</w:t>
      </w:r>
      <w:r>
        <w:t xml:space="preserve"> </w:t>
      </w:r>
      <w:r>
        <w:t xml:space="preserve">e-commerce revenues compared to 2018 (excluding travel sector). In 2019 the cross-border</w:t>
      </w:r>
      <w:r>
        <w:t xml:space="preserve"> </w:t>
      </w:r>
      <w:r>
        <w:t xml:space="preserve">share was 23.55% of total online sales in Europe (EU16).</w:t>
      </w:r>
      <w:r>
        <w:t xml:space="preserve"> </w:t>
      </w:r>
      <w:r>
        <w:t xml:space="preserve">The market share of EU and non-EU players in online retail is almost equal: 55% is generated</w:t>
      </w:r>
      <w:r>
        <w:t xml:space="preserve"> </w:t>
      </w:r>
      <w:r>
        <w:t xml:space="preserve">by the EU traders and 45% by non-EU retailers. In 2019, the market share of the EU traders</w:t>
      </w:r>
      <w:r>
        <w:t xml:space="preserve"> </w:t>
      </w:r>
      <w:r>
        <w:t xml:space="preserve">increased by 3% compared to 2018.</w:t>
      </w:r>
      <w:r>
        <w:t xml:space="preserve"> </w:t>
      </w:r>
      <w:r>
        <w:t xml:space="preserve">Online marketplaces play a significant role in online sales. In cross-border trade within the EU,</w:t>
      </w:r>
      <w:r>
        <w:t xml:space="preserve"> </w:t>
      </w:r>
      <w:r>
        <w:t xml:space="preserve">25 online marketplaces had a turnover of €10.5 billion in 2019 or 26.4% of total sales and an</w:t>
      </w:r>
      <w:r>
        <w:t xml:space="preserve"> </w:t>
      </w:r>
      <w:r>
        <w:t xml:space="preserve">increase of 17% compared to 2018. According to the study, online marketplaces grow faster</w:t>
      </w:r>
      <w:r>
        <w:t xml:space="preserve"> </w:t>
      </w:r>
      <w:r>
        <w:t xml:space="preserve">than the average market. In online trade by non-EU retailers, 80% of cross-border sales are</w:t>
      </w:r>
      <w:r>
        <w:t xml:space="preserve"> </w:t>
      </w:r>
      <w:r>
        <w:t xml:space="preserve">generated through online marketplaces, with Amazon as a leader with € 32 billion from sales.</w:t>
      </w:r>
      <w:r>
        <w:t xml:space="preserve"> </w:t>
      </w:r>
      <w:r>
        <w:t xml:space="preserve">Estimations of incompliant chemicals related to the problems outlined above</w:t>
      </w:r>
      <w:r>
        <w:t xml:space="preserve"> </w:t>
      </w:r>
      <w:r>
        <w:t xml:space="preserve">Data on the CLP incompliances of online chemicals’ sales in and outside the EU that are</w:t>
      </w:r>
      <w:r>
        <w:t xml:space="preserve"> </w:t>
      </w:r>
      <w:r>
        <w:t xml:space="preserve">relevant for problem 1 and data on imports that are relevant for problem 2 is not available. The</w:t>
      </w:r>
      <w:r>
        <w:t xml:space="preserve"> </w:t>
      </w:r>
      <w:r>
        <w:t xml:space="preserve">figures below are established based on estimations which bring some uncertainty on the place</w:t>
      </w:r>
      <w:r>
        <w:t xml:space="preserve"> </w:t>
      </w:r>
      <w:r>
        <w:t xml:space="preserve">of origin of sellers (it must be assumed that in reality even more chemicals originate from</w:t>
      </w:r>
      <w:r>
        <w:t xml:space="preserve"> </w:t>
      </w:r>
      <w:r>
        <w:t xml:space="preserve">outside the EU although they are sold by domestic platforms), the overall chemicals’</w:t>
      </w:r>
      <w:r>
        <w:t xml:space="preserve"> </w:t>
      </w:r>
      <w:r>
        <w:t xml:space="preserve">incompliance rate compared to mere samples, the number of consumers exposed to incompliant</w:t>
      </w:r>
      <w:r>
        <w:t xml:space="preserve"> </w:t>
      </w:r>
      <w:r>
        <w:t xml:space="preserve">chemicals82.</w:t>
      </w:r>
      <w:r>
        <w:br/>
      </w:r>
      <w:r>
        <w:t xml:space="preserve">With respect to CLP non-compliant items from online sellers within the EU:</w:t>
      </w:r>
      <w:r>
        <w:t xml:space="preserve"> </w:t>
      </w:r>
      <w:r>
        <w:t xml:space="preserve">In 2021, 251 million consumers in the EU purchased goods online from sellers within the EU.</w:t>
      </w:r>
      <w:r>
        <w:t xml:space="preserve"> </w:t>
      </w:r>
      <w:r>
        <w:t xml:space="preserve">These consumers purchased 111 million items from categories of goods for which CLP</w:t>
      </w:r>
      <w:r>
        <w:t xml:space="preserve"> </w:t>
      </w:r>
      <w:r>
        <w:t xml:space="preserve">requirements are relevant for some of the goods.</w:t>
      </w:r>
    </w:p>
    <w:p>
      <w:pPr>
        <w:pStyle w:val="BodyText"/>
      </w:pPr>
      <w:r>
        <w:t xml:space="preserve">78 Elser, B. &amp; Radel, T. (2020). Why digital marketplaces deserve a chance in chemicals. In Accenture Chemicals</w:t>
      </w:r>
      <w:r>
        <w:t xml:space="preserve"> </w:t>
      </w:r>
      <w:r>
        <w:t xml:space="preserve">and Natural Resources Blog. Available at: https://www.accenture.com/us-en/blogs/chemicals-and-natural-</w:t>
      </w:r>
      <w:r>
        <w:t xml:space="preserve"> </w:t>
      </w:r>
      <w:r>
        <w:t xml:space="preserve">resources-blog/elser-radel-digital-marketplaces-deserve-a-chance-in-chemicals</w:t>
      </w:r>
      <w:r>
        <w:t xml:space="preserve"> </w:t>
      </w:r>
      <w:r>
        <w:t xml:space="preserve">79 Chembid is an online metasearch engine and intelligence platform for chemical business that compiles a yearly</w:t>
      </w:r>
      <w:r>
        <w:t xml:space="preserve"> </w:t>
      </w:r>
      <w:r>
        <w:t xml:space="preserve">chemical marketplaces report that reviews and compares emerging online platforms.</w:t>
      </w:r>
      <w:r>
        <w:t xml:space="preserve"> </w:t>
      </w:r>
      <w:r>
        <w:t xml:space="preserve">80</w:t>
      </w:r>
      <w:r>
        <w:t xml:space="preserve"> </w:t>
      </w:r>
      <w:r>
        <w:t xml:space="preserve">Chembid</w:t>
      </w:r>
      <w:r>
        <w:t xml:space="preserve"> </w:t>
      </w:r>
      <w:r>
        <w:t xml:space="preserve">(2020).</w:t>
      </w:r>
      <w:r>
        <w:t xml:space="preserve"> </w:t>
      </w:r>
      <w:r>
        <w:t xml:space="preserve">The</w:t>
      </w:r>
      <w:r>
        <w:t xml:space="preserve"> </w:t>
      </w:r>
      <w:r>
        <w:t xml:space="preserve">chemical</w:t>
      </w:r>
      <w:r>
        <w:t xml:space="preserve"> </w:t>
      </w:r>
      <w:r>
        <w:t xml:space="preserve">marketplaces</w:t>
      </w:r>
      <w:r>
        <w:t xml:space="preserve"> </w:t>
      </w:r>
      <w:r>
        <w:t xml:space="preserve">report</w:t>
      </w:r>
      <w:r>
        <w:t xml:space="preserve"> </w:t>
      </w:r>
      <w:r>
        <w:t xml:space="preserve">2021.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https://f.hubspotusercontent40.net/hubfs/6037596/chembids%20Chemical%20Marketplaces%20Report%20202</w:t>
      </w:r>
      <w:r>
        <w:t xml:space="preserve"> </w:t>
      </w:r>
      <w:r>
        <w:t xml:space="preserve">1.pdf</w:t>
      </w:r>
      <w:r>
        <w:br/>
      </w:r>
      <w:r>
        <w:t xml:space="preserve">81 The analysis was based on the data from 16 countries from Western Europe and Scandinavia that put limitations</w:t>
      </w:r>
      <w:r>
        <w:t xml:space="preserve"> </w:t>
      </w:r>
      <w:r>
        <w:t xml:space="preserve">on the findings of this study in terms of generalising its result to the EU.</w:t>
      </w:r>
      <w:r>
        <w:br/>
      </w:r>
      <w:r>
        <w:t xml:space="preserve">82 See detailed description of the methodology used in the Appendix.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Based on estimations, 16.6 million of the 111 million items purchased by these consumers from</w:t>
      </w:r>
      <w:r>
        <w:t xml:space="preserve"> </w:t>
      </w:r>
      <w:r>
        <w:t xml:space="preserve">sellers within the EU were not compliant with CLP requirements.</w:t>
      </w:r>
      <w:r>
        <w:t xml:space="preserve"> </w:t>
      </w:r>
      <w:r>
        <w:t xml:space="preserve">Based on estimations, in 2021, 9.6 million consumers purchased one CLP non-compliant item</w:t>
      </w:r>
      <w:r>
        <w:t xml:space="preserve"> </w:t>
      </w:r>
      <w:r>
        <w:t xml:space="preserve">from sellers within the EU and a further 3.5 million consumers purchased two CLP non-</w:t>
      </w:r>
      <w:r>
        <w:t xml:space="preserve"> </w:t>
      </w:r>
      <w:r>
        <w:t xml:space="preserve">compliant products from sellers within the EU – making a total of 16.6 million CLP non-</w:t>
      </w:r>
      <w:r>
        <w:t xml:space="preserve"> </w:t>
      </w:r>
      <w:r>
        <w:t xml:space="preserve">compliant items purchased from sellers within the EU.</w:t>
      </w:r>
      <w:r>
        <w:t xml:space="preserve"> </w:t>
      </w:r>
      <w:r>
        <w:t xml:space="preserve">With respect to CLP non-compliant items from sellers outside the EU:</w:t>
      </w:r>
      <w:r>
        <w:t xml:space="preserve"> </w:t>
      </w:r>
      <w:r>
        <w:t xml:space="preserve">In 2021 there were some 69.5 million consumers in the EU who purchased goods online from</w:t>
      </w:r>
      <w:r>
        <w:t xml:space="preserve"> </w:t>
      </w:r>
      <w:r>
        <w:t xml:space="preserve">sellers outside the EU. These consumers purchased 32.4 million items from categories of goods</w:t>
      </w:r>
      <w:r>
        <w:t xml:space="preserve"> </w:t>
      </w:r>
      <w:r>
        <w:t xml:space="preserve">for which CLP requirements are relevant for some of the goods.</w:t>
      </w:r>
      <w:r>
        <w:br/>
      </w:r>
      <w:r>
        <w:t xml:space="preserve">Based also on estimations, 7.3 million of the 32.4 million items purchased by these consumers</w:t>
      </w:r>
      <w:r>
        <w:t xml:space="preserve"> </w:t>
      </w:r>
      <w:r>
        <w:t xml:space="preserve">from sellers outside the EU were not compliant with CLP requirements.</w:t>
      </w:r>
      <w:r>
        <w:t xml:space="preserve"> </w:t>
      </w:r>
      <w:r>
        <w:t xml:space="preserve">Following the same logic as before, in 2021, 4.2 million consumers purchased one CLP non-</w:t>
      </w:r>
      <w:r>
        <w:t xml:space="preserve"> </w:t>
      </w:r>
      <w:r>
        <w:t xml:space="preserve">compliant item from sellers outside the EU and a further 1.6 million consumers purchased two</w:t>
      </w:r>
      <w:r>
        <w:t xml:space="preserve"> </w:t>
      </w:r>
      <w:r>
        <w:t xml:space="preserve">CLP non-compliant products from sellers outside the EU – making a total of 7.3 million CLP</w:t>
      </w:r>
      <w:r>
        <w:t xml:space="preserve"> </w:t>
      </w:r>
      <w:r>
        <w:t xml:space="preserve">non-compliant items purchased from sellers outside the EU.</w:t>
      </w:r>
      <w:r>
        <w:t xml:space="preserve"> </w:t>
      </w:r>
      <w:r>
        <w:t xml:space="preserve">The number of non-compliant items and consumers of those items is summarised in the table</w:t>
      </w:r>
      <w:r>
        <w:t xml:space="preserve"> </w:t>
      </w:r>
      <w:r>
        <w:t xml:space="preserve">below for all three scenarios (lower, central and upper).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Table 21: Number of non-compliant items and consumers of those items</w:t>
      </w:r>
      <w:r>
        <w:t xml:space="preserve"> </w:t>
      </w:r>
      <w:r>
        <w:t xml:space="preserve">Non-compliance</w:t>
      </w:r>
      <w:r>
        <w:t xml:space="preserve"> </w:t>
      </w:r>
      <w:r>
        <w:t xml:space="preserve">issue</w:t>
      </w:r>
      <w:r>
        <w:t xml:space="preserve"> </w:t>
      </w:r>
      <w:r>
        <w:t xml:space="preserve">Location of</w:t>
      </w:r>
      <w:r>
        <w:t xml:space="preserve"> </w:t>
      </w:r>
      <w:r>
        <w:t xml:space="preserve">seller</w:t>
      </w:r>
      <w:r>
        <w:t xml:space="preserve"> </w:t>
      </w:r>
      <w:r>
        <w:t xml:space="preserve">Number of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items</w:t>
      </w:r>
      <w:r>
        <w:t xml:space="preserve"> </w:t>
      </w:r>
      <w:r>
        <w:t xml:space="preserve">purchased per</w:t>
      </w:r>
      <w:r>
        <w:t xml:space="preserve"> </w:t>
      </w:r>
      <w:r>
        <w:t xml:space="preserve">year (million)</w:t>
      </w:r>
      <w:r>
        <w:t xml:space="preserve"> </w:t>
      </w:r>
      <w:r>
        <w:t xml:space="preserve">Number of consumers</w:t>
      </w:r>
      <w:r>
        <w:t xml:space="preserve"> </w:t>
      </w:r>
      <w:r>
        <w:t xml:space="preserve">purchasing</w:t>
      </w:r>
      <w:r>
        <w:t xml:space="preserve"> </w:t>
      </w:r>
      <w:r>
        <w:t xml:space="preserve">one non-</w:t>
      </w:r>
      <w:r>
        <w:t xml:space="preserve"> </w:t>
      </w:r>
      <w:r>
        <w:t xml:space="preserve">compliant</w:t>
      </w:r>
      <w:r>
        <w:t xml:space="preserve"> </w:t>
      </w:r>
      <w:r>
        <w:t xml:space="preserve">item per year</w:t>
      </w:r>
      <w:r>
        <w:t xml:space="preserve"> </w:t>
      </w:r>
      <w:r>
        <w:t xml:space="preserve">(million)</w:t>
      </w:r>
      <w:r>
        <w:t xml:space="preserve"> </w:t>
      </w:r>
      <w:r>
        <w:t xml:space="preserve">two 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per year</w:t>
      </w:r>
      <w:r>
        <w:t xml:space="preserve"> </w:t>
      </w:r>
      <w:r>
        <w:t xml:space="preserve">(million)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 non-</w:t>
      </w:r>
      <w:r>
        <w:t xml:space="preserve"> </w:t>
      </w:r>
      <w:r>
        <w:t xml:space="preserve">compliant items</w:t>
      </w:r>
      <w:r>
        <w:br/>
      </w:r>
      <w:r>
        <w:t xml:space="preserve">within EU</w:t>
      </w:r>
      <w:r>
        <w:t xml:space="preserve"> </w:t>
      </w:r>
      <w:r>
        <w:t xml:space="preserve">42.5</w:t>
      </w:r>
      <w:r>
        <w:t xml:space="preserve"> </w:t>
      </w:r>
      <w:r>
        <w:t xml:space="preserve">24.5</w:t>
      </w:r>
      <w:r>
        <w:t xml:space="preserve"> </w:t>
      </w:r>
      <w:r>
        <w:t xml:space="preserve">9.0</w:t>
      </w:r>
      <w:r>
        <w:t xml:space="preserve"> </w:t>
      </w:r>
      <w:r>
        <w:t xml:space="preserve">outside EU</w:t>
      </w:r>
      <w:r>
        <w:t xml:space="preserve"> </w:t>
      </w:r>
      <w:r>
        <w:t xml:space="preserve">17.0</w:t>
      </w:r>
      <w:r>
        <w:t xml:space="preserve"> </w:t>
      </w:r>
      <w:r>
        <w:t xml:space="preserve">9.8</w:t>
      </w:r>
      <w:r>
        <w:t xml:space="preserve"> </w:t>
      </w:r>
      <w:r>
        <w:t xml:space="preserve">3.6</w:t>
      </w:r>
      <w:r>
        <w:t xml:space="preserve"> </w:t>
      </w:r>
      <w:r>
        <w:t xml:space="preserve">CLP 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11.1</w:t>
      </w:r>
      <w:r>
        <w:t xml:space="preserve"> </w:t>
      </w:r>
      <w:r>
        <w:t xml:space="preserve">6.4</w:t>
      </w:r>
      <w:r>
        <w:t xml:space="preserve"> </w:t>
      </w:r>
      <w:r>
        <w:t xml:space="preserve">2.3</w:t>
      </w:r>
      <w:r>
        <w:t xml:space="preserve"> </w:t>
      </w:r>
      <w:r>
        <w:t xml:space="preserve">outside EU</w:t>
      </w:r>
      <w:r>
        <w:t xml:space="preserve"> </w:t>
      </w:r>
      <w:r>
        <w:t xml:space="preserve">4.4</w:t>
      </w:r>
      <w:r>
        <w:t xml:space="preserve"> </w:t>
      </w:r>
      <w:r>
        <w:t xml:space="preserve">2.6</w:t>
      </w:r>
      <w:r>
        <w:t xml:space="preserve"> </w:t>
      </w:r>
      <w:r>
        <w:t xml:space="preserve">0.9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 non-</w:t>
      </w:r>
      <w:r>
        <w:t xml:space="preserve"> </w:t>
      </w:r>
      <w:r>
        <w:t xml:space="preserve">compliant items</w:t>
      </w:r>
      <w:r>
        <w:br/>
      </w:r>
      <w:r>
        <w:t xml:space="preserve">within EU</w:t>
      </w:r>
      <w:r>
        <w:t xml:space="preserve"> </w:t>
      </w:r>
      <w:r>
        <w:t xml:space="preserve">70.8</w:t>
      </w:r>
      <w:r>
        <w:t xml:space="preserve"> </w:t>
      </w:r>
      <w:r>
        <w:t xml:space="preserve">40.9</w:t>
      </w:r>
      <w:r>
        <w:t xml:space="preserve"> </w:t>
      </w:r>
      <w:r>
        <w:t xml:space="preserve">14.9</w:t>
      </w:r>
      <w:r>
        <w:t xml:space="preserve"> </w:t>
      </w:r>
      <w:r>
        <w:t xml:space="preserve">outside EU</w:t>
      </w:r>
      <w:r>
        <w:t xml:space="preserve"> </w:t>
      </w:r>
      <w:r>
        <w:t xml:space="preserve">31.0</w:t>
      </w:r>
      <w:r>
        <w:t xml:space="preserve"> </w:t>
      </w:r>
      <w:r>
        <w:t xml:space="preserve">17.8</w:t>
      </w:r>
      <w:r>
        <w:t xml:space="preserve"> </w:t>
      </w:r>
      <w:r>
        <w:t xml:space="preserve">6.6</w:t>
      </w:r>
      <w:r>
        <w:t xml:space="preserve"> </w:t>
      </w:r>
      <w:r>
        <w:t xml:space="preserve">CLP 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16.6</w:t>
      </w:r>
      <w:r>
        <w:t xml:space="preserve"> </w:t>
      </w:r>
      <w:r>
        <w:t xml:space="preserve">9.6</w:t>
      </w:r>
      <w:r>
        <w:t xml:space="preserve"> </w:t>
      </w:r>
      <w:r>
        <w:t xml:space="preserve">3.5</w:t>
      </w:r>
      <w:r>
        <w:t xml:space="preserve"> </w:t>
      </w:r>
      <w:r>
        <w:t xml:space="preserve">outside EU</w:t>
      </w:r>
      <w:r>
        <w:t xml:space="preserve"> </w:t>
      </w:r>
      <w:r>
        <w:t xml:space="preserve">7.3</w:t>
      </w:r>
      <w:r>
        <w:t xml:space="preserve"> </w:t>
      </w:r>
      <w:r>
        <w:t xml:space="preserve">4.2</w:t>
      </w:r>
      <w:r>
        <w:t xml:space="preserve"> </w:t>
      </w:r>
      <w:r>
        <w:t xml:space="preserve">1.6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 non-</w:t>
      </w:r>
      <w:r>
        <w:t xml:space="preserve"> </w:t>
      </w:r>
      <w:r>
        <w:t xml:space="preserve">compliant items</w:t>
      </w:r>
      <w:r>
        <w:br/>
      </w:r>
      <w:r>
        <w:t xml:space="preserve">within EU</w:t>
      </w:r>
      <w:r>
        <w:t xml:space="preserve"> </w:t>
      </w:r>
      <w:r>
        <w:t xml:space="preserve">110.0</w:t>
      </w:r>
      <w:r>
        <w:t xml:space="preserve"> </w:t>
      </w:r>
      <w:r>
        <w:t xml:space="preserve">63.6</w:t>
      </w:r>
      <w:r>
        <w:t xml:space="preserve"> </w:t>
      </w:r>
      <w:r>
        <w:t xml:space="preserve">23.2</w:t>
      </w:r>
      <w:r>
        <w:t xml:space="preserve"> </w:t>
      </w:r>
      <w:r>
        <w:t xml:space="preserve">outside EU</w:t>
      </w:r>
      <w:r>
        <w:t xml:space="preserve"> </w:t>
      </w:r>
      <w:r>
        <w:t xml:space="preserve">64.3</w:t>
      </w:r>
      <w:r>
        <w:t xml:space="preserve"> </w:t>
      </w:r>
      <w:r>
        <w:t xml:space="preserve">36.9</w:t>
      </w:r>
      <w:r>
        <w:t xml:space="preserve"> </w:t>
      </w:r>
      <w:r>
        <w:t xml:space="preserve">13.7</w:t>
      </w:r>
      <w:r>
        <w:t xml:space="preserve"> </w:t>
      </w:r>
      <w:r>
        <w:t xml:space="preserve">CLP 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33.3</w:t>
      </w:r>
      <w:r>
        <w:t xml:space="preserve"> </w:t>
      </w:r>
      <w:r>
        <w:t xml:space="preserve">19.2</w:t>
      </w:r>
      <w:r>
        <w:t xml:space="preserve"> </w:t>
      </w:r>
      <w:r>
        <w:t xml:space="preserve">7.0</w:t>
      </w:r>
      <w:r>
        <w:t xml:space="preserve"> </w:t>
      </w:r>
      <w:r>
        <w:t xml:space="preserve">outside EU</w:t>
      </w:r>
      <w:r>
        <w:t xml:space="preserve"> </w:t>
      </w:r>
      <w:r>
        <w:t xml:space="preserve">19.5</w:t>
      </w:r>
      <w:r>
        <w:t xml:space="preserve"> </w:t>
      </w:r>
      <w:r>
        <w:t xml:space="preserve">11.2</w:t>
      </w:r>
      <w:r>
        <w:t xml:space="preserve"> </w:t>
      </w:r>
      <w:r>
        <w:t xml:space="preserve">4.1</w:t>
      </w:r>
    </w:p>
    <w:p>
      <w:pPr>
        <w:pStyle w:val="BodyText"/>
      </w:pPr>
      <w:r>
        <w:t xml:space="preserve">Description of draft and already applicable EU legislation relevant for solving the problems</w:t>
      </w:r>
      <w:r>
        <w:br/>
      </w:r>
      <w:r>
        <w:t xml:space="preserve">Taking into account the dynamic baseline, the following EU legislation should be considered:</w:t>
      </w:r>
      <w:r>
        <w:t xml:space="preserve"> </w:t>
      </w:r>
      <w:r>
        <w:t xml:space="preserve">the draft Digital Services Act83, the draft General Product Safety Regulation84, the already</w:t>
      </w:r>
      <w:r>
        <w:t xml:space="preserve"> </w:t>
      </w:r>
      <w:r>
        <w:t xml:space="preserve">applicable Market Surveillance Regulation85, the Consumer Rights Directive86 and customs</w:t>
      </w:r>
      <w:r>
        <w:t xml:space="preserve"> </w:t>
      </w:r>
      <w:r>
        <w:t xml:space="preserve">legislation87.</w:t>
      </w:r>
    </w:p>
    <w:p>
      <w:pPr>
        <w:pStyle w:val="BodyText"/>
      </w:pPr>
      <w:r>
        <w:t xml:space="preserve">83 Proposal for a Regulation of the European Parliament and of the Council on a Single Market For Digital Services</w:t>
      </w:r>
      <w:r>
        <w:t xml:space="preserve"> </w:t>
      </w:r>
      <w:r>
        <w:t xml:space="preserve">(Digital Services Act) and amending Directive 2000/31/EC, COM(2020) 825 final.</w:t>
      </w:r>
      <w:r>
        <w:br/>
      </w:r>
      <w:r>
        <w:t xml:space="preserve">84 Proposal for a Regulation of the European Parliament and of the Council on general product safety, amending</w:t>
      </w:r>
      <w:r>
        <w:t xml:space="preserve"> </w:t>
      </w:r>
      <w:r>
        <w:t xml:space="preserve">Regulation (EU) No 1025/2012 of the European Parliament and of the Council, and repealing Council Directive</w:t>
      </w:r>
      <w:r>
        <w:t xml:space="preserve"> </w:t>
      </w:r>
      <w:r>
        <w:t xml:space="preserve">87/357/EEC and Directive 2001/95/EC of the European Parliament and of the Council, COM(2021) 346 final.</w:t>
      </w:r>
      <w:r>
        <w:t xml:space="preserve"> </w:t>
      </w:r>
      <w:r>
        <w:t xml:space="preserve">85 Regulation (EU) 2019/1020 of the European Parliament and of the Council of 20 June 2019 on market</w:t>
      </w:r>
      <w:r>
        <w:t xml:space="preserve"> </w:t>
      </w:r>
      <w:r>
        <w:t xml:space="preserve">surveillance and compliance of products and amending Directive 2004/42/EC and Regulations (EC) No 765/2008</w:t>
      </w:r>
      <w:r>
        <w:t xml:space="preserve"> </w:t>
      </w:r>
      <w:r>
        <w:t xml:space="preserve">and (EU) No 305/2011, OJ L 169, p. 1.</w:t>
      </w:r>
      <w:r>
        <w:br/>
      </w:r>
      <w:r>
        <w:t xml:space="preserve">86 Directive 2011/83/EU on consumer rights, OJ L 304, p.64.</w:t>
      </w:r>
      <w:r>
        <w:br/>
      </w:r>
      <w:r>
        <w:t xml:space="preserve">87 Regulation (EU) No 952/2013 laying down the Union Customs Code (“UCC”), OJ L 269 10.10.2013, p. 1;</w:t>
      </w:r>
      <w:r>
        <w:t xml:space="preserve"> </w:t>
      </w:r>
      <w:r>
        <w:t xml:space="preserve">amendments made in 2019 and 2020 to the UCC Delegated Regulation (EU) 2015/2446 of 28 July 2015</w:t>
      </w:r>
      <w:r>
        <w:t xml:space="preserve"> </w:t>
      </w:r>
      <w:r>
        <w:t xml:space="preserve">supplementing Regulation (EU) No 952/2013 of the European Parliament and of the Council as regards detailed</w:t>
      </w:r>
      <w:r>
        <w:t xml:space="preserve"> </w:t>
      </w:r>
      <w:r>
        <w:t xml:space="preserve">rules concerning certain provisions of the Union Customs, OJ L 343 29.12.2015, p. 1; Implementing Regulation</w:t>
      </w:r>
      <w:r>
        <w:t xml:space="preserve"> </w:t>
      </w:r>
      <w:r>
        <w:t xml:space="preserve">(EU) 2015/2447 of 24 November 2015 laying down detailed rules for implementing certain provisions of</w:t>
      </w:r>
      <w:r>
        <w:t xml:space="preserve"> </w:t>
      </w:r>
      <w:r>
        <w:t xml:space="preserve">Regulation (EU) No 952/2013 of the European Parliament and of the Council laying down the Union Customs</w:t>
      </w:r>
      <w:r>
        <w:t xml:space="preserve"> </w:t>
      </w:r>
      <w:r>
        <w:t xml:space="preserve">Code, OJ L 343 29.12.2015, p. 558.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A description of the interface of those pieces of legislation with the analysed policy options</w:t>
      </w:r>
      <w:r>
        <w:t xml:space="preserve"> </w:t>
      </w:r>
      <w:r>
        <w:t xml:space="preserve">is provided in Annex 15 on online sales (baseline section).</w:t>
      </w:r>
      <w:r>
        <w:br/>
      </w:r>
      <w:r>
        <w:t xml:space="preserve">1.1.8 Poison Centers</w:t>
      </w:r>
      <w:r>
        <w:br/>
      </w:r>
      <w:r>
        <w:t xml:space="preserve">The baseline from which policy options are assessed is the currently applicable regulatory</w:t>
      </w:r>
      <w:r>
        <w:t xml:space="preserve"> </w:t>
      </w:r>
      <w:r>
        <w:t xml:space="preserve">framework, i.e. obligations by downstream users and importers as per Article 45, by</w:t>
      </w:r>
      <w:r>
        <w:t xml:space="preserve"> </w:t>
      </w:r>
      <w:r>
        <w:t xml:space="preserve">distributers and other supplier types as per Article 4(10)88, and clarifications of those</w:t>
      </w:r>
      <w:r>
        <w:t xml:space="preserve"> </w:t>
      </w:r>
      <w:r>
        <w:t xml:space="preserve">obligations enshrined in ECHA guidance. ECHA guidance already address the problem the</w:t>
      </w:r>
      <w:r>
        <w:t xml:space="preserve"> </w:t>
      </w:r>
      <w:r>
        <w:t xml:space="preserve">best way possible, therefore, improving ECHA guidance was not explored as non-regulatory</w:t>
      </w:r>
      <w:r>
        <w:t xml:space="preserve"> </w:t>
      </w:r>
      <w:r>
        <w:t xml:space="preserve">policy option (“no-policy-change” scenario). To solve the problem, no not yet adopted</w:t>
      </w:r>
      <w:r>
        <w:t xml:space="preserve"> </w:t>
      </w:r>
      <w:r>
        <w:t xml:space="preserve">legislation is relevant, so that only the applicable legislation and guidance should be taken into</w:t>
      </w:r>
      <w:r>
        <w:t xml:space="preserve"> </w:t>
      </w:r>
      <w:r>
        <w:t xml:space="preserve">account for addressing the problem. Based on assumptions, a max. of 50% of distributors who</w:t>
      </w:r>
      <w:r>
        <w:t xml:space="preserve"> </w:t>
      </w:r>
      <w:r>
        <w:t xml:space="preserve">should have to comply by virtue of Article 4(10) adhere to the rules in reality. This reality</w:t>
      </w:r>
      <w:r>
        <w:t xml:space="preserve"> </w:t>
      </w:r>
      <w:r>
        <w:t xml:space="preserve">scenario is not going to change drastically within the next 20 years without any legislative</w:t>
      </w:r>
      <w:r>
        <w:t xml:space="preserve"> </w:t>
      </w:r>
      <w:r>
        <w:t xml:space="preserve">intervention, thus the problem continues existing.</w:t>
      </w:r>
      <w:r>
        <w:br/>
      </w:r>
      <w:r>
        <w:t xml:space="preserve">Notifications received by ECHA in 2021</w:t>
      </w:r>
      <w:r>
        <w:t xml:space="preserve"> </w:t>
      </w:r>
      <w:r>
        <w:t xml:space="preserve">The number of Notifications to Poison Centres (PCNs) received in 2021 was 1,444,290, but</w:t>
      </w:r>
      <w:r>
        <w:t xml:space="preserve"> </w:t>
      </w:r>
      <w:r>
        <w:t xml:space="preserve">submissions to multiple Member States can be made in a single notification. Expanding the</w:t>
      </w:r>
      <w:r>
        <w:t xml:space="preserve"> </w:t>
      </w:r>
      <w:r>
        <w:t xml:space="preserve">number of notifications to include all multiple submissions results in almost 7.7 million</w:t>
      </w:r>
      <w:r>
        <w:t xml:space="preserve"> </w:t>
      </w:r>
      <w:r>
        <w:t xml:space="preserve">notifications. Submission numbers for the next years are expected to be lower given that 2021</w:t>
      </w:r>
      <w:r>
        <w:t xml:space="preserve"> </w:t>
      </w:r>
      <w:r>
        <w:t xml:space="preserve">was the first applicability date to notify information on consumer mixtures under the new</w:t>
      </w:r>
      <w:r>
        <w:t xml:space="preserve"> </w:t>
      </w:r>
      <w:r>
        <w:t xml:space="preserve">requirements of Annex VIII on poison centres89.</w:t>
      </w:r>
      <w:r>
        <w:br/>
      </w:r>
      <w:r>
        <w:t xml:space="preserve">Trends in chemicals intra-EU trade</w:t>
      </w:r>
      <w:r>
        <w:t xml:space="preserve"> </w:t>
      </w:r>
      <w:r>
        <w:t xml:space="preserve">In the years to come, intra-EU chemicals sales (and hence distribution as well) are expected to</w:t>
      </w:r>
      <w:r>
        <w:t xml:space="preserve"> </w:t>
      </w:r>
      <w:r>
        <w:t xml:space="preserve">grow, which translates into increasing the scale of the problem of having information loss in</w:t>
      </w:r>
      <w:r>
        <w:t xml:space="preserve"> </w:t>
      </w:r>
      <w:r>
        <w:t xml:space="preserve">certain cases. Figure 62 shows the trend in sales between EU Member States have increased</w:t>
      </w:r>
      <w:r>
        <w:t xml:space="preserve"> </w:t>
      </w:r>
      <w:r>
        <w:t xml:space="preserve">steadily from 44.5% of all chemical sales in 2009 to 52.3% of all chemical sales in 2019.</w:t>
      </w:r>
    </w:p>
    <w:p>
      <w:pPr>
        <w:pStyle w:val="BodyText"/>
      </w:pPr>
      <w:r>
        <w:t xml:space="preserve">88 Article 4(10) of CLP provides for the general obligation to comply with CLP. Based on ECHA guidance, a</w:t>
      </w:r>
      <w:r>
        <w:t xml:space="preserve"> </w:t>
      </w:r>
      <w:r>
        <w:t xml:space="preserve">distributor placing on the market a hazardous mixture, which would jeopardise an appointed body’s access to</w:t>
      </w:r>
      <w:r>
        <w:t xml:space="preserve"> </w:t>
      </w:r>
      <w:r>
        <w:t xml:space="preserve">relevant information, would run the risk of breaching Article 4(10) that substances and mixtures can only be</w:t>
      </w:r>
      <w:r>
        <w:t xml:space="preserve"> </w:t>
      </w:r>
      <w:r>
        <w:t xml:space="preserve">placed on the market if they comply with CLP.</w:t>
      </w:r>
      <w:r>
        <w:br/>
      </w:r>
      <w:r>
        <w:t xml:space="preserve">89 Commission Delegated Regulations 2020/1676 and 2020/1677, OJ L 379, p. 1 and 3.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Figure 62: Trend in sales between EU Member States</w:t>
      </w:r>
    </w:p>
    <w:p>
      <w:pPr>
        <w:pStyle w:val="BodyText"/>
      </w:pPr>
      <w:r>
        <w:t xml:space="preserve">Data from Eurostat79 shows that in 2020 intra-EU sales of chemicals accounted for €496 billion</w:t>
      </w:r>
      <w:r>
        <w:t xml:space="preserve"> </w:t>
      </w:r>
      <w:r>
        <w:t xml:space="preserve">in 2020 (up from €207 billion in 2002), which made up 17% of all intra-EU sales.</w:t>
      </w:r>
      <w:r>
        <w:br/>
      </w:r>
      <w:r>
        <w:t xml:space="preserve">Number of distributors and distributed products and re-branders/re-labellers and relabelled</w:t>
      </w:r>
      <w:r>
        <w:t xml:space="preserve"> </w:t>
      </w:r>
      <w:r>
        <w:t xml:space="preserve">products</w:t>
      </w:r>
      <w:r>
        <w:t xml:space="preserve"> </w:t>
      </w:r>
      <w:r>
        <w:t xml:space="preserve">In order to quantitatively assess how many mixtures should be notified to prevent information</w:t>
      </w:r>
      <w:r>
        <w:t xml:space="preserve"> </w:t>
      </w:r>
      <w:r>
        <w:t xml:space="preserve">loss, estimations were carried out which might have their limitations or bring about some levels</w:t>
      </w:r>
      <w:r>
        <w:t xml:space="preserve"> </w:t>
      </w:r>
      <w:r>
        <w:t xml:space="preserve">of uncertainty (see Annex 16).</w:t>
      </w:r>
      <w:r>
        <w:br/>
      </w:r>
      <w:r>
        <w:t xml:space="preserve">Estimates further described in Annex 16 conclude that intra-EU distributors place between</w:t>
      </w:r>
      <w:r>
        <w:t xml:space="preserve"> </w:t>
      </w:r>
      <w:r>
        <w:t xml:space="preserve">220,000 – 560,000 products on another Member States’ market and re-branders/re-labellers</w:t>
      </w:r>
      <w:r>
        <w:t xml:space="preserve"> </w:t>
      </w:r>
      <w:r>
        <w:t xml:space="preserve">between 32,500 – 77,500 on their Member States’ market. This amounts to between 252,500 –</w:t>
      </w:r>
      <w:r>
        <w:t xml:space="preserve"> </w:t>
      </w:r>
      <w:r>
        <w:t xml:space="preserve">637,500 products distributed that should be notified. In reality a certain percentage of that range</w:t>
      </w:r>
      <w:r>
        <w:t xml:space="preserve"> </w:t>
      </w:r>
      <w:r>
        <w:t xml:space="preserve">will be notified already due to distributors adhering to Article 4(10) of CLP, hence the number</w:t>
      </w:r>
      <w:r>
        <w:t xml:space="preserve"> </w:t>
      </w:r>
      <w:r>
        <w:t xml:space="preserve">of not notified mixtures leading to information loss will be lower than the range from 252,500</w:t>
      </w:r>
      <w:r>
        <w:t xml:space="preserve"> </w:t>
      </w:r>
      <w:r>
        <w:t xml:space="preserve">– 637,500 products.</w:t>
      </w:r>
      <w:r>
        <w:br/>
      </w:r>
      <w:r>
        <w:t xml:space="preserve">Cost of non-Europe</w:t>
      </w:r>
      <w:r>
        <w:t xml:space="preserve"> </w:t>
      </w:r>
      <w:r>
        <w:t xml:space="preserve">It is worth mentioning that the entire poison centres format and notification system was already</w:t>
      </w:r>
      <w:r>
        <w:t xml:space="preserve"> </w:t>
      </w:r>
      <w:r>
        <w:t xml:space="preserve">significantly simplified without lowering the level of safety by adopting the latest versions of</w:t>
      </w:r>
      <w:r>
        <w:t xml:space="preserve"> </w:t>
      </w:r>
      <w:r>
        <w:t xml:space="preserve">Annex VIII on poison centres in 202090 via delegated act. Before adopting Annex VIII, a study</w:t>
      </w:r>
      <w:r>
        <w:t xml:space="preserve"> </w:t>
      </w:r>
      <w:r>
        <w:t xml:space="preserve">by Kirhensteine et al. (2015) estimated that net cost savings across the EU of €550 million per</w:t>
      </w:r>
      <w:r>
        <w:t xml:space="preserve"> </w:t>
      </w:r>
      <w:r>
        <w:t xml:space="preserve">annum (equivalent to €40,000 per company) could be achieved through harmonisation of the</w:t>
      </w:r>
      <w:r>
        <w:t xml:space="preserve"> </w:t>
      </w:r>
      <w:r>
        <w:t xml:space="preserve">CLP Regulation (cost of Europe non acting).</w:t>
      </w:r>
    </w:p>
    <w:p>
      <w:pPr>
        <w:pStyle w:val="BodyText"/>
      </w:pPr>
      <w:r>
        <w:t xml:space="preserve">90 Commission Delegated Regulations 2020/1676 and 2020/1677, OJ L 379, p. 1 and 3.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2</w:t>
      </w:r>
      <w:r>
        <w:t xml:space="preserve"> </w:t>
      </w:r>
      <w:r>
        <w:t xml:space="preserve">DISCARDED MEASURES</w:t>
      </w:r>
      <w:r>
        <w:t xml:space="preserve"> </w:t>
      </w:r>
      <w:r>
        <w:t xml:space="preserve">Table 21 in Annex 7 provides the full list of measures that have been considered but discarded and the rationale behind their screening out from</w:t>
      </w:r>
      <w:r>
        <w:t xml:space="preserve"> </w:t>
      </w:r>
      <w:r>
        <w:t xml:space="preserve">further assessment.</w:t>
      </w:r>
      <w:r>
        <w:t xml:space="preserve"> </w:t>
      </w:r>
      <w:r>
        <w:t xml:space="preserve">Table 22: Discarded measures on the basis of initial screening</w:t>
      </w:r>
      <w:r>
        <w:t xml:space="preserve"> </w:t>
      </w:r>
      <w:r>
        <w:t xml:space="preserve">Problem area</w:t>
      </w:r>
      <w:r>
        <w:br/>
      </w:r>
      <w:r>
        <w:t xml:space="preserve">Discarded measure</w:t>
      </w:r>
      <w:r>
        <w:t xml:space="preserve"> </w:t>
      </w:r>
      <w:r>
        <w:t xml:space="preserve">Justification for discarding</w:t>
      </w:r>
      <w:r>
        <w:br/>
      </w:r>
      <w:r>
        <w:t xml:space="preserve">Identification and</w:t>
      </w:r>
      <w:r>
        <w:t xml:space="preserve"> </w:t>
      </w:r>
      <w:r>
        <w:t xml:space="preserve">classification of</w:t>
      </w:r>
      <w:r>
        <w:t xml:space="preserve"> </w:t>
      </w:r>
      <w:r>
        <w:t xml:space="preserve">chemical hazards</w:t>
      </w:r>
      <w:r>
        <w:t xml:space="preserve"> </w:t>
      </w:r>
      <w:r>
        <w:t xml:space="preserve">DM1 Promote the harmonisation of criteria for the new</w:t>
      </w:r>
      <w:r>
        <w:t xml:space="preserve"> </w:t>
      </w:r>
      <w:r>
        <w:t xml:space="preserve">hazard classes (ED, PBT, vPvB, PMT, vPvM) at the UN</w:t>
      </w:r>
      <w:r>
        <w:t xml:space="preserve"> </w:t>
      </w:r>
      <w:r>
        <w:t xml:space="preserve">level (GHS) before introducing them in the CLP</w:t>
      </w:r>
      <w:r>
        <w:t xml:space="preserve"> </w:t>
      </w:r>
      <w:r>
        <w:t xml:space="preserve">Several industries were of the view that new hazard classes should be first</w:t>
      </w:r>
      <w:r>
        <w:t xml:space="preserve"> </w:t>
      </w:r>
      <w:r>
        <w:t xml:space="preserve">introduced in GHS, and only after in CLP, in order to ensure a level playing field</w:t>
      </w:r>
      <w:r>
        <w:t xml:space="preserve"> </w:t>
      </w:r>
      <w:r>
        <w:t xml:space="preserve">and global harmonisation of rules. However, the lack of new hazard classes was</w:t>
      </w:r>
      <w:r>
        <w:t xml:space="preserve"> </w:t>
      </w:r>
      <w:r>
        <w:t xml:space="preserve">long identified by scientists and stakeholders as an area where urgent action is</w:t>
      </w:r>
      <w:r>
        <w:t xml:space="preserve"> </w:t>
      </w:r>
      <w:r>
        <w:t xml:space="preserve">needed, and it is one of the high priorities identified in the Chemicals Strategy.</w:t>
      </w:r>
      <w:r>
        <w:t xml:space="preserve"> </w:t>
      </w:r>
      <w:r>
        <w:t xml:space="preserve">The option was discarded on three main grounds: i) GHS is based on a ‘building</w:t>
      </w:r>
      <w:r>
        <w:t xml:space="preserve"> </w:t>
      </w:r>
      <w:r>
        <w:t xml:space="preserve">block’ system, leaving margins of flexibility to what their parties can require</w:t>
      </w:r>
      <w:r>
        <w:t xml:space="preserve"> </w:t>
      </w:r>
      <w:r>
        <w:t xml:space="preserve">internally; ii) discussions and agreements at UN level are very lengthy processes,</w:t>
      </w:r>
      <w:r>
        <w:t xml:space="preserve"> </w:t>
      </w:r>
      <w:r>
        <w:t xml:space="preserve">and former Commission’s and/or EU Member States’ suggestions of new hazard</w:t>
      </w:r>
      <w:r>
        <w:t xml:space="preserve"> </w:t>
      </w:r>
      <w:r>
        <w:t xml:space="preserve">classes were not successful. EU legislation and standards on chemicals have</w:t>
      </w:r>
      <w:r>
        <w:t xml:space="preserve"> </w:t>
      </w:r>
      <w:r>
        <w:t xml:space="preserve">traditionally been the driver for higher international standards, including for GHS</w:t>
      </w:r>
      <w:r>
        <w:t xml:space="preserve"> </w:t>
      </w:r>
      <w:r>
        <w:t xml:space="preserve">and the EU criteria for the new hazard classes would be again the starting basis</w:t>
      </w:r>
      <w:r>
        <w:t xml:space="preserve"> </w:t>
      </w:r>
      <w:r>
        <w:t xml:space="preserve">for a global discussion; iii) introducing new classes in CLP before GHS could</w:t>
      </w:r>
      <w:r>
        <w:t xml:space="preserve"> </w:t>
      </w:r>
      <w:r>
        <w:t xml:space="preserve">lead to non-tariff barriers to trade, but, on the basis of modelling from past</w:t>
      </w:r>
      <w:r>
        <w:t xml:space="preserve"> </w:t>
      </w:r>
      <w:r>
        <w:t xml:space="preserve">studies, the impact on international trade was estimated not be significant and that</w:t>
      </w:r>
      <w:r>
        <w:t xml:space="preserve"> </w:t>
      </w:r>
      <w:r>
        <w:t xml:space="preserve">other variables – such as energy prices – are much more relevant. Moreover, from</w:t>
      </w:r>
      <w:r>
        <w:t xml:space="preserve"> </w:t>
      </w:r>
      <w:r>
        <w:t xml:space="preserve">a competitiveness angle, acting at EU level first will strengthen the EU’s role as a</w:t>
      </w:r>
      <w:r>
        <w:t xml:space="preserve"> </w:t>
      </w:r>
      <w:r>
        <w:t xml:space="preserve">global front-runner in health and environmental standards, driving the EU</w:t>
      </w:r>
      <w:r>
        <w:t xml:space="preserve"> </w:t>
      </w:r>
      <w:r>
        <w:t xml:space="preserve">industry’s leadership in producing and using sustainable chemicals, levelling the</w:t>
      </w:r>
      <w:r>
        <w:t xml:space="preserve"> </w:t>
      </w:r>
      <w:r>
        <w:t xml:space="preserve">playing field, and thereby giving the EU industry a competitive advantage</w:t>
      </w:r>
      <w:r>
        <w:t xml:space="preserve"> </w:t>
      </w:r>
      <w:r>
        <w:t xml:space="preserve">allowing it to increase its global market share for chemicals and safer</w:t>
      </w:r>
      <w:r>
        <w:t xml:space="preserve"> </w:t>
      </w:r>
      <w:r>
        <w:t xml:space="preserve">alternatives.</w:t>
      </w:r>
    </w:p>
    <w:p>
      <w:pPr>
        <w:pStyle w:val="BodyText"/>
      </w:pPr>
      <w:r>
        <w:t xml:space="preserve">DM2 create a repository of toxicity reference values</w:t>
      </w:r>
      <w:r>
        <w:br/>
      </w:r>
      <w:r>
        <w:t xml:space="preserve">Part of the baseline, this measure will be implementted within the One substance,</w:t>
      </w:r>
      <w:r>
        <w:t xml:space="preserve"> </w:t>
      </w:r>
      <w:r>
        <w:t xml:space="preserve">one assessment process initiated by the Chemicals Strategy.</w:t>
      </w:r>
    </w:p>
    <w:p>
      <w:pPr>
        <w:pStyle w:val="BodyText"/>
      </w:pPr>
      <w:r>
        <w:t xml:space="preserve">DM3 create a central coordination mechanism to harmonise</w:t>
      </w:r>
      <w:r>
        <w:t xml:space="preserve"> </w:t>
      </w:r>
      <w:r>
        <w:t xml:space="preserve">toxicity reference values across different chemical</w:t>
      </w:r>
      <w:r>
        <w:t xml:space="preserve"> </w:t>
      </w:r>
      <w:r>
        <w:t xml:space="preserve">regulatory framework</w:t>
      </w:r>
      <w:r>
        <w:t xml:space="preserve"> </w:t>
      </w:r>
      <w:r>
        <w:t xml:space="preserve">To be assessed by a study focusing on the one substance, one assessment</w:t>
      </w:r>
      <w:r>
        <w:t xml:space="preserve"> </w:t>
      </w:r>
      <w:r>
        <w:t xml:space="preserve">approach. Such a central coordination mechanism, proposed in the ECHA and</w:t>
      </w:r>
      <w:r>
        <w:t xml:space="preserve"> </w:t>
      </w:r>
      <w:r>
        <w:t xml:space="preserve">EFSA Joint position paper on one substance - one assessment,[1] would include a</w:t>
      </w:r>
      <w:r>
        <w:t xml:space="preserve"> </w:t>
      </w:r>
      <w:r>
        <w:t xml:space="preserve">coordinated problem formulation phase (i.e. identifying the correct scientific</w:t>
      </w:r>
      <w:r>
        <w:t xml:space="preserve"> </w:t>
      </w:r>
      <w:r>
        <w:t xml:space="preserve">question that needs to be answered) which would enhance predictability for</w:t>
      </w:r>
      <w:r>
        <w:t xml:space="preserve"> </w:t>
      </w:r>
      <w:r>
        <w:t xml:space="preserve">industry. This may include a public EU coordination registry, potentially</w:t>
      </w:r>
      <w:r>
        <w:t xml:space="preserve"> </w:t>
      </w:r>
      <w:r>
        <w:t xml:space="preserve">developed from ECHA’s PACT (Public Activities Coordination Tool), to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increase transparency and predictability on substance-specific activities by</w:t>
      </w:r>
      <w:r>
        <w:t xml:space="preserve"> </w:t>
      </w:r>
      <w:r>
        <w:t xml:space="preserve">authorities across different chemical regulatory frameworks.</w:t>
      </w:r>
    </w:p>
    <w:p>
      <w:pPr>
        <w:pStyle w:val="BodyText"/>
      </w:pPr>
      <w:r>
        <w:t xml:space="preserve">DM4 Risk Assessment Committee opinions include the</w:t>
      </w:r>
      <w:r>
        <w:t xml:space="preserve"> </w:t>
      </w:r>
      <w:r>
        <w:t xml:space="preserve">derivation of point of departures (NOAEL/NOAEC) when</w:t>
      </w:r>
      <w:r>
        <w:t xml:space="preserve"> </w:t>
      </w:r>
      <w:r>
        <w:t xml:space="preserve">performing the review of harmonised classification dossiers</w:t>
      </w:r>
      <w:r>
        <w:t xml:space="preserve"> </w:t>
      </w:r>
      <w:r>
        <w:t xml:space="preserve">for the hazard classes under the scope of the harmonised</w:t>
      </w:r>
      <w:r>
        <w:t xml:space="preserve"> </w:t>
      </w:r>
      <w:r>
        <w:t xml:space="preserve">classification dossier</w:t>
      </w:r>
      <w:r>
        <w:t xml:space="preserve"> </w:t>
      </w:r>
      <w:r>
        <w:t xml:space="preserve">It does not appear meaningful to derive a point of departure without a</w:t>
      </w:r>
      <w:r>
        <w:t xml:space="preserve"> </w:t>
      </w:r>
      <w:r>
        <w:t xml:space="preserve">consideration of the complete toxicological profile of a substance.</w:t>
      </w:r>
      <w:r>
        <w:t xml:space="preserve"> </w:t>
      </w:r>
      <w:r>
        <w:t xml:space="preserve">Communication of</w:t>
      </w:r>
      <w:r>
        <w:t xml:space="preserve"> </w:t>
      </w:r>
      <w:r>
        <w:t xml:space="preserve">chemical hazards</w:t>
      </w:r>
      <w:r>
        <w:t xml:space="preserve"> </w:t>
      </w:r>
      <w:r>
        <w:t xml:space="preserve">DM5 Revoke the exemption for the labelling of the human</w:t>
      </w:r>
      <w:r>
        <w:t xml:space="preserve"> </w:t>
      </w:r>
      <w:r>
        <w:t xml:space="preserve">health hazards of medicinal products</w:t>
      </w:r>
      <w:r>
        <w:t xml:space="preserve"> </w:t>
      </w:r>
      <w:r>
        <w:t xml:space="preserve">Effectiveness and proportionality: Legislation contains comprehensive provisions</w:t>
      </w:r>
      <w:r>
        <w:t xml:space="preserve"> </w:t>
      </w:r>
      <w:r>
        <w:t xml:space="preserve">to assess hazards and risks to human health and to provide relevant information</w:t>
      </w:r>
      <w:r>
        <w:t xml:space="preserve"> </w:t>
      </w:r>
      <w:r>
        <w:t xml:space="preserve">and instructions to users. Additional labelling for human health hazards according</w:t>
      </w:r>
      <w:r>
        <w:t xml:space="preserve"> </w:t>
      </w:r>
      <w:r>
        <w:t xml:space="preserve">to CLP would not contribute to an increased level of protection.</w:t>
      </w:r>
    </w:p>
    <w:p>
      <w:pPr>
        <w:pStyle w:val="BodyText"/>
      </w:pPr>
      <w:r>
        <w:t xml:space="preserve">DM6 Revoke the exemption for the labelling of the</w:t>
      </w:r>
      <w:r>
        <w:t xml:space="preserve"> </w:t>
      </w:r>
      <w:r>
        <w:t xml:space="preserve">environmental hazards of medicinal products</w:t>
      </w:r>
      <w:r>
        <w:t xml:space="preserve"> </w:t>
      </w:r>
      <w:r>
        <w:t xml:space="preserve">Effectiveness and proportionality: Ample evidence for negative environmental</w:t>
      </w:r>
      <w:r>
        <w:t xml:space="preserve"> </w:t>
      </w:r>
      <w:r>
        <w:t xml:space="preserve">impacts, but legislation contains comprehensive provisions for environmental risk</w:t>
      </w:r>
      <w:r>
        <w:t xml:space="preserve"> </w:t>
      </w:r>
      <w:r>
        <w:t xml:space="preserve">assessment, risk mitigation and provision of information and instructions to users.</w:t>
      </w:r>
      <w:r>
        <w:t xml:space="preserve"> </w:t>
      </w:r>
      <w:r>
        <w:t xml:space="preserve">Ongoing initiatives aiming to further mitigate the environmental impact of</w:t>
      </w:r>
      <w:r>
        <w:t xml:space="preserve"> </w:t>
      </w:r>
      <w:r>
        <w:t xml:space="preserve">medicinal products. Therefore, labelling for environmental hazards according to</w:t>
      </w:r>
      <w:r>
        <w:t xml:space="preserve"> </w:t>
      </w:r>
      <w:r>
        <w:t xml:space="preserve">CLP is not expected to have a significant added value.</w:t>
      </w:r>
    </w:p>
    <w:p>
      <w:pPr>
        <w:pStyle w:val="BodyText"/>
      </w:pPr>
      <w:r>
        <w:t xml:space="preserve">DM7 Revoke the exemption for the labelling of the</w:t>
      </w:r>
      <w:r>
        <w:t xml:space="preserve"> </w:t>
      </w:r>
      <w:r>
        <w:t xml:space="preserve">environmental hazards of veterinary medicinal products</w:t>
      </w:r>
      <w:r>
        <w:t xml:space="preserve"> </w:t>
      </w:r>
      <w:r>
        <w:t xml:space="preserve">Effectiveness and proportionality: Ample evidence for negative environmental</w:t>
      </w:r>
      <w:r>
        <w:t xml:space="preserve"> </w:t>
      </w:r>
      <w:r>
        <w:t xml:space="preserve">impacts, but legislation contains comprehensive provisions for environmental risk</w:t>
      </w:r>
      <w:r>
        <w:t xml:space="preserve"> </w:t>
      </w:r>
      <w:r>
        <w:t xml:space="preserve">assessment, risk mitigation and provision of information and instructions to users.</w:t>
      </w:r>
      <w:r>
        <w:t xml:space="preserve"> </w:t>
      </w:r>
      <w:r>
        <w:t xml:space="preserve">Ongoing initiatives aiming to further mitigate the environmental impact of</w:t>
      </w:r>
      <w:r>
        <w:t xml:space="preserve"> </w:t>
      </w:r>
      <w:r>
        <w:t xml:space="preserve">medicinal products. Therefore, labelling for environmental hazards according to</w:t>
      </w:r>
      <w:r>
        <w:t xml:space="preserve"> </w:t>
      </w:r>
      <w:r>
        <w:t xml:space="preserve">CLP is not expected to have a significant added value.</w:t>
      </w:r>
    </w:p>
    <w:p>
      <w:pPr>
        <w:pStyle w:val="BodyText"/>
      </w:pPr>
      <w:r>
        <w:t xml:space="preserve">DM8 Revoke the exemption for the labelling of the</w:t>
      </w:r>
      <w:r>
        <w:t xml:space="preserve"> </w:t>
      </w:r>
      <w:r>
        <w:t xml:space="preserve">environmental hazards of medical devices</w:t>
      </w:r>
      <w:r>
        <w:t xml:space="preserve"> </w:t>
      </w:r>
      <w:r>
        <w:t xml:space="preserve">Relevance and effectiveness: No solid evidence for a negative environmental</w:t>
      </w:r>
      <w:r>
        <w:t xml:space="preserve"> </w:t>
      </w:r>
      <w:r>
        <w:t xml:space="preserve">impact of products. Relevant legislation addresses environmental effects and the</w:t>
      </w:r>
      <w:r>
        <w:t xml:space="preserve"> </w:t>
      </w:r>
      <w:r>
        <w:t xml:space="preserve">provision of information to users. Labelling for environmental hazards according</w:t>
      </w:r>
      <w:r>
        <w:t xml:space="preserve"> </w:t>
      </w:r>
      <w:r>
        <w:t xml:space="preserve">to CLP is not expected to have a significant added value.</w:t>
      </w:r>
    </w:p>
    <w:p>
      <w:pPr>
        <w:pStyle w:val="BodyText"/>
      </w:pPr>
      <w:r>
        <w:t xml:space="preserve">DM9 Revoke the exemption for the labelling of the</w:t>
      </w:r>
      <w:r>
        <w:t xml:space="preserve"> </w:t>
      </w:r>
      <w:r>
        <w:t xml:space="preserve">environmental hazards of cosmetic products</w:t>
      </w:r>
      <w:r>
        <w:t xml:space="preserve"> </w:t>
      </w:r>
      <w:r>
        <w:t xml:space="preserve">Effectiveness: Solid evidence for negative environmental impacts from certain</w:t>
      </w:r>
      <w:r>
        <w:t xml:space="preserve"> </w:t>
      </w:r>
      <w:r>
        <w:t xml:space="preserve">ingredients. The relevant legislation does not provide for assessment of or</w:t>
      </w:r>
      <w:r>
        <w:t xml:space="preserve"> </w:t>
      </w:r>
      <w:r>
        <w:t xml:space="preserve">information on environmental aspects. While environmental risks posed by</w:t>
      </w:r>
      <w:r>
        <w:t xml:space="preserve"> </w:t>
      </w:r>
      <w:r>
        <w:t xml:space="preserve">cosmetic ingredients can be addressed by the horizontal provisions of REACH,</w:t>
      </w:r>
      <w:r>
        <w:t xml:space="preserve"> </w:t>
      </w:r>
      <w:r>
        <w:t xml:space="preserve">there is a regulatory gap in relation to information on environmental hazards to</w:t>
      </w:r>
      <w:r>
        <w:t xml:space="preserve"> </w:t>
      </w:r>
      <w:r>
        <w:t xml:space="preserve">users, which may be closed by removing the exemption in CLP for cosmetic</w:t>
      </w:r>
      <w:r>
        <w:t xml:space="preserve"> </w:t>
      </w:r>
      <w:r>
        <w:t xml:space="preserve">products. However, the impact of CLP labelling on consumer behaviour (use,</w:t>
      </w:r>
      <w:r>
        <w:t xml:space="preserve"> </w:t>
      </w:r>
      <w:r>
        <w:t xml:space="preserve">purchasing choices) is uncertain, and a number of relevant initiatives (see Annex</w:t>
      </w:r>
      <w:r>
        <w:t xml:space="preserve"> </w:t>
      </w:r>
      <w:r>
        <w:t xml:space="preserve">14) are currently under way that may significantly change the availability of</w:t>
      </w:r>
      <w:r>
        <w:t xml:space="preserve"> </w:t>
      </w:r>
      <w:r>
        <w:t xml:space="preserve">information of environmental impacts, as well as the impact itself, of cosmetic</w:t>
      </w:r>
      <w:r>
        <w:t xml:space="preserve"> </w:t>
      </w:r>
      <w:r>
        <w:t xml:space="preserve">products. Therefore, it is currently difficult to assess the impact of labelling for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environmental hazards according to CLP, and not possible to conclude whether</w:t>
      </w:r>
      <w:r>
        <w:t xml:space="preserve"> </w:t>
      </w:r>
      <w:r>
        <w:t xml:space="preserve">removing the exemption for cosmetic products in CLP is a suitable option.</w:t>
      </w:r>
    </w:p>
    <w:p>
      <w:pPr>
        <w:pStyle w:val="BodyText"/>
      </w:pPr>
      <w:r>
        <w:t xml:space="preserve">DM10 Revoke the exemption for the labelling of the</w:t>
      </w:r>
      <w:r>
        <w:t xml:space="preserve"> </w:t>
      </w:r>
      <w:r>
        <w:t xml:space="preserve">environmental hazards of food or feeding stuffs</w:t>
      </w:r>
      <w:r>
        <w:t xml:space="preserve"> </w:t>
      </w:r>
      <w:r>
        <w:t xml:space="preserve">No solid evidence for a negative environmental impact of products. Relevant</w:t>
      </w:r>
      <w:r>
        <w:t xml:space="preserve"> </w:t>
      </w:r>
      <w:r>
        <w:t xml:space="preserve">legislation addresses environmental effects and the provision of information to</w:t>
      </w:r>
      <w:r>
        <w:t xml:space="preserve"> </w:t>
      </w:r>
      <w:r>
        <w:t xml:space="preserve">users. Labelling for environmental hazards according to CLP is not expected to</w:t>
      </w:r>
      <w:r>
        <w:t xml:space="preserve"> </w:t>
      </w:r>
      <w:r>
        <w:t xml:space="preserve">have a significant added value.</w:t>
      </w:r>
    </w:p>
    <w:p>
      <w:pPr>
        <w:pStyle w:val="BodyText"/>
      </w:pPr>
      <w:r>
        <w:t xml:space="preserve">DM11 Introduce digital labelling as an alternative to CLP</w:t>
      </w:r>
      <w:r>
        <w:t xml:space="preserve"> </w:t>
      </w:r>
      <w:r>
        <w:t xml:space="preserve">physical label</w:t>
      </w:r>
      <w:r>
        <w:t xml:space="preserve"> </w:t>
      </w:r>
      <w:r>
        <w:t xml:space="preserve">Significant costs for businesses (SMEs in particular) to implement the new</w:t>
      </w:r>
      <w:r>
        <w:t xml:space="preserve"> </w:t>
      </w:r>
      <w:r>
        <w:t xml:space="preserve">measures (one off and maintenance costs) associated with incomplete access to</w:t>
      </w:r>
      <w:r>
        <w:t xml:space="preserve"> </w:t>
      </w:r>
      <w:r>
        <w:t xml:space="preserve">digital means by EU citizens. This was not widely accepted by stakeholders,</w:t>
      </w:r>
      <w:r>
        <w:t xml:space="preserve"> </w:t>
      </w:r>
      <w:r>
        <w:t xml:space="preserve">particularly National Authorities as this would further deviate from the UN GHS</w:t>
      </w:r>
      <w:r>
        <w:t xml:space="preserve"> </w:t>
      </w:r>
      <w:r>
        <w:t xml:space="preserve">significantly.</w:t>
      </w:r>
    </w:p>
    <w:p>
      <w:pPr>
        <w:pStyle w:val="BodyText"/>
      </w:pPr>
      <w:r>
        <w:t xml:space="preserve">DM12 Introduce mandatory digital labelling for CLP labels</w:t>
      </w:r>
      <w:r>
        <w:t xml:space="preserve"> </w:t>
      </w:r>
      <w:r>
        <w:t xml:space="preserve">Significant costs for businesses (SMEs in particular) to implement such a</w:t>
      </w:r>
      <w:r>
        <w:t xml:space="preserve"> </w:t>
      </w:r>
      <w:r>
        <w:t xml:space="preserve">measure. This option cannot exclude that some product users, particularly</w:t>
      </w:r>
      <w:r>
        <w:t xml:space="preserve"> </w:t>
      </w:r>
      <w:r>
        <w:t xml:space="preserve">consumers, would not be able to access digital product information due to lack of</w:t>
      </w:r>
      <w:r>
        <w:t xml:space="preserve"> </w:t>
      </w:r>
      <w:r>
        <w:t xml:space="preserve">access to digital tools, lack of digital skills and lack of internet connection.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CLP rules</w:t>
      </w:r>
      <w:r>
        <w:br/>
      </w:r>
      <w:r>
        <w:t xml:space="preserve">DM13 Introduce obligation to make online platforms the</w:t>
      </w:r>
      <w:r>
        <w:t xml:space="preserve"> </w:t>
      </w:r>
      <w:r>
        <w:t xml:space="preserve">responsible actors for compliance in the EU</w:t>
      </w:r>
      <w:r>
        <w:t xml:space="preserve"> </w:t>
      </w:r>
      <w:r>
        <w:t xml:space="preserve">Not in line with the draft Digital Services Act91 as well as the E-Commerce</w:t>
      </w:r>
      <w:r>
        <w:t xml:space="preserve"> </w:t>
      </w:r>
      <w:r>
        <w:t xml:space="preserve">Directive92 providing for a conditional liability exemption of online platforms.</w:t>
      </w:r>
    </w:p>
    <w:p>
      <w:pPr>
        <w:pStyle w:val="BodyText"/>
      </w:pPr>
      <w:r>
        <w:t xml:space="preserve">DM14: Change the entire system and allow submissions via</w:t>
      </w:r>
      <w:r>
        <w:t xml:space="preserve"> </w:t>
      </w:r>
      <w:r>
        <w:t xml:space="preserve">the ECHA portal only with information storage in ECHA’s</w:t>
      </w:r>
      <w:r>
        <w:t xml:space="preserve"> </w:t>
      </w:r>
      <w:r>
        <w:t xml:space="preserve">database and access by all Member States</w:t>
      </w:r>
      <w:r>
        <w:br/>
      </w:r>
      <w:r>
        <w:t xml:space="preserve">Very disruptive measure for a system that is only applicable as of 2020; no</w:t>
      </w:r>
      <w:r>
        <w:t xml:space="preserve"> </w:t>
      </w:r>
      <w:r>
        <w:t xml:space="preserve">support from either Member States or stakeholders; measure would solve the</w:t>
      </w:r>
      <w:r>
        <w:t xml:space="preserve"> </w:t>
      </w:r>
      <w:r>
        <w:t xml:space="preserve">problem only partially (not for re-branders/-relabellers).</w:t>
      </w:r>
    </w:p>
    <w:p>
      <w:pPr>
        <w:pStyle w:val="BodyText"/>
      </w:pPr>
      <w:r>
        <w:t xml:space="preserve">DM15 Amend CLP to make online platforms the</w:t>
      </w:r>
      <w:r>
        <w:t xml:space="preserve"> </w:t>
      </w:r>
      <w:r>
        <w:t xml:space="preserve">responsible actor in the EU by default</w:t>
      </w:r>
      <w:r>
        <w:br/>
      </w:r>
      <w:r>
        <w:t xml:space="preserve">Too disruptive measure for a just recently introduced system, not appreciated by</w:t>
      </w:r>
      <w:r>
        <w:t xml:space="preserve"> </w:t>
      </w:r>
      <w:r>
        <w:t xml:space="preserve">any Member State nor stakeholder.</w:t>
      </w:r>
    </w:p>
    <w:p>
      <w:pPr>
        <w:pStyle w:val="BodyText"/>
      </w:pPr>
      <w:r>
        <w:t xml:space="preserve">DM16 Improving ECHA guidance on notifications to</w:t>
      </w:r>
      <w:r>
        <w:t xml:space="preserve"> </w:t>
      </w:r>
      <w:r>
        <w:t xml:space="preserve">poison centres</w:t>
      </w:r>
      <w:r>
        <w:t xml:space="preserve"> </w:t>
      </w:r>
      <w:r>
        <w:t xml:space="preserve">ECHA guidance has been assessed as already addressing the problem, but</w:t>
      </w:r>
      <w:r>
        <w:t xml:space="preserve"> </w:t>
      </w:r>
      <w:r>
        <w:t xml:space="preserve">improvements could not solve the main issues, as distributors continue placing on</w:t>
      </w:r>
      <w:r>
        <w:t xml:space="preserve"> </w:t>
      </w:r>
      <w:r>
        <w:t xml:space="preserve">the market hazardous mixtures supplied cross-border and re-branded.</w:t>
      </w:r>
    </w:p>
    <w:p>
      <w:pPr>
        <w:pStyle w:val="BodyText"/>
      </w:pPr>
      <w:r>
        <w:t xml:space="preserve">91 Proposal for a Digital Services Act and amending Directive 2000/31/EC, COM(2020) 825 final.</w:t>
      </w:r>
      <w:r>
        <w:br/>
      </w:r>
      <w:r>
        <w:t xml:space="preserve">92 Directive 2000/31/EC, OJ L 178/1.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Annex 8 – New Hazard Classes</w:t>
      </w:r>
    </w:p>
    <w:p>
      <w:pPr>
        <w:pStyle w:val="BodyText"/>
      </w:pPr>
      <w:r>
        <w:t xml:space="preserve">CONTEXT</w:t>
      </w:r>
      <w:r>
        <w:br/>
      </w:r>
      <w:r>
        <w:t xml:space="preserve">The CSS calls for the strengthening CLP and, more specifically, states that the Commission</w:t>
      </w:r>
      <w:r>
        <w:t xml:space="preserve"> </w:t>
      </w:r>
      <w:r>
        <w:t xml:space="preserve">will ‘propose new hazard classes and criteria in CLP to fully address environmental toxicity,</w:t>
      </w:r>
      <w:r>
        <w:t xml:space="preserve"> </w:t>
      </w:r>
      <w:r>
        <w:t xml:space="preserve">persistency, mobility and bioaccumulation’ and ‘ensure that the CLP is the central piece for</w:t>
      </w:r>
      <w:r>
        <w:t xml:space="preserve"> </w:t>
      </w:r>
      <w:r>
        <w:t xml:space="preserve">hazard classification and allows the Commission to initiate harmonised classifications’93. The</w:t>
      </w:r>
      <w:r>
        <w:t xml:space="preserve"> </w:t>
      </w:r>
      <w:r>
        <w:t xml:space="preserve">CLP revision will be closely followed by the revision of REACH and other chemical legislative</w:t>
      </w:r>
      <w:r>
        <w:t xml:space="preserve"> </w:t>
      </w:r>
      <w:r>
        <w:t xml:space="preserve">acts (EC, 2020c94) that will benefit from the CLP revision as classification of substances and</w:t>
      </w:r>
      <w:r>
        <w:t xml:space="preserve"> </w:t>
      </w:r>
      <w:r>
        <w:t xml:space="preserve">mixtures trigger legislative actions or direct obligation under downstream legislation.</w:t>
      </w:r>
      <w:r>
        <w:t xml:space="preserve"> </w:t>
      </w:r>
      <w:r>
        <w:t xml:space="preserve">Several Sustainable Development Goals (SDG) are linked to this problem, especially:</w:t>
      </w:r>
      <w:r>
        <w:t xml:space="preserve"> </w:t>
      </w:r>
      <w:r>
        <w:t xml:space="preserve"> SDG #3 Good health and well-being – Target 3.9 ‘By 2030, substantially reduce the</w:t>
      </w:r>
      <w:r>
        <w:t xml:space="preserve"> </w:t>
      </w:r>
      <w:r>
        <w:t xml:space="preserve">number of deaths and illnesses from hazardous chemicals and air, water and soil</w:t>
      </w:r>
      <w:r>
        <w:t xml:space="preserve"> </w:t>
      </w:r>
      <w:r>
        <w:t xml:space="preserve">pollution and contamination’: the inclusion of new hazard classes on EDs will</w:t>
      </w:r>
      <w:r>
        <w:t xml:space="preserve"> </w:t>
      </w:r>
      <w:r>
        <w:t xml:space="preserve">contribute to this goal by better protecting human health.</w:t>
      </w:r>
      <w:r>
        <w:t xml:space="preserve"> </w:t>
      </w:r>
      <w:r>
        <w:t xml:space="preserve"> SDG #6 Clean water and sanitation – Target 6.3 ‘By 2030, improve water quality by</w:t>
      </w:r>
      <w:r>
        <w:t xml:space="preserve"> </w:t>
      </w:r>
      <w:r>
        <w:t xml:space="preserve">reducing pollution, eliminating dumping and minimizing release of hazardous</w:t>
      </w:r>
      <w:r>
        <w:t xml:space="preserve"> </w:t>
      </w:r>
      <w:r>
        <w:t xml:space="preserve">chemicals and materials, halving the proportion of untreated wastewater and</w:t>
      </w:r>
      <w:r>
        <w:t xml:space="preserve"> </w:t>
      </w:r>
      <w:r>
        <w:t xml:space="preserve">substantially increasing recycling and safe reuse globally’: all new hazard classes will</w:t>
      </w:r>
      <w:r>
        <w:t xml:space="preserve"> </w:t>
      </w:r>
      <w:r>
        <w:t xml:space="preserve">also participate to this goal, in particular the new hazard classes on PMT and vPvM.</w:t>
      </w:r>
      <w:r>
        <w:t xml:space="preserve"> </w:t>
      </w:r>
      <w:r>
        <w:t xml:space="preserve"> SDG #9 Industry, innovation and infrastructure – Target 9.4 ‘By 2030, upgrade</w:t>
      </w:r>
      <w:r>
        <w:t xml:space="preserve"> </w:t>
      </w:r>
      <w:r>
        <w:t xml:space="preserve">infrastructure and retrofit industries to make them sustainable, with increased resource-</w:t>
      </w:r>
      <w:r>
        <w:t xml:space="preserve"> </w:t>
      </w:r>
      <w:r>
        <w:t xml:space="preserve">use efficiency and greater adoption of clean and environmentally sound technologies</w:t>
      </w:r>
      <w:r>
        <w:t xml:space="preserve"> </w:t>
      </w:r>
      <w:r>
        <w:t xml:space="preserve">and industrial processes, with all countries taking action in accordance with their</w:t>
      </w:r>
      <w:r>
        <w:t xml:space="preserve"> </w:t>
      </w:r>
      <w:r>
        <w:t xml:space="preserve">respective capabilities’: the new hazard classes will help in the identification of</w:t>
      </w:r>
      <w:r>
        <w:t xml:space="preserve"> </w:t>
      </w:r>
      <w:r>
        <w:t xml:space="preserve">sustainable alternatives.</w:t>
      </w:r>
      <w:r>
        <w:t xml:space="preserve"> </w:t>
      </w:r>
      <w:r>
        <w:t xml:space="preserve"> SDG #12 Responsible consumption and production – Target 12.4 ‘By 2020, achieve</w:t>
      </w:r>
      <w:r>
        <w:t xml:space="preserve"> </w:t>
      </w:r>
      <w:r>
        <w:t xml:space="preserve">the environmentally sound management of chemicals and all wastes throughout their</w:t>
      </w:r>
      <w:r>
        <w:t xml:space="preserve"> </w:t>
      </w:r>
      <w:r>
        <w:t xml:space="preserve">life cycle, in accordance with agreed international frameworks, and significantly reduce</w:t>
      </w:r>
      <w:r>
        <w:t xml:space="preserve"> </w:t>
      </w:r>
      <w:r>
        <w:t xml:space="preserve">their release to air, water and soil in order to minimize their adverse impacts on human</w:t>
      </w:r>
      <w:r>
        <w:t xml:space="preserve"> </w:t>
      </w:r>
      <w:r>
        <w:t xml:space="preserve">health and the environment’: the new hazard classes will have downstream</w:t>
      </w:r>
      <w:r>
        <w:t xml:space="preserve"> </w:t>
      </w:r>
      <w:r>
        <w:t xml:space="preserve">consequences, which will at the end impact the full life cycle of this products.</w:t>
      </w:r>
    </w:p>
    <w:p>
      <w:pPr>
        <w:pStyle w:val="BodyText"/>
      </w:pPr>
      <w:r>
        <w:t xml:space="preserve">93 COM(2020) 667.</w:t>
      </w:r>
      <w:r>
        <w:t xml:space="preserve"> </w:t>
      </w:r>
      <w:r>
        <w:t xml:space="preserve">94 COM(2020) 667.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DESCRIPTION OF THE PROBLEMS AND THE CURRENT BASELINE</w:t>
      </w:r>
      <w:r>
        <w:t xml:space="preserve"> </w:t>
      </w:r>
      <w:r>
        <w:t xml:space="preserve">Description of the problems</w:t>
      </w:r>
      <w:r>
        <w:t xml:space="preserve"> </w:t>
      </w:r>
      <w:r>
        <w:t xml:space="preserve">During the development of the CLP, the intention was to keep the classification and labelling</w:t>
      </w:r>
      <w:r>
        <w:t xml:space="preserve"> </w:t>
      </w:r>
      <w:r>
        <w:t xml:space="preserve">criteria as close as possible to the UN GHS, to facilitate worldwide trade while protecting</w:t>
      </w:r>
      <w:r>
        <w:t xml:space="preserve"> </w:t>
      </w:r>
      <w:r>
        <w:t xml:space="preserve">human health and the environment (CLP recitals 5 to 8, 12, 13, 15 and 42). However, the</w:t>
      </w:r>
      <w:r>
        <w:t xml:space="preserve"> </w:t>
      </w:r>
      <w:r>
        <w:t xml:space="preserve">Fitness Check of chemicals legislation other than REACH95 found shortcomings in the</w:t>
      </w:r>
      <w:r>
        <w:t xml:space="preserve"> </w:t>
      </w:r>
      <w:r>
        <w:t xml:space="preserve">legislative framework with respect to its coherence, because of the lack of horizontal</w:t>
      </w:r>
      <w:r>
        <w:t xml:space="preserve"> </w:t>
      </w:r>
      <w:r>
        <w:t xml:space="preserve">identification criteria for certain hazard properties. This has resulted in the following identified</w:t>
      </w:r>
      <w:r>
        <w:t xml:space="preserve"> </w:t>
      </w:r>
      <w:r>
        <w:t xml:space="preserve">problems:</w:t>
      </w:r>
      <w:r>
        <w:t xml:space="preserve"> </w:t>
      </w:r>
      <w:r>
        <w:t xml:space="preserve"> hazard properties not covered by CLP and the UN GHS, not being identified, classified</w:t>
      </w:r>
      <w:r>
        <w:t xml:space="preserve"> </w:t>
      </w:r>
      <w:r>
        <w:t xml:space="preserve">and communicated to downstream users, linked to hazardous substances and mixtures</w:t>
      </w:r>
      <w:r>
        <w:t xml:space="preserve"> </w:t>
      </w:r>
      <w:r>
        <w:t xml:space="preserve">not identified and causing diseases and pollution and consumers and professional users</w:t>
      </w:r>
      <w:r>
        <w:t xml:space="preserve"> </w:t>
      </w:r>
      <w:r>
        <w:t xml:space="preserve">not provided with sufficient information;</w:t>
      </w:r>
      <w:r>
        <w:t xml:space="preserve"> </w:t>
      </w:r>
      <w:r>
        <w:t xml:space="preserve"> inconsistencies in risk mitigation measures adopted for substances with the same</w:t>
      </w:r>
      <w:r>
        <w:t xml:space="preserve"> </w:t>
      </w:r>
      <w:r>
        <w:t xml:space="preserve">hazards but regulated by different pieces of legislation, linked to insufficient</w:t>
      </w:r>
      <w:r>
        <w:t xml:space="preserve"> </w:t>
      </w:r>
      <w:r>
        <w:t xml:space="preserve">compliance and excessive administrative burden (in particular SMEs);</w:t>
      </w:r>
      <w:r>
        <w:t xml:space="preserve"> </w:t>
      </w:r>
      <w:r>
        <w:t xml:space="preserve"> failings in triggering risk management provisions in downstream sector-specific</w:t>
      </w:r>
      <w:r>
        <w:t xml:space="preserve"> </w:t>
      </w:r>
      <w:r>
        <w:t xml:space="preserve">regulations and directives referring to CLP hazard classification,96 linked to hazardous</w:t>
      </w:r>
      <w:r>
        <w:t xml:space="preserve"> </w:t>
      </w:r>
      <w:r>
        <w:t xml:space="preserve">substances not identified and causing diseases and pollution;</w:t>
      </w:r>
      <w:r>
        <w:t xml:space="preserve"> </w:t>
      </w:r>
      <w:r>
        <w:t xml:space="preserve"> inefficiencies in the use of limited resources, as the same hazard properties are assessed</w:t>
      </w:r>
      <w:r>
        <w:t xml:space="preserve"> </w:t>
      </w:r>
      <w:r>
        <w:t xml:space="preserve">multiple times for the same substances according to different regulations, linked to</w:t>
      </w:r>
      <w:r>
        <w:t xml:space="preserve"> </w:t>
      </w:r>
      <w:r>
        <w:t xml:space="preserve">inefficient procedures for hazard classification and insufficient compliance and</w:t>
      </w:r>
      <w:r>
        <w:t xml:space="preserve"> </w:t>
      </w:r>
      <w:r>
        <w:t xml:space="preserve">excessive administrative burden (in particular SMEs).</w:t>
      </w:r>
      <w:r>
        <w:t xml:space="preserve"> </w:t>
      </w:r>
      <w:r>
        <w:t xml:space="preserve">Ultimately, these inconsistencies undermine the protection of human health and the</w:t>
      </w:r>
      <w:r>
        <w:t xml:space="preserve"> </w:t>
      </w:r>
      <w:r>
        <w:t xml:space="preserve">environment and have been acknowledged by the CSS which lists, amongst other actions:, to</w:t>
      </w:r>
      <w:r>
        <w:t xml:space="preserve"> </w:t>
      </w:r>
      <w:r>
        <w:t xml:space="preserve">‘propose to establish legally binding hazard identification of endocrine disruptors, based on the</w:t>
      </w:r>
      <w:r>
        <w:t xml:space="preserve"> </w:t>
      </w:r>
      <w:r>
        <w:t xml:space="preserve">definition of the WHO, building on criteria already developed for pesticides and biocides, and</w:t>
      </w:r>
      <w:r>
        <w:t xml:space="preserve"> </w:t>
      </w:r>
      <w:r>
        <w:t xml:space="preserve">apply it across all legislation’;, ‘propose new hazard classes and criteria in the CLP to fully</w:t>
      </w:r>
      <w:r>
        <w:t xml:space="preserve"> </w:t>
      </w:r>
      <w:r>
        <w:t xml:space="preserve">address environmental toxicity, persistency, mobility and bioaccumulation’; and ‘propose to</w:t>
      </w:r>
      <w:r>
        <w:t xml:space="preserve"> </w:t>
      </w:r>
      <w:r>
        <w:t xml:space="preserve">introduce, adapt or clarify criteria/hazard classes in UN GHS’ (EC, 2020a97).</w:t>
      </w:r>
      <w:r>
        <w:t xml:space="preserve"> </w:t>
      </w:r>
      <w:r>
        <w:t xml:space="preserve">Endocrine disruption</w:t>
      </w:r>
      <w:r>
        <w:t xml:space="preserve"> </w:t>
      </w:r>
      <w:r>
        <w:t xml:space="preserve">The World Health Organisation defines an endocrine disruptor (ED) as ‘an exogenous</w:t>
      </w:r>
      <w:r>
        <w:t xml:space="preserve"> </w:t>
      </w:r>
      <w:r>
        <w:t xml:space="preserve">substance or mixture that alters function(s) of the endocrine system and consequently causes</w:t>
      </w:r>
    </w:p>
    <w:p>
      <w:pPr>
        <w:pStyle w:val="BodyText"/>
      </w:pPr>
      <w:r>
        <w:t xml:space="preserve">95 SWD(2019) 199.</w:t>
      </w:r>
      <w:r>
        <w:t xml:space="preserve"> </w:t>
      </w:r>
      <w:r>
        <w:t xml:space="preserve">96 Around 20 different legislative acts referring to CLP classifications were identified and analysed in RPA et al. </w:t>
      </w:r>
      <w:r>
        <w:t xml:space="preserve"> </w:t>
      </w:r>
      <w:r>
        <w:t xml:space="preserve">(2017b).</w:t>
      </w:r>
      <w:r>
        <w:t xml:space="preserve"> </w:t>
      </w:r>
      <w:r>
        <w:t xml:space="preserve">97 COM(2019) 640 final. Brussels, 11.12.2019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adverse health effects in an intact organism, or its progeny, or (sub)populations’ (IPCS,</w:t>
      </w:r>
      <w:r>
        <w:t xml:space="preserve"> </w:t>
      </w:r>
      <w:r>
        <w:t xml:space="preserve">2002).98</w:t>
      </w:r>
      <w:r>
        <w:t xml:space="preserve"> </w:t>
      </w:r>
      <w:r>
        <w:t xml:space="preserve">Over the last 30 years, the endocrine disrupting properties of chemicals have been the focus of</w:t>
      </w:r>
      <w:r>
        <w:t xml:space="preserve"> </w:t>
      </w:r>
      <w:r>
        <w:t xml:space="preserve">increasing scientific research, and the accumulated knowledge identifies EDs as a concern to</w:t>
      </w:r>
      <w:r>
        <w:t xml:space="preserve"> </w:t>
      </w:r>
      <w:r>
        <w:t xml:space="preserve">public and wildlife health (WHO/UNEP, 2013;99 Vandenberg LN, Turgeon JL, 2021). The</w:t>
      </w:r>
      <w:r>
        <w:t xml:space="preserve"> </w:t>
      </w:r>
      <w:r>
        <w:t xml:space="preserve">high and increasing incidence of many endocrine-related disorders in humans – such as asthma,</w:t>
      </w:r>
      <w:r>
        <w:t xml:space="preserve"> </w:t>
      </w:r>
      <w:r>
        <w:t xml:space="preserve">birth defects, neurodevelopmental disorders, cancer, diabetes and obesity in children and</w:t>
      </w:r>
      <w:r>
        <w:t xml:space="preserve"> </w:t>
      </w:r>
      <w:r>
        <w:t xml:space="preserve">cardiovascular diseases, cancer, diabetes and obesity, allergic and autoimmune diseases in</w:t>
      </w:r>
      <w:r>
        <w:t xml:space="preserve"> </w:t>
      </w:r>
      <w:r>
        <w:t xml:space="preserve">adults – have important parallels in some wildlife populations. Evidence on the roles played in</w:t>
      </w:r>
      <w:r>
        <w:t xml:space="preserve"> </w:t>
      </w:r>
      <w:r>
        <w:t xml:space="preserve">the disease outcomes by environmental and other non-genetic factors, including chemical</w:t>
      </w:r>
      <w:r>
        <w:t xml:space="preserve"> </w:t>
      </w:r>
      <w:r>
        <w:t xml:space="preserve">exposure, is growing. Some links have become apparent (e.g. polychlorinated biphenyls’</w:t>
      </w:r>
      <w:r>
        <w:t xml:space="preserve"> </w:t>
      </w:r>
      <w:r>
        <w:t xml:space="preserve">exposure as a risk factor in breast and prostate cancers; relationships between perfluoroalkyl</w:t>
      </w:r>
      <w:r>
        <w:t xml:space="preserve"> </w:t>
      </w:r>
      <w:r>
        <w:t xml:space="preserve">substances and child and adult obesity, impaired glucose tolerance, gestational diabetes,</w:t>
      </w:r>
      <w:r>
        <w:t xml:space="preserve"> </w:t>
      </w:r>
      <w:r>
        <w:t xml:space="preserve">reduced birthweight, reduced semen quality, polycystic ovarian syndrome, endometriosis, and</w:t>
      </w:r>
      <w:r>
        <w:t xml:space="preserve"> </w:t>
      </w:r>
      <w:r>
        <w:t xml:space="preserve">breast cancer) while more research is necessary on the associations between EDs and other</w:t>
      </w:r>
      <w:r>
        <w:t xml:space="preserve"> </w:t>
      </w:r>
      <w:r>
        <w:t xml:space="preserve">endocrine-related diseases (WHO/UNEP, 2013; Kahn et al., 2020).</w:t>
      </w:r>
      <w:r>
        <w:br/>
      </w:r>
      <w:r>
        <w:t xml:space="preserve">The interaction between EDs and other environmental stressors is also under investigation,</w:t>
      </w:r>
      <w:r>
        <w:t xml:space="preserve"> </w:t>
      </w:r>
      <w:r>
        <w:t xml:space="preserve">with some research pointing to potential emerging problems (for example, Wu et al., 2022</w:t>
      </w:r>
      <w:r>
        <w:t xml:space="preserve"> </w:t>
      </w:r>
      <w:r>
        <w:t xml:space="preserve">report on the negative impact on fish populations of the synergetic action of increasing water</w:t>
      </w:r>
      <w:r>
        <w:t xml:space="preserve"> </w:t>
      </w:r>
      <w:r>
        <w:t xml:space="preserve">temperatures due to climate warming and endocrine disruption from plastic pollution).</w:t>
      </w:r>
      <w:r>
        <w:t xml:space="preserve"> </w:t>
      </w:r>
      <w:r>
        <w:t xml:space="preserve">Importantly, only a small proportion of the chemicals on the market have been tested for</w:t>
      </w:r>
      <w:r>
        <w:t xml:space="preserve"> </w:t>
      </w:r>
      <w:r>
        <w:t xml:space="preserve">endocrine effects and the disease risk due to EDs’ exposure may be significantly</w:t>
      </w:r>
      <w:r>
        <w:t xml:space="preserve"> </w:t>
      </w:r>
      <w:r>
        <w:t xml:space="preserve">underestimated (WHO/UNEP, 2013). Shaffer et al. (2019) identifies EDs as a high priority</w:t>
      </w:r>
      <w:r>
        <w:t xml:space="preserve"> </w:t>
      </w:r>
      <w:r>
        <w:t xml:space="preserve">class of environmental health risk factors for inclusion in the future iterations of the Global</w:t>
      </w:r>
      <w:r>
        <w:t xml:space="preserve"> </w:t>
      </w:r>
      <w:r>
        <w:t xml:space="preserve">Burden of Disease (GBD) study.100</w:t>
      </w:r>
      <w:r>
        <w:t xml:space="preserve"> </w:t>
      </w:r>
      <w:r>
        <w:t xml:space="preserve">Since 1999, the European Commission has been working on prioritising suspected EDs for</w:t>
      </w:r>
      <w:r>
        <w:t xml:space="preserve"> </w:t>
      </w:r>
      <w:r>
        <w:t xml:space="preserve">evaluation, monitoring exposures and effects, develop and validate new testing methods and</w:t>
      </w:r>
      <w:r>
        <w:t xml:space="preserve"> </w:t>
      </w:r>
      <w:r>
        <w:t xml:space="preserve">increase public awareness on EDs (EC, 2018b101).</w:t>
      </w:r>
      <w:r>
        <w:br/>
      </w:r>
      <w:r>
        <w:t xml:space="preserve">Identification of known or presumed endocrine disruptors (EDs) is required for actives</w:t>
      </w:r>
      <w:r>
        <w:t xml:space="preserve"> </w:t>
      </w:r>
      <w:r>
        <w:t xml:space="preserve">substances by the Plant Protection Products Regulation (PPPR)102 and for actives substances</w:t>
      </w:r>
      <w:r>
        <w:t xml:space="preserve"> </w:t>
      </w:r>
      <w:r>
        <w:t xml:space="preserve">and products by the Biocidal Products Regulation (BPR)103 according to criteria established,</w:t>
      </w:r>
      <w:r>
        <w:t xml:space="preserve"> </w:t>
      </w:r>
      <w:r>
        <w:t xml:space="preserve">respectively, in 2017 and 2018. REACH does not contain identification criteria for EDs, but</w:t>
      </w:r>
      <w:r>
        <w:t xml:space="preserve"> </w:t>
      </w:r>
      <w:r>
        <w:t xml:space="preserve">these are identified as substances of very high concern (SVHCs) on a case-by-case basis</w:t>
      </w:r>
    </w:p>
    <w:p>
      <w:pPr>
        <w:pStyle w:val="BodyText"/>
      </w:pPr>
      <w:r>
        <w:t xml:space="preserve">98 International Programme on Chemical Safety. (2002). Global assessment on the state of the science of endocrine</w:t>
      </w:r>
      <w:r>
        <w:t xml:space="preserve"> </w:t>
      </w:r>
      <w:r>
        <w:t xml:space="preserve">disruptors. World Health Organization. https://apps.who.int/iris/handle/10665/67357</w:t>
      </w:r>
      <w:r>
        <w:t xml:space="preserve"> </w:t>
      </w:r>
      <w:r>
        <w:t xml:space="preserve">99 UNEP State of the Science of Endocrine Disputing Chemicals - IPCP-2012, available at:</w:t>
      </w:r>
      <w:r>
        <w:t xml:space="preserve"> </w:t>
      </w:r>
      <w:r>
        <w:t xml:space="preserve">https://www.unep.org/resources/publication/state-science-endocrine-disputing-chemicals-ipcp-</w:t>
      </w:r>
      <w:r>
        <w:t xml:space="preserve"> </w:t>
      </w:r>
      <w:r>
        <w:t xml:space="preserve">2012?_ga=2.148289463.183897156.1643356524-1526509983.1643356524</w:t>
      </w:r>
      <w:r>
        <w:t xml:space="preserve"> </w:t>
      </w:r>
      <w:r>
        <w:t xml:space="preserve">100 Shaffer RM et al. (2019): Improving and Expanding Estimates of the Global Burden of Disease Due to</w:t>
      </w:r>
      <w:r>
        <w:t xml:space="preserve"> </w:t>
      </w:r>
      <w:r>
        <w:t xml:space="preserve">Environmental Health Risk Factors. Environmental Helath Perspectives 127(10) October 2019. Available at:</w:t>
      </w:r>
      <w:r>
        <w:t xml:space="preserve"> </w:t>
      </w:r>
      <w:r>
        <w:t xml:space="preserve">https://doi.org/10.1289/EHP5496</w:t>
      </w:r>
      <w:r>
        <w:br/>
      </w:r>
      <w:r>
        <w:t xml:space="preserve">101 COM(2018) 734 final.</w:t>
      </w:r>
      <w:r>
        <w:br/>
      </w:r>
      <w:r>
        <w:t xml:space="preserve">102 Regulation (EC) No 1107/2009 of the European Parliament and of the Council of 21 October 2009 concerning</w:t>
      </w:r>
      <w:r>
        <w:t xml:space="preserve"> </w:t>
      </w:r>
      <w:r>
        <w:t xml:space="preserve">the placing of plant protection products on the market and repealing Council Directives 79/117/EEC and</w:t>
      </w:r>
      <w:r>
        <w:t xml:space="preserve"> </w:t>
      </w:r>
      <w:r>
        <w:t xml:space="preserve">91/414/EEC. OJ L 309, 24.11.2009.</w:t>
      </w:r>
      <w:r>
        <w:t xml:space="preserve"> </w:t>
      </w:r>
      <w:r>
        <w:t xml:space="preserve">103 Regulation (EU) No 528/2012 of the European Parliament and of the Council of 22 May 2012 concerning the</w:t>
      </w:r>
      <w:r>
        <w:t xml:space="preserve"> </w:t>
      </w:r>
      <w:r>
        <w:t xml:space="preserve">making available on the market and use of biocidal products. OJ L 167 27.6.2012.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following the IPCS/WHO definition and the assessment of the “equivalent level of concern”</w:t>
      </w:r>
      <w:r>
        <w:t xml:space="preserve"> </w:t>
      </w:r>
      <w:r>
        <w:t xml:space="preserve">carried out by the REACH Member State Committee. It should be noted that the same</w:t>
      </w:r>
      <w:r>
        <w:t xml:space="preserve"> </w:t>
      </w:r>
      <w:r>
        <w:t xml:space="preserve">definition and guidelines are used by REACH, BPR and PPPR.</w:t>
      </w:r>
      <w:r>
        <w:t xml:space="preserve"> </w:t>
      </w:r>
      <w:r>
        <w:t xml:space="preserve">Sector-specific legislation on cosmetic products, medical devices, food contact materials,</w:t>
      </w:r>
      <w:r>
        <w:t xml:space="preserve"> </w:t>
      </w:r>
      <w:r>
        <w:t xml:space="preserve">detergents, toys or on any other chemical products does not require the identification of EDs.</w:t>
      </w:r>
      <w:r>
        <w:t xml:space="preserve"> </w:t>
      </w:r>
      <w:r>
        <w:t xml:space="preserve">However, the use of potential endocrine disrupting substances may be subject to the scientific</w:t>
      </w:r>
      <w:r>
        <w:t xml:space="preserve"> </w:t>
      </w:r>
      <w:r>
        <w:t xml:space="preserve">opinion of expert advisory bodies. For example, while Regulation (EC) No 1223/2009 on</w:t>
      </w:r>
      <w:r>
        <w:t xml:space="preserve"> </w:t>
      </w:r>
      <w:r>
        <w:t xml:space="preserve">cosmetic products104 (CPR) does not have specific provision for endocrine disruptors, it does</w:t>
      </w:r>
      <w:r>
        <w:t xml:space="preserve"> </w:t>
      </w:r>
      <w:r>
        <w:t xml:space="preserve">ban the use of substances that are toxic to reproduction (which may for some substances also</w:t>
      </w:r>
      <w:r>
        <w:t xml:space="preserve"> </w:t>
      </w:r>
      <w:r>
        <w:t xml:space="preserve">be toxic via an endocrine disrupting mode of action); the scientific committee on consumer</w:t>
      </w:r>
      <w:r>
        <w:t xml:space="preserve"> </w:t>
      </w:r>
      <w:r>
        <w:t xml:space="preserve">safety (SCCS) addresses scientific concerns about the endocrine-disrupting properties (as well</w:t>
      </w:r>
      <w:r>
        <w:t xml:space="preserve"> </w:t>
      </w:r>
      <w:r>
        <w:t xml:space="preserve">as reprotoxicity and other properties of concern) of cosmetic ingredients through specific risk</w:t>
      </w:r>
      <w:r>
        <w:t xml:space="preserve"> </w:t>
      </w:r>
      <w:r>
        <w:t xml:space="preserve">assessments.</w:t>
      </w:r>
      <w:r>
        <w:t xml:space="preserve"> </w:t>
      </w:r>
      <w:r>
        <w:t xml:space="preserve">Because the lack of CLP on EDs is not filled by systematic identification in other regulations,</w:t>
      </w:r>
      <w:r>
        <w:t xml:space="preserve"> </w:t>
      </w:r>
      <w:r>
        <w:t xml:space="preserve">there is incomplete information on the human health and environmental hazards of these</w:t>
      </w:r>
      <w:r>
        <w:t xml:space="preserve"> </w:t>
      </w:r>
      <w:r>
        <w:t xml:space="preserve">substances. It should also be noted that EDs are not included at UN GHS. As substances and</w:t>
      </w:r>
      <w:r>
        <w:t xml:space="preserve"> </w:t>
      </w:r>
      <w:r>
        <w:t xml:space="preserve">mixtures with ED properties are not systematically identified and classified, these properties</w:t>
      </w:r>
      <w:r>
        <w:t xml:space="preserve"> </w:t>
      </w:r>
      <w:r>
        <w:t xml:space="preserve">are not communicated to downstream users, limiting downstream users’ ability to make</w:t>
      </w:r>
      <w:r>
        <w:t xml:space="preserve"> </w:t>
      </w:r>
      <w:r>
        <w:t xml:space="preserve">informed purchase choices and to adopt suitable risk management measures. The lack of</w:t>
      </w:r>
      <w:r>
        <w:t xml:space="preserve"> </w:t>
      </w:r>
      <w:r>
        <w:t xml:space="preserve">identification criteria in CLP may also result in the failure to define risk management</w:t>
      </w:r>
      <w:r>
        <w:t xml:space="preserve"> </w:t>
      </w:r>
      <w:r>
        <w:t xml:space="preserve">provisions in downstream sector-specific regulations and directives referring to CLP hazard</w:t>
      </w:r>
      <w:r>
        <w:t xml:space="preserve"> </w:t>
      </w:r>
      <w:r>
        <w:t xml:space="preserve">classification. Moreover, substances suspected of having ED properties may be assessed</w:t>
      </w:r>
      <w:r>
        <w:t xml:space="preserve"> </w:t>
      </w:r>
      <w:r>
        <w:t xml:space="preserve">multiple times according to different regulations, contributing to the inefficient use of limited</w:t>
      </w:r>
      <w:r>
        <w:t xml:space="preserve"> </w:t>
      </w:r>
      <w:r>
        <w:t xml:space="preserve">resources.</w:t>
      </w:r>
      <w:r>
        <w:t xml:space="preserve"> </w:t>
      </w:r>
      <w:r>
        <w:t xml:space="preserve">The inclusion of horizontal criteria for the identification and classification of EDs was</w:t>
      </w:r>
      <w:r>
        <w:t xml:space="preserve"> </w:t>
      </w:r>
      <w:r>
        <w:t xml:space="preserve">identified as an area for action in the EU’s 7th EAP and their absence has been criticized by</w:t>
      </w:r>
      <w:r>
        <w:t xml:space="preserve"> </w:t>
      </w:r>
      <w:r>
        <w:t xml:space="preserve">many stakeholders (EC, 2020b;105 EC, 2019e106).</w:t>
      </w:r>
      <w:r>
        <w:t xml:space="preserve"> </w:t>
      </w:r>
      <w:r>
        <w:t xml:space="preserve">It should be noted though that some stakeholders who participated to the consultation activities</w:t>
      </w:r>
      <w:r>
        <w:t xml:space="preserve"> </w:t>
      </w:r>
      <w:r>
        <w:t xml:space="preserve">in the framework of the Fitness Check on endocrine disruptors argue that ‘endocrine disruption</w:t>
      </w:r>
      <w:r>
        <w:t xml:space="preserve"> </w:t>
      </w:r>
      <w:r>
        <w:t xml:space="preserve">is a mode of action, while GHS/CLP focus on adverse effects. Adverse effects triggered by</w:t>
      </w:r>
      <w:r>
        <w:t xml:space="preserve"> </w:t>
      </w:r>
      <w:r>
        <w:t xml:space="preserve">endocrine activity are already covered by existing GHS/CLP hazard classes. ED classification</w:t>
      </w:r>
      <w:r>
        <w:t xml:space="preserve"> </w:t>
      </w:r>
      <w:r>
        <w:t xml:space="preserve">would be redundant’. However, not all adverse effects of EDs — for example the effects of</w:t>
      </w:r>
      <w:r>
        <w:t xml:space="preserve"> </w:t>
      </w:r>
      <w:r>
        <w:t xml:space="preserve">obesogens — can be identified within the current existing hazard classes of CLP.</w:t>
      </w:r>
      <w:r>
        <w:br/>
      </w:r>
      <w:r>
        <w:t xml:space="preserve">PBT/vPvB properties</w:t>
      </w:r>
      <w:r>
        <w:t xml:space="preserve"> </w:t>
      </w:r>
      <w:r>
        <w:t xml:space="preserve">Substances with persistent, bioaccumulative and toxic (PBT) and very persistent, very</w:t>
      </w:r>
      <w:r>
        <w:t xml:space="preserve"> </w:t>
      </w:r>
      <w:r>
        <w:t xml:space="preserve">bioaccumulative (vPvB) properties do not easily break down in the environment and tend to</w:t>
      </w:r>
      <w:r>
        <w:t xml:space="preserve"> </w:t>
      </w:r>
      <w:r>
        <w:t xml:space="preserve">bioaccumulate. Even at low toxicity, they have the potential to cause severe harm, because they</w:t>
      </w:r>
      <w:r>
        <w:t xml:space="preserve"> </w:t>
      </w:r>
      <w:r>
        <w:t xml:space="preserve">build up, for example in the adipose tissue of mammals, increasing their concentration over</w:t>
      </w:r>
      <w:r>
        <w:t xml:space="preserve"> </w:t>
      </w:r>
      <w:r>
        <w:t xml:space="preserve">time. Once in the food chain, they magnify at each level, leading to higher concentrations in</w:t>
      </w:r>
      <w:r>
        <w:t xml:space="preserve"> </w:t>
      </w:r>
      <w:r>
        <w:t xml:space="preserve">top predators and humans. Experience has shown that the accumulation of these substances in</w:t>
      </w:r>
    </w:p>
    <w:p>
      <w:pPr>
        <w:pStyle w:val="BodyText"/>
      </w:pPr>
      <w:r>
        <w:t xml:space="preserve">104 Regulation (EC) No 1223/2009 of the European Parliament and of the Council of 30 November 2009 on</w:t>
      </w:r>
      <w:r>
        <w:t xml:space="preserve"> </w:t>
      </w:r>
      <w:r>
        <w:t xml:space="preserve">cosmetic products (Text with EEA relevance).</w:t>
      </w:r>
      <w:r>
        <w:t xml:space="preserve"> </w:t>
      </w:r>
      <w:r>
        <w:t xml:space="preserve">105 SWD(2020) 251.</w:t>
      </w:r>
      <w:r>
        <w:br/>
      </w:r>
      <w:r>
        <w:t xml:space="preserve">106 SWD(2019) 199.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the environment is difficult to reverse, as cessation of emission does not readily result in</w:t>
      </w:r>
      <w:r>
        <w:t xml:space="preserve"> </w:t>
      </w:r>
      <w:r>
        <w:t xml:space="preserve">lowering their concentration, and the effects of this accumulation are unpredictable in the long-</w:t>
      </w:r>
      <w:r>
        <w:t xml:space="preserve"> </w:t>
      </w:r>
      <w:r>
        <w:t xml:space="preserve">term: in the case of vPvB substances, ‘even if no toxicity is demonstrated in laboratory testing,</w:t>
      </w:r>
      <w:r>
        <w:t xml:space="preserve"> </w:t>
      </w:r>
      <w:r>
        <w:t xml:space="preserve">long-term effects might be possible since high but unpredictable levels may be reached in man</w:t>
      </w:r>
      <w:r>
        <w:t xml:space="preserve"> </w:t>
      </w:r>
      <w:r>
        <w:t xml:space="preserve">or the environment over extended time periods’ (ECHA, 2017a107). Moreover, PBT/vPvB</w:t>
      </w:r>
      <w:r>
        <w:t xml:space="preserve"> </w:t>
      </w:r>
      <w:r>
        <w:t xml:space="preserve">substances have the potential to contaminate remote pristine areas. They also pose particular</w:t>
      </w:r>
      <w:r>
        <w:t xml:space="preserve"> </w:t>
      </w:r>
      <w:r>
        <w:t xml:space="preserve">challenges to the reliability of quantitative risk assessment, as a “safe” concentration in the</w:t>
      </w:r>
      <w:r>
        <w:t xml:space="preserve"> </w:t>
      </w:r>
      <w:r>
        <w:t xml:space="preserve">environment cannot be established with the available methodologies (ECHA, 2017a).</w:t>
      </w:r>
      <w:r>
        <w:t xml:space="preserve"> </w:t>
      </w:r>
      <w:r>
        <w:t xml:space="preserve">To a certain extent, PBT and vPvB substances are already regulated by REACH: organic</w:t>
      </w:r>
      <w:r>
        <w:t xml:space="preserve"> </w:t>
      </w:r>
      <w:r>
        <w:t xml:space="preserve">substances placed on the market in quantities of 10 tonnes or more per year have to undergo a</w:t>
      </w:r>
      <w:r>
        <w:t xml:space="preserve"> </w:t>
      </w:r>
      <w:r>
        <w:t xml:space="preserve">chemical safety assessment (article 14 of REACH), including a PBT/vPvB assessment</w:t>
      </w:r>
      <w:r>
        <w:t xml:space="preserve"> </w:t>
      </w:r>
      <w:r>
        <w:t xml:space="preserve">according to the identification criteria listed in Annex XIII of REACH. However, any</w:t>
      </w:r>
      <w:r>
        <w:t xml:space="preserve"> </w:t>
      </w:r>
      <w:r>
        <w:t xml:space="preserve">substance, even those that have not been registered, can be identified as PBT/vPvB and</w:t>
      </w:r>
      <w:r>
        <w:t xml:space="preserve"> </w:t>
      </w:r>
      <w:r>
        <w:t xml:space="preserve">included in the Candidate List of substances of very high concern (Annex XIV of REACH) for</w:t>
      </w:r>
      <w:r>
        <w:t xml:space="preserve"> </w:t>
      </w:r>
      <w:r>
        <w:t xml:space="preserve">authorisation of their continued use(s) (article 57 of REACH).</w:t>
      </w:r>
      <w:r>
        <w:t xml:space="preserve"> </w:t>
      </w:r>
      <w:r>
        <w:t xml:space="preserve">PBT/vPvB substances meeting the criteria set out in paragraph 1 of Annex D to the Stockholm</w:t>
      </w:r>
      <w:r>
        <w:t xml:space="preserve"> </w:t>
      </w:r>
      <w:r>
        <w:t xml:space="preserve">Convention108 are controlled through the adoption of appropriate measures (article 3(3) of</w:t>
      </w:r>
      <w:r>
        <w:t xml:space="preserve"> </w:t>
      </w:r>
      <w:r>
        <w:t xml:space="preserve">Regulation 2019/1021 on persistent organic pollutants)109. Except for explicit exemptions, the</w:t>
      </w:r>
      <w:r>
        <w:t xml:space="preserve"> </w:t>
      </w:r>
      <w:r>
        <w:t xml:space="preserve">manufacturing, placing on the market and use of substances — on their own, in mixtures or in</w:t>
      </w:r>
      <w:r>
        <w:t xml:space="preserve"> </w:t>
      </w:r>
      <w:r>
        <w:t xml:space="preserve">articles — is prohibited or restricted if the substances are included respectively in Annex I or</w:t>
      </w:r>
      <w:r>
        <w:t xml:space="preserve"> </w:t>
      </w:r>
      <w:r>
        <w:t xml:space="preserve">II of the POPs Regulation.</w:t>
      </w:r>
      <w:r>
        <w:br/>
      </w:r>
      <w:r>
        <w:t xml:space="preserve">Substances used in veterinary medicinal products and in medicinal products for human use</w:t>
      </w:r>
      <w:r>
        <w:t xml:space="preserve"> </w:t>
      </w:r>
      <w:r>
        <w:t xml:space="preserve">(both outside the scope of CLP) undergo PBT screening according to European Medicines</w:t>
      </w:r>
      <w:r>
        <w:t xml:space="preserve"> </w:t>
      </w:r>
      <w:r>
        <w:t xml:space="preserve">Agency’s guidelines110 which refer to REACH Annex XIII criteria. Also the BPR refers to</w:t>
      </w:r>
      <w:r>
        <w:t xml:space="preserve"> </w:t>
      </w:r>
      <w:r>
        <w:t xml:space="preserve">REACH Annex XIII criteria, but PBT and vPvB substances used in plant protection products</w:t>
      </w:r>
      <w:r>
        <w:t xml:space="preserve"> </w:t>
      </w:r>
      <w:r>
        <w:t xml:space="preserve">are identified according to the criteria listed in the PPPR. This creates a potential for</w:t>
      </w:r>
      <w:r>
        <w:t xml:space="preserve"> </w:t>
      </w:r>
      <w:r>
        <w:t xml:space="preserve">inconsistent PBT/vPvB hazard identification, due to differences in the assessment procedures</w:t>
      </w:r>
      <w:r>
        <w:t xml:space="preserve"> </w:t>
      </w:r>
      <w:r>
        <w:t xml:space="preserve">applied by each legal framework, the interpretation of the criteria, variations in the use of a</w:t>
      </w:r>
      <w:r>
        <w:t xml:space="preserve"> </w:t>
      </w:r>
      <w:r>
        <w:t xml:space="preserve">weight of evidence approach, the availability of data for the assessment and the regulatory</w:t>
      </w:r>
      <w:r>
        <w:t xml:space="preserve"> </w:t>
      </w:r>
      <w:r>
        <w:t xml:space="preserve">consequences. This is in particular the case for substances with PBT/vPvB properties near the</w:t>
      </w:r>
      <w:r>
        <w:t xml:space="preserve"> </w:t>
      </w:r>
      <w:r>
        <w:t xml:space="preserve">trigger values (Rauert et al, 2014; RPA et al. 2017a). Under PPPR, a working Document on</w:t>
      </w:r>
      <w:r>
        <w:t xml:space="preserve"> </w:t>
      </w:r>
      <w:r>
        <w:t xml:space="preserve">”Evidence Needed to Identify POP, PBT and vPvB Properties for Pesticides”111 has been</w:t>
      </w:r>
      <w:r>
        <w:t xml:space="preserve"> </w:t>
      </w:r>
      <w:r>
        <w:t xml:space="preserve">developed which follow a different approach than the ones followed in other legislations.</w:t>
      </w:r>
      <w:r>
        <w:br/>
      </w:r>
      <w:r>
        <w:t xml:space="preserve">So far, PBT assessments carried out according to the BPR and PPPR have resulted in only one</w:t>
      </w:r>
      <w:r>
        <w:t xml:space="preserve"> </w:t>
      </w:r>
      <w:r>
        <w:t xml:space="preserve">substance being inconsistently identified as a PBT: acetamiprid112 was identified as “very</w:t>
      </w:r>
    </w:p>
    <w:p>
      <w:pPr>
        <w:pStyle w:val="BodyText"/>
      </w:pPr>
      <w:r>
        <w:t xml:space="preserve">107 Guidance on the Application of the CLP Criteria. Guidance to Regulation (EC) No 1272/2008 on classification,</w:t>
      </w:r>
      <w:r>
        <w:t xml:space="preserve"> </w:t>
      </w:r>
      <w:r>
        <w:t xml:space="preserve">labelling and packaging (CLP) of substances and mixtures. ECHA-17-G-21-EN. Version 5.0 – July 2017.</w:t>
      </w:r>
      <w:r>
        <w:t xml:space="preserve"> </w:t>
      </w:r>
      <w:r>
        <w:t xml:space="preserve">European Chemicals Agency, 2017.</w:t>
      </w:r>
      <w:r>
        <w:t xml:space="preserve"> </w:t>
      </w:r>
      <w:r>
        <w:t xml:space="preserve">108Stockholm</w:t>
      </w:r>
      <w:r>
        <w:t xml:space="preserve"> </w:t>
      </w:r>
      <w:r>
        <w:t xml:space="preserve">Convention</w:t>
      </w:r>
      <w:r>
        <w:t xml:space="preserve"> </w:t>
      </w:r>
      <w:r>
        <w:t xml:space="preserve">on</w:t>
      </w:r>
      <w:r>
        <w:t xml:space="preserve"> </w:t>
      </w:r>
      <w:r>
        <w:t xml:space="preserve">persistent</w:t>
      </w:r>
      <w:r>
        <w:t xml:space="preserve"> </w:t>
      </w:r>
      <w:r>
        <w:t xml:space="preserve">organic</w:t>
      </w:r>
      <w:r>
        <w:t xml:space="preserve"> </w:t>
      </w:r>
      <w:r>
        <w:t xml:space="preserve">pollutants</w:t>
      </w:r>
      <w:r>
        <w:t xml:space="preserve"> </w:t>
      </w:r>
      <w:r>
        <w:t xml:space="preserve">(POPs),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http://chm.pops.int/TheConvention/Overview/TextoftheConvention/tabid/2232/Default.aspx</w:t>
      </w:r>
      <w:r>
        <w:t xml:space="preserve"> </w:t>
      </w:r>
      <w:r>
        <w:t xml:space="preserve">109 Regulation (EU) 2019/1021 of the European Parliament and of the Council of 20 June 2019 on persistent</w:t>
      </w:r>
      <w:r>
        <w:t xml:space="preserve"> </w:t>
      </w:r>
      <w:r>
        <w:t xml:space="preserve">organic pollutants. Available at: https://eur-lex.europa.eu/legal-content/en/ALL/?uri=CELEX:32019R1021</w:t>
      </w:r>
      <w:r>
        <w:t xml:space="preserve"> </w:t>
      </w:r>
      <w:r>
        <w:t xml:space="preserve">110 Respectively EMA (2015) and EMA (2018).</w:t>
      </w:r>
      <w:r>
        <w:t xml:space="preserve"> </w:t>
      </w:r>
      <w:r>
        <w:t xml:space="preserve">111 https://ec.europa.eu/food/system/files/2016-10/pesticides_ppp_app-proc_guide_fate_evidence_identify-pop-</w:t>
      </w:r>
      <w:r>
        <w:t xml:space="preserve"> </w:t>
      </w:r>
      <w:r>
        <w:t xml:space="preserve">pbt-vpvb-props.pdf</w:t>
      </w:r>
      <w:r>
        <w:br/>
      </w:r>
      <w:r>
        <w:t xml:space="preserve">112 EC number: 603-921-1; CAS number: 135410-20-7.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persistent” and “toxic” under the BPR and therefore included in the list of candidates for</w:t>
      </w:r>
      <w:r>
        <w:t xml:space="preserve"> </w:t>
      </w:r>
      <w:r>
        <w:t xml:space="preserve">substitution and approved for seven years only, while it was not identified as “persistent” under</w:t>
      </w:r>
      <w:r>
        <w:t xml:space="preserve"> </w:t>
      </w:r>
      <w:r>
        <w:t xml:space="preserve">the PPPR and approved for 15 years (EC, 2019e).</w:t>
      </w:r>
      <w:r>
        <w:t xml:space="preserve"> </w:t>
      </w:r>
      <w:r>
        <w:t xml:space="preserve">The possibility of labelling for PBT/vPvB substances was raised by some MS during the co-</w:t>
      </w:r>
      <w:r>
        <w:t xml:space="preserve"> </w:t>
      </w:r>
      <w:r>
        <w:t xml:space="preserve">decision process leading to the adoption of CLP and supported by some political groups of the</w:t>
      </w:r>
      <w:r>
        <w:t xml:space="preserve"> </w:t>
      </w:r>
      <w:r>
        <w:t xml:space="preserve">European Parliament. The proposal did not gain sufficient support, but the legislator decided</w:t>
      </w:r>
      <w:r>
        <w:t xml:space="preserve"> </w:t>
      </w:r>
      <w:r>
        <w:t xml:space="preserve">to add article 53(2): ‘Member States and the Commission shall, in the manner appropriate to</w:t>
      </w:r>
      <w:r>
        <w:t xml:space="preserve"> </w:t>
      </w:r>
      <w:r>
        <w:t xml:space="preserve">their role in the relevant UN for a, promote the harmonisation of the criteria for classification</w:t>
      </w:r>
      <w:r>
        <w:t xml:space="preserve"> </w:t>
      </w:r>
      <w:r>
        <w:t xml:space="preserve">and labelling of persistent, bioaccumulative and toxic (PBT) and very persistent and very</w:t>
      </w:r>
      <w:r>
        <w:t xml:space="preserve"> </w:t>
      </w:r>
      <w:r>
        <w:t xml:space="preserve">bioaccumulative (vPvB) substances at the level of the UN’ (UN, 2009).113 In 2009, the EU put</w:t>
      </w:r>
      <w:r>
        <w:t xml:space="preserve"> </w:t>
      </w:r>
      <w:r>
        <w:t xml:space="preserve">forward a proposal to include PBT/vPvB hazard classes and criteria in the UN GHS, but the</w:t>
      </w:r>
      <w:r>
        <w:t xml:space="preserve"> </w:t>
      </w:r>
      <w:r>
        <w:t xml:space="preserve">UN GHS expert sub-committee concluded that the existing hazard classes for aquatic toxicity</w:t>
      </w:r>
      <w:r>
        <w:t xml:space="preserve"> </w:t>
      </w:r>
      <w:r>
        <w:t xml:space="preserve">would capture any substance with PBT or vPvB properties and ensure adequate classification</w:t>
      </w:r>
      <w:r>
        <w:t xml:space="preserve"> </w:t>
      </w:r>
      <w:r>
        <w:t xml:space="preserve">and labelling (EC, 2019e).</w:t>
      </w:r>
      <w:r>
        <w:t xml:space="preserve"> </w:t>
      </w:r>
      <w:r>
        <w:t xml:space="preserve">It should be noted that hazard classification as intended in CLP and the UN GHS does not</w:t>
      </w:r>
      <w:r>
        <w:t xml:space="preserve"> </w:t>
      </w:r>
      <w:r>
        <w:t xml:space="preserve">foresee, at the moment, the combination of properties as in PBT or vPvB. ‘Such combinations</w:t>
      </w:r>
      <w:r>
        <w:t xml:space="preserve"> </w:t>
      </w:r>
      <w:r>
        <w:t xml:space="preserve">of properties are used to trigger specific actions in terms of risk assessment and risk</w:t>
      </w:r>
      <w:r>
        <w:t xml:space="preserve"> </w:t>
      </w:r>
      <w:r>
        <w:t xml:space="preserve">management’ (UN, 2009). Indeed, while PBT/vPvB substances elicit the same level of concern</w:t>
      </w:r>
      <w:r>
        <w:t xml:space="preserve"> </w:t>
      </w:r>
      <w:r>
        <w:t xml:space="preserve">as for example CMRs in REACH, CLP and the UN GHS do not provide for horizontal</w:t>
      </w:r>
      <w:r>
        <w:t xml:space="preserve"> </w:t>
      </w:r>
      <w:r>
        <w:t xml:space="preserve">identification criteria. As a consequence, substances manufactured and imported in quantities</w:t>
      </w:r>
      <w:r>
        <w:t xml:space="preserve"> </w:t>
      </w:r>
      <w:r>
        <w:t xml:space="preserve">below ten tonnes per year with PBT/vPvB properties — and the mixtures containing these</w:t>
      </w:r>
      <w:r>
        <w:t xml:space="preserve"> </w:t>
      </w:r>
      <w:r>
        <w:t xml:space="preserve">substances — are not systematically identified and classified and their PBT/vPvB properties</w:t>
      </w:r>
      <w:r>
        <w:t xml:space="preserve"> </w:t>
      </w:r>
      <w:r>
        <w:t xml:space="preserve">are not communicated to downstream users, limiting their ability to adopt suitable risk</w:t>
      </w:r>
      <w:r>
        <w:t xml:space="preserve"> </w:t>
      </w:r>
      <w:r>
        <w:t xml:space="preserve">management measures and make informed purchase choices. Moreover, substances suspected</w:t>
      </w:r>
      <w:r>
        <w:t xml:space="preserve"> </w:t>
      </w:r>
      <w:r>
        <w:t xml:space="preserve">of having PBT/vPvB properties may be assessed multiple times according to different</w:t>
      </w:r>
      <w:r>
        <w:t xml:space="preserve"> </w:t>
      </w:r>
      <w:r>
        <w:t xml:space="preserve">regulations, contributing to the inefficient use of limited resources. The lack of identification</w:t>
      </w:r>
      <w:r>
        <w:t xml:space="preserve"> </w:t>
      </w:r>
      <w:r>
        <w:t xml:space="preserve">criteria in CLP results in the failure to define risk management provisions in downstream</w:t>
      </w:r>
      <w:r>
        <w:t xml:space="preserve"> </w:t>
      </w:r>
      <w:r>
        <w:t xml:space="preserve">sector-specific regulations and directives referring to CLP hazard classification.</w:t>
      </w:r>
      <w:r>
        <w:t xml:space="preserve"> </w:t>
      </w:r>
      <w:r>
        <w:t xml:space="preserve">PMT/vPvM properties</w:t>
      </w:r>
      <w:r>
        <w:t xml:space="preserve"> </w:t>
      </w:r>
      <w:r>
        <w:t xml:space="preserve">Substances with PMT/vPvM properties pose grave concerns because they can enter the water</w:t>
      </w:r>
      <w:r>
        <w:t xml:space="preserve"> </w:t>
      </w:r>
      <w:r>
        <w:t xml:space="preserve">cycle, including drinking water, and spread over long distances, making the determination of</w:t>
      </w:r>
      <w:r>
        <w:t xml:space="preserve"> </w:t>
      </w:r>
      <w:r>
        <w:t xml:space="preserve">their impacts very challenging114. Many PMT/vPvM substances are only partly removed by</w:t>
      </w:r>
      <w:r>
        <w:t xml:space="preserve"> </w:t>
      </w:r>
      <w:r>
        <w:t xml:space="preserve">wastewater treatment processes and can even breakthrough the most advanced purification</w:t>
      </w:r>
      <w:r>
        <w:t xml:space="preserve"> </w:t>
      </w:r>
      <w:r>
        <w:t xml:space="preserve">processes at drinking water treatment facilities. Their incomplete removal coupled with</w:t>
      </w:r>
      <w:r>
        <w:t xml:space="preserve"> </w:t>
      </w:r>
      <w:r>
        <w:t xml:space="preserve">ongoing emissions means that their concentrations in the environment increase over time.</w:t>
      </w:r>
      <w:r>
        <w:t xml:space="preserve"> </w:t>
      </w:r>
      <w:r>
        <w:t xml:space="preserve">Despite progress, current analytical measurements are inadequate, and monitoring may</w:t>
      </w:r>
      <w:r>
        <w:t xml:space="preserve"> </w:t>
      </w:r>
      <w:r>
        <w:t xml:space="preserve">therefore not detect some of these substances (Hale et al., 2020).</w:t>
      </w:r>
      <w:r>
        <w:br/>
      </w:r>
      <w:r>
        <w:t xml:space="preserve">Examples of PMT/vPvM substances are perfluorobutanesulfonic acid (PFBS) and its salts, and</w:t>
      </w:r>
      <w:r>
        <w:t xml:space="preserve"> </w:t>
      </w:r>
      <w:r>
        <w:t xml:space="preserve">GenX115, which are compounds belonging to the class of per- and polyfluoroalkyl substances</w:t>
      </w:r>
    </w:p>
    <w:p>
      <w:pPr>
        <w:pStyle w:val="BodyText"/>
      </w:pPr>
      <w:r>
        <w:t xml:space="preserve">113 UN committee of experts on the transport of dangerous goods and on the globally harmonized system of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and</w:t>
      </w:r>
      <w:r>
        <w:t xml:space="preserve"> </w:t>
      </w:r>
      <w:r>
        <w:t xml:space="preserve">labelling</w:t>
      </w:r>
      <w:r>
        <w:t xml:space="preserve"> </w:t>
      </w:r>
      <w:r>
        <w:t xml:space="preserve">of</w:t>
      </w:r>
      <w:r>
        <w:t xml:space="preserve"> </w:t>
      </w:r>
      <w:r>
        <w:t xml:space="preserve">chemicals,</w:t>
      </w:r>
      <w:r>
        <w:t xml:space="preserve"> </w:t>
      </w:r>
      <w:r>
        <w:t xml:space="preserve">UN/SCEGHS/18/INF.4,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https://unece.org/fileadmin/DAM/trans/doc/2009/ac10c4/UN-SCEGHS-18-inf04e.pdf</w:t>
      </w:r>
      <w:r>
        <w:t xml:space="preserve"> </w:t>
      </w:r>
      <w:r>
        <w:t xml:space="preserve">114 https://enveurope.springeropen.com/articles/10.1186/s12302-020-00440-4</w:t>
      </w:r>
      <w:r>
        <w:t xml:space="preserve"> </w:t>
      </w:r>
      <w:r>
        <w:t xml:space="preserve">115 Tradename of HFPO-DA (3: 2,3,3,3-tetrafluoro-2-(heptafluoropropoxy)propanoic acid) its salts and its acyl</w:t>
      </w:r>
      <w:r>
        <w:t xml:space="preserve"> </w:t>
      </w:r>
      <w:r>
        <w:t xml:space="preserve">halides.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(PFAS). In consideration of ‘the large number of cases of contamination of soil and water -</w:t>
      </w:r>
      <w:r>
        <w:t xml:space="preserve"> </w:t>
      </w:r>
      <w:r>
        <w:t xml:space="preserve">including drinking water - in the EU and globally, the number of people affected with a full</w:t>
      </w:r>
      <w:r>
        <w:t xml:space="preserve"> </w:t>
      </w:r>
      <w:r>
        <w:t xml:space="preserve">spectrum of illnesses and the related societal and economic costs’, the CSS stresses that PFAS</w:t>
      </w:r>
      <w:r>
        <w:t xml:space="preserve"> </w:t>
      </w:r>
      <w:r>
        <w:t xml:space="preserve">require special attention.</w:t>
      </w:r>
      <w:r>
        <w:t xml:space="preserve"> </w:t>
      </w:r>
      <w:r>
        <w:t xml:space="preserve">The Member State Committee identified two groups of substances (HFPO-DA and PFBS116)</w:t>
      </w:r>
      <w:r>
        <w:t xml:space="preserve"> </w:t>
      </w:r>
      <w:r>
        <w:t xml:space="preserve">(2019) and one substance (1,4-dioxane) (2021) as SVHCs and included in the Candidate list</w:t>
      </w:r>
      <w:r>
        <w:t xml:space="preserve"> </w:t>
      </w:r>
      <w:r>
        <w:t xml:space="preserve">for authorisation according to article 57(f) of REACH, because their individual properties as</w:t>
      </w:r>
      <w:r>
        <w:t xml:space="preserve"> </w:t>
      </w:r>
      <w:r>
        <w:t xml:space="preserve">well as the combination of their properties elicit an equivalent level of concern, having probable</w:t>
      </w:r>
      <w:r>
        <w:t xml:space="preserve"> </w:t>
      </w:r>
      <w:r>
        <w:t xml:space="preserve">serious effects to human health and the environment. Hale et al. (2020) applied 16 assessment</w:t>
      </w:r>
      <w:r>
        <w:t xml:space="preserve"> </w:t>
      </w:r>
      <w:r>
        <w:t xml:space="preserve">criteria117 to three case studies118 to demonstrate that PMT/vPvM substances elicit an</w:t>
      </w:r>
      <w:r>
        <w:t xml:space="preserve"> </w:t>
      </w:r>
      <w:r>
        <w:t xml:space="preserve">equivalent level of concern of PBT/vPvB substances.</w:t>
      </w:r>
      <w:r>
        <w:t xml:space="preserve"> </w:t>
      </w:r>
      <w:r>
        <w:t xml:space="preserve">However, neither REACH nor any other legislative framework have identification criteria for</w:t>
      </w:r>
      <w:r>
        <w:t xml:space="preserve"> </w:t>
      </w:r>
      <w:r>
        <w:t xml:space="preserve">substances with PMT/vPvM properties. Since 2009, the German Environment Agency (UBA)</w:t>
      </w:r>
      <w:r>
        <w:t xml:space="preserve"> </w:t>
      </w:r>
      <w:r>
        <w:t xml:space="preserve">has been working on the development of identification criteria119.</w:t>
      </w:r>
      <w:r>
        <w:t xml:space="preserve"> </w:t>
      </w:r>
      <w:r>
        <w:t xml:space="preserve">Drivers of the problems</w:t>
      </w:r>
      <w:r>
        <w:t xml:space="preserve"> </w:t>
      </w:r>
      <w:r>
        <w:t xml:space="preserve">The main drivers of the above problems are:</w:t>
      </w:r>
    </w:p>
    <w:p>
      <w:pPr>
        <w:pStyle w:val="BodyText"/>
      </w:pPr>
      <w:r>
        <w:t xml:space="preserve">Missing provisions for identification of critical hazards;</w:t>
      </w:r>
      <w:r>
        <w:t xml:space="preserve"> </w:t>
      </w:r>
      <w:r>
        <w:t xml:space="preserve">Inefficient procedures for hazard classification.</w:t>
      </w:r>
      <w:r>
        <w:t xml:space="preserve"> </w:t>
      </w:r>
      <w:r>
        <w:t xml:space="preserve">The missing information about critical hazards to human health and the environment is driven</w:t>
      </w:r>
      <w:r>
        <w:t xml:space="preserve"> </w:t>
      </w:r>
      <w:r>
        <w:t xml:space="preserve">by the lack of horizontal identification criteria and specific hazard classes coupled with</w:t>
      </w:r>
      <w:r>
        <w:t xml:space="preserve"> </w:t>
      </w:r>
      <w:r>
        <w:t xml:space="preserve">insufficient information on modes of action and fate of the substances. These drivers are</w:t>
      </w:r>
      <w:r>
        <w:t xml:space="preserve"> </w:t>
      </w:r>
      <w:r>
        <w:t xml:space="preserve">regulatory failures. As CLP does not require the generation of new information (article 8), the</w:t>
      </w:r>
      <w:r>
        <w:t xml:space="preserve"> </w:t>
      </w:r>
      <w:r>
        <w:t xml:space="preserve">latter driver should be addressed by the revision of the REACH Regulation.</w:t>
      </w:r>
      <w:r>
        <w:t xml:space="preserve"> </w:t>
      </w:r>
      <w:r>
        <w:t xml:space="preserve">The consequences of having missing information on the hazards of substances and mixtures</w:t>
      </w:r>
      <w:r>
        <w:t xml:space="preserve"> </w:t>
      </w:r>
      <w:r>
        <w:t xml:space="preserve">are that downstream-users may adopt inconsistent and/or inadequate risk management</w:t>
      </w:r>
      <w:r>
        <w:t xml:space="preserve"> </w:t>
      </w:r>
      <w:r>
        <w:t xml:space="preserve">measures. Moreover, they can make purchase choices based on partial information. There is a</w:t>
      </w:r>
      <w:r>
        <w:t xml:space="preserve"> </w:t>
      </w:r>
      <w:r>
        <w:t xml:space="preserve">failure in the functioning of the generic approach to risk management used in many pieces of</w:t>
      </w:r>
      <w:r>
        <w:t xml:space="preserve"> </w:t>
      </w:r>
      <w:r>
        <w:t xml:space="preserve">legislation, which refer directly to CLP hazard classification for triggering certain risk</w:t>
      </w:r>
    </w:p>
    <w:p>
      <w:pPr>
        <w:pStyle w:val="BodyText"/>
      </w:pPr>
      <w:r>
        <w:t xml:space="preserve">116 Remarks: The combined intrinsic properties justifying the inclusion for the Member State Committee as a</w:t>
      </w:r>
      <w:r>
        <w:t xml:space="preserve"> </w:t>
      </w:r>
      <w:r>
        <w:t xml:space="preserve">substance for which there is scientific evidence of probable serious effects to human health and the environment</w:t>
      </w:r>
      <w:r>
        <w:t xml:space="preserve"> </w:t>
      </w:r>
      <w:r>
        <w:t xml:space="preserve">which give rise to an equivalent level of concern are the following: persistence, mobility, potential for long-range</w:t>
      </w:r>
      <w:r>
        <w:t xml:space="preserve"> </w:t>
      </w:r>
      <w:r>
        <w:t xml:space="preserve">transport, observed adverse effects (at least the following probable effects for human health: effects on the liver,</w:t>
      </w:r>
      <w:r>
        <w:t xml:space="preserve"> </w:t>
      </w:r>
      <w:r>
        <w:t xml:space="preserve">the kidney, and the haematological and immune systems and effects on development; at least the following</w:t>
      </w:r>
      <w:r>
        <w:t xml:space="preserve"> </w:t>
      </w:r>
      <w:r>
        <w:t xml:space="preserve">probable effects for the environment: population relevant effects on birds and mammals); as well as low adsorption</w:t>
      </w:r>
      <w:r>
        <w:t xml:space="preserve"> </w:t>
      </w:r>
      <w:r>
        <w:t xml:space="preserve">potential and high water solubility rendering the substance fully bioavailable for uptake via (drinking) water.</w:t>
      </w:r>
      <w:r>
        <w:t xml:space="preserve"> </w:t>
      </w:r>
      <w:r>
        <w:t xml:space="preserve">Together, these elements lead to a very high potential for irreversible effects</w:t>
      </w:r>
      <w:r>
        <w:t xml:space="preserve"> </w:t>
      </w:r>
      <w:r>
        <w:t xml:space="preserve">117 Serious effects to human health (Pose a threat to human health; Irreversible health effects; Delayed health</w:t>
      </w:r>
      <w:r>
        <w:t xml:space="preserve"> </w:t>
      </w:r>
      <w:r>
        <w:t xml:space="preserve">effects; Impaired quality of life). Serious effects to the environment (Irreversible exposure; Irreversible effect;</w:t>
      </w:r>
      <w:r>
        <w:t xml:space="preserve"> </w:t>
      </w:r>
      <w:r>
        <w:t xml:space="preserve">Intergenerational exposure and effect; Unknown/uncertain spatial scale; Disparity between point of release and</w:t>
      </w:r>
      <w:r>
        <w:t xml:space="preserve"> </w:t>
      </w:r>
      <w:r>
        <w:t xml:space="preserve">point of effect; Unknown/uncertain temporal scale; Uncertain/difficult to predict long term fate and toxic effects;</w:t>
      </w:r>
      <w:r>
        <w:t xml:space="preserve"> </w:t>
      </w:r>
      <w:r>
        <w:t xml:space="preserve">Harmful to the aquatic environment; Potential to reach pristine areas). Other effects (Increased societal costs;</w:t>
      </w:r>
      <w:r>
        <w:t xml:space="preserve"> </w:t>
      </w:r>
      <w:r>
        <w:t xml:space="preserve">Negative effect on resources; Need for minimisation of emissions).</w:t>
      </w:r>
      <w:r>
        <w:t xml:space="preserve"> </w:t>
      </w:r>
      <w:r>
        <w:t xml:space="preserve">118 PFBS, Gen X and 1,4-dioxane.</w:t>
      </w:r>
      <w:r>
        <w:t xml:space="preserve"> </w:t>
      </w:r>
      <w:r>
        <w:t xml:space="preserve">119 Umweltbundesamt, PMT and vPvM substances under REACH, https://www.umweltbundesamt.de/en/PMT-</w:t>
      </w:r>
      <w:r>
        <w:t xml:space="preserve"> </w:t>
      </w:r>
      <w:r>
        <w:t xml:space="preserve">substances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management measures. Finally, the lack of horizontal identification criteria contributes to the</w:t>
      </w:r>
      <w:r>
        <w:t xml:space="preserve"> </w:t>
      </w:r>
      <w:r>
        <w:t xml:space="preserve">inefficient use of the limited resources available.</w:t>
      </w:r>
      <w:r>
        <w:br/>
      </w:r>
      <w:r>
        <w:t xml:space="preserve">If the current situation persists, BPR and PPPR will still provide for a systematic identification</w:t>
      </w:r>
      <w:r>
        <w:t xml:space="preserve"> </w:t>
      </w:r>
      <w:r>
        <w:t xml:space="preserve">of endocrine disrupting active substances according to the criteria established in the BPR and</w:t>
      </w:r>
      <w:r>
        <w:t xml:space="preserve"> </w:t>
      </w:r>
      <w:r>
        <w:t xml:space="preserve">PPPR. Without policy intervention, the identification of endocrine disruptors used in other</w:t>
      </w:r>
      <w:r>
        <w:t xml:space="preserve"> </w:t>
      </w:r>
      <w:r>
        <w:t xml:space="preserve">product categories would not be systematic but would still be identified as SVHCs on a case-</w:t>
      </w:r>
      <w:r>
        <w:t xml:space="preserve"> </w:t>
      </w:r>
      <w:r>
        <w:t xml:space="preserve">by-case basis following the IPCS/WHO definition and the assessment of the “equivalent level</w:t>
      </w:r>
      <w:r>
        <w:t xml:space="preserve"> </w:t>
      </w:r>
      <w:r>
        <w:t xml:space="preserve">of concern” carried out by the REACH Member State Committee.</w:t>
      </w:r>
      <w:r>
        <w:t xml:space="preserve"> </w:t>
      </w:r>
      <w:r>
        <w:t xml:space="preserve">PBT/vPvB substances placed on the market in quantities of 10 tonnes or more per year would</w:t>
      </w:r>
      <w:r>
        <w:t xml:space="preserve"> </w:t>
      </w:r>
      <w:r>
        <w:t xml:space="preserve">be identified according to the criteria listed in Annex XIII of REACH. Even those that have</w:t>
      </w:r>
      <w:r>
        <w:t xml:space="preserve"> </w:t>
      </w:r>
      <w:r>
        <w:t xml:space="preserve">not been registered could be identified as PBT/vPvB and included in the Candidate List of</w:t>
      </w:r>
      <w:r>
        <w:t xml:space="preserve"> </w:t>
      </w:r>
      <w:r>
        <w:t xml:space="preserve">substances of very high concern (Annex XIV of REACH) for authorisation of their continued</w:t>
      </w:r>
      <w:r>
        <w:t xml:space="preserve"> </w:t>
      </w:r>
      <w:r>
        <w:t xml:space="preserve">use(s) (article 57 of REACH).</w:t>
      </w:r>
      <w:r>
        <w:br/>
      </w:r>
      <w:r>
        <w:t xml:space="preserve">There are no identification and classification criteria for substances with PMT/vPvM properties</w:t>
      </w:r>
      <w:r>
        <w:t xml:space="preserve"> </w:t>
      </w:r>
      <w:r>
        <w:t xml:space="preserve">in REACH or any other legal framework, even if under PPPR and BPR specific risk</w:t>
      </w:r>
      <w:r>
        <w:t xml:space="preserve"> </w:t>
      </w:r>
      <w:r>
        <w:t xml:space="preserve">assessments is triggered for mobile substances. PMT/vPvM substances would be identified</w:t>
      </w:r>
      <w:r>
        <w:t xml:space="preserve"> </w:t>
      </w:r>
      <w:r>
        <w:t xml:space="preserve">following the assessment of the “equivalent level of concern” carried out by the REACH</w:t>
      </w:r>
      <w:r>
        <w:t xml:space="preserve"> </w:t>
      </w:r>
      <w:r>
        <w:t xml:space="preserve">Member State Committee according to Article 57(f) of REACH.</w:t>
      </w:r>
      <w:r>
        <w:t xml:space="preserve"> </w:t>
      </w:r>
      <w:r>
        <w:t xml:space="preserve">The pace of identification under REACH of substances with ED, PBT/vPvB or PMT/vPvM</w:t>
      </w:r>
      <w:r>
        <w:t xml:space="preserve"> </w:t>
      </w:r>
      <w:r>
        <w:t xml:space="preserve">properties would be largely dependent on resources allocated to SVHC identification. As a</w:t>
      </w:r>
      <w:r>
        <w:t xml:space="preserve"> </w:t>
      </w:r>
      <w:r>
        <w:t xml:space="preserve">follow-up to the SVHC Roadmap, the IRS started in 2016 with the aim to speed up the</w:t>
      </w:r>
      <w:r>
        <w:t xml:space="preserve"> </w:t>
      </w:r>
      <w:r>
        <w:t xml:space="preserve">identification of substances of concern, having as a target the assessment of all registered</w:t>
      </w:r>
      <w:r>
        <w:t xml:space="preserve"> </w:t>
      </w:r>
      <w:r>
        <w:t xml:space="preserve">substances by 2027, to conclude on whether they are a priority for data generation or whether</w:t>
      </w:r>
      <w:r>
        <w:t xml:space="preserve"> </w:t>
      </w:r>
      <w:r>
        <w:t xml:space="preserve">enough information is available to determine their priority for regulatory risk management</w:t>
      </w:r>
      <w:r>
        <w:t xml:space="preserve"> </w:t>
      </w:r>
      <w:r>
        <w:t xml:space="preserve">(ECHA, 2021b). As revealed by the exercise carried out by ECHA to provide numbers of</w:t>
      </w:r>
      <w:r>
        <w:t xml:space="preserve"> </w:t>
      </w:r>
      <w:r>
        <w:t xml:space="preserve">substances that could potentially be identified and classified with ED, PBT/vPvB and</w:t>
      </w:r>
      <w:r>
        <w:t xml:space="preserve"> </w:t>
      </w:r>
      <w:r>
        <w:t xml:space="preserve">PMT/vPvM properties, for a large number of substances there would be the need for further</w:t>
      </w:r>
      <w:r>
        <w:t xml:space="preserve"> </w:t>
      </w:r>
      <w:r>
        <w:t xml:space="preserve">data generation, as substances registered with Annexes VII and VIII have in general a very</w:t>
      </w:r>
      <w:r>
        <w:t xml:space="preserve"> </w:t>
      </w:r>
      <w:r>
        <w:t xml:space="preserve">limited data set.</w:t>
      </w:r>
      <w:r>
        <w:br/>
      </w:r>
      <w:r>
        <w:t xml:space="preserve">Based on ECHA work, ‘[at] the end of 2020, there were around 1,860 substances of potential</w:t>
      </w:r>
      <w:r>
        <w:t xml:space="preserve"> </w:t>
      </w:r>
      <w:r>
        <w:t xml:space="preserve">concern needing further data generation. […] The generation of the data can take anywhere</w:t>
      </w:r>
      <w:r>
        <w:t xml:space="preserve"> </w:t>
      </w:r>
      <w:r>
        <w:t xml:space="preserve">from less than a year up to several years.’ Further details on this exercise and its methodology</w:t>
      </w:r>
      <w:r>
        <w:t xml:space="preserve"> </w:t>
      </w:r>
      <w:r>
        <w:t xml:space="preserve">is available in Annex IV.</w:t>
      </w:r>
      <w:r>
        <w:t xml:space="preserve"> </w:t>
      </w:r>
      <w:r>
        <w:t xml:space="preserve">CLP works as reference for a number of pieces of legislation, and without the introduction of</w:t>
      </w:r>
      <w:r>
        <w:t xml:space="preserve"> </w:t>
      </w:r>
      <w:r>
        <w:t xml:space="preserve">new hazard classes in CLP, some RMMs which are triggered by harmonised classification and</w:t>
      </w:r>
      <w:r>
        <w:t xml:space="preserve"> </w:t>
      </w:r>
      <w:r>
        <w:t xml:space="preserve">labelling would not be adopted.</w:t>
      </w:r>
      <w:r>
        <w:t xml:space="preserve"> </w:t>
      </w:r>
      <w:r>
        <w:t xml:space="preserve">Description of the current baseline</w:t>
      </w:r>
      <w:r>
        <w:t xml:space="preserve"> </w:t>
      </w:r>
      <w:r>
        <w:t xml:space="preserve">CLP is the horizontal reference point for the identification and classification of the physical,</w:t>
      </w:r>
      <w:r>
        <w:t xml:space="preserve"> </w:t>
      </w:r>
      <w:r>
        <w:t xml:space="preserve">health and environmental hazards of chemical substances and mixtures for most EU chemicals</w:t>
      </w:r>
      <w:r>
        <w:t xml:space="preserve"> </w:t>
      </w:r>
      <w:r>
        <w:t xml:space="preserve">and chemicals-related legislation. However, the hazards defined under CLP — and the UN</w:t>
      </w:r>
      <w:r>
        <w:t xml:space="preserve"> </w:t>
      </w:r>
      <w:r>
        <w:t xml:space="preserve">GHS — are not exhaustive, resulting in lack of communication on the hazards not covered by</w:t>
      </w:r>
      <w:r>
        <w:t xml:space="preserve"> </w:t>
      </w:r>
      <w:r>
        <w:t xml:space="preserve">CLP.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As CLP does not contain hazard identification criteria for substances with ED, PBT/vPvB and</w:t>
      </w:r>
      <w:r>
        <w:t xml:space="preserve"> </w:t>
      </w:r>
      <w:r>
        <w:t xml:space="preserve">PMT/vPvM properties, under the baseline these substances will keep being identified through</w:t>
      </w:r>
      <w:r>
        <w:t xml:space="preserve"> </w:t>
      </w:r>
      <w:r>
        <w:t xml:space="preserve">REACH (ED, PBT/vPvB and PMT/vPvM substances), BPR and PPPR (ED, PBT/vPvB</w:t>
      </w:r>
      <w:r>
        <w:t xml:space="preserve"> </w:t>
      </w:r>
      <w:r>
        <w:t xml:space="preserve">substances). The BPR and the PPPR have established identification criteria for EDs. While</w:t>
      </w:r>
      <w:r>
        <w:t xml:space="preserve"> </w:t>
      </w:r>
      <w:r>
        <w:t xml:space="preserve">REACH does not contain identification criteria for EDs, these can be identified as SVHCs on</w:t>
      </w:r>
      <w:r>
        <w:t xml:space="preserve"> </w:t>
      </w:r>
      <w:r>
        <w:t xml:space="preserve">a case-by-case basis following the IPCS/WHO definition and the assessment of the “equivalent</w:t>
      </w:r>
      <w:r>
        <w:t xml:space="preserve"> </w:t>
      </w:r>
      <w:r>
        <w:t xml:space="preserve">level of concern” carried out by the REACH Member State Committee.</w:t>
      </w:r>
      <w:r>
        <w:t xml:space="preserve"> </w:t>
      </w:r>
      <w:r>
        <w:t xml:space="preserve">REACH requires registrants to carry out a PBT assessment for substances placed on the market</w:t>
      </w:r>
      <w:r>
        <w:t xml:space="preserve"> </w:t>
      </w:r>
      <w:r>
        <w:t xml:space="preserve">in quantities of 10 tonnes or more per year. Any substance under the scope of REACH can be</w:t>
      </w:r>
      <w:r>
        <w:t xml:space="preserve"> </w:t>
      </w:r>
      <w:r>
        <w:t xml:space="preserve">identified according to the criteria listed in Annex XIII of REACH as PBT or vPvB and, as for</w:t>
      </w:r>
      <w:r>
        <w:t xml:space="preserve"> </w:t>
      </w:r>
      <w:r>
        <w:t xml:space="preserve">EDs, may be identified as SVHCs (article 57 of REACH). The BPR refers to REACH Annex</w:t>
      </w:r>
      <w:r>
        <w:t xml:space="preserve"> </w:t>
      </w:r>
      <w:r>
        <w:t xml:space="preserve">XIII criteria, and the PPPR contains PBT/vPvB identification criteria.</w:t>
      </w:r>
      <w:r>
        <w:t xml:space="preserve"> </w:t>
      </w:r>
      <w:r>
        <w:t xml:space="preserve">Neither REACH nor any other legislative framework have identification criteria for substances</w:t>
      </w:r>
      <w:r>
        <w:t xml:space="preserve"> </w:t>
      </w:r>
      <w:r>
        <w:t xml:space="preserve">with PMT/vPvM properties, but they can be identified as SVHCs under REACH.</w:t>
      </w:r>
      <w:r>
        <w:t xml:space="preserve"> </w:t>
      </w:r>
      <w:r>
        <w:t xml:space="preserve">ECHA’s integrated regulatory strategy brings together the various regulatory processes of</w:t>
      </w:r>
      <w:r>
        <w:t xml:space="preserve"> </w:t>
      </w:r>
      <w:r>
        <w:t xml:space="preserve">REACH and CLP. It is based on the efficient selection of substances and groups of substances</w:t>
      </w:r>
      <w:r>
        <w:t xml:space="preserve"> </w:t>
      </w:r>
      <w:r>
        <w:t xml:space="preserve">that raise potential concern, so that information needed to assess their safety is generated and</w:t>
      </w:r>
      <w:r>
        <w:t xml:space="preserve"> </w:t>
      </w:r>
      <w:r>
        <w:t xml:space="preserve">any remaining concerns addressed through the most suitable regulatory risk management</w:t>
      </w:r>
      <w:r>
        <w:t xml:space="preserve"> </w:t>
      </w:r>
      <w:r>
        <w:t xml:space="preserve">measures. ECHA and MSCAs carry out the following substance-specific activities: data</w:t>
      </w:r>
      <w:r>
        <w:t xml:space="preserve"> </w:t>
      </w:r>
      <w:r>
        <w:t xml:space="preserve">generation and assessment (dossier evaluation, substance evaluation, informal hazard</w:t>
      </w:r>
      <w:r>
        <w:t xml:space="preserve"> </w:t>
      </w:r>
      <w:r>
        <w:t xml:space="preserve">assessment of PBT/vPvB/ED properties); assessment of regulatory needs (ARN); and</w:t>
      </w:r>
      <w:r>
        <w:t xml:space="preserve"> </w:t>
      </w:r>
      <w:r>
        <w:t xml:space="preserve">regulatory risk management (harmonised classification and labelling, SVHC identification,</w:t>
      </w:r>
      <w:r>
        <w:t xml:space="preserve"> </w:t>
      </w:r>
      <w:r>
        <w:t xml:space="preserve">restriction).120</w:t>
      </w:r>
      <w:r>
        <w:t xml:space="preserve"> </w:t>
      </w:r>
      <w:r>
        <w:t xml:space="preserve">Under the baseline, it is assumed that these activities will keep contributing to the identification</w:t>
      </w:r>
      <w:r>
        <w:t xml:space="preserve"> </w:t>
      </w:r>
      <w:r>
        <w:t xml:space="preserve">of ED, PBT/vPvB and PMT/vPvM substances. The assessment of regulatory needs may be</w:t>
      </w:r>
      <w:r>
        <w:t xml:space="preserve"> </w:t>
      </w:r>
      <w:r>
        <w:t xml:space="preserve">based on sufficient available information or on data generated on missing hazard information</w:t>
      </w:r>
      <w:r>
        <w:t xml:space="preserve"> </w:t>
      </w:r>
      <w:r>
        <w:t xml:space="preserve">following compliance checks, testing proposals and substance evaluation. In addition, the ED</w:t>
      </w:r>
      <w:r>
        <w:t xml:space="preserve"> </w:t>
      </w:r>
      <w:r>
        <w:t xml:space="preserve">and PBT expert groups support the identification of ED and PBT/vPvB substances.</w:t>
      </w:r>
      <w:r>
        <w:t xml:space="preserve"> </w:t>
      </w:r>
      <w:r>
        <w:t xml:space="preserve">ECHA and MSCAs select substances that are to be evaluated to clarify whether their use poses</w:t>
      </w:r>
      <w:r>
        <w:t xml:space="preserve"> </w:t>
      </w:r>
      <w:r>
        <w:t xml:space="preserve">a risk to human health or the environment. The selection is carried out on the basis of risk-</w:t>
      </w:r>
      <w:r>
        <w:t xml:space="preserve"> </w:t>
      </w:r>
      <w:r>
        <w:t xml:space="preserve">based criteria. The substances selected for substance evaluation (Chapter 2 of the REACH</w:t>
      </w:r>
      <w:r>
        <w:t xml:space="preserve"> </w:t>
      </w:r>
      <w:r>
        <w:t xml:space="preserve">Regulation) are included in the community rolling action plan (CoRAP) following the opinion</w:t>
      </w:r>
      <w:r>
        <w:t xml:space="preserve"> </w:t>
      </w:r>
      <w:r>
        <w:t xml:space="preserve">of the Member State Committee. The evaluation of each substance – under substance</w:t>
      </w:r>
      <w:r>
        <w:t xml:space="preserve"> </w:t>
      </w:r>
      <w:r>
        <w:t xml:space="preserve">evaluation – is carried out by a designated Member State by assessing all registration dossiers</w:t>
      </w:r>
      <w:r>
        <w:t xml:space="preserve"> </w:t>
      </w:r>
      <w:r>
        <w:t xml:space="preserve">from all registrants specific to the same substance or group of substances, considering other</w:t>
      </w:r>
      <w:r>
        <w:t xml:space="preserve"> </w:t>
      </w:r>
      <w:r>
        <w:t xml:space="preserve">sources of information and by requesting and assessing new data from the registrants, typically</w:t>
      </w:r>
      <w:r>
        <w:t xml:space="preserve"> </w:t>
      </w:r>
      <w:r>
        <w:t xml:space="preserve">going beyond the standard REACH information requirements. Following the assessment of all</w:t>
      </w:r>
      <w:r>
        <w:t xml:space="preserve"> </w:t>
      </w:r>
      <w:r>
        <w:t xml:space="preserve">information, if the evaluating Member State considers that the use of the substance poses a risk,</w:t>
      </w:r>
      <w:r>
        <w:t xml:space="preserve"> </w:t>
      </w:r>
      <w:r>
        <w:t xml:space="preserve">it may proceed by proposing: harmonised classification and labelling for certain hazards,</w:t>
      </w:r>
      <w:r>
        <w:t xml:space="preserve"> </w:t>
      </w:r>
      <w:r>
        <w:t xml:space="preserve">identification of the substance as SVHC, an EU-wide restriction, EU-wide occupational</w:t>
      </w:r>
      <w:r>
        <w:t xml:space="preserve"> </w:t>
      </w:r>
      <w:r>
        <w:t xml:space="preserve">exposure limits, national measures or voluntary industry actions.</w:t>
      </w:r>
    </w:p>
    <w:p>
      <w:pPr>
        <w:pStyle w:val="BodyText"/>
      </w:pPr>
      <w:r>
        <w:t xml:space="preserve">120 Planned, ongoing or completed activities are listed in the Public Activities Coordination Tool (PACT).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As of February 2022, the CoRAP includes 392 unique substances/entries.121 Between 2012 and</w:t>
      </w:r>
      <w:r>
        <w:t xml:space="preserve"> </w:t>
      </w:r>
      <w:r>
        <w:t xml:space="preserve">2023, Member States evaluated, are evaluating or plan to evaluate 90 substances for their</w:t>
      </w:r>
      <w:r>
        <w:t xml:space="preserve"> </w:t>
      </w:r>
      <w:r>
        <w:t xml:space="preserve">suspected ED properties and 151 substances for their suspected PBT/vPvB properties.</w:t>
      </w:r>
      <w:r>
        <w:t xml:space="preserve"> </w:t>
      </w:r>
      <w:r>
        <w:t xml:space="preserve">Additionally, 23 substances are undergoing an ED assessment under the BPR.122 No data could</w:t>
      </w:r>
      <w:r>
        <w:t xml:space="preserve"> </w:t>
      </w:r>
      <w:r>
        <w:t xml:space="preserve">be found on the number of substances undergoing an ED or PBT/vPvB assessment under the</w:t>
      </w:r>
      <w:r>
        <w:t xml:space="preserve"> </w:t>
      </w:r>
      <w:r>
        <w:t xml:space="preserve">PPPR.123 So far, no substances have been included in the CoRAP to investigate suspected</w:t>
      </w:r>
      <w:r>
        <w:t xml:space="preserve"> </w:t>
      </w:r>
      <w:r>
        <w:t xml:space="preserve">PMT/vPvM properties.</w:t>
      </w:r>
      <w:r>
        <w:t xml:space="preserve"> </w:t>
      </w:r>
      <w:r>
        <w:t xml:space="preserve">Following data generation (or the evaluation of the available information considered sufficient</w:t>
      </w:r>
      <w:r>
        <w:t xml:space="preserve"> </w:t>
      </w:r>
      <w:r>
        <w:t xml:space="preserve">for the purpose), the regulatory needs of substances and groups of substances are assessed.124</w:t>
      </w:r>
      <w:r>
        <w:t xml:space="preserve"> </w:t>
      </w:r>
      <w:r>
        <w:t xml:space="preserve">The outcome can be that either there is no need for action or that regulatory risk management</w:t>
      </w:r>
      <w:r>
        <w:t xml:space="preserve"> </w:t>
      </w:r>
      <w:r>
        <w:t xml:space="preserve">at EU level is required. The follow-up regulatory actions are: harmonised classification and</w:t>
      </w:r>
      <w:r>
        <w:t xml:space="preserve"> </w:t>
      </w:r>
      <w:r>
        <w:t xml:space="preserve">labelling, SVHC identification, restriction, or action through other EU legislation. The</w:t>
      </w:r>
      <w:r>
        <w:t xml:space="preserve"> </w:t>
      </w:r>
      <w:r>
        <w:t xml:space="preserve">assessment can also result in a request for additional data (e.g. through substance evaluation).</w:t>
      </w:r>
      <w:r>
        <w:br/>
      </w:r>
      <w:r>
        <w:t xml:space="preserve">As of February 2022, the candidate list of substances of very high concern for authorisation</w:t>
      </w:r>
      <w:r>
        <w:t xml:space="preserve"> </w:t>
      </w:r>
      <w:r>
        <w:t xml:space="preserve">includes 444 entries, of which 113 were included because of their ED properties, 114 because</w:t>
      </w:r>
      <w:r>
        <w:t xml:space="preserve"> </w:t>
      </w:r>
      <w:r>
        <w:t xml:space="preserve">of their PBT/vPvB properties and 21 because of their PMT/vPvM properties. It is assumed that</w:t>
      </w:r>
      <w:r>
        <w:t xml:space="preserve"> </w:t>
      </w:r>
      <w:r>
        <w:t xml:space="preserve">Member States or ECHA would keep proposing substances to be identified as SVHCs at the</w:t>
      </w:r>
      <w:r>
        <w:t xml:space="preserve"> </w:t>
      </w:r>
      <w:r>
        <w:t xml:space="preserve">same rhythm. It should be noted that the group approach may result in higher numbers of</w:t>
      </w:r>
      <w:r>
        <w:t xml:space="preserve"> </w:t>
      </w:r>
      <w:r>
        <w:t xml:space="preserve">substances being identified as EDs or with PBT/vPvB or PMT/vPvM properties. Substances</w:t>
      </w:r>
      <w:r>
        <w:t xml:space="preserve"> </w:t>
      </w:r>
      <w:r>
        <w:t xml:space="preserve">and groups of substances can also be identified for restriction rather than authorisation. The</w:t>
      </w:r>
      <w:r>
        <w:t xml:space="preserve"> </w:t>
      </w:r>
      <w:r>
        <w:t xml:space="preserve">effect of the inclusion of groups of substances could be large: for example, the announced</w:t>
      </w:r>
      <w:r>
        <w:t xml:space="preserve"> </w:t>
      </w:r>
      <w:r>
        <w:t xml:space="preserve">intention to submit a restriction proposal for PFAS would affect more than 6,000 substances,125</w:t>
      </w:r>
      <w:r>
        <w:t xml:space="preserve"> </w:t>
      </w:r>
      <w:r>
        <w:t xml:space="preserve">although only around 2,000 are currently registered.126 Finally, biocidal and plant protection</w:t>
      </w:r>
      <w:r>
        <w:t xml:space="preserve"> </w:t>
      </w:r>
      <w:r>
        <w:t xml:space="preserve">active substances that exhibit ED or PBT/vPvB properties should not be approved, in</w:t>
      </w:r>
      <w:r>
        <w:t xml:space="preserve"> </w:t>
      </w:r>
      <w:r>
        <w:t xml:space="preserve">principle,127 for their use in biocidal and plant protection products, in accordance with the BPR</w:t>
      </w:r>
      <w:r>
        <w:t xml:space="preserve"> </w:t>
      </w:r>
      <w:r>
        <w:t xml:space="preserve">and PPPR.128</w:t>
      </w:r>
      <w:r>
        <w:t xml:space="preserve"> </w:t>
      </w:r>
      <w:r>
        <w:t xml:space="preserve">By forecasting numbers of substances through linear regression using the known values for the</w:t>
      </w:r>
      <w:r>
        <w:t xml:space="preserve"> </w:t>
      </w:r>
      <w:r>
        <w:t xml:space="preserve">period 2008-2022, in 2032 the candidate list would include 799 substances, of which 206 for</w:t>
      </w:r>
      <w:r>
        <w:t xml:space="preserve"> </w:t>
      </w:r>
      <w:r>
        <w:t xml:space="preserve">ED properties, 214 for PBT/vPvB properties and 67 for PMT/vPvM properties. In 2042, the</w:t>
      </w:r>
      <w:r>
        <w:t xml:space="preserve"> </w:t>
      </w:r>
      <w:r>
        <w:t xml:space="preserve">candidate list would include 1,126 substances, of which 293 for ED properties, 306 for</w:t>
      </w:r>
      <w:r>
        <w:t xml:space="preserve"> </w:t>
      </w:r>
      <w:r>
        <w:t xml:space="preserve">PBT/vPvB properties and 110 for PMT/vPvM properties (Figure 64).</w:t>
      </w:r>
    </w:p>
    <w:p>
      <w:pPr>
        <w:pStyle w:val="BodyText"/>
      </w:pPr>
      <w:r>
        <w:t xml:space="preserve">121 Note that ECHA webpages may indicate a slightly lower number of substances/entries than those listed in the</w:t>
      </w:r>
      <w:r>
        <w:t xml:space="preserve"> </w:t>
      </w:r>
      <w:r>
        <w:t xml:space="preserve">downloadable</w:t>
      </w:r>
      <w:r>
        <w:t xml:space="preserve"> </w:t>
      </w:r>
      <w:r>
        <w:t xml:space="preserve">list,</w:t>
      </w:r>
      <w:r>
        <w:t xml:space="preserve"> </w:t>
      </w:r>
      <w:r>
        <w:t xml:space="preserve">also</w:t>
      </w:r>
      <w:r>
        <w:t xml:space="preserve"> </w:t>
      </w:r>
      <w:r>
        <w:t xml:space="preserve">because</w:t>
      </w:r>
      <w:r>
        <w:t xml:space="preserve"> </w:t>
      </w:r>
      <w:r>
        <w:t xml:space="preserve">group</w:t>
      </w:r>
      <w:r>
        <w:t xml:space="preserve"> </w:t>
      </w:r>
      <w:r>
        <w:t xml:space="preserve">entries</w:t>
      </w:r>
      <w:r>
        <w:t xml:space="preserve"> </w:t>
      </w:r>
      <w:r>
        <w:t xml:space="preserve">are</w:t>
      </w:r>
      <w:r>
        <w:t xml:space="preserve"> </w:t>
      </w:r>
      <w:r>
        <w:t xml:space="preserve">split</w:t>
      </w:r>
      <w:r>
        <w:t xml:space="preserve"> </w:t>
      </w:r>
      <w:r>
        <w:t xml:space="preserve">in</w:t>
      </w:r>
      <w:r>
        <w:t xml:space="preserve"> </w:t>
      </w:r>
      <w:r>
        <w:t xml:space="preserve">different</w:t>
      </w:r>
      <w:r>
        <w:t xml:space="preserve"> </w:t>
      </w:r>
      <w:r>
        <w:t xml:space="preserve">rows.</w:t>
      </w:r>
      <w:r>
        <w:t xml:space="preserve"> </w:t>
      </w:r>
      <w:r>
        <w:t xml:space="preserve">Source:</w:t>
      </w:r>
      <w:r>
        <w:t xml:space="preserve"> </w:t>
      </w:r>
      <w:r>
        <w:t xml:space="preserve">https://echa.europa.eu/information-on-chemicals/evaluation/community-rolling-action-plan/corap-table</w:t>
      </w:r>
      <w:r>
        <w:t xml:space="preserve"> </w:t>
      </w:r>
      <w:r>
        <w:t xml:space="preserve">122 https://echa.europa.eu/ed-assessment</w:t>
      </w:r>
      <w:r>
        <w:t xml:space="preserve"> </w:t>
      </w:r>
      <w:r>
        <w:t xml:space="preserve">123 It should be noted that the review under BPR and PPPR is systematic, but limited to ED category 1.</w:t>
      </w:r>
      <w:r>
        <w:t xml:space="preserve"> </w:t>
      </w:r>
      <w:r>
        <w:t xml:space="preserve">124 As of February 2022, the ARN registry (https://echa.europa.eu/assessment-regulatory-needs) lists 754 entries</w:t>
      </w:r>
      <w:r>
        <w:t xml:space="preserve"> </w:t>
      </w:r>
      <w:r>
        <w:t xml:space="preserve">between substances and groups of substances, for a total of 2,116 substances. In the downloadable spreadsheet,</w:t>
      </w:r>
      <w:r>
        <w:t xml:space="preserve"> </w:t>
      </w:r>
      <w:r>
        <w:t xml:space="preserve">group entries are split in different rows. However, not all groups are split (e.g. PFAS has one single row) and</w:t>
      </w:r>
      <w:r>
        <w:t xml:space="preserve"> </w:t>
      </w:r>
      <w:r>
        <w:t xml:space="preserve">therefore the total number of unique substances is larger. The need for regulatory action, if any, can be identified</w:t>
      </w:r>
      <w:r>
        <w:t xml:space="preserve"> </w:t>
      </w:r>
      <w:r>
        <w:t xml:space="preserve">for the whole group, a subgroup or a single substance.</w:t>
      </w:r>
      <w:r>
        <w:t xml:space="preserve"> </w:t>
      </w:r>
      <w:r>
        <w:t xml:space="preserve">125 https://www.rivm.nl/en/pfas/official-start-to-ban-pfas-in-europe</w:t>
      </w:r>
      <w:r>
        <w:t xml:space="preserve"> </w:t>
      </w:r>
      <w:r>
        <w:t xml:space="preserve">126 https://echa.europa.eu/hot-topics/perfluoroalkyl-chemicals-pfas</w:t>
      </w:r>
      <w:r>
        <w:t xml:space="preserve"> </w:t>
      </w:r>
      <w:r>
        <w:t xml:space="preserve">127 Derogations are foreseen.</w:t>
      </w:r>
      <w:r>
        <w:t xml:space="preserve"> </w:t>
      </w:r>
      <w:r>
        <w:t xml:space="preserve">128 The reasons for non-approval of active substances are not easily retrieved from ECHA and EFSA databases, if</w:t>
      </w:r>
      <w:r>
        <w:t xml:space="preserve"> </w:t>
      </w:r>
      <w:r>
        <w:t xml:space="preserve">not by checking the opinions one-by-one.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Figure 64: Number of substances included in the candidate list of SVHCs for ED, PBT/vPvB or PMT/vPvM</w:t>
      </w:r>
      <w:r>
        <w:t xml:space="preserve"> </w:t>
      </w:r>
      <w:r>
        <w:t xml:space="preserve">properties or other hazards per year</w:t>
      </w:r>
      <w:r>
        <w:t xml:space="preserve"> </w:t>
      </w:r>
      <w:r>
        <w:t xml:space="preserve">Source: ECHA Candidate list (projections of the authors)</w:t>
      </w:r>
    </w:p>
    <w:p>
      <w:pPr>
        <w:pStyle w:val="BodyText"/>
      </w:pPr>
      <w:r>
        <w:t xml:space="preserve">As most of the substances may be used in more than one mixture, it is necessary to estimate</w:t>
      </w:r>
      <w:r>
        <w:t xml:space="preserve"> </w:t>
      </w:r>
      <w:r>
        <w:t xml:space="preserve">the number of mixtures that would be impacted by the identification of a substance with one</w:t>
      </w:r>
      <w:r>
        <w:t xml:space="preserve"> </w:t>
      </w:r>
      <w:r>
        <w:t xml:space="preserve">or more of the considered properties. Estimating this is difficult for several reasons:</w:t>
      </w:r>
      <w:r>
        <w:br/>
      </w:r>
      <w:r>
        <w:t xml:space="preserve"> There is no central repository that compiles information on the number of mixtures for</w:t>
      </w:r>
      <w:r>
        <w:t xml:space="preserve"> </w:t>
      </w:r>
      <w:r>
        <w:t xml:space="preserve">the entire EU;</w:t>
      </w:r>
      <w:r>
        <w:t xml:space="preserve"> </w:t>
      </w:r>
      <w:r>
        <w:t xml:space="preserve"> Some of the possible information sources are not publicly available, such as the</w:t>
      </w:r>
      <w:r>
        <w:t xml:space="preserve"> </w:t>
      </w:r>
      <w:r>
        <w:t xml:space="preserve">information provided to Poison centres for medical emergency129 or the German</w:t>
      </w:r>
      <w:r>
        <w:t xml:space="preserve"> </w:t>
      </w:r>
      <w:r>
        <w:t xml:space="preserve">Federal Institute for Risk Assessment (BfR).130</w:t>
      </w:r>
      <w:r>
        <w:t xml:space="preserve"> </w:t>
      </w:r>
      <w:r>
        <w:t xml:space="preserve">Ricardo (2021) estimated that 16,969 substances (including UVCBs) and 190,702 mixtures</w:t>
      </w:r>
      <w:r>
        <w:t xml:space="preserve"> </w:t>
      </w:r>
      <w:r>
        <w:t xml:space="preserve">would be impacted by the extension of the generic approach to risk management to the</w:t>
      </w:r>
      <w:r>
        <w:t xml:space="preserve"> </w:t>
      </w:r>
      <w:r>
        <w:t xml:space="preserve">following hazard classes: ED, PBT/vPvB, PMT/vPvM, respiratory sensitisation Cat. 1, 1A and</w:t>
      </w:r>
      <w:r>
        <w:t xml:space="preserve"> </w:t>
      </w:r>
      <w:r>
        <w:t xml:space="preserve">1B, STOT RE/SE Cat. 1 and 2, immunotoxicity, neurotoxicity, CMR Cat. 2, Skin Sensitisation</w:t>
      </w:r>
      <w:r>
        <w:t xml:space="preserve"> </w:t>
      </w:r>
      <w:r>
        <w:t xml:space="preserve">Cat 1, 1A and 1B, aquatic chronic 1 and 2 (Ricardo, 2021, p.50). These estimates imply an</w:t>
      </w:r>
      <w:r>
        <w:t xml:space="preserve"> </w:t>
      </w:r>
      <w:r>
        <w:t xml:space="preserve">average number of mixtures per substance of around 11.</w:t>
      </w:r>
      <w:r>
        <w:br/>
      </w:r>
      <w:r>
        <w:t xml:space="preserve">An alternative estimate was derived by analysing the SPIN (Substances of Preparations in</w:t>
      </w:r>
      <w:r>
        <w:t xml:space="preserve"> </w:t>
      </w:r>
      <w:r>
        <w:t xml:space="preserve">Nordic Countries) and extrapolating the result to the EU.131 The average of five mixtures per</w:t>
      </w:r>
      <w:r>
        <w:t xml:space="preserve"> </w:t>
      </w:r>
      <w:r>
        <w:t xml:space="preserve">substance was multiplied by a factor of five for projection to the entire EU, resulting in an</w:t>
      </w:r>
      <w:r>
        <w:t xml:space="preserve"> </w:t>
      </w:r>
      <w:r>
        <w:t xml:space="preserve">average of 25 mixtures placed on the EU market per single substance. This is consistent with</w:t>
      </w:r>
      <w:r>
        <w:t xml:space="preserve"> </w:t>
      </w:r>
      <w:r>
        <w:t xml:space="preserve">the estimates in the 2017 Fitness Check, which used figures of 99,000 substances and 2.5</w:t>
      </w:r>
      <w:r>
        <w:t xml:space="preserve"> </w:t>
      </w:r>
      <w:r>
        <w:t xml:space="preserve">million mixtures subject to reclassification, labelling and safety data sheets preparation to</w:t>
      </w:r>
      <w:r>
        <w:t xml:space="preserve"> </w:t>
      </w:r>
      <w:r>
        <w:t xml:space="preserve">produce an average of about 25 mixtures per substance. Applying these two estimates (11 and</w:t>
      </w:r>
    </w:p>
    <w:p>
      <w:pPr>
        <w:pStyle w:val="BodyText"/>
      </w:pPr>
      <w:r>
        <w:t xml:space="preserve">129 https://poisoncentres.echa.europa.eu</w:t>
      </w:r>
      <w:r>
        <w:t xml:space="preserve"> </w:t>
      </w:r>
      <w:r>
        <w:t xml:space="preserve">130 See e.g. https://www.bfr.bund.de/en/notification_of_products-10144.html, accessed November 2021.</w:t>
      </w:r>
      <w:r>
        <w:t xml:space="preserve"> </w:t>
      </w:r>
      <w:r>
        <w:t xml:space="preserve">131 The methodology and the results are detailed in the section on the policy options.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25 mixtures per substance) to the numbers of SVHCs in 2022132 and the estimated number of</w:t>
      </w:r>
      <w:r>
        <w:t xml:space="preserve"> </w:t>
      </w:r>
      <w:r>
        <w:t xml:space="preserve">SVHCs in 2032 and 2042 produces the estimates for the total numbers of mixtures in Table 26.</w:t>
      </w:r>
      <w:r>
        <w:t xml:space="preserve"> </w:t>
      </w:r>
      <w:r>
        <w:t xml:space="preserve">Table 27: Estimated number of mixtures containing SVHCs with ED, PBT/vPvB, PMT/vPvM properties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2032</w:t>
      </w:r>
      <w:r>
        <w:t xml:space="preserve"> </w:t>
      </w:r>
      <w:r>
        <w:t xml:space="preserve">2042</w:t>
      </w:r>
      <w:r>
        <w:t xml:space="preserve"> </w:t>
      </w:r>
      <w:r>
        <w:t xml:space="preserve">Number of mixtures based on 11 mixtures per substance</w:t>
      </w:r>
      <w:r>
        <w:t xml:space="preserve"> </w:t>
      </w:r>
      <w:r>
        <w:t xml:space="preserve">ED</w:t>
      </w:r>
      <w:r>
        <w:t xml:space="preserve"> </w:t>
      </w:r>
      <w:r>
        <w:t xml:space="preserve">100</w:t>
      </w:r>
      <w:r>
        <w:t xml:space="preserve"> </w:t>
      </w:r>
      <w:r>
        <w:t xml:space="preserve">2,300</w:t>
      </w:r>
      <w:r>
        <w:t xml:space="preserve"> </w:t>
      </w:r>
      <w:r>
        <w:t xml:space="preserve">3,200</w:t>
      </w:r>
      <w:r>
        <w:t xml:space="preserve"> </w:t>
      </w:r>
      <w:r>
        <w:t xml:space="preserve">PBT/vPvB</w:t>
      </w:r>
      <w:r>
        <w:t xml:space="preserve"> </w:t>
      </w:r>
      <w:r>
        <w:t xml:space="preserve">200</w:t>
      </w:r>
      <w:r>
        <w:t xml:space="preserve"> </w:t>
      </w:r>
      <w:r>
        <w:t xml:space="preserve">2,400</w:t>
      </w:r>
      <w:r>
        <w:t xml:space="preserve"> </w:t>
      </w:r>
      <w:r>
        <w:t xml:space="preserve">3,400</w:t>
      </w:r>
      <w:r>
        <w:t xml:space="preserve"> </w:t>
      </w:r>
      <w:r>
        <w:t xml:space="preserve">PMT/vPvM</w:t>
      </w:r>
      <w:r>
        <w:t xml:space="preserve"> </w:t>
      </w:r>
      <w:r>
        <w:t xml:space="preserve">100</w:t>
      </w:r>
      <w:r>
        <w:t xml:space="preserve"> </w:t>
      </w:r>
      <w:r>
        <w:t xml:space="preserve">700</w:t>
      </w:r>
      <w:r>
        <w:t xml:space="preserve"> </w:t>
      </w:r>
      <w:r>
        <w:t xml:space="preserve">1,200</w:t>
      </w:r>
      <w:r>
        <w:t xml:space="preserve"> </w:t>
      </w:r>
      <w:r>
        <w:t xml:space="preserve">Total</w:t>
      </w:r>
      <w:r>
        <w:t xml:space="preserve"> </w:t>
      </w:r>
      <w:r>
        <w:t xml:space="preserve">400</w:t>
      </w:r>
      <w:r>
        <w:t xml:space="preserve"> </w:t>
      </w:r>
      <w:r>
        <w:t xml:space="preserve">5,300</w:t>
      </w:r>
      <w:r>
        <w:t xml:space="preserve"> </w:t>
      </w:r>
      <w:r>
        <w:t xml:space="preserve">7,800</w:t>
      </w:r>
      <w:r>
        <w:t xml:space="preserve"> </w:t>
      </w:r>
      <w:r>
        <w:t xml:space="preserve">Number of mixtures based on 25 mixtures per substance</w:t>
      </w:r>
      <w:r>
        <w:t xml:space="preserve"> </w:t>
      </w:r>
      <w:r>
        <w:t xml:space="preserve">ED</w:t>
      </w:r>
      <w:r>
        <w:t xml:space="preserve"> </w:t>
      </w:r>
      <w:r>
        <w:t xml:space="preserve">300</w:t>
      </w:r>
      <w:r>
        <w:t xml:space="preserve"> </w:t>
      </w:r>
      <w:r>
        <w:t xml:space="preserve">5,100</w:t>
      </w:r>
      <w:r>
        <w:t xml:space="preserve"> </w:t>
      </w:r>
      <w:r>
        <w:t xml:space="preserve">7,300</w:t>
      </w:r>
      <w:r>
        <w:t xml:space="preserve"> </w:t>
      </w:r>
      <w:r>
        <w:t xml:space="preserve">PBT/vPvB</w:t>
      </w:r>
      <w:r>
        <w:t xml:space="preserve"> </w:t>
      </w:r>
      <w:r>
        <w:t xml:space="preserve">400</w:t>
      </w:r>
      <w:r>
        <w:t xml:space="preserve"> </w:t>
      </w:r>
      <w:r>
        <w:t xml:space="preserve">5,300</w:t>
      </w:r>
      <w:r>
        <w:t xml:space="preserve"> </w:t>
      </w:r>
      <w:r>
        <w:t xml:space="preserve">7,700</w:t>
      </w:r>
      <w:r>
        <w:t xml:space="preserve"> </w:t>
      </w:r>
      <w:r>
        <w:t xml:space="preserve">PMT/vPvM</w:t>
      </w:r>
      <w:r>
        <w:t xml:space="preserve"> </w:t>
      </w:r>
      <w:r>
        <w:t xml:space="preserve">200</w:t>
      </w:r>
      <w:r>
        <w:t xml:space="preserve"> </w:t>
      </w:r>
      <w:r>
        <w:t xml:space="preserve">1,700</w:t>
      </w:r>
      <w:r>
        <w:t xml:space="preserve"> </w:t>
      </w:r>
      <w:r>
        <w:t xml:space="preserve">2,700</w:t>
      </w:r>
      <w:r>
        <w:t xml:space="preserve"> </w:t>
      </w:r>
      <w:r>
        <w:t xml:space="preserve">Total</w:t>
      </w:r>
      <w:r>
        <w:t xml:space="preserve"> </w:t>
      </w:r>
      <w:r>
        <w:t xml:space="preserve">900</w:t>
      </w:r>
      <w:r>
        <w:t xml:space="preserve"> </w:t>
      </w:r>
      <w:r>
        <w:t xml:space="preserve">12,200</w:t>
      </w:r>
      <w:r>
        <w:t xml:space="preserve"> </w:t>
      </w:r>
      <w:r>
        <w:t xml:space="preserve">17,700</w:t>
      </w:r>
    </w:p>
    <w:p>
      <w:pPr>
        <w:pStyle w:val="BodyText"/>
      </w:pPr>
      <w:r>
        <w:t xml:space="preserve">More accurately, the totals provided in the table relate to the number of classifications for</w:t>
      </w:r>
      <w:r>
        <w:t xml:space="preserve"> </w:t>
      </w:r>
      <w:r>
        <w:t xml:space="preserve">mixtures rather than the number of mixtures. This is because some mixtures may meet the</w:t>
      </w:r>
      <w:r>
        <w:t xml:space="preserve"> </w:t>
      </w:r>
      <w:r>
        <w:t xml:space="preserve">classification criteria for more than one of the hazards.</w:t>
      </w:r>
      <w:r>
        <w:br/>
      </w:r>
      <w:r>
        <w:t xml:space="preserve">Table 27 summarises the estimates of the numbers of substances and mixtures with ED,</w:t>
      </w:r>
      <w:r>
        <w:t xml:space="preserve"> </w:t>
      </w:r>
      <w:r>
        <w:t xml:space="preserve">PBT/vPvB, PMT/vPvM properties that would be identified and classified under the baseline.</w:t>
      </w:r>
      <w:r>
        <w:br/>
      </w:r>
      <w:r>
        <w:t xml:space="preserve">Table 28: Estimated number of substances and mixtures with ED, PBT/vPvB, PMT/vPvM properties that would</w:t>
      </w:r>
      <w:r>
        <w:t xml:space="preserve"> </w:t>
      </w:r>
      <w:r>
        <w:t xml:space="preserve">be identified and classified under the baseline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2032</w:t>
      </w:r>
      <w:r>
        <w:t xml:space="preserve"> </w:t>
      </w:r>
      <w:r>
        <w:t xml:space="preserve">2042</w:t>
      </w:r>
      <w:r>
        <w:t xml:space="preserve"> </w:t>
      </w:r>
      <w:r>
        <w:t xml:space="preserve">Number of substances*</w:t>
      </w:r>
      <w:r>
        <w:t xml:space="preserve"> </w:t>
      </w:r>
      <w:r>
        <w:t xml:space="preserve">ED</w:t>
      </w:r>
      <w:r>
        <w:t xml:space="preserve"> </w:t>
      </w:r>
      <w:r>
        <w:t xml:space="preserve">13</w:t>
      </w:r>
      <w:r>
        <w:t xml:space="preserve"> </w:t>
      </w:r>
      <w:r>
        <w:t xml:space="preserve">210</w:t>
      </w:r>
      <w:r>
        <w:t xml:space="preserve"> </w:t>
      </w:r>
      <w:r>
        <w:t xml:space="preserve">290</w:t>
      </w:r>
      <w:r>
        <w:t xml:space="preserve"> </w:t>
      </w:r>
      <w:r>
        <w:t xml:space="preserve">PBT/vPvB</w:t>
      </w:r>
      <w:r>
        <w:t xml:space="preserve"> </w:t>
      </w:r>
      <w:r>
        <w:t xml:space="preserve">15</w:t>
      </w:r>
      <w:r>
        <w:t xml:space="preserve"> </w:t>
      </w:r>
      <w:r>
        <w:t xml:space="preserve">210</w:t>
      </w:r>
      <w:r>
        <w:t xml:space="preserve"> </w:t>
      </w:r>
      <w:r>
        <w:t xml:space="preserve">310</w:t>
      </w:r>
      <w:r>
        <w:t xml:space="preserve"> </w:t>
      </w:r>
      <w:r>
        <w:t xml:space="preserve">PMT/vPvM</w:t>
      </w:r>
      <w:r>
        <w:t xml:space="preserve"> </w:t>
      </w:r>
      <w:r>
        <w:t xml:space="preserve">7</w:t>
      </w:r>
      <w:r>
        <w:t xml:space="preserve"> </w:t>
      </w:r>
      <w:r>
        <w:t xml:space="preserve">70</w:t>
      </w:r>
      <w:r>
        <w:t xml:space="preserve"> </w:t>
      </w:r>
      <w:r>
        <w:t xml:space="preserve">110</w:t>
      </w:r>
      <w:r>
        <w:t xml:space="preserve"> </w:t>
      </w:r>
      <w:r>
        <w:t xml:space="preserve">Total</w:t>
      </w:r>
      <w:r>
        <w:t xml:space="preserve"> </w:t>
      </w:r>
      <w:r>
        <w:t xml:space="preserve">35</w:t>
      </w:r>
      <w:r>
        <w:t xml:space="preserve"> </w:t>
      </w:r>
      <w:r>
        <w:t xml:space="preserve">490</w:t>
      </w:r>
      <w:r>
        <w:t xml:space="preserve"> </w:t>
      </w:r>
      <w:r>
        <w:t xml:space="preserve">710</w:t>
      </w:r>
      <w:r>
        <w:t xml:space="preserve"> </w:t>
      </w:r>
      <w:r>
        <w:t xml:space="preserve">Number of mixtures**</w:t>
      </w:r>
      <w:r>
        <w:t xml:space="preserve"> </w:t>
      </w:r>
      <w:r>
        <w:t xml:space="preserve">ED</w:t>
      </w:r>
      <w:r>
        <w:t xml:space="preserve"> </w:t>
      </w:r>
      <w:r>
        <w:t xml:space="preserve">100 – 300</w:t>
      </w:r>
      <w:r>
        <w:t xml:space="preserve"> </w:t>
      </w:r>
      <w:r>
        <w:t xml:space="preserve">2,300 – 5,100</w:t>
      </w:r>
      <w:r>
        <w:t xml:space="preserve"> </w:t>
      </w:r>
      <w:r>
        <w:t xml:space="preserve">3,200 – 7,300</w:t>
      </w:r>
      <w:r>
        <w:t xml:space="preserve"> </w:t>
      </w:r>
      <w:r>
        <w:t xml:space="preserve">PBT/vPvB</w:t>
      </w:r>
      <w:r>
        <w:t xml:space="preserve"> </w:t>
      </w:r>
      <w:r>
        <w:t xml:space="preserve">200 – 400</w:t>
      </w:r>
      <w:r>
        <w:t xml:space="preserve"> </w:t>
      </w:r>
      <w:r>
        <w:t xml:space="preserve">2,400 – 5,300</w:t>
      </w:r>
      <w:r>
        <w:t xml:space="preserve"> </w:t>
      </w:r>
      <w:r>
        <w:t xml:space="preserve">3,400 – 7,700</w:t>
      </w:r>
      <w:r>
        <w:t xml:space="preserve"> </w:t>
      </w:r>
      <w:r>
        <w:t xml:space="preserve">PMT/vPvM</w:t>
      </w:r>
      <w:r>
        <w:t xml:space="preserve"> </w:t>
      </w:r>
      <w:r>
        <w:t xml:space="preserve">100 – 200</w:t>
      </w:r>
      <w:r>
        <w:t xml:space="preserve"> </w:t>
      </w:r>
      <w:r>
        <w:t xml:space="preserve">700 – 1,700</w:t>
      </w:r>
      <w:r>
        <w:t xml:space="preserve"> </w:t>
      </w:r>
      <w:r>
        <w:t xml:space="preserve">1,200 – 2,700</w:t>
      </w:r>
      <w:r>
        <w:t xml:space="preserve"> </w:t>
      </w:r>
      <w:r>
        <w:t xml:space="preserve">Total</w:t>
      </w:r>
      <w:r>
        <w:t xml:space="preserve"> </w:t>
      </w:r>
      <w:r>
        <w:t xml:space="preserve">400 – 900</w:t>
      </w:r>
      <w:r>
        <w:t xml:space="preserve"> </w:t>
      </w:r>
      <w:r>
        <w:t xml:space="preserve">5,300 – 12,200</w:t>
      </w:r>
      <w:r>
        <w:t xml:space="preserve"> </w:t>
      </w:r>
      <w:r>
        <w:t xml:space="preserve">7,800 – 17,700</w:t>
      </w:r>
      <w:r>
        <w:t xml:space="preserve"> </w:t>
      </w:r>
      <w:r>
        <w:t xml:space="preserve">Notes: *rounded to the nearest tens; **rounded to the nearest hundreds</w:t>
      </w:r>
    </w:p>
    <w:p>
      <w:pPr>
        <w:pStyle w:val="BodyText"/>
      </w:pPr>
      <w:r>
        <w:t xml:space="preserve">POTENTIAL POLICY MEASURES</w:t>
      </w:r>
      <w:r>
        <w:t xml:space="preserve"> </w:t>
      </w:r>
      <w:r>
        <w:t xml:space="preserve">Policy measure 1: Adding new hazard classes.</w:t>
      </w:r>
      <w:r>
        <w:t xml:space="preserve"> </w:t>
      </w:r>
      <w:r>
        <w:t xml:space="preserve">This measure aims at increasing coherence in the legislation by providing horizontal</w:t>
      </w:r>
      <w:r>
        <w:t xml:space="preserve"> </w:t>
      </w:r>
      <w:r>
        <w:t xml:space="preserve">identification and classification criteria and providing the opportunity to develop CLH dossiers</w:t>
      </w:r>
      <w:r>
        <w:t xml:space="preserve"> </w:t>
      </w:r>
      <w:r>
        <w:t xml:space="preserve">for substances classified for these new hazard classes, in order to promote the adoption of</w:t>
      </w:r>
      <w:r>
        <w:t xml:space="preserve"> </w:t>
      </w:r>
      <w:r>
        <w:t xml:space="preserve">adequate and consistent RMMs for different substance uses, triggering risk evaluations and</w:t>
      </w:r>
      <w:r>
        <w:t xml:space="preserve"> </w:t>
      </w:r>
      <w:r>
        <w:t xml:space="preserve">restrictions in downstream legislation and lowering exposure to hazardous chemicals in a</w:t>
      </w:r>
      <w:r>
        <w:t xml:space="preserve"> </w:t>
      </w:r>
      <w:r>
        <w:t xml:space="preserve">timely manner through increasing the number of CLH substances. A detail of can be found in</w:t>
      </w:r>
      <w:r>
        <w:t xml:space="preserve"> </w:t>
      </w:r>
      <w:r>
        <w:t xml:space="preserve">Table 28.</w:t>
      </w:r>
    </w:p>
    <w:p>
      <w:pPr>
        <w:pStyle w:val="BodyText"/>
      </w:pPr>
      <w:r>
        <w:t xml:space="preserve">132 As of March 2022, only 13 EDs, 15 PBT/vPvB and 7 PMT/vPvM SVHCs are still registered, and therefore on</w:t>
      </w:r>
      <w:r>
        <w:t xml:space="preserve"> </w:t>
      </w:r>
      <w:r>
        <w:t xml:space="preserve">the market.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Table 29: PO1: Adding new hazard classes.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Category</w:t>
      </w:r>
      <w:r>
        <w:t xml:space="preserve"> </w:t>
      </w:r>
      <w:r>
        <w:t xml:space="preserve">Description</w:t>
      </w:r>
      <w:r>
        <w:t xml:space="preserve"> </w:t>
      </w:r>
      <w:r>
        <w:t xml:space="preserve">Adding ED, PBT/vPvB, PMT/vPvM hazard classes</w:t>
      </w:r>
      <w:r>
        <w:t xml:space="preserve"> </w:t>
      </w:r>
      <w:r>
        <w:t xml:space="preserve">Add HH and ENV EDs Cat. 1/2</w:t>
      </w:r>
      <w:r>
        <w:t xml:space="preserve"> </w:t>
      </w:r>
      <w:r>
        <w:t xml:space="preserve">hazard classes</w:t>
      </w:r>
      <w:r>
        <w:t xml:space="preserve"> </w:t>
      </w:r>
      <w:r>
        <w:t xml:space="preserve">Hard,</w:t>
      </w:r>
      <w:r>
        <w:t xml:space="preserve"> </w:t>
      </w:r>
      <w:r>
        <w:t xml:space="preserve">legally</w:t>
      </w:r>
      <w:r>
        <w:t xml:space="preserve"> </w:t>
      </w:r>
      <w:r>
        <w:t xml:space="preserve">binding</w:t>
      </w:r>
      <w:r>
        <w:t xml:space="preserve"> </w:t>
      </w:r>
      <w:r>
        <w:t xml:space="preserve">rules</w:t>
      </w:r>
      <w:r>
        <w:t xml:space="preserve"> </w:t>
      </w:r>
      <w:r>
        <w:t xml:space="preserve">The Commission to include HH and ENV EDs Cat. 1/2</w:t>
      </w:r>
      <w:r>
        <w:t xml:space="preserve"> </w:t>
      </w:r>
      <w:r>
        <w:t xml:space="preserve">hazard classes and identification criteria to Annex I of CLP.</w:t>
      </w:r>
      <w:r>
        <w:t xml:space="preserve"> </w:t>
      </w:r>
      <w:r>
        <w:t xml:space="preserve">The requirement should enter into force at the same time of</w:t>
      </w:r>
      <w:r>
        <w:t xml:space="preserve"> </w:t>
      </w:r>
      <w:r>
        <w:t xml:space="preserve">the changes to REACH Annexes to include testing</w:t>
      </w:r>
      <w:r>
        <w:t xml:space="preserve"> </w:t>
      </w:r>
      <w:r>
        <w:t xml:space="preserve">requirements for endocrine disruption.</w:t>
      </w:r>
      <w:r>
        <w:t xml:space="preserve"> </w:t>
      </w:r>
      <w:r>
        <w:t xml:space="preserve">Add PBT/vPvB hazard class to</w:t>
      </w:r>
      <w:r>
        <w:t xml:space="preserve"> </w:t>
      </w:r>
      <w:r>
        <w:t xml:space="preserve">CLP Annex I</w:t>
      </w:r>
      <w:r>
        <w:t xml:space="preserve"> </w:t>
      </w:r>
      <w:r>
        <w:t xml:space="preserve">The Commission to include PBT/vPvB hazard classes and</w:t>
      </w:r>
      <w:r>
        <w:t xml:space="preserve"> </w:t>
      </w:r>
      <w:r>
        <w:t xml:space="preserve">identification criteria to Annex I of CLP. The requirement</w:t>
      </w:r>
      <w:r>
        <w:t xml:space="preserve"> </w:t>
      </w:r>
      <w:r>
        <w:t xml:space="preserve">should enter into force at the same time of the changes to</w:t>
      </w:r>
      <w:r>
        <w:t xml:space="preserve"> </w:t>
      </w:r>
      <w:r>
        <w:t xml:space="preserve">REACH Annexes to include testing requirements for</w:t>
      </w:r>
      <w:r>
        <w:t xml:space="preserve"> </w:t>
      </w:r>
      <w:r>
        <w:t xml:space="preserve">PBT/vPvB.</w:t>
      </w:r>
      <w:r>
        <w:t xml:space="preserve"> </w:t>
      </w:r>
      <w:r>
        <w:t xml:space="preserve">Add PMT/vPvM hazard class to</w:t>
      </w:r>
      <w:r>
        <w:t xml:space="preserve"> </w:t>
      </w:r>
      <w:r>
        <w:t xml:space="preserve">CLP Annex I</w:t>
      </w:r>
      <w:r>
        <w:t xml:space="preserve"> </w:t>
      </w:r>
      <w:r>
        <w:t xml:space="preserve">The Commission to include PM/vPvM hazard classes and</w:t>
      </w:r>
      <w:r>
        <w:t xml:space="preserve"> </w:t>
      </w:r>
      <w:r>
        <w:t xml:space="preserve">identification criteria to Annex I of CLP. The requirement</w:t>
      </w:r>
      <w:r>
        <w:t xml:space="preserve"> </w:t>
      </w:r>
      <w:r>
        <w:t xml:space="preserve">should enter into force at the same time of the changes to</w:t>
      </w:r>
      <w:r>
        <w:t xml:space="preserve"> </w:t>
      </w:r>
      <w:r>
        <w:t xml:space="preserve">REACH Annexes to include testing requirements for</w:t>
      </w:r>
      <w:r>
        <w:t xml:space="preserve"> </w:t>
      </w:r>
      <w:r>
        <w:t xml:space="preserve">PMT/vPvM.</w:t>
      </w:r>
      <w:r>
        <w:t xml:space="preserve"> </w:t>
      </w:r>
      <w:r>
        <w:t xml:space="preserve">Including ED, PBT/vPvB, PMT/vPvM for CLH</w:t>
      </w:r>
      <w:r>
        <w:t xml:space="preserve"> </w:t>
      </w:r>
      <w:r>
        <w:t xml:space="preserve">Include HH and ENV EDs</w:t>
      </w:r>
      <w:r>
        <w:t xml:space="preserve"> </w:t>
      </w:r>
      <w:r>
        <w:t xml:space="preserve">among the substances subject to</w:t>
      </w:r>
      <w:r>
        <w:t xml:space="preserve"> </w:t>
      </w:r>
      <w:r>
        <w:t xml:space="preserve">CLH</w:t>
      </w:r>
      <w:r>
        <w:t xml:space="preserve"> </w:t>
      </w:r>
      <w:r>
        <w:t xml:space="preserve">Hard,</w:t>
      </w:r>
      <w:r>
        <w:t xml:space="preserve"> </w:t>
      </w:r>
      <w:r>
        <w:t xml:space="preserve">legally</w:t>
      </w:r>
      <w:r>
        <w:t xml:space="preserve"> </w:t>
      </w:r>
      <w:r>
        <w:t xml:space="preserve">binding</w:t>
      </w:r>
      <w:r>
        <w:t xml:space="preserve"> </w:t>
      </w:r>
      <w:r>
        <w:t xml:space="preserve">rules</w:t>
      </w:r>
      <w:r>
        <w:t xml:space="preserve"> </w:t>
      </w:r>
      <w:r>
        <w:t xml:space="preserve">The Commission to amend Article 36 of CLP to prioritise</w:t>
      </w:r>
      <w:r>
        <w:t xml:space="preserve"> </w:t>
      </w:r>
      <w:r>
        <w:t xml:space="preserve">CLH to be proposed for EDs.</w:t>
      </w:r>
      <w:r>
        <w:t xml:space="preserve"> </w:t>
      </w:r>
      <w:r>
        <w:t xml:space="preserve">Include PBT/vPvB substances</w:t>
      </w:r>
      <w:r>
        <w:t xml:space="preserve"> </w:t>
      </w:r>
      <w:r>
        <w:t xml:space="preserve">among those subject to CLH</w:t>
      </w:r>
      <w:r>
        <w:t xml:space="preserve"> </w:t>
      </w:r>
      <w:r>
        <w:t xml:space="preserve">The Commission to amend Article 36 of CLP to prioritise</w:t>
      </w:r>
      <w:r>
        <w:t xml:space="preserve"> </w:t>
      </w:r>
      <w:r>
        <w:t xml:space="preserve">CLH to be proposed for PBT/vPvB substances.</w:t>
      </w:r>
      <w:r>
        <w:t xml:space="preserve"> </w:t>
      </w:r>
      <w:r>
        <w:t xml:space="preserve">Include PMT/vPvM substances</w:t>
      </w:r>
      <w:r>
        <w:t xml:space="preserve"> </w:t>
      </w:r>
      <w:r>
        <w:t xml:space="preserve">among those subject to CLH</w:t>
      </w:r>
      <w:r>
        <w:t xml:space="preserve"> </w:t>
      </w:r>
      <w:r>
        <w:t xml:space="preserve">The Commission to amend Article 36 of CLP to prioritise</w:t>
      </w:r>
      <w:r>
        <w:t xml:space="preserve"> </w:t>
      </w:r>
      <w:r>
        <w:t xml:space="preserve">CLH to be proposed for PMT/vPvM substances.</w:t>
      </w:r>
    </w:p>
    <w:p>
      <w:pPr>
        <w:pStyle w:val="BodyText"/>
      </w:pPr>
      <w:r>
        <w:t xml:space="preserve">Options discarded</w:t>
      </w:r>
      <w:r>
        <w:t xml:space="preserve"> </w:t>
      </w:r>
      <w:r>
        <w:t xml:space="preserve">All options involving neurotoxicity and immunotoxicity hazard classes and substances toxic to</w:t>
      </w:r>
      <w:r>
        <w:t xml:space="preserve"> </w:t>
      </w:r>
      <w:r>
        <w:t xml:space="preserve">the terrestrial environment were discarded at this stage. Indeed, the scale of the problems</w:t>
      </w:r>
      <w:r>
        <w:t xml:space="preserve"> </w:t>
      </w:r>
      <w:r>
        <w:t xml:space="preserve">caused by these hazards need further investigation, before deciding on the best way to tackle</w:t>
      </w:r>
      <w:r>
        <w:t xml:space="preserve"> </w:t>
      </w:r>
      <w:r>
        <w:t xml:space="preserve">the problems linked.</w:t>
      </w:r>
      <w:r>
        <w:t xml:space="preserve"> </w:t>
      </w:r>
      <w:r>
        <w:t xml:space="preserve">Stakeholders consultation</w:t>
      </w:r>
      <w:r>
        <w:t xml:space="preserve"> </w:t>
      </w:r>
      <w:r>
        <w:t xml:space="preserve">In open text responses to OPC, TSS and in interviews, stakeholders provided different opinions</w:t>
      </w:r>
      <w:r>
        <w:t xml:space="preserve"> </w:t>
      </w:r>
      <w:r>
        <w:t xml:space="preserve">with regards to policy options listed in this section. It should be noted that stakeholders</w:t>
      </w:r>
      <w:r>
        <w:t xml:space="preserve"> </w:t>
      </w:r>
      <w:r>
        <w:t xml:space="preserve">provided comments on specific policy options and measures, while some policy options and</w:t>
      </w:r>
      <w:r>
        <w:t xml:space="preserve"> </w:t>
      </w:r>
      <w:r>
        <w:t xml:space="preserve">measures were not in the focus of stakeholders or were not addressed.</w:t>
      </w:r>
      <w:r>
        <w:br/>
      </w:r>
      <w:r>
        <w:t xml:space="preserve">Considering the addition of ED, PBT/vPvB, PMT/vPvM hazard classes, stakeholders were</w:t>
      </w:r>
      <w:r>
        <w:t xml:space="preserve"> </w:t>
      </w:r>
      <w:r>
        <w:t xml:space="preserve">cautious about the alignment of the new hazard classes with GHS. Mostly business entities</w:t>
      </w:r>
      <w:r>
        <w:t xml:space="preserve"> </w:t>
      </w:r>
      <w:r>
        <w:t xml:space="preserve">emphasised that the diverging approaches to hazard classes in the EU will put the EU</w:t>
      </w:r>
      <w:r>
        <w:t xml:space="preserve"> </w:t>
      </w:r>
      <w:r>
        <w:t xml:space="preserve">businesses in disadvantaged competitive position in the global trade because of increasing costs</w:t>
      </w:r>
      <w:r>
        <w:t xml:space="preserve"> </w:t>
      </w:r>
      <w:r>
        <w:t xml:space="preserve">to adjust to differences in classification and labelling of costs in the EU and in other countries.</w:t>
      </w:r>
      <w:r>
        <w:t xml:space="preserve"> </w:t>
      </w:r>
      <w:r>
        <w:t xml:space="preserve">Furthermore, stakeholders provided comments about the necessity for clarity in defining</w:t>
      </w:r>
      <w:r>
        <w:t xml:space="preserve"> </w:t>
      </w:r>
      <w:r>
        <w:t xml:space="preserve">category 2 hazard classes for endocrine disruptors. Business entities highlighted that</w:t>
      </w:r>
      <w:r>
        <w:t xml:space="preserve"> </w:t>
      </w:r>
      <w:r>
        <w:t xml:space="preserve">communication of hazards of ‘suspected’ endocrine disruptors under category 2 will lead to</w:t>
      </w:r>
      <w:r>
        <w:t xml:space="preserve"> </w:t>
      </w:r>
      <w:r>
        <w:t xml:space="preserve">so-called black-listing effect of some products. In turn, it could result in reformulation of</w:t>
      </w:r>
      <w:r>
        <w:t xml:space="preserve"> </w:t>
      </w:r>
      <w:r>
        <w:t xml:space="preserve">products and in some cases, regrettable substitution. Multiple comments with varying opinions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about legal wording of category 2 were provided by the members of CASG sub-committee of</w:t>
      </w:r>
      <w:r>
        <w:t xml:space="preserve"> </w:t>
      </w:r>
      <w:r>
        <w:t xml:space="preserve">CARACAL.</w:t>
      </w:r>
      <w:r>
        <w:t xml:space="preserve"> </w:t>
      </w:r>
      <w:r>
        <w:t xml:space="preserve">Estimation of the number of substances that may be classified as EDs, PBT/vPvB</w:t>
      </w:r>
      <w:r>
        <w:t xml:space="preserve"> </w:t>
      </w:r>
      <w:r>
        <w:t xml:space="preserve">substances and PMT/vPvM substances</w:t>
      </w:r>
      <w:r>
        <w:br/>
      </w:r>
      <w:r>
        <w:t xml:space="preserve">The methodological approach described in Annex IV estimates the number of substances</w:t>
      </w:r>
      <w:r>
        <w:t xml:space="preserve"> </w:t>
      </w:r>
      <w:r>
        <w:t xml:space="preserve">expected to be classified for ED, PBT/vPvB or PMT/vPvM properties based on information on</w:t>
      </w:r>
      <w:r>
        <w:t xml:space="preserve"> </w:t>
      </w:r>
      <w:r>
        <w:t xml:space="preserve">23,751 substances in a combined inventory. It is important to reiterate that there are significant</w:t>
      </w:r>
      <w:r>
        <w:t xml:space="preserve"> </w:t>
      </w:r>
      <w:r>
        <w:t xml:space="preserve">uncertainties on the estimates of the number of substances that may be classified for the new</w:t>
      </w:r>
      <w:r>
        <w:t xml:space="preserve"> </w:t>
      </w:r>
      <w:r>
        <w:t xml:space="preserve">hazard classes.</w:t>
      </w:r>
      <w:r>
        <w:t xml:space="preserve"> </w:t>
      </w:r>
      <w:r>
        <w:t xml:space="preserve">Number of ED substances</w:t>
      </w:r>
      <w:r>
        <w:t xml:space="preserve"> </w:t>
      </w:r>
      <w:r>
        <w:t xml:space="preserve">Based on ECHA WF approach, 80 of the 272 substances corresponding to tonnage level of</w:t>
      </w:r>
      <w:r>
        <w:t xml:space="preserve"> </w:t>
      </w:r>
      <w:r>
        <w:t xml:space="preserve">Annex X to REACH in basket 2 with potential ED properties are expected to have these</w:t>
      </w:r>
      <w:r>
        <w:t xml:space="preserve"> </w:t>
      </w:r>
      <w:r>
        <w:t xml:space="preserve">properties confirmed. This estimate implies that ED properties are not confirmed for 192</w:t>
      </w:r>
      <w:r>
        <w:t xml:space="preserve"> </w:t>
      </w:r>
      <w:r>
        <w:t xml:space="preserve">Annex X substances in basket 2. With the 12 Annex X substances from basket 1, 92 Annex X</w:t>
      </w:r>
      <w:r>
        <w:t xml:space="preserve"> </w:t>
      </w:r>
      <w:r>
        <w:t xml:space="preserve">substances are expected to be classified as ED substances. This figure is multiplied by 11 to</w:t>
      </w:r>
      <w:r>
        <w:t xml:space="preserve"> </w:t>
      </w:r>
      <w:r>
        <w:t xml:space="preserve">obtain the projected number of 1,012 ED substances among all substances in the inventory.</w:t>
      </w:r>
      <w:r>
        <w:t xml:space="preserve"> </w:t>
      </w:r>
      <w:r>
        <w:t xml:space="preserve">ECHA approach estimates the number of substances for which ED properties are already</w:t>
      </w:r>
      <w:r>
        <w:t xml:space="preserve"> </w:t>
      </w:r>
      <w:r>
        <w:t xml:space="preserve">confirmed (basket 1) or are likely to be confirmed (a subset of basket 2). The total of 1,012</w:t>
      </w:r>
      <w:r>
        <w:t xml:space="preserve"> </w:t>
      </w:r>
      <w:r>
        <w:t xml:space="preserve">substances is therefore expected to represent confirmed (i.e. Cat. 1) ED substances.</w:t>
      </w:r>
      <w:r>
        <w:t xml:space="preserve"> </w:t>
      </w:r>
      <w:r>
        <w:t xml:space="preserve">Subsequent analyses aim at differentiating ED Cat. 1 and Cat. 2 and assigning substances to</w:t>
      </w:r>
      <w:r>
        <w:t xml:space="preserve"> </w:t>
      </w:r>
      <w:r>
        <w:t xml:space="preserve">the envisaged new hazard classes ED HH &amp; ED ENV.</w:t>
      </w:r>
      <w:r>
        <w:br/>
      </w:r>
      <w:r>
        <w:t xml:space="preserve">The WFs applied by ECHA to give a point estimate for basket 2 substances likely to be</w:t>
      </w:r>
      <w:r>
        <w:t xml:space="preserve"> </w:t>
      </w:r>
      <w:r>
        <w:t xml:space="preserve">identified as ED Cat. 1 can be used for deriving lower and upper end estimates of the number</w:t>
      </w:r>
      <w:r>
        <w:t xml:space="preserve"> </w:t>
      </w:r>
      <w:r>
        <w:t xml:space="preserve">of substances likely to be identified as ED Cat. 1 by using different WF cut-off values. The</w:t>
      </w:r>
      <w:r>
        <w:t xml:space="preserve"> </w:t>
      </w:r>
      <w:r>
        <w:t xml:space="preserve">lower and upper end estimates do not differ from the ECHA estimate with respect to basket 1</w:t>
      </w:r>
      <w:r>
        <w:t xml:space="preserve"> </w:t>
      </w:r>
      <w:r>
        <w:t xml:space="preserve">substances but only with respect to basket 2 substances.</w:t>
      </w:r>
      <w:r>
        <w:t xml:space="preserve"> </w:t>
      </w:r>
      <w:r>
        <w:t xml:space="preserve">Table 29 shows the assignment of ED Cat. 1 to the WF assigned by ECHA. Note again that</w:t>
      </w:r>
      <w:r>
        <w:t xml:space="preserve"> </w:t>
      </w:r>
      <w:r>
        <w:t xml:space="preserve">this assignment is performed in this impact assessment and was not done by ECHA. The lower</w:t>
      </w:r>
      <w:r>
        <w:t xml:space="preserve"> </w:t>
      </w:r>
      <w:r>
        <w:t xml:space="preserve">end estimate (AA-1) identifies less substances as ED than the upper end estimate (AA-2).</w:t>
      </w:r>
      <w:r>
        <w:br/>
      </w:r>
      <w:r>
        <w:t xml:space="preserve">Table 30: WF assigned by ECHA and derivation of lower and upper end estimates</w:t>
      </w:r>
      <w:r>
        <w:t xml:space="preserve"> </w:t>
      </w:r>
      <w:r>
        <w:t xml:space="preserve">Substance-specific WF (all possible values)</w:t>
      </w:r>
      <w:r>
        <w:t xml:space="preserve"> </w:t>
      </w:r>
      <w:r>
        <w:t xml:space="preserve">Substance assigned to category</w:t>
      </w:r>
      <w:r>
        <w:t xml:space="preserve"> </w:t>
      </w:r>
      <w:r>
        <w:t xml:space="preserve">AA-1 (lower end)</w:t>
      </w:r>
      <w:r>
        <w:t xml:space="preserve"> </w:t>
      </w:r>
      <w:r>
        <w:t xml:space="preserve">AA-2 (upper end)</w:t>
      </w:r>
      <w:r>
        <w:t xml:space="preserve"> </w:t>
      </w:r>
      <w:r>
        <w:t xml:space="preserve">0.2</w:t>
      </w:r>
      <w:r>
        <w:t xml:space="preserve"> </w:t>
      </w:r>
      <w:r>
        <w:t xml:space="preserve">Not ED</w:t>
      </w:r>
      <w:r>
        <w:t xml:space="preserve"> </w:t>
      </w:r>
      <w:r>
        <w:t xml:space="preserve">Not ED</w:t>
      </w:r>
      <w:r>
        <w:t xml:space="preserve"> </w:t>
      </w:r>
      <w:r>
        <w:t xml:space="preserve">0.25</w:t>
      </w:r>
      <w:r>
        <w:t xml:space="preserve"> </w:t>
      </w:r>
      <w:r>
        <w:t xml:space="preserve">Not ED</w:t>
      </w:r>
      <w:r>
        <w:t xml:space="preserve"> </w:t>
      </w:r>
      <w:r>
        <w:t xml:space="preserve">ED Cat. 1</w:t>
      </w:r>
      <w:r>
        <w:t xml:space="preserve"> </w:t>
      </w:r>
      <w:r>
        <w:t xml:space="preserve">0.5</w:t>
      </w:r>
      <w:r>
        <w:t xml:space="preserve"> </w:t>
      </w:r>
      <w:r>
        <w:t xml:space="preserve">ED Cat. 1</w:t>
      </w:r>
      <w:r>
        <w:t xml:space="preserve"> </w:t>
      </w:r>
      <w:r>
        <w:t xml:space="preserve">ED Cat. 1</w:t>
      </w:r>
      <w:r>
        <w:t xml:space="preserve"> </w:t>
      </w:r>
      <w:r>
        <w:t xml:space="preserve">0.6</w:t>
      </w:r>
      <w:r>
        <w:t xml:space="preserve"> </w:t>
      </w:r>
      <w:r>
        <w:t xml:space="preserve">ED Cat. 1</w:t>
      </w:r>
      <w:r>
        <w:t xml:space="preserve"> </w:t>
      </w:r>
      <w:r>
        <w:t xml:space="preserve">ED Cat. 1</w:t>
      </w:r>
      <w:r>
        <w:t xml:space="preserve"> </w:t>
      </w:r>
      <w:r>
        <w:t xml:space="preserve">0.8</w:t>
      </w:r>
      <w:r>
        <w:t xml:space="preserve"> </w:t>
      </w:r>
      <w:r>
        <w:t xml:space="preserve">ED Cat. 1</w:t>
      </w:r>
      <w:r>
        <w:t xml:space="preserve"> </w:t>
      </w:r>
      <w:r>
        <w:t xml:space="preserve">ED Cat. 1</w:t>
      </w:r>
    </w:p>
    <w:p>
      <w:pPr>
        <w:pStyle w:val="BodyText"/>
      </w:pPr>
      <w:r>
        <w:t xml:space="preserve">In the alternative analyses, each substance in basket 1 and basket 2 is identified as being ED</w:t>
      </w:r>
      <w:r>
        <w:t xml:space="preserve"> </w:t>
      </w:r>
      <w:r>
        <w:t xml:space="preserve">Cat. 1 or as being not ED. This is a major difference with ECHA approach that does not require</w:t>
      </w:r>
      <w:r>
        <w:t xml:space="preserve"> </w:t>
      </w:r>
      <w:r>
        <w:t xml:space="preserve">the identification of specific substances. The number of substances assigned to each category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are counted and can be compared to ECHA’s estimate. Table 30 summarises the results of the</w:t>
      </w:r>
      <w:r>
        <w:t xml:space="preserve"> </w:t>
      </w:r>
      <w:r>
        <w:t xml:space="preserve">estimates.</w:t>
      </w:r>
      <w:r>
        <w:t xml:space="preserve"> </w:t>
      </w:r>
      <w:r>
        <w:t xml:space="preserve">Table 31: Estimated number of substances expected to be identified as ED Cat. 1</w:t>
      </w:r>
      <w:r>
        <w:t xml:space="preserve"> </w:t>
      </w:r>
      <w:r>
        <w:t xml:space="preserve">Approach</w:t>
      </w:r>
      <w:r>
        <w:t xml:space="preserve"> </w:t>
      </w:r>
      <w:r>
        <w:t xml:space="preserve">ED Cat. 1</w:t>
      </w:r>
      <w:r>
        <w:t xml:space="preserve"> </w:t>
      </w:r>
      <w:r>
        <w:t xml:space="preserve">AA-1</w:t>
      </w:r>
      <w:r>
        <w:t xml:space="preserve"> </w:t>
      </w:r>
      <w:r>
        <w:t xml:space="preserve">836</w:t>
      </w:r>
      <w:r>
        <w:t xml:space="preserve"> </w:t>
      </w:r>
      <w:r>
        <w:t xml:space="preserve">ECHA</w:t>
      </w:r>
      <w:r>
        <w:t xml:space="preserve"> </w:t>
      </w:r>
      <w:r>
        <w:t xml:space="preserve">1,012</w:t>
      </w:r>
      <w:r>
        <w:t xml:space="preserve"> </w:t>
      </w:r>
      <w:r>
        <w:t xml:space="preserve">AA-2</w:t>
      </w:r>
      <w:r>
        <w:t xml:space="preserve"> </w:t>
      </w:r>
      <w:r>
        <w:t xml:space="preserve">1,276</w:t>
      </w:r>
    </w:p>
    <w:p>
      <w:pPr>
        <w:pStyle w:val="BodyText"/>
      </w:pPr>
      <w:r>
        <w:t xml:space="preserve">These numbers represent projections based on the 23,751 unique substances in ECHA’s</w:t>
      </w:r>
      <w:r>
        <w:t xml:space="preserve"> </w:t>
      </w:r>
      <w:r>
        <w:t xml:space="preserve">combined inventory. Substances identified as ED (ED Total) represent 4.3% (ECHA approach</w:t>
      </w:r>
      <w:r>
        <w:t xml:space="preserve"> </w:t>
      </w:r>
      <w:r>
        <w:t xml:space="preserve">and central estimate) of the total number of substances in the combined inventory, with a lower-</w:t>
      </w:r>
      <w:r>
        <w:t xml:space="preserve"> </w:t>
      </w:r>
      <w:r>
        <w:t xml:space="preserve">end estimate representing 3.5% (AA-1) and upper-end estimate representing 5.4% (AA-2).</w:t>
      </w:r>
      <w:r>
        <w:t xml:space="preserve"> </w:t>
      </w:r>
      <w:r>
        <w:t xml:space="preserve">These analyses suggest a relatively narrow range of the number of substances expected to be</w:t>
      </w:r>
      <w:r>
        <w:t xml:space="preserve"> </w:t>
      </w:r>
      <w:r>
        <w:t xml:space="preserve">identified as ED.</w:t>
      </w:r>
      <w:r>
        <w:t xml:space="preserve"> </w:t>
      </w:r>
      <w:r>
        <w:t xml:space="preserve">Categorisation (ED cat. 1 and ED cat. 2)</w:t>
      </w:r>
      <w:r>
        <w:t xml:space="preserve"> </w:t>
      </w:r>
      <w:r>
        <w:t xml:space="preserve">The new ED hazard classes currently under discussion between experts will involve a</w:t>
      </w:r>
      <w:r>
        <w:t xml:space="preserve"> </w:t>
      </w:r>
      <w:r>
        <w:t xml:space="preserve">categorisation into ED Cat. 1 and ED Cat. 2. Estimating the number of ED Cat. 2 substances is</w:t>
      </w:r>
      <w:r>
        <w:t xml:space="preserve"> </w:t>
      </w:r>
      <w:r>
        <w:t xml:space="preserve">associated with a higher uncertainty than the estimate of ED Cat. 1 substances, since there are</w:t>
      </w:r>
      <w:r>
        <w:t xml:space="preserve"> </w:t>
      </w:r>
      <w:r>
        <w:t xml:space="preserve">no data on which it could be based.</w:t>
      </w:r>
      <w:r>
        <w:t xml:space="preserve"> </w:t>
      </w:r>
      <w:r>
        <w:t xml:space="preserve">Nonetheless, classifications for reproductive toxicity were evaluated to derive these estimates.</w:t>
      </w:r>
      <w:r>
        <w:t xml:space="preserve"> </w:t>
      </w:r>
      <w:r>
        <w:t xml:space="preserve">Reproductive toxicity is chosen because:</w:t>
      </w:r>
      <w:r>
        <w:br/>
      </w:r>
      <w:r>
        <w:t xml:space="preserve">- Endocrine-mediated effects may result in reproductive toxicity; and</w:t>
      </w:r>
      <w:r>
        <w:br/>
      </w:r>
      <w:r>
        <w:t xml:space="preserve">- Classifications for reproductive toxicity differentiate between confirmed (Repr. 1A and 1B)</w:t>
      </w:r>
      <w:r>
        <w:t xml:space="preserve"> </w:t>
      </w:r>
      <w:r>
        <w:t xml:space="preserve">and suspected (Repr. 2) effects.</w:t>
      </w:r>
      <w:r>
        <w:br/>
      </w:r>
      <w:r>
        <w:t xml:space="preserve">It is acknowledged that endocrine-mediated effects may also result in effects on other organ</w:t>
      </w:r>
      <w:r>
        <w:t xml:space="preserve"> </w:t>
      </w:r>
      <w:r>
        <w:t xml:space="preserve">systems and e.g. manifest themselves in repeated dose toxicity. However, classifications for</w:t>
      </w:r>
      <w:r>
        <w:t xml:space="preserve"> </w:t>
      </w:r>
      <w:r>
        <w:t xml:space="preserve">repeated dose toxicity (i.e. STOT RE) do not differentiate confirmed and suspected effects.</w:t>
      </w:r>
      <w:r>
        <w:t xml:space="preserve"> </w:t>
      </w:r>
      <w:r>
        <w:t xml:space="preserve">Harmonised classifications for reproductive toxicity were extracted from Annex VI of the CLP</w:t>
      </w:r>
      <w:r>
        <w:t xml:space="preserve"> </w:t>
      </w:r>
      <w:r>
        <w:t xml:space="preserve">and the number of self-classifications in REACH registration dossiers was taken from</w:t>
      </w:r>
      <w:r>
        <w:t xml:space="preserve"> </w:t>
      </w:r>
      <w:r>
        <w:t xml:space="preserve">Karamertzanis et al. (2019). This latter source provides numbers of substances classified either</w:t>
      </w:r>
      <w:r>
        <w:t xml:space="preserve"> </w:t>
      </w:r>
      <w:r>
        <w:t xml:space="preserve">as Repr. 1A/1B or Repr. 2 at the end of each quarter (i.e. four values per year). The most recent</w:t>
      </w:r>
      <w:r>
        <w:t xml:space="preserve"> </w:t>
      </w:r>
      <w:r>
        <w:t xml:space="preserve">figures from this publication were used (as per 31 December 2017), but all figures after the</w:t>
      </w:r>
      <w:r>
        <w:t xml:space="preserve"> </w:t>
      </w:r>
      <w:r>
        <w:t xml:space="preserve">second REACH registration deadline (31 May 2013) show an identical fraction of substances</w:t>
      </w:r>
      <w:r>
        <w:t xml:space="preserve"> </w:t>
      </w:r>
      <w:r>
        <w:t xml:space="preserve">classified as Repr. 2 (57%) among all those classified for reproductive toxicity). Table 31</w:t>
      </w:r>
      <w:r>
        <w:t xml:space="preserve"> </w:t>
      </w:r>
      <w:r>
        <w:t xml:space="preserve">shows the results of these evaluations.</w:t>
      </w:r>
      <w:r>
        <w:t xml:space="preserve"> </w:t>
      </w:r>
      <w:r>
        <w:t xml:space="preserve">Table 32: Fraction of substances classified as Repr. 2 among all those classified for reproductive toxicity</w:t>
      </w:r>
    </w:p>
    <w:p>
      <w:pPr>
        <w:pStyle w:val="BodyText"/>
      </w:pPr>
      <w:r>
        <w:t xml:space="preserve">CLH</w:t>
      </w:r>
      <w:r>
        <w:t xml:space="preserve"> </w:t>
      </w:r>
      <w:r>
        <w:t xml:space="preserve">Self-classifications in registration dossiers</w:t>
      </w:r>
      <w:r>
        <w:t xml:space="preserve"> </w:t>
      </w:r>
      <w:r>
        <w:t xml:space="preserve">Total</w:t>
      </w:r>
      <w:r>
        <w:t xml:space="preserve"> </w:t>
      </w:r>
      <w:r>
        <w:t xml:space="preserve">Repr. 1A/1B</w:t>
      </w:r>
      <w:r>
        <w:t xml:space="preserve"> </w:t>
      </w:r>
      <w:r>
        <w:t xml:space="preserve">206</w:t>
      </w:r>
      <w:r>
        <w:t xml:space="preserve"> </w:t>
      </w:r>
      <w:r>
        <w:t xml:space="preserve">464</w:t>
      </w:r>
      <w:r>
        <w:t xml:space="preserve"> </w:t>
      </w:r>
      <w:r>
        <w:t xml:space="preserve">670</w:t>
      </w:r>
      <w:r>
        <w:t xml:space="preserve"> </w:t>
      </w:r>
      <w:r>
        <w:t xml:space="preserve">Repr. 2</w:t>
      </w:r>
      <w:r>
        <w:t xml:space="preserve"> </w:t>
      </w:r>
      <w:r>
        <w:t xml:space="preserve">148</w:t>
      </w:r>
      <w:r>
        <w:t xml:space="preserve"> </w:t>
      </w:r>
      <w:r>
        <w:t xml:space="preserve">603</w:t>
      </w:r>
      <w:r>
        <w:t xml:space="preserve"> </w:t>
      </w:r>
      <w:r>
        <w:t xml:space="preserve">751</w:t>
      </w:r>
      <w:r>
        <w:t xml:space="preserve"> </w:t>
      </w:r>
      <w:r>
        <w:t xml:space="preserve">Total</w:t>
      </w:r>
      <w:r>
        <w:t xml:space="preserve"> </w:t>
      </w:r>
      <w:r>
        <w:t xml:space="preserve">354</w:t>
      </w:r>
      <w:r>
        <w:t xml:space="preserve"> </w:t>
      </w:r>
      <w:r>
        <w:t xml:space="preserve">1067</w:t>
      </w:r>
      <w:r>
        <w:t xml:space="preserve"> </w:t>
      </w:r>
      <w:r>
        <w:t xml:space="preserve">1,421</w:t>
      </w:r>
      <w:r>
        <w:t xml:space="preserve"> </w:t>
      </w:r>
      <w:r>
        <w:t xml:space="preserve">Fraction of Repr. 2</w:t>
      </w:r>
      <w:r>
        <w:t xml:space="preserve"> </w:t>
      </w:r>
      <w:r>
        <w:t xml:space="preserve">42%</w:t>
      </w:r>
      <w:r>
        <w:t xml:space="preserve"> </w:t>
      </w:r>
      <w:r>
        <w:t xml:space="preserve">57%</w:t>
      </w:r>
      <w:r>
        <w:t xml:space="preserve"> </w:t>
      </w:r>
      <w:r>
        <w:t xml:space="preserve">53%</w:t>
      </w:r>
      <w:r>
        <w:t xml:space="preserve"> </w:t>
      </w:r>
      <w:r>
        <w:t xml:space="preserve">Repr. 2 / Repr. 1A/1B</w:t>
      </w:r>
      <w:r>
        <w:t xml:space="preserve"> </w:t>
      </w:r>
      <w:r>
        <w:t xml:space="preserve">0.718</w:t>
      </w:r>
      <w:r>
        <w:t xml:space="preserve"> </w:t>
      </w:r>
      <w:r>
        <w:t xml:space="preserve">1.30</w:t>
      </w:r>
      <w:r>
        <w:t xml:space="preserve"> </w:t>
      </w:r>
      <w:r>
        <w:t xml:space="preserve">1.12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The data show that the fraction of Repr. 2 classifications among all substances with Repr.</w:t>
      </w:r>
      <w:r>
        <w:t xml:space="preserve"> </w:t>
      </w:r>
      <w:r>
        <w:t xml:space="preserve">classifications is lower in CLH (42%) than it is in registration dossiers (57%). This finding is</w:t>
      </w:r>
      <w:r>
        <w:t xml:space="preserve"> </w:t>
      </w:r>
      <w:r>
        <w:t xml:space="preserve">not unexpected, since CLH may have a higher focus on confirmed reproductive toxicants while</w:t>
      </w:r>
      <w:r>
        <w:t xml:space="preserve"> </w:t>
      </w:r>
      <w:r>
        <w:t xml:space="preserve">self-classifications may tend to Repr. 2 classifications, possibly due to a lower degree of</w:t>
      </w:r>
      <w:r>
        <w:t xml:space="preserve"> </w:t>
      </w:r>
      <w:r>
        <w:t xml:space="preserve">conservatism being applied. Consequently, less substances are classified as Repr. 2 than are</w:t>
      </w:r>
      <w:r>
        <w:t xml:space="preserve"> </w:t>
      </w:r>
      <w:r>
        <w:t xml:space="preserve">classified as Repr. 1A/1B in CLH, while the opposite is true in self-classifications from</w:t>
      </w:r>
      <w:r>
        <w:t xml:space="preserve"> </w:t>
      </w:r>
      <w:r>
        <w:t xml:space="preserve">registration dossiers.</w:t>
      </w:r>
      <w:r>
        <w:br/>
      </w:r>
      <w:r>
        <w:t xml:space="preserve">The total numbers (i.e. the weighted mean of both datasets) indicate that the number of</w:t>
      </w:r>
      <w:r>
        <w:t xml:space="preserve"> </w:t>
      </w:r>
      <w:r>
        <w:t xml:space="preserve">substances classified as Repr. 2 is 1.12-times the number of those classified as Repr. 1A/1B.</w:t>
      </w:r>
      <w:r>
        <w:t xml:space="preserve"> </w:t>
      </w:r>
      <w:r>
        <w:t xml:space="preserve">This figure is taken to estimate the number of substances expected to be classified as ED Cat.</w:t>
      </w:r>
      <w:r>
        <w:t xml:space="preserve"> </w:t>
      </w:r>
      <w:r>
        <w:t xml:space="preserve">2. For example, the figure of 1,012 substances identified as ED Cat. 1 in the ECHA estimate is</w:t>
      </w:r>
      <w:r>
        <w:t xml:space="preserve"> </w:t>
      </w:r>
      <w:r>
        <w:t xml:space="preserve">multiplied by 1.12, resulting in 1,133 substances estimated to be ED Cat. 2.</w:t>
      </w:r>
      <w:r>
        <w:br/>
      </w:r>
      <w:r>
        <w:t xml:space="preserve">Table 33: Number of substances assigned ED Cat. 1 and ED Cat. 2</w:t>
      </w:r>
      <w:r>
        <w:t xml:space="preserve"> </w:t>
      </w:r>
      <w:r>
        <w:t xml:space="preserve">Approach</w:t>
      </w:r>
      <w:r>
        <w:t xml:space="preserve"> </w:t>
      </w:r>
      <w:r>
        <w:t xml:space="preserve">ED Cat. 1</w:t>
      </w:r>
      <w:r>
        <w:t xml:space="preserve"> </w:t>
      </w:r>
      <w:r>
        <w:t xml:space="preserve">ED Cat. 2</w:t>
      </w:r>
      <w:r>
        <w:t xml:space="preserve"> </w:t>
      </w:r>
      <w:r>
        <w:t xml:space="preserve">Total ED</w:t>
      </w:r>
      <w:r>
        <w:t xml:space="preserve"> </w:t>
      </w:r>
      <w:r>
        <w:t xml:space="preserve">AA-1</w:t>
      </w:r>
      <w:r>
        <w:t xml:space="preserve"> </w:t>
      </w:r>
      <w:r>
        <w:t xml:space="preserve">836</w:t>
      </w:r>
      <w:r>
        <w:t xml:space="preserve"> </w:t>
      </w:r>
      <w:r>
        <w:t xml:space="preserve">936</w:t>
      </w:r>
      <w:r>
        <w:t xml:space="preserve"> </w:t>
      </w:r>
      <w:r>
        <w:t xml:space="preserve">1,772</w:t>
      </w:r>
      <w:r>
        <w:t xml:space="preserve"> </w:t>
      </w:r>
      <w:r>
        <w:t xml:space="preserve">ECHA</w:t>
      </w:r>
      <w:r>
        <w:t xml:space="preserve"> </w:t>
      </w:r>
      <w:r>
        <w:t xml:space="preserve">1,012*</w:t>
      </w:r>
      <w:r>
        <w:t xml:space="preserve"> </w:t>
      </w:r>
      <w:r>
        <w:t xml:space="preserve">1,133</w:t>
      </w:r>
      <w:r>
        <w:t xml:space="preserve"> </w:t>
      </w:r>
      <w:r>
        <w:t xml:space="preserve">2,145</w:t>
      </w:r>
      <w:r>
        <w:t xml:space="preserve"> </w:t>
      </w:r>
      <w:r>
        <w:t xml:space="preserve">AA-2</w:t>
      </w:r>
      <w:r>
        <w:t xml:space="preserve"> </w:t>
      </w:r>
      <w:r>
        <w:t xml:space="preserve">1,276</w:t>
      </w:r>
      <w:r>
        <w:t xml:space="preserve"> </w:t>
      </w:r>
      <w:r>
        <w:t xml:space="preserve">1,429</w:t>
      </w:r>
      <w:r>
        <w:t xml:space="preserve"> </w:t>
      </w:r>
      <w:r>
        <w:t xml:space="preserve">2,705</w:t>
      </w:r>
      <w:r>
        <w:t xml:space="preserve"> </w:t>
      </w:r>
      <w:r>
        <w:t xml:space="preserve">Notes: * Only this figure was estimated by ECHA (2021a); all other numbers in this row are derived as</w:t>
      </w:r>
      <w:r>
        <w:t xml:space="preserve"> </w:t>
      </w:r>
      <w:r>
        <w:t xml:space="preserve">explained in the text.</w:t>
      </w:r>
    </w:p>
    <w:p>
      <w:pPr>
        <w:pStyle w:val="BodyText"/>
      </w:pPr>
      <w:r>
        <w:t xml:space="preserve">Differentiation by ED effects by impact area (human health, environment)</w:t>
      </w:r>
      <w:r>
        <w:t xml:space="preserve"> </w:t>
      </w:r>
      <w:r>
        <w:t xml:space="preserve">Two datasets are used to analyse the fraction of substances identified as EDs for the impact</w:t>
      </w:r>
      <w:r>
        <w:t xml:space="preserve"> </w:t>
      </w:r>
      <w:r>
        <w:t xml:space="preserve">areas of human health (HH) or environmental organisms (ENV) among those identified as ED</w:t>
      </w:r>
      <w:r>
        <w:t xml:space="preserve"> </w:t>
      </w:r>
      <w:r>
        <w:t xml:space="preserve">(without impact area):</w:t>
      </w:r>
    </w:p>
    <w:p>
      <w:pPr>
        <w:pStyle w:val="BodyText"/>
      </w:pPr>
      <w:r>
        <w:t xml:space="preserve">All substances in ECHA basket 1 (including Annex X substances);</w:t>
      </w:r>
      <w:r>
        <w:t xml:space="preserve"> </w:t>
      </w:r>
      <w:r>
        <w:t xml:space="preserve">Substances assessed as being ED in ECHA’s ED Assessment List. Since this information was</w:t>
      </w:r>
      <w:r>
        <w:t xml:space="preserve"> </w:t>
      </w:r>
      <w:r>
        <w:t xml:space="preserve">also used in ECHA’s evaluation (i.e. there is a strong overlap between the ED Assessment List</w:t>
      </w:r>
      <w:r>
        <w:t xml:space="preserve"> </w:t>
      </w:r>
      <w:r>
        <w:t xml:space="preserve">and ECHA’s basket 1), only substances from the ED Assessment List that are not included in</w:t>
      </w:r>
      <w:r>
        <w:t xml:space="preserve"> </w:t>
      </w:r>
      <w:r>
        <w:t xml:space="preserve">basket 1 are considered for these analyses.</w:t>
      </w:r>
      <w:r>
        <w:br/>
      </w:r>
      <w:r>
        <w:t xml:space="preserve">Note that substances identified as having ED effects in both impact areas (HH &amp; ENV) are</w:t>
      </w:r>
      <w:r>
        <w:t xml:space="preserve"> </w:t>
      </w:r>
      <w:r>
        <w:t xml:space="preserve">assigned to both groups (HH and ENV), since only two hazard classes are envisaged. This</w:t>
      </w:r>
      <w:r>
        <w:t xml:space="preserve"> </w:t>
      </w:r>
      <w:r>
        <w:t xml:space="preserve">approach is meaningful for estimating the fractions assigned to the two intended hazard classes</w:t>
      </w:r>
      <w:r>
        <w:t xml:space="preserve"> </w:t>
      </w:r>
      <w:r>
        <w:t xml:space="preserve">ED HH and ED ENV.</w:t>
      </w:r>
      <w:r>
        <w:t xml:space="preserve"> </w:t>
      </w:r>
      <w:r>
        <w:t xml:space="preserve">Table 33 presents the number of substances per impact area as well as the corresponding</w:t>
      </w:r>
      <w:r>
        <w:t xml:space="preserve"> </w:t>
      </w:r>
      <w:r>
        <w:t xml:space="preserve">fraction of the total number identified as ED (in brackets) for each of the two datasets. The</w:t>
      </w:r>
      <w:r>
        <w:t xml:space="preserve"> </w:t>
      </w:r>
      <w:r>
        <w:t xml:space="preserve">second last column shows the sum of the number of substances from the two datasets and the</w:t>
      </w:r>
      <w:r>
        <w:t xml:space="preserve"> </w:t>
      </w:r>
      <w:r>
        <w:t xml:space="preserve">corresponding fractions. The last column provides estimated fractions that are roughly based</w:t>
      </w:r>
      <w:r>
        <w:t xml:space="preserve"> </w:t>
      </w:r>
      <w:r>
        <w:t xml:space="preserve">on the fractions obtained for both datasets combined. The last row of the table also indicates</w:t>
      </w:r>
      <w:r>
        <w:t xml:space="preserve"> </w:t>
      </w:r>
      <w:r>
        <w:t xml:space="preserve">the number of substances in each dataset that is included in each of the two impact areas.</w:t>
      </w:r>
      <w:r>
        <w:br/>
      </w:r>
      <w:r>
        <w:t xml:space="preserve">Table 34: Derivation of the fractions of ED substances per impact area</w:t>
      </w:r>
      <w:r>
        <w:t xml:space="preserve"> </w:t>
      </w:r>
      <w:r>
        <w:t xml:space="preserve">Impact area</w:t>
      </w:r>
      <w:r>
        <w:t xml:space="preserve"> </w:t>
      </w:r>
      <w:r>
        <w:t xml:space="preserve">All ECHA basket 1</w:t>
      </w:r>
      <w:r>
        <w:t xml:space="preserve"> </w:t>
      </w:r>
      <w:r>
        <w:t xml:space="preserve">substances</w:t>
      </w:r>
      <w:r>
        <w:t xml:space="preserve"> </w:t>
      </w:r>
      <w:r>
        <w:t xml:space="preserve">ED Assessment List</w:t>
      </w:r>
      <w:r>
        <w:t xml:space="preserve"> </w:t>
      </w:r>
      <w:r>
        <w:t xml:space="preserve">Total</w:t>
      </w:r>
      <w:r>
        <w:t xml:space="preserve"> </w:t>
      </w:r>
      <w:r>
        <w:t xml:space="preserve">Estimate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HH</w:t>
      </w:r>
      <w:r>
        <w:t xml:space="preserve"> </w:t>
      </w:r>
      <w:r>
        <w:t xml:space="preserve">13 (41%)</w:t>
      </w:r>
      <w:r>
        <w:t xml:space="preserve"> </w:t>
      </w:r>
      <w:r>
        <w:t xml:space="preserve">2 (40%)</w:t>
      </w:r>
      <w:r>
        <w:t xml:space="preserve"> </w:t>
      </w:r>
      <w:r>
        <w:t xml:space="preserve">15 (41%)</w:t>
      </w:r>
      <w:r>
        <w:t xml:space="preserve"> </w:t>
      </w:r>
      <w:r>
        <w:t xml:space="preserve">40%</w:t>
      </w:r>
      <w:r>
        <w:t xml:space="preserve"> </w:t>
      </w:r>
      <w:r>
        <w:t xml:space="preserve">ENV</w:t>
      </w:r>
      <w:r>
        <w:br/>
      </w:r>
      <w:r>
        <w:t xml:space="preserve">19 (59%)</w:t>
      </w:r>
      <w:r>
        <w:t xml:space="preserve"> </w:t>
      </w:r>
      <w:r>
        <w:t xml:space="preserve">3 (60%)</w:t>
      </w:r>
      <w:r>
        <w:t xml:space="preserve"> </w:t>
      </w:r>
      <w:r>
        <w:t xml:space="preserve">22 (59%)</w:t>
      </w:r>
      <w:r>
        <w:t xml:space="preserve"> </w:t>
      </w:r>
      <w:r>
        <w:t xml:space="preserve">60%</w:t>
      </w:r>
      <w:r>
        <w:t xml:space="preserve"> </w:t>
      </w:r>
      <w:r>
        <w:t xml:space="preserve">HH &amp; ENV*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Notes: * Number of substances included in HH and ENV, since these substances are identified as being ED in</w:t>
      </w:r>
      <w:r>
        <w:t xml:space="preserve"> </w:t>
      </w:r>
      <w:r>
        <w:t xml:space="preserve">both impact areas.</w:t>
      </w:r>
    </w:p>
    <w:p>
      <w:pPr>
        <w:pStyle w:val="BodyText"/>
      </w:pPr>
      <w:r>
        <w:t xml:space="preserve">Final estimates</w:t>
      </w:r>
      <w:r>
        <w:t xml:space="preserve"> </w:t>
      </w:r>
      <w:r>
        <w:t xml:space="preserve">The fractions per impact area derived in the previous section are assigned to the numbers of</w:t>
      </w:r>
      <w:r>
        <w:t xml:space="preserve"> </w:t>
      </w:r>
      <w:r>
        <w:t xml:space="preserve">substances per category estimated above. The same fraction of 40% (HH) and 60% (ENV) is</w:t>
      </w:r>
      <w:r>
        <w:t xml:space="preserve"> </w:t>
      </w:r>
      <w:r>
        <w:t xml:space="preserve">assigned in each category.</w:t>
      </w:r>
      <w:r>
        <w:br/>
      </w:r>
      <w:r>
        <w:t xml:space="preserve">Table 34 provides the number of substances expected to be identified as ED differentiated by</w:t>
      </w:r>
      <w:r>
        <w:t xml:space="preserve"> </w:t>
      </w:r>
      <w:r>
        <w:t xml:space="preserve">ED category and impact area among all substances (ECHA basket 3). The last column shows</w:t>
      </w:r>
      <w:r>
        <w:t xml:space="preserve"> </w:t>
      </w:r>
      <w:r>
        <w:t xml:space="preserve">the total number of substances identified as ED already reported above. As noted earlier, the</w:t>
      </w:r>
      <w:r>
        <w:t xml:space="preserve"> </w:t>
      </w:r>
      <w:r>
        <w:t xml:space="preserve">impact areas used here are not mutually exclusive: in other words, any given substance may be</w:t>
      </w:r>
      <w:r>
        <w:t xml:space="preserve"> </w:t>
      </w:r>
      <w:r>
        <w:t xml:space="preserve">counted in HH and ENV.</w:t>
      </w:r>
      <w:r>
        <w:br/>
      </w:r>
      <w:r>
        <w:t xml:space="preserve">Table 35: Estimated number of substances expected to be identified as ED with categorisation and</w:t>
      </w:r>
      <w:r>
        <w:t xml:space="preserve"> </w:t>
      </w:r>
      <w:r>
        <w:t xml:space="preserve">differentiation by impact area</w:t>
      </w:r>
      <w:r>
        <w:t xml:space="preserve"> </w:t>
      </w:r>
      <w:r>
        <w:t xml:space="preserve">Type of estimate</w:t>
      </w:r>
    </w:p>
    <w:p>
      <w:pPr>
        <w:pStyle w:val="BodyText"/>
      </w:pPr>
      <w:r>
        <w:t xml:space="preserve">ED Cat. 1</w:t>
      </w:r>
      <w:r>
        <w:t xml:space="preserve"> </w:t>
      </w:r>
      <w:r>
        <w:t xml:space="preserve">ED Cat. 2</w:t>
      </w:r>
      <w:r>
        <w:t xml:space="preserve"> </w:t>
      </w:r>
      <w:r>
        <w:t xml:space="preserve">ED Total</w:t>
      </w:r>
      <w:r>
        <w:t xml:space="preserve"> </w:t>
      </w:r>
      <w:r>
        <w:t xml:space="preserve">HH</w:t>
      </w:r>
      <w:r>
        <w:t xml:space="preserve"> </w:t>
      </w:r>
      <w:r>
        <w:t xml:space="preserve">ENV</w:t>
      </w:r>
      <w:r>
        <w:t xml:space="preserve"> </w:t>
      </w:r>
      <w:r>
        <w:t xml:space="preserve">HH</w:t>
      </w:r>
      <w:r>
        <w:t xml:space="preserve"> </w:t>
      </w:r>
      <w:r>
        <w:t xml:space="preserve">ENV</w:t>
      </w:r>
      <w:r>
        <w:t xml:space="preserve"> </w:t>
      </w:r>
      <w:r>
        <w:t xml:space="preserve">HH</w:t>
      </w:r>
      <w:r>
        <w:t xml:space="preserve"> </w:t>
      </w:r>
      <w:r>
        <w:t xml:space="preserve">ENV</w:t>
      </w:r>
      <w:r>
        <w:t xml:space="preserve"> </w:t>
      </w:r>
      <w:r>
        <w:t xml:space="preserve">All</w:t>
      </w:r>
      <w:r>
        <w:t xml:space="preserve"> </w:t>
      </w:r>
      <w:r>
        <w:t xml:space="preserve">Lower end (AA-1)</w:t>
      </w:r>
      <w:r>
        <w:t xml:space="preserve"> </w:t>
      </w:r>
      <w:r>
        <w:t xml:space="preserve">334</w:t>
      </w:r>
      <w:r>
        <w:t xml:space="preserve"> </w:t>
      </w:r>
      <w:r>
        <w:t xml:space="preserve">502</w:t>
      </w:r>
      <w:r>
        <w:t xml:space="preserve"> </w:t>
      </w:r>
      <w:r>
        <w:t xml:space="preserve">374</w:t>
      </w:r>
      <w:r>
        <w:t xml:space="preserve"> </w:t>
      </w:r>
      <w:r>
        <w:t xml:space="preserve">562</w:t>
      </w:r>
      <w:r>
        <w:t xml:space="preserve"> </w:t>
      </w:r>
      <w:r>
        <w:t xml:space="preserve">708</w:t>
      </w:r>
      <w:r>
        <w:t xml:space="preserve"> </w:t>
      </w:r>
      <w:r>
        <w:t xml:space="preserve">1,064</w:t>
      </w:r>
      <w:r>
        <w:t xml:space="preserve"> </w:t>
      </w:r>
      <w:r>
        <w:t xml:space="preserve">1,772</w:t>
      </w:r>
      <w:r>
        <w:t xml:space="preserve"> </w:t>
      </w:r>
      <w:r>
        <w:t xml:space="preserve">Central estimate (ECHA approach)*</w:t>
      </w:r>
      <w:r>
        <w:t xml:space="preserve"> </w:t>
      </w:r>
      <w:r>
        <w:t xml:space="preserve">405</w:t>
      </w:r>
      <w:r>
        <w:t xml:space="preserve"> </w:t>
      </w:r>
      <w:r>
        <w:t xml:space="preserve">607</w:t>
      </w:r>
      <w:r>
        <w:t xml:space="preserve"> </w:t>
      </w:r>
      <w:r>
        <w:t xml:space="preserve">453</w:t>
      </w:r>
      <w:r>
        <w:t xml:space="preserve"> </w:t>
      </w:r>
      <w:r>
        <w:t xml:space="preserve">680</w:t>
      </w:r>
      <w:r>
        <w:t xml:space="preserve"> </w:t>
      </w:r>
      <w:r>
        <w:t xml:space="preserve">858</w:t>
      </w:r>
      <w:r>
        <w:t xml:space="preserve"> </w:t>
      </w:r>
      <w:r>
        <w:t xml:space="preserve">1,287</w:t>
      </w:r>
      <w:r>
        <w:t xml:space="preserve"> </w:t>
      </w:r>
      <w:r>
        <w:t xml:space="preserve">2,145</w:t>
      </w:r>
      <w:r>
        <w:t xml:space="preserve"> </w:t>
      </w:r>
      <w:r>
        <w:t xml:space="preserve">Upper end (AA-2)</w:t>
      </w:r>
      <w:r>
        <w:t xml:space="preserve"> </w:t>
      </w:r>
      <w:r>
        <w:t xml:space="preserve">510</w:t>
      </w:r>
      <w:r>
        <w:t xml:space="preserve"> </w:t>
      </w:r>
      <w:r>
        <w:t xml:space="preserve">766</w:t>
      </w:r>
      <w:r>
        <w:t xml:space="preserve"> </w:t>
      </w:r>
      <w:r>
        <w:t xml:space="preserve">572</w:t>
      </w:r>
      <w:r>
        <w:t xml:space="preserve"> </w:t>
      </w:r>
      <w:r>
        <w:t xml:space="preserve">857</w:t>
      </w:r>
      <w:r>
        <w:t xml:space="preserve"> </w:t>
      </w:r>
      <w:r>
        <w:t xml:space="preserve">1,082</w:t>
      </w:r>
      <w:r>
        <w:t xml:space="preserve"> </w:t>
      </w:r>
      <w:r>
        <w:t xml:space="preserve">1,623</w:t>
      </w:r>
      <w:r>
        <w:t xml:space="preserve"> </w:t>
      </w:r>
      <w:r>
        <w:t xml:space="preserve">2,705</w:t>
      </w:r>
      <w:r>
        <w:t xml:space="preserve"> </w:t>
      </w:r>
      <w:r>
        <w:t xml:space="preserve">Notes: * Note again that ECHA only derives the ED Cat. 1 estimate and does not differentiate by impact area.</w:t>
      </w:r>
      <w:r>
        <w:t xml:space="preserve"> </w:t>
      </w:r>
      <w:r>
        <w:t xml:space="preserve">The sum of 1012 ED Cat. 1 substance is included in ECHA (2021a), but the assignment to HH (N=405) and</w:t>
      </w:r>
      <w:r>
        <w:t xml:space="preserve"> </w:t>
      </w:r>
      <w:r>
        <w:t xml:space="preserve">ENV (N=607) is performed in this study.</w:t>
      </w:r>
    </w:p>
    <w:p>
      <w:pPr>
        <w:pStyle w:val="BodyText"/>
      </w:pPr>
      <w:r>
        <w:t xml:space="preserve">Based on the total number of 23,751 unique substances in ECHA’s combined inventory, the</w:t>
      </w:r>
      <w:r>
        <w:t xml:space="preserve"> </w:t>
      </w:r>
      <w:r>
        <w:t xml:space="preserve">central estimate of 1,012 substances identified as ED Cat. 1 represents 4.3%. Using the derived</w:t>
      </w:r>
      <w:r>
        <w:t xml:space="preserve"> </w:t>
      </w:r>
      <w:r>
        <w:t xml:space="preserve">factor of 1.12, an additional 1,133 substances are estimated to be identified as ED Cat. 2 (4.8%</w:t>
      </w:r>
      <w:r>
        <w:t xml:space="preserve"> </w:t>
      </w:r>
      <w:r>
        <w:t xml:space="preserve">of the combined inventory). In total, 2,145 substances (9.0%) are identified as ED in the central</w:t>
      </w:r>
      <w:r>
        <w:t xml:space="preserve"> </w:t>
      </w:r>
      <w:r>
        <w:t xml:space="preserve">estimate.</w:t>
      </w:r>
      <w:r>
        <w:t xml:space="preserve"> </w:t>
      </w:r>
      <w:r>
        <w:t xml:space="preserve">Overall, the high uncertainty of the estimated figures reflects the fact that the data required for</w:t>
      </w:r>
      <w:r>
        <w:t xml:space="preserve"> </w:t>
      </w:r>
      <w:r>
        <w:t xml:space="preserve">the classification as ED (including categorisation and differentiation by impact area) are not</w:t>
      </w:r>
      <w:r>
        <w:t xml:space="preserve"> </w:t>
      </w:r>
      <w:r>
        <w:t xml:space="preserve">yet available. It must also be stressed that – even if the estimated numbers prove to be close to</w:t>
      </w:r>
      <w:r>
        <w:t xml:space="preserve"> </w:t>
      </w:r>
      <w:r>
        <w:t xml:space="preserve">the real numbers – they would only materialise if all necessary studies have been conducted</w:t>
      </w:r>
      <w:r>
        <w:t xml:space="preserve"> </w:t>
      </w:r>
      <w:r>
        <w:t xml:space="preserve">for all substances. Importantly, information generated by the new Annex VII requirements for</w:t>
      </w:r>
      <w:r>
        <w:t xml:space="preserve"> </w:t>
      </w:r>
      <w:r>
        <w:t xml:space="preserve">ED testing that may be included in REACH following its revision cannot identify ED category</w:t>
      </w:r>
      <w:r>
        <w:t xml:space="preserve"> </w:t>
      </w:r>
      <w:r>
        <w:t xml:space="preserve">1 and 2: substances that will have positive in vivo mechanistic information in the follow-up</w:t>
      </w:r>
      <w:r>
        <w:t xml:space="preserve"> </w:t>
      </w:r>
      <w:r>
        <w:t xml:space="preserve">will not be classified as ED cat 1 or 2 according to CLP. Classification requires both endocrine</w:t>
      </w:r>
      <w:r>
        <w:t xml:space="preserve"> </w:t>
      </w:r>
      <w:r>
        <w:t xml:space="preserve">activity and adversity: in vivo positive substances will not meet the CLP criteria for ED</w:t>
      </w:r>
      <w:r>
        <w:t xml:space="preserve"> </w:t>
      </w:r>
      <w:r>
        <w:t xml:space="preserve">category 1 or 2 because data on adversity is missing. However, the new Annex VII</w:t>
      </w:r>
      <w:r>
        <w:t xml:space="preserve"> </w:t>
      </w:r>
      <w:r>
        <w:t xml:space="preserve">requirements</w:t>
      </w:r>
      <w:r>
        <w:t xml:space="preserve"> </w:t>
      </w:r>
      <w:r>
        <w:t xml:space="preserve">would</w:t>
      </w:r>
      <w:r>
        <w:t xml:space="preserve"> </w:t>
      </w:r>
      <w:r>
        <w:t xml:space="preserve">enable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potential</w:t>
      </w:r>
      <w:r>
        <w:t xml:space="preserve"> </w:t>
      </w:r>
      <w:r>
        <w:t xml:space="preserve">EDs</w:t>
      </w:r>
      <w:r>
        <w:t xml:space="preserve"> </w:t>
      </w:r>
      <w:r>
        <w:t xml:space="preserve">(even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classified/classifiable as EDs) and therefore prevent regrettable substitutions, as industry would</w:t>
      </w:r>
      <w:r>
        <w:t xml:space="preserve"> </w:t>
      </w:r>
      <w:r>
        <w:t xml:space="preserve">be unlikely to substitute a known ED with a substance that as in vivo endocrine activity, i.e. a</w:t>
      </w:r>
      <w:r>
        <w:t xml:space="preserve"> </w:t>
      </w:r>
      <w:r>
        <w:t xml:space="preserve">very likely ED.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Moreover, the number of 1,012 potential ED substances was estimated by ECHA by</w:t>
      </w:r>
      <w:r>
        <w:t xml:space="preserve"> </w:t>
      </w:r>
      <w:r>
        <w:t xml:space="preserve">extrapolating to the full registration database of over 23,000 substances, whereas new</w:t>
      </w:r>
      <w:r>
        <w:t xml:space="preserve"> </w:t>
      </w:r>
      <w:r>
        <w:t xml:space="preserve">information requirements about ED properties may affect only a subset of the overall number,</w:t>
      </w:r>
      <w:r>
        <w:t xml:space="preserve"> </w:t>
      </w:r>
      <w:r>
        <w:t xml:space="preserve">leading to the identification and classification of a lower number of substances, and</w:t>
      </w:r>
      <w:r>
        <w:t xml:space="preserve"> </w:t>
      </w:r>
      <w:r>
        <w:t xml:space="preserve">consequently mixtures.</w:t>
      </w:r>
      <w:r>
        <w:t xml:space="preserve"> </w:t>
      </w:r>
      <w:r>
        <w:t xml:space="preserve">Number of PBT/vPvB substances</w:t>
      </w:r>
      <w:r>
        <w:t xml:space="preserve"> </w:t>
      </w:r>
      <w:r>
        <w:t xml:space="preserve">Table 36 summarises the relevant numbers included in ECHA (2021a).</w:t>
      </w:r>
      <w:r>
        <w:t xml:space="preserve"> </w:t>
      </w:r>
      <w:r>
        <w:t xml:space="preserve">Table 36: Summary of the estimated number of PBT/vPvB substances by ECHA</w:t>
      </w:r>
    </w:p>
    <w:p>
      <w:pPr>
        <w:pStyle w:val="BodyText"/>
      </w:pPr>
      <w:r>
        <w:t xml:space="preserve">Annex X substances</w:t>
      </w:r>
      <w:r>
        <w:t xml:space="preserve"> </w:t>
      </w:r>
      <w:r>
        <w:t xml:space="preserve">All substances</w:t>
      </w:r>
    </w:p>
    <w:p>
      <w:pPr>
        <w:pStyle w:val="BodyText"/>
      </w:pPr>
      <w:r>
        <w:t xml:space="preserve">Basket 1</w:t>
      </w:r>
      <w:r>
        <w:t xml:space="preserve"> </w:t>
      </w:r>
      <w:r>
        <w:t xml:space="preserve">Basket 2 total</w:t>
      </w:r>
      <w:r>
        <w:t xml:space="preserve"> </w:t>
      </w:r>
      <w:r>
        <w:t xml:space="preserve">Basket 2*</w:t>
      </w:r>
      <w:r>
        <w:t xml:space="preserve"> </w:t>
      </w:r>
      <w:r>
        <w:t xml:space="preserve">PBT/vPvB total**</w:t>
      </w:r>
      <w:r>
        <w:t xml:space="preserve"> </w:t>
      </w:r>
      <w:r>
        <w:t xml:space="preserve">PBT/vPvB total</w:t>
      </w:r>
      <w:r>
        <w:t xml:space="preserve"> </w:t>
      </w:r>
      <w:r>
        <w:t xml:space="preserve">PBT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vPvB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PBT &amp; vPvB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PBT/vPvB</w:t>
      </w:r>
      <w:r>
        <w:t xml:space="preserve"> </w:t>
      </w:r>
      <w:r>
        <w:t xml:space="preserve">Total</w:t>
      </w:r>
      <w:r>
        <w:t xml:space="preserve"> </w:t>
      </w:r>
      <w:r>
        <w:t xml:space="preserve">11</w:t>
      </w:r>
      <w:r>
        <w:t xml:space="preserve"> </w:t>
      </w:r>
      <w:r>
        <w:t xml:space="preserve">99</w:t>
      </w:r>
      <w:r>
        <w:t xml:space="preserve"> </w:t>
      </w:r>
      <w:r>
        <w:t xml:space="preserve">25</w:t>
      </w:r>
      <w:r>
        <w:t xml:space="preserve"> </w:t>
      </w:r>
      <w:r>
        <w:t xml:space="preserve">36</w:t>
      </w:r>
      <w:r>
        <w:t xml:space="preserve"> </w:t>
      </w:r>
      <w:r>
        <w:t xml:space="preserve">396</w:t>
      </w:r>
      <w:r>
        <w:t xml:space="preserve"> </w:t>
      </w:r>
      <w:r>
        <w:t xml:space="preserve">Notes: * Application of the ECHA WF approach (see above). ** Sum of basket 1 and basket 2.</w:t>
      </w:r>
    </w:p>
    <w:p>
      <w:pPr>
        <w:pStyle w:val="BodyText"/>
      </w:pPr>
      <w:r>
        <w:t xml:space="preserve">Subsequent analyses are based on the following assumptions:</w:t>
      </w:r>
    </w:p>
    <w:p>
      <w:pPr>
        <w:pStyle w:val="BodyText"/>
      </w:pPr>
      <w:r>
        <w:t xml:space="preserve">The size of the WF assigned by ECHA is assumed to be indicative of whether a</w:t>
      </w:r>
      <w:r>
        <w:t xml:space="preserve"> </w:t>
      </w:r>
      <w:r>
        <w:t xml:space="preserve">substance is identified as PBT/vPvB. This assumption is implicit in the statistical</w:t>
      </w:r>
      <w:r>
        <w:t xml:space="preserve"> </w:t>
      </w:r>
      <w:r>
        <w:t xml:space="preserve">approach applied by ECHA to derive point estimates of the total number of substances</w:t>
      </w:r>
      <w:r>
        <w:t xml:space="preserve"> </w:t>
      </w:r>
      <w:r>
        <w:t xml:space="preserve">having this property.</w:t>
      </w:r>
    </w:p>
    <w:p>
      <w:pPr>
        <w:pStyle w:val="BodyText"/>
      </w:pPr>
      <w:r>
        <w:t xml:space="preserve">Direct application of WF cut-offs to differentiate PBT/vPvB substances from those that are not</w:t>
      </w:r>
      <w:r>
        <w:t xml:space="preserve"> </w:t>
      </w:r>
      <w:r>
        <w:t xml:space="preserve">PBT/vPvB at the substance-specific level (rather than in a statistical approach) is valid to derive</w:t>
      </w:r>
      <w:r>
        <w:t xml:space="preserve"> </w:t>
      </w:r>
      <w:r>
        <w:t xml:space="preserve">lower and upper end estimates. This appears a reasonable assumption, since it directly reflects</w:t>
      </w:r>
      <w:r>
        <w:t xml:space="preserve"> </w:t>
      </w:r>
      <w:r>
        <w:t xml:space="preserve">the general approach taken by ECHA.</w:t>
      </w:r>
      <w:r>
        <w:t xml:space="preserve"> </w:t>
      </w:r>
      <w:r>
        <w:t xml:space="preserve">Table 36 shows the assignment of PBT/vPvB categories in this impact assessment to the WF</w:t>
      </w:r>
      <w:r>
        <w:t xml:space="preserve"> </w:t>
      </w:r>
      <w:r>
        <w:t xml:space="preserve">assigned by ECHA. Note again that this assignment is performed in this impact assessment and</w:t>
      </w:r>
      <w:r>
        <w:t xml:space="preserve"> </w:t>
      </w:r>
      <w:r>
        <w:t xml:space="preserve">was not done by ECHA. The lower-end estimate (AA-1) identifies less substances as</w:t>
      </w:r>
      <w:r>
        <w:t xml:space="preserve"> </w:t>
      </w:r>
      <w:r>
        <w:t xml:space="preserve">PBT/vPvB than the upper-end estimate (AA-2).</w:t>
      </w:r>
      <w:r>
        <w:t xml:space="preserve"> </w:t>
      </w:r>
      <w:r>
        <w:t xml:space="preserve">Table 37: WF assigned by ECHA and resulting classification</w:t>
      </w:r>
      <w:r>
        <w:t xml:space="preserve"> </w:t>
      </w:r>
      <w:r>
        <w:t xml:space="preserve">Substance-specific WF (all possible values)</w:t>
      </w:r>
      <w:r>
        <w:t xml:space="preserve"> </w:t>
      </w:r>
      <w:r>
        <w:t xml:space="preserve">Substance assigned to category</w:t>
      </w:r>
      <w:r>
        <w:t xml:space="preserve"> </w:t>
      </w:r>
      <w:r>
        <w:t xml:space="preserve">AA-1 (lower end)</w:t>
      </w:r>
      <w:r>
        <w:t xml:space="preserve"> </w:t>
      </w:r>
      <w:r>
        <w:t xml:space="preserve">AA-2 (upper end)</w:t>
      </w:r>
      <w:r>
        <w:t xml:space="preserve"> </w:t>
      </w:r>
      <w:r>
        <w:t xml:space="preserve">0.12</w:t>
      </w:r>
      <w:r>
        <w:t xml:space="preserve"> </w:t>
      </w:r>
      <w:r>
        <w:t xml:space="preserve">Not PBT/vPvB</w:t>
      </w:r>
      <w:r>
        <w:t xml:space="preserve"> </w:t>
      </w:r>
      <w:r>
        <w:t xml:space="preserve">Not PBT/vPvB</w:t>
      </w:r>
      <w:r>
        <w:t xml:space="preserve"> </w:t>
      </w:r>
      <w:r>
        <w:t xml:space="preserve">0.3</w:t>
      </w:r>
      <w:r>
        <w:t xml:space="preserve"> </w:t>
      </w:r>
      <w:r>
        <w:t xml:space="preserve">Not PBT/vPvB</w:t>
      </w:r>
      <w:r>
        <w:t xml:space="preserve"> </w:t>
      </w:r>
      <w:r>
        <w:t xml:space="preserve">PBT/vPvB</w:t>
      </w:r>
      <w:r>
        <w:t xml:space="preserve"> </w:t>
      </w:r>
      <w:r>
        <w:t xml:space="preserve">0.8</w:t>
      </w:r>
      <w:r>
        <w:t xml:space="preserve"> </w:t>
      </w:r>
      <w:r>
        <w:t xml:space="preserve">PBT/vPvB</w:t>
      </w:r>
      <w:r>
        <w:t xml:space="preserve"> </w:t>
      </w:r>
      <w:r>
        <w:t xml:space="preserve">PBT/vPvB</w:t>
      </w:r>
    </w:p>
    <w:p>
      <w:pPr>
        <w:pStyle w:val="BodyText"/>
      </w:pPr>
      <w:r>
        <w:t xml:space="preserve">The number of substances identified as PBT/vPvB is counted and can be compared to the</w:t>
      </w:r>
      <w:r>
        <w:t xml:space="preserve"> </w:t>
      </w:r>
      <w:r>
        <w:t xml:space="preserve">ECHA estimate. Table 37 provides the estimates for all three approaches.</w:t>
      </w:r>
      <w:r>
        <w:br/>
      </w:r>
      <w:r>
        <w:t xml:space="preserve">Table 38: Estimated number of substances expected to be identified as PBT/vPvB</w:t>
      </w:r>
      <w:r>
        <w:t xml:space="preserve"> </w:t>
      </w:r>
      <w:r>
        <w:t xml:space="preserve">Approach</w:t>
      </w:r>
      <w:r>
        <w:t xml:space="preserve"> </w:t>
      </w:r>
      <w:r>
        <w:t xml:space="preserve">PBT/vPvB</w:t>
      </w:r>
      <w:r>
        <w:t xml:space="preserve"> </w:t>
      </w:r>
      <w:r>
        <w:t xml:space="preserve">AA-1</w:t>
      </w:r>
      <w:r>
        <w:t xml:space="preserve"> </w:t>
      </w:r>
      <w:r>
        <w:t xml:space="preserve">143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ECHA</w:t>
      </w:r>
      <w:r>
        <w:t xml:space="preserve"> </w:t>
      </w:r>
      <w:r>
        <w:t xml:space="preserve">396</w:t>
      </w:r>
      <w:r>
        <w:t xml:space="preserve"> </w:t>
      </w:r>
      <w:r>
        <w:t xml:space="preserve">AA-2</w:t>
      </w:r>
      <w:r>
        <w:t xml:space="preserve"> </w:t>
      </w:r>
      <w:r>
        <w:t xml:space="preserve">847</w:t>
      </w:r>
    </w:p>
    <w:p>
      <w:pPr>
        <w:pStyle w:val="BodyText"/>
      </w:pPr>
      <w:r>
        <w:t xml:space="preserve">Based on the total number of 23,751 unique substances in ECHA’s combined inventory,</w:t>
      </w:r>
      <w:r>
        <w:t xml:space="preserve"> </w:t>
      </w:r>
      <w:r>
        <w:t xml:space="preserve">substances identified as PBT/vPvB represent 1.7% (ECHA approach) with a range of 0.60%</w:t>
      </w:r>
      <w:r>
        <w:t xml:space="preserve"> </w:t>
      </w:r>
      <w:r>
        <w:t xml:space="preserve">(AA-1) to 3.6% (AA-2). These analyses suggest a relatively wide range of the number of</w:t>
      </w:r>
      <w:r>
        <w:t xml:space="preserve"> </w:t>
      </w:r>
      <w:r>
        <w:t xml:space="preserve">substances expected to be identified as PBT/vPvB (factor 6 between minimum and maximum</w:t>
      </w:r>
      <w:r>
        <w:t xml:space="preserve"> </w:t>
      </w:r>
      <w:r>
        <w:t xml:space="preserve">estimate). This relatively wide range results from the fact that the majority of the 99 basket 2</w:t>
      </w:r>
      <w:r>
        <w:t xml:space="preserve"> </w:t>
      </w:r>
      <w:r>
        <w:t xml:space="preserve">substances in the evaluation (N=64, 65%) is assigned a WF of 0.3. These 64 substances are</w:t>
      </w:r>
      <w:r>
        <w:t xml:space="preserve"> </w:t>
      </w:r>
      <w:r>
        <w:t xml:space="preserve">identified as not PBT/vPvB in AA-1, while they are assigned to the PBT/vPvB group in AA-</w:t>
      </w:r>
      <w:r>
        <w:t xml:space="preserve"> </w:t>
      </w:r>
      <w:r>
        <w:t xml:space="preserve">2.</w:t>
      </w:r>
      <w:r>
        <w:t xml:space="preserve"> </w:t>
      </w:r>
      <w:r>
        <w:t xml:space="preserve">Assignment to hazard classes</w:t>
      </w:r>
      <w:r>
        <w:t xml:space="preserve"> </w:t>
      </w:r>
      <w:r>
        <w:t xml:space="preserve">The ECHA approach does not differentiate PBT and vPvB properties for basket 2 substances.</w:t>
      </w:r>
      <w:r>
        <w:t xml:space="preserve"> </w:t>
      </w:r>
      <w:r>
        <w:t xml:space="preserve">Since the number of substances per envisaged hazard class (PBT and vPvB) are useful for the</w:t>
      </w:r>
      <w:r>
        <w:t xml:space="preserve"> </w:t>
      </w:r>
      <w:r>
        <w:t xml:space="preserve">impact assessment, the approach for identifying fractions follows the one applied to assign ED</w:t>
      </w:r>
      <w:r>
        <w:t xml:space="preserve"> </w:t>
      </w:r>
      <w:r>
        <w:t xml:space="preserve">substances to impact areas. In the case of PBT/vPvB properties, the following datasets are</w:t>
      </w:r>
      <w:r>
        <w:t xml:space="preserve"> </w:t>
      </w:r>
      <w:r>
        <w:t xml:space="preserve">evaluated:</w:t>
      </w:r>
    </w:p>
    <w:p>
      <w:pPr>
        <w:pStyle w:val="BodyText"/>
      </w:pPr>
      <w:r>
        <w:t xml:space="preserve">All substances in ECHA basket 1 (including Annex X substances);133</w:t>
      </w:r>
      <w:r>
        <w:t xml:space="preserve"> </w:t>
      </w:r>
      <w:r>
        <w:t xml:space="preserve">Substances assessed as being PBT and/or vPvB in ECHA’s PBT Assessment List.134</w:t>
      </w:r>
      <w:r>
        <w:t xml:space="preserve"> </w:t>
      </w:r>
      <w:r>
        <w:t xml:space="preserve">As noted for ED properties, there is substantial overlap between these datasets, since the PBT</w:t>
      </w:r>
      <w:r>
        <w:t xml:space="preserve"> </w:t>
      </w:r>
      <w:r>
        <w:t xml:space="preserve">Assessment List was also used as an input for ECHA’s basket 1 evaluation. Therefore,</w:t>
      </w:r>
      <w:r>
        <w:t xml:space="preserve"> </w:t>
      </w:r>
      <w:r>
        <w:t xml:space="preserve">substances from the PBT Assessment List were only used in this evaluation, if they are not</w:t>
      </w:r>
      <w:r>
        <w:t xml:space="preserve"> </w:t>
      </w:r>
      <w:r>
        <w:t xml:space="preserve">included in basket 1. Substances identified in these list as being PBT &amp; vPvB (i.e. possessing</w:t>
      </w:r>
      <w:r>
        <w:t xml:space="preserve"> </w:t>
      </w:r>
      <w:r>
        <w:t xml:space="preserve">both properties) are assigned to each of the two intended hazard classes. Their numbers are</w:t>
      </w:r>
      <w:r>
        <w:t xml:space="preserve"> </w:t>
      </w:r>
      <w:r>
        <w:t xml:space="preserve">provided in the last row of Table 38. For example, 17 of the 23 substances identified as PBT</w:t>
      </w:r>
      <w:r>
        <w:t xml:space="preserve"> </w:t>
      </w:r>
      <w:r>
        <w:t xml:space="preserve">among the basket 1 substances are also identified as vPvB. Table 38 summarises the outcome</w:t>
      </w:r>
      <w:r>
        <w:t xml:space="preserve"> </w:t>
      </w:r>
      <w:r>
        <w:t xml:space="preserve">of these evaluations. The percentages given in brackets are the ones for the hazard class as a</w:t>
      </w:r>
      <w:r>
        <w:t xml:space="preserve"> </w:t>
      </w:r>
      <w:r>
        <w:t xml:space="preserve">fraction of the sum of both hazard classes.135</w:t>
      </w:r>
      <w:r>
        <w:t xml:space="preserve"> </w:t>
      </w:r>
      <w:r>
        <w:t xml:space="preserve">Table 39: Fractions of PBT and vPvB substances among those identified as PBT/vPvB</w:t>
      </w:r>
      <w:r>
        <w:t xml:space="preserve"> </w:t>
      </w:r>
      <w:r>
        <w:t xml:space="preserve">Impact area</w:t>
      </w:r>
      <w:r>
        <w:t xml:space="preserve"> </w:t>
      </w:r>
      <w:r>
        <w:t xml:space="preserve">ECHA basket 1 substances</w:t>
      </w:r>
      <w:r>
        <w:t xml:space="preserve"> </w:t>
      </w:r>
      <w:r>
        <w:t xml:space="preserve">PBT Assessment List</w:t>
      </w:r>
      <w:r>
        <w:t xml:space="preserve"> </w:t>
      </w:r>
      <w:r>
        <w:t xml:space="preserve">Total</w:t>
      </w:r>
      <w:r>
        <w:t xml:space="preserve"> </w:t>
      </w:r>
      <w:r>
        <w:t xml:space="preserve">Estimate**</w:t>
      </w:r>
      <w:r>
        <w:t xml:space="preserve"> </w:t>
      </w:r>
      <w:r>
        <w:t xml:space="preserve">PBT</w:t>
      </w:r>
      <w:r>
        <w:t xml:space="preserve"> </w:t>
      </w:r>
      <w:r>
        <w:t xml:space="preserve">23 (45%)</w:t>
      </w:r>
      <w:r>
        <w:t xml:space="preserve"> </w:t>
      </w:r>
      <w:r>
        <w:t xml:space="preserve">6 (46%)</w:t>
      </w:r>
      <w:r>
        <w:t xml:space="preserve"> </w:t>
      </w:r>
      <w:r>
        <w:t xml:space="preserve">29 (45%)</w:t>
      </w:r>
      <w:r>
        <w:t xml:space="preserve"> </w:t>
      </w:r>
      <w:r>
        <w:t xml:space="preserve">45%</w:t>
      </w:r>
      <w:r>
        <w:t xml:space="preserve"> </w:t>
      </w:r>
      <w:r>
        <w:t xml:space="preserve">vPvB</w:t>
      </w:r>
      <w:r>
        <w:br/>
      </w:r>
      <w:r>
        <w:t xml:space="preserve">28 (55%)</w:t>
      </w:r>
      <w:r>
        <w:t xml:space="preserve"> </w:t>
      </w:r>
      <w:r>
        <w:t xml:space="preserve">7 (54%)</w:t>
      </w:r>
      <w:r>
        <w:t xml:space="preserve"> </w:t>
      </w:r>
      <w:r>
        <w:t xml:space="preserve">35 (55%)</w:t>
      </w:r>
      <w:r>
        <w:t xml:space="preserve"> </w:t>
      </w:r>
      <w:r>
        <w:t xml:space="preserve">55%</w:t>
      </w:r>
      <w:r>
        <w:t xml:space="preserve"> </w:t>
      </w:r>
      <w:r>
        <w:t xml:space="preserve">PBT &amp; vPvB*</w:t>
      </w:r>
      <w:r>
        <w:t xml:space="preserve"> </w:t>
      </w:r>
      <w:r>
        <w:t xml:space="preserve">17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Notes: * Number of substances included in PBT and vPvB, since these substances are identified as being both</w:t>
      </w:r>
      <w:r>
        <w:t xml:space="preserve"> </w:t>
      </w:r>
      <w:r>
        <w:t xml:space="preserve">PBT and vPvB. ** Roughly based on fraction obtained in the evaluation of all three datasets.</w:t>
      </w:r>
    </w:p>
    <w:p>
      <w:pPr>
        <w:pStyle w:val="BodyText"/>
      </w:pPr>
      <w:r>
        <w:t xml:space="preserve">The data show that more than half of the substances identified as PBT are also identified as</w:t>
      </w:r>
      <w:r>
        <w:t xml:space="preserve"> </w:t>
      </w:r>
      <w:r>
        <w:t xml:space="preserve">vPvB (see ECHA basket 1 substances). This is not true for the substances from the PBT</w:t>
      </w:r>
    </w:p>
    <w:p>
      <w:pPr>
        <w:pStyle w:val="BodyText"/>
      </w:pPr>
      <w:r>
        <w:t xml:space="preserve">133 As noted above, the ECHA evaluation of substances in basket 2 does not differentiate by impact area.</w:t>
      </w:r>
      <w:r>
        <w:t xml:space="preserve"> </w:t>
      </w:r>
      <w:r>
        <w:t xml:space="preserve">134 https://echa.europa.eu/de/pbt, accessed 6 November 2021.</w:t>
      </w:r>
      <w:r>
        <w:t xml:space="preserve"> </w:t>
      </w:r>
      <w:r>
        <w:t xml:space="preserve">135 Since substances with both PBT and vPvB properties are assigned to both hazard classes, the theoretical number</w:t>
      </w:r>
      <w:r>
        <w:t xml:space="preserve"> </w:t>
      </w:r>
      <w:r>
        <w:t xml:space="preserve">of ‘substances’ in these evaluations are higher than they actually are. Thus, there are 11 Annex X substances in</w:t>
      </w:r>
      <w:r>
        <w:t xml:space="preserve"> </w:t>
      </w:r>
      <w:r>
        <w:t xml:space="preserve">basket 1: 1 PBT, 3 vPvB and 7 PBT &amp; vPvB). The 7 substances are assigned to both hazard classes, resulting in</w:t>
      </w:r>
      <w:r>
        <w:t xml:space="preserve"> </w:t>
      </w:r>
      <w:r>
        <w:t xml:space="preserve">8 PBT and 10 vPvB substances. This results in 18 theoretical ‘substances’, of which 8 (44%) are PBT and 10</w:t>
      </w:r>
      <w:r>
        <w:t xml:space="preserve"> </w:t>
      </w:r>
      <w:r>
        <w:t xml:space="preserve">(56%) are vPvB.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Assessment List that are not already included in basket 1, but in this case the sample size is</w:t>
      </w:r>
      <w:r>
        <w:t xml:space="preserve"> </w:t>
      </w:r>
      <w:r>
        <w:t xml:space="preserve">very small. The estimated percentages in the last column of the table are used as a pragmatic</w:t>
      </w:r>
      <w:r>
        <w:t xml:space="preserve"> </w:t>
      </w:r>
      <w:r>
        <w:t xml:space="preserve">approach to assign substances to the envisaged new hazard classes PBT and vPvB, since the</w:t>
      </w:r>
      <w:r>
        <w:t xml:space="preserve"> </w:t>
      </w:r>
      <w:r>
        <w:t xml:space="preserve">fractions obtained in the two datasets are practically identical. However, these fractions involve</w:t>
      </w:r>
      <w:r>
        <w:t xml:space="preserve"> </w:t>
      </w:r>
      <w:r>
        <w:t xml:space="preserve">a high uncertainty, since they are based on small samples. The estimated fractions are assigned</w:t>
      </w:r>
      <w:r>
        <w:t xml:space="preserve"> </w:t>
      </w:r>
      <w:r>
        <w:t xml:space="preserve">to the total number identified as PBT/vPvB, resulting in a final estimate of the number of</w:t>
      </w:r>
      <w:r>
        <w:t xml:space="preserve"> </w:t>
      </w:r>
      <w:r>
        <w:t xml:space="preserve">substances for these hazard classes.</w:t>
      </w:r>
      <w:r>
        <w:br/>
      </w:r>
      <w:r>
        <w:t xml:space="preserve">Final estimates and discussion</w:t>
      </w:r>
      <w:r>
        <w:t xml:space="preserve"> </w:t>
      </w:r>
      <w:r>
        <w:t xml:space="preserve">Table 39 summarises the final estimates, providing the split into the two envisaged hazard</w:t>
      </w:r>
      <w:r>
        <w:t xml:space="preserve"> </w:t>
      </w:r>
      <w:r>
        <w:t xml:space="preserve">classes for the central estimate representing the total number of expected PBT/vPvB substances</w:t>
      </w:r>
      <w:r>
        <w:t xml:space="preserve"> </w:t>
      </w:r>
      <w:r>
        <w:t xml:space="preserve">derived in ECHA (2021a) (N=396) as well as a lower-end (N=143) and an upper-end estimates</w:t>
      </w:r>
      <w:r>
        <w:t xml:space="preserve"> </w:t>
      </w:r>
      <w:r>
        <w:t xml:space="preserve">(N=847). It is important to note that ECHA did not provide separate estimates for PBT and</w:t>
      </w:r>
      <w:r>
        <w:t xml:space="preserve"> </w:t>
      </w:r>
      <w:r>
        <w:t xml:space="preserve">vPvB substances. This allocation was carried out by the consultants supporting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Table 40: Final estimate on the number of substances expected to be classified as PBT and vPvB</w:t>
      </w:r>
      <w:r>
        <w:t xml:space="preserve"> </w:t>
      </w:r>
      <w:r>
        <w:t xml:space="preserve">Type of estimate</w:t>
      </w:r>
      <w:r>
        <w:t xml:space="preserve"> </w:t>
      </w:r>
      <w:r>
        <w:t xml:space="preserve">PBT</w:t>
      </w:r>
      <w:r>
        <w:t xml:space="preserve"> </w:t>
      </w:r>
      <w:r>
        <w:t xml:space="preserve">vPvB</w:t>
      </w:r>
      <w:r>
        <w:t xml:space="preserve"> </w:t>
      </w:r>
      <w:r>
        <w:t xml:space="preserve">PBT/vPvB total</w:t>
      </w:r>
      <w:r>
        <w:t xml:space="preserve"> </w:t>
      </w:r>
      <w:r>
        <w:t xml:space="preserve">Lower end (AA-1)</w:t>
      </w:r>
      <w:r>
        <w:t xml:space="preserve"> </w:t>
      </w:r>
      <w:r>
        <w:t xml:space="preserve">64</w:t>
      </w:r>
      <w:r>
        <w:t xml:space="preserve"> </w:t>
      </w:r>
      <w:r>
        <w:t xml:space="preserve">79</w:t>
      </w:r>
      <w:r>
        <w:t xml:space="preserve"> </w:t>
      </w:r>
      <w:r>
        <w:t xml:space="preserve">143</w:t>
      </w:r>
      <w:r>
        <w:t xml:space="preserve"> </w:t>
      </w:r>
      <w:r>
        <w:t xml:space="preserve">Central estimate (ECHA approach)</w:t>
      </w:r>
      <w:r>
        <w:t xml:space="preserve"> </w:t>
      </w:r>
      <w:r>
        <w:t xml:space="preserve">178</w:t>
      </w:r>
      <w:r>
        <w:t xml:space="preserve"> </w:t>
      </w:r>
      <w:r>
        <w:t xml:space="preserve">218</w:t>
      </w:r>
      <w:r>
        <w:t xml:space="preserve"> </w:t>
      </w:r>
      <w:r>
        <w:t xml:space="preserve">396</w:t>
      </w:r>
      <w:r>
        <w:t xml:space="preserve"> </w:t>
      </w:r>
      <w:r>
        <w:t xml:space="preserve">Upper end (AA-2)</w:t>
      </w:r>
      <w:r>
        <w:t xml:space="preserve"> </w:t>
      </w:r>
      <w:r>
        <w:t xml:space="preserve">381</w:t>
      </w:r>
      <w:r>
        <w:t xml:space="preserve"> </w:t>
      </w:r>
      <w:r>
        <w:t xml:space="preserve">466</w:t>
      </w:r>
      <w:r>
        <w:t xml:space="preserve"> </w:t>
      </w:r>
      <w:r>
        <w:t xml:space="preserve">847</w:t>
      </w:r>
    </w:p>
    <w:p>
      <w:pPr>
        <w:pStyle w:val="BodyText"/>
      </w:pPr>
      <w:r>
        <w:t xml:space="preserve">These numbers represent very rough estimates. As already noted, the apparent accuracy of the</w:t>
      </w:r>
      <w:r>
        <w:t xml:space="preserve"> </w:t>
      </w:r>
      <w:r>
        <w:t xml:space="preserve">estimates is spurious. The calculated numbers are provided to increase transparency and to</w:t>
      </w:r>
      <w:r>
        <w:t xml:space="preserve"> </w:t>
      </w:r>
      <w:r>
        <w:t xml:space="preserve">allow cross-checking of the calculations. The uncertainties of these estimates relate to the</w:t>
      </w:r>
      <w:r>
        <w:t xml:space="preserve"> </w:t>
      </w:r>
      <w:r>
        <w:t xml:space="preserve">following issues:</w:t>
      </w:r>
      <w:r>
        <w:t xml:space="preserve"> </w:t>
      </w:r>
      <w:r>
        <w:t xml:space="preserve">ECHA (2021a) considers basket 3 estimate (i.e. the figure of 396 substances expected to be</w:t>
      </w:r>
      <w:r>
        <w:t xml:space="preserve"> </w:t>
      </w:r>
      <w:r>
        <w:t xml:space="preserve">identified as PBT/vPvB) as a guestimate and therefore highly uncertain.</w:t>
      </w:r>
      <w:r>
        <w:t xml:space="preserve"> </w:t>
      </w:r>
      <w:r>
        <w:t xml:space="preserve">Bioaccumulation in air-breathing (terrestrial) animals is currently not fully assessed since</w:t>
      </w:r>
      <w:r>
        <w:t xml:space="preserve"> </w:t>
      </w:r>
      <w:r>
        <w:t xml:space="preserve">assessment approaches are still under development. Substances that do not bioaccumulate in</w:t>
      </w:r>
      <w:r>
        <w:t xml:space="preserve"> </w:t>
      </w:r>
      <w:r>
        <w:t xml:space="preserve">aquatic organisms may do so in terrestrial mammals, potentially increasing the number of</w:t>
      </w:r>
      <w:r>
        <w:t xml:space="preserve"> </w:t>
      </w:r>
      <w:r>
        <w:t xml:space="preserve">PBT/vPvB substances. Also, further developments in bioaccumulation assessment of ionisable</w:t>
      </w:r>
      <w:r>
        <w:t xml:space="preserve"> </w:t>
      </w:r>
      <w:r>
        <w:t xml:space="preserve">substances may also result in changes of the number of substances to be considered as ‘B’ (both</w:t>
      </w:r>
      <w:r>
        <w:t xml:space="preserve"> </w:t>
      </w:r>
      <w:r>
        <w:t xml:space="preserve">issues are also stated in ECHA (2021a) as limitations).</w:t>
      </w:r>
      <w:r>
        <w:t xml:space="preserve"> </w:t>
      </w:r>
      <w:r>
        <w:t xml:space="preserve">ECHA evaluation is largely based on sources listing substances with on-going assessments for</w:t>
      </w:r>
      <w:r>
        <w:t xml:space="preserve"> </w:t>
      </w:r>
      <w:r>
        <w:t xml:space="preserve">PBT/vPvB properties. The listing of possible PBT/vPvB is presumably often based on</w:t>
      </w:r>
      <w:r>
        <w:t xml:space="preserve"> </w:t>
      </w:r>
      <w:r>
        <w:t xml:space="preserve">screening criteria and the concerns may not be confirmed upon further investigation. For</w:t>
      </w:r>
      <w:r>
        <w:t xml:space="preserve"> </w:t>
      </w:r>
      <w:r>
        <w:t xml:space="preserve">example, the PBT/vPvB properties of 52 substances assessed by the PBT Expert Group</w:t>
      </w:r>
      <w:r>
        <w:t xml:space="preserve"> </w:t>
      </w:r>
      <w:r>
        <w:t xml:space="preserve">between 2012 and 2018 were only confirmed in 15 cases (29%) (ECHA, 2019a). This is likely</w:t>
      </w:r>
      <w:r>
        <w:t xml:space="preserve"> </w:t>
      </w:r>
      <w:r>
        <w:t xml:space="preserve">to be the reason for the low WFs (0.12 or 0.3) assigned in the ECHA evaluation for many of</w:t>
      </w:r>
      <w:r>
        <w:t xml:space="preserve"> </w:t>
      </w:r>
      <w:r>
        <w:t xml:space="preserve">the sources included.</w:t>
      </w:r>
      <w:r>
        <w:br/>
      </w:r>
      <w:r>
        <w:t xml:space="preserve">The split among the two envisaged hazard classes appears robust based on the datasets</w:t>
      </w:r>
      <w:r>
        <w:t xml:space="preserve"> </w:t>
      </w:r>
      <w:r>
        <w:t xml:space="preserve">evaluated. However, it must be noted that the total number of substances in these datasets is</w:t>
      </w:r>
      <w:r>
        <w:t xml:space="preserve"> </w:t>
      </w:r>
      <w:r>
        <w:t xml:space="preserve">small and the assignment to the two hazard classes therefore includes an additional element of</w:t>
      </w:r>
      <w:r>
        <w:t xml:space="preserve"> </w:t>
      </w:r>
      <w:r>
        <w:t xml:space="preserve">uncertainty.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Based on the total number of 23,751 unique substances in ECHA’s combined inventory, the</w:t>
      </w:r>
      <w:r>
        <w:t xml:space="preserve"> </w:t>
      </w:r>
      <w:r>
        <w:t xml:space="preserve">396 substances identified as PBT/vPvB in the central estimate represent 1.7% with a range of</w:t>
      </w:r>
      <w:r>
        <w:t xml:space="preserve"> </w:t>
      </w:r>
      <w:r>
        <w:t xml:space="preserve">0.60%-3.6%. An earlier screening approach noted a fraction of PBT/vPvB substances of about</w:t>
      </w:r>
      <w:r>
        <w:t xml:space="preserve"> </w:t>
      </w:r>
      <w:r>
        <w:t xml:space="preserve">3%-5% among 95,000 chemicals (Strempel et al., 2012). Simple screening approaches may</w:t>
      </w:r>
      <w:r>
        <w:t xml:space="preserve"> </w:t>
      </w:r>
      <w:r>
        <w:t xml:space="preserve">identify a higher fraction of substances as PBT/vPvB substances than will be identified upon</w:t>
      </w:r>
      <w:r>
        <w:t xml:space="preserve"> </w:t>
      </w:r>
      <w:r>
        <w:t xml:space="preserve">further investigation.136 The findings of this screening exercise may therefore not be in</w:t>
      </w:r>
      <w:r>
        <w:t xml:space="preserve"> </w:t>
      </w:r>
      <w:r>
        <w:t xml:space="preserve">contradiction with the numbers estimated here. Finally, the PBT assessment in REACH</w:t>
      </w:r>
      <w:r>
        <w:t xml:space="preserve"> </w:t>
      </w:r>
      <w:r>
        <w:t xml:space="preserve">registration dossiers currently identifies 8,279 entries as not PBT/vPvB and 97 as PBT/vPvB.137</w:t>
      </w:r>
      <w:r>
        <w:t xml:space="preserve"> </w:t>
      </w:r>
      <w:r>
        <w:t xml:space="preserve">The latter constitute 1.2% of the total (N=8,376), a figure that falls within the estimated range</w:t>
      </w:r>
      <w:r>
        <w:t xml:space="preserve"> </w:t>
      </w:r>
      <w:r>
        <w:t xml:space="preserve">and close to the central estimate of 1.7%. The assignment to the two envisaged hazard classes</w:t>
      </w:r>
      <w:r>
        <w:t xml:space="preserve"> </w:t>
      </w:r>
      <w:r>
        <w:t xml:space="preserve">is uncertain.</w:t>
      </w:r>
      <w:r>
        <w:t xml:space="preserve"> </w:t>
      </w:r>
      <w:r>
        <w:t xml:space="preserve">Number of PMT substances</w:t>
      </w:r>
      <w:r>
        <w:t xml:space="preserve"> </w:t>
      </w:r>
      <w:r>
        <w:t xml:space="preserve">Table 41 summarises the relevant numbers included in ECHA (2021a).</w:t>
      </w:r>
      <w:r>
        <w:t xml:space="preserve"> </w:t>
      </w:r>
      <w:r>
        <w:t xml:space="preserve">Table 41: Summary of the estimated number of PMT/vPvM substances by ECHA</w:t>
      </w:r>
    </w:p>
    <w:p>
      <w:pPr>
        <w:pStyle w:val="BodyText"/>
      </w:pPr>
      <w:r>
        <w:t xml:space="preserve">Annex X substances</w:t>
      </w:r>
      <w:r>
        <w:t xml:space="preserve"> </w:t>
      </w:r>
      <w:r>
        <w:t xml:space="preserve">All substances</w:t>
      </w:r>
    </w:p>
    <w:p>
      <w:pPr>
        <w:pStyle w:val="BodyText"/>
      </w:pPr>
      <w:r>
        <w:t xml:space="preserve">Basket 1</w:t>
      </w:r>
      <w:r>
        <w:t xml:space="preserve"> </w:t>
      </w:r>
      <w:r>
        <w:t xml:space="preserve">Basket 2 total</w:t>
      </w:r>
      <w:r>
        <w:t xml:space="preserve"> </w:t>
      </w:r>
      <w:r>
        <w:t xml:space="preserve">Basket 2*</w:t>
      </w:r>
      <w:r>
        <w:t xml:space="preserve"> </w:t>
      </w:r>
      <w:r>
        <w:t xml:space="preserve">PMT/vPvM total**</w:t>
      </w:r>
      <w:r>
        <w:t xml:space="preserve"> </w:t>
      </w:r>
      <w:r>
        <w:t xml:space="preserve">PMT/vPvM total</w:t>
      </w:r>
      <w:r>
        <w:t xml:space="preserve"> </w:t>
      </w:r>
      <w:r>
        <w:t xml:space="preserve">PMT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vPvM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PMT &amp; vPvM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PMT/vPvM Total</w:t>
      </w:r>
      <w:r>
        <w:t xml:space="preserve"> </w:t>
      </w:r>
      <w:r>
        <w:t xml:space="preserve">0</w:t>
      </w:r>
      <w:r>
        <w:t xml:space="preserve"> </w:t>
      </w:r>
      <w:r>
        <w:t xml:space="preserve">84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231</w:t>
      </w:r>
      <w:r>
        <w:t xml:space="preserve"> </w:t>
      </w:r>
      <w:r>
        <w:t xml:space="preserve">Notes: * Application of the ECHA WF approach (see above). ** Sum of basket 1 and basket 2*.</w:t>
      </w:r>
    </w:p>
    <w:p>
      <w:pPr>
        <w:pStyle w:val="BodyText"/>
      </w:pPr>
      <w:r>
        <w:t xml:space="preserve">Subsequent analyses follow the same approach as described above for PBT/vPvB properties.</w:t>
      </w:r>
      <w:r>
        <w:t xml:space="preserve"> </w:t>
      </w:r>
      <w:r>
        <w:t xml:space="preserve">Table 41 shows the assignment of PMT/vPvM categories in this impact assessment to the WF</w:t>
      </w:r>
      <w:r>
        <w:t xml:space="preserve"> </w:t>
      </w:r>
      <w:r>
        <w:t xml:space="preserve">assigned by ECHA. Note again that this assignment is performed in this impact assessment and</w:t>
      </w:r>
      <w:r>
        <w:t xml:space="preserve"> </w:t>
      </w:r>
      <w:r>
        <w:t xml:space="preserve">was not done by ECHA.</w:t>
      </w:r>
      <w:r>
        <w:t xml:space="preserve"> </w:t>
      </w:r>
      <w:r>
        <w:t xml:space="preserve">Table 42: WF assigned by ECHA and resulting classification</w:t>
      </w:r>
      <w:r>
        <w:t xml:space="preserve"> </w:t>
      </w:r>
      <w:r>
        <w:t xml:space="preserve">Substance-specific WF (all possible values)</w:t>
      </w:r>
      <w:r>
        <w:t xml:space="preserve"> </w:t>
      </w:r>
      <w:r>
        <w:t xml:space="preserve">Substance assigned to category</w:t>
      </w:r>
      <w:r>
        <w:t xml:space="preserve"> </w:t>
      </w:r>
      <w:r>
        <w:t xml:space="preserve">AA-1 (lower end)</w:t>
      </w:r>
      <w:r>
        <w:t xml:space="preserve"> </w:t>
      </w:r>
      <w:r>
        <w:t xml:space="preserve">AA-2 (upper end)</w:t>
      </w:r>
      <w:r>
        <w:t xml:space="preserve"> </w:t>
      </w:r>
      <w:r>
        <w:t xml:space="preserve">0.1</w:t>
      </w:r>
      <w:r>
        <w:t xml:space="preserve"> </w:t>
      </w:r>
      <w:r>
        <w:t xml:space="preserve">Not PMT/vPvM</w:t>
      </w:r>
      <w:r>
        <w:t xml:space="preserve"> </w:t>
      </w:r>
      <w:r>
        <w:t xml:space="preserve">Not PMT/vPvM</w:t>
      </w:r>
      <w:r>
        <w:t xml:space="preserve"> </w:t>
      </w:r>
      <w:r>
        <w:t xml:space="preserve">0.3</w:t>
      </w:r>
      <w:r>
        <w:t xml:space="preserve"> </w:t>
      </w:r>
      <w:r>
        <w:t xml:space="preserve">Not PMT/vPvM</w:t>
      </w:r>
      <w:r>
        <w:t xml:space="preserve"> </w:t>
      </w:r>
      <w:r>
        <w:t xml:space="preserve">PMT/vPvM</w:t>
      </w:r>
      <w:r>
        <w:t xml:space="preserve"> </w:t>
      </w:r>
      <w:r>
        <w:t xml:space="preserve">0.8</w:t>
      </w:r>
      <w:r>
        <w:t xml:space="preserve"> </w:t>
      </w:r>
      <w:r>
        <w:t xml:space="preserve">PMT/vPvM</w:t>
      </w:r>
      <w:r>
        <w:t xml:space="preserve"> </w:t>
      </w:r>
      <w:r>
        <w:t xml:space="preserve">PMT/vPvM</w:t>
      </w:r>
    </w:p>
    <w:p>
      <w:pPr>
        <w:pStyle w:val="BodyText"/>
      </w:pPr>
      <w:r>
        <w:t xml:space="preserve">The number of substances identified as PMT/vPvM can be compared to the ECHA estimate.</w:t>
      </w:r>
      <w:r>
        <w:t xml:space="preserve"> </w:t>
      </w:r>
      <w:r>
        <w:t xml:space="preserve">Table 42 provides the estimates for all three approaches.</w:t>
      </w:r>
    </w:p>
    <w:p>
      <w:pPr>
        <w:pStyle w:val="BodyText"/>
      </w:pPr>
      <w:r>
        <w:t xml:space="preserve">136 This suggestion also corresponds to the experience of the PBT Expert Group, in which a PBT/vPvB concern</w:t>
      </w:r>
      <w:r>
        <w:t xml:space="preserve"> </w:t>
      </w:r>
      <w:r>
        <w:t xml:space="preserve">identified based on screening approaches was not confirmed.</w:t>
      </w:r>
      <w:r>
        <w:t xml:space="preserve"> </w:t>
      </w:r>
      <w:r>
        <w:t xml:space="preserve">137 Based on a simple evaluation of the information given in ECHA’s database on registered substances:</w:t>
      </w:r>
      <w:r>
        <w:t xml:space="preserve"> </w:t>
      </w:r>
      <w:r>
        <w:t xml:space="preserve">https://echa.europa.eu/information-on-chemicals/registered-substances, evaluated on 15 November 2021. Entries</w:t>
      </w:r>
      <w:r>
        <w:t xml:space="preserve"> </w:t>
      </w:r>
      <w:r>
        <w:t xml:space="preserve">can be filtered by the ‘PBT assessment outcome’ and the resulting numbers were extracted for the entries rated as</w:t>
      </w:r>
      <w:r>
        <w:t xml:space="preserve"> </w:t>
      </w:r>
      <w:r>
        <w:t xml:space="preserve">‘PBT/vPvB’ and ‘not PBT/vPvB’. These numbers only relate to substances for which a PBT assessment according</w:t>
      </w:r>
      <w:r>
        <w:t xml:space="preserve"> </w:t>
      </w:r>
      <w:r>
        <w:t xml:space="preserve">to the REACH Regulation is required. Furthermore, other possible results of the PBT assessment (e.g. when</w:t>
      </w:r>
      <w:r>
        <w:t xml:space="preserve"> </w:t>
      </w:r>
      <w:r>
        <w:t xml:space="preserve">further information is necessary) were not considered.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Table 43: Estimated number of substances expected to be identified as PMT/vPvM</w:t>
      </w:r>
      <w:r>
        <w:t xml:space="preserve"> </w:t>
      </w:r>
      <w:r>
        <w:t xml:space="preserve">Approach</w:t>
      </w:r>
      <w:r>
        <w:t xml:space="preserve"> </w:t>
      </w:r>
      <w:r>
        <w:t xml:space="preserve">PMT/vPvM</w:t>
      </w:r>
      <w:r>
        <w:t xml:space="preserve"> </w:t>
      </w:r>
      <w:r>
        <w:t xml:space="preserve">AA-1</w:t>
      </w:r>
      <w:r>
        <w:t xml:space="preserve"> </w:t>
      </w:r>
      <w:r>
        <w:t xml:space="preserve">0</w:t>
      </w:r>
      <w:r>
        <w:t xml:space="preserve"> </w:t>
      </w:r>
      <w:r>
        <w:t xml:space="preserve">ECHA</w:t>
      </w:r>
      <w:r>
        <w:t xml:space="preserve"> </w:t>
      </w:r>
      <w:r>
        <w:t xml:space="preserve">231</w:t>
      </w:r>
      <w:r>
        <w:t xml:space="preserve"> </w:t>
      </w:r>
      <w:r>
        <w:t xml:space="preserve">AA-2</w:t>
      </w:r>
      <w:r>
        <w:t xml:space="preserve"> </w:t>
      </w:r>
      <w:r>
        <w:t xml:space="preserve">693</w:t>
      </w:r>
    </w:p>
    <w:p>
      <w:pPr>
        <w:pStyle w:val="BodyText"/>
      </w:pPr>
      <w:r>
        <w:t xml:space="preserve">The alternative analysis AA-1 does not identify any substance as being PMT/vPvM, since:</w:t>
      </w:r>
      <w:r>
        <w:t xml:space="preserve"> </w:t>
      </w:r>
      <w:r>
        <w:t xml:space="preserve"> No Annex X substance with these properties is included in ECHA’s basket 1; and</w:t>
      </w:r>
      <w:r>
        <w:br/>
      </w:r>
      <w:r>
        <w:t xml:space="preserve"> No substance with a WF of 0.8 exists among Annex X basket 2 substances.138 While it</w:t>
      </w:r>
      <w:r>
        <w:t xml:space="preserve"> </w:t>
      </w:r>
      <w:r>
        <w:t xml:space="preserve">is entirely unrealistic that no substance will be classified for PMT/vPvM properties, the</w:t>
      </w:r>
      <w:r>
        <w:t xml:space="preserve"> </w:t>
      </w:r>
      <w:r>
        <w:t xml:space="preserve">approach applied in this study does not allow estimating the respective number.</w:t>
      </w:r>
      <w:r>
        <w:t xml:space="preserve"> </w:t>
      </w:r>
      <w:r>
        <w:t xml:space="preserve">Consequently, no lower-end estimate can be provided.</w:t>
      </w:r>
      <w:r>
        <w:t xml:space="preserve"> </w:t>
      </w:r>
      <w:r>
        <w:t xml:space="preserve">These analyses suggest a relatively wide range of the number of substances expected to be</w:t>
      </w:r>
      <w:r>
        <w:t xml:space="preserve"> </w:t>
      </w:r>
      <w:r>
        <w:t xml:space="preserve">identified as PMT/vPvM (none or almost 700 substances). Like for PBT/vPvB properties, this</w:t>
      </w:r>
      <w:r>
        <w:t xml:space="preserve"> </w:t>
      </w:r>
      <w:r>
        <w:t xml:space="preserve">relatively wide range results from the fact that the majority of the 84 basket 2 substances in the</w:t>
      </w:r>
      <w:r>
        <w:t xml:space="preserve"> </w:t>
      </w:r>
      <w:r>
        <w:t xml:space="preserve">evaluation (N=63, 75%) is assigned a WF of 0.3. These 63 substances are identified as not</w:t>
      </w:r>
      <w:r>
        <w:t xml:space="preserve"> </w:t>
      </w:r>
      <w:r>
        <w:t xml:space="preserve">PMT/vPvM in AA-1, while they are assigned to the PMT/vPvM group in AA-2.</w:t>
      </w:r>
      <w:r>
        <w:t xml:space="preserve"> </w:t>
      </w:r>
      <w:r>
        <w:t xml:space="preserve">Impact of the log Koc cut-off values and assignment to hazard classes</w:t>
      </w:r>
      <w:r>
        <w:t xml:space="preserve"> </w:t>
      </w:r>
      <w:r>
        <w:t xml:space="preserve">The current139 proposal by the European Commission for the mobility assessment suggests a</w:t>
      </w:r>
      <w:r>
        <w:t xml:space="preserve"> </w:t>
      </w:r>
      <w:r>
        <w:t xml:space="preserve">decrease of the cut-off values proposed by the German UBA from log Koc &lt; 4 to log Koc &lt; 3</w:t>
      </w:r>
      <w:r>
        <w:t xml:space="preserve"> </w:t>
      </w:r>
      <w:r>
        <w:t xml:space="preserve">(‘M’ criterion) and from log Koc &lt; 3 to log Koc &lt; 2 (‘vM’ criterion).140 The impact of such a</w:t>
      </w:r>
      <w:r>
        <w:t xml:space="preserve"> </w:t>
      </w:r>
      <w:r>
        <w:t xml:space="preserve">change is discussed here in the context of the allocation of the number of substances to the two</w:t>
      </w:r>
      <w:r>
        <w:t xml:space="preserve"> </w:t>
      </w:r>
      <w:r>
        <w:t xml:space="preserve">envisaged hazard classes PMT and vPvM.</w:t>
      </w:r>
      <w:r>
        <w:t xml:space="preserve"> </w:t>
      </w:r>
      <w:r>
        <w:t xml:space="preserve">ECHA evaluation does not differentiate PMT and vPvM properties for basket 1 or basket 2</w:t>
      </w:r>
      <w:r>
        <w:t xml:space="preserve"> </w:t>
      </w:r>
      <w:r>
        <w:t xml:space="preserve">substances. Furthermore, an assessment based on an ECHA list (as shown above according to</w:t>
      </w:r>
      <w:r>
        <w:t xml:space="preserve"> </w:t>
      </w:r>
      <w:r>
        <w:t xml:space="preserve">the PBT Assessment List) is not possible, since a ‘PMT Assessment List’ does not exist.</w:t>
      </w:r>
      <w:r>
        <w:t xml:space="preserve"> </w:t>
      </w:r>
      <w:r>
        <w:t xml:space="preserve">Therefore, an evaluation like the one performed for PBT/vPvB properties is not feasible.</w:t>
      </w:r>
      <w:r>
        <w:br/>
      </w:r>
      <w:r>
        <w:t xml:space="preserve">Therefore, analyses based on log Koc are performed, which is currently proposed as the sole</w:t>
      </w:r>
      <w:r>
        <w:t xml:space="preserve"> </w:t>
      </w:r>
      <w:r>
        <w:t xml:space="preserve">parameter for the mobility assessment. In principle, such evaluations could be based on log</w:t>
      </w:r>
      <w:r>
        <w:t xml:space="preserve"> </w:t>
      </w:r>
      <w:r>
        <w:t xml:space="preserve">Koc values reported in ECHA’s database on registered substances. However, there are several</w:t>
      </w:r>
      <w:r>
        <w:t xml:space="preserve"> </w:t>
      </w:r>
      <w:r>
        <w:t xml:space="preserve">limitations to such an approach:</w:t>
      </w:r>
      <w:r>
        <w:t xml:space="preserve"> </w:t>
      </w:r>
      <w:r>
        <w:t xml:space="preserve"> For any given substance, several log Koc values may exist. In such situations, the data</w:t>
      </w:r>
      <w:r>
        <w:t xml:space="preserve"> </w:t>
      </w:r>
      <w:r>
        <w:t xml:space="preserve">would need to be evaluated and a single value (or an adequate range) be derived.</w:t>
      </w:r>
      <w:r>
        <w:br/>
      </w:r>
      <w:r>
        <w:t xml:space="preserve"> The log Koc values reported may be predicted values in a substantial number of cases</w:t>
      </w:r>
      <w:r>
        <w:t xml:space="preserve"> </w:t>
      </w:r>
      <w:r>
        <w:t xml:space="preserve">and log Koc predictions may also be reported for substances that are outside the</w:t>
      </w:r>
      <w:r>
        <w:t xml:space="preserve"> </w:t>
      </w:r>
      <w:r>
        <w:t xml:space="preserve">applicability domain of the models used. Again, an evaluation/curation step would be</w:t>
      </w:r>
      <w:r>
        <w:t xml:space="preserve"> </w:t>
      </w:r>
      <w:r>
        <w:t xml:space="preserve">necessary prior to using such values for the purpose of this study.</w:t>
      </w:r>
    </w:p>
    <w:p>
      <w:pPr>
        <w:pStyle w:val="BodyText"/>
      </w:pPr>
      <w:r>
        <w:t xml:space="preserve">138 A WF of 0.8 is only assigned to two substances in basket 2 that are not registered under REACH Annex X.</w:t>
      </w:r>
      <w:r>
        <w:t xml:space="preserve"> </w:t>
      </w:r>
      <w:r>
        <w:t xml:space="preserve">139 As of December 2021.</w:t>
      </w:r>
      <w:r>
        <w:t xml:space="preserve"> </w:t>
      </w:r>
      <w:r>
        <w:t xml:space="preserve">140 Referred to as ‘UBA criteria’ and ‘COM criteria’ below.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Based on these limitations and the timeframe of this study, a different approach is applied that</w:t>
      </w:r>
      <w:r>
        <w:t xml:space="preserve"> </w:t>
      </w:r>
      <w:r>
        <w:t xml:space="preserve">uses a dataset of substances registered under REACH. This dataset was previously evaluated</w:t>
      </w:r>
      <w:r>
        <w:t xml:space="preserve"> </w:t>
      </w:r>
      <w:r>
        <w:t xml:space="preserve">for a study on emerging chemical risks in the food chain for the European Food Safety</w:t>
      </w:r>
      <w:r>
        <w:t xml:space="preserve"> </w:t>
      </w:r>
      <w:r>
        <w:t xml:space="preserve">Authority (Oltmanns et al., 2019; Oltmanns et al., 2020).141 The dataset of 2,336 substances</w:t>
      </w:r>
      <w:r>
        <w:t xml:space="preserve"> </w:t>
      </w:r>
      <w:r>
        <w:t xml:space="preserve">(hereinafter ‘EFSA dataset’) was generated from all substances registered under REACH,</w:t>
      </w:r>
      <w:r>
        <w:t xml:space="preserve"> </w:t>
      </w:r>
      <w:r>
        <w:t xml:space="preserve">excluding intermediate registrations and NONS (considered registered under REACH). The</w:t>
      </w:r>
      <w:r>
        <w:t xml:space="preserve"> </w:t>
      </w:r>
      <w:r>
        <w:t xml:space="preserve">dataset was further limited to substances that have an assigned CAS number and are likely to</w:t>
      </w:r>
      <w:r>
        <w:t xml:space="preserve"> </w:t>
      </w:r>
      <w:r>
        <w:t xml:space="preserve">be within the applicability domain of the models used in the EFSA study to predict</w:t>
      </w:r>
      <w:r>
        <w:t xml:space="preserve"> </w:t>
      </w:r>
      <w:r>
        <w:t xml:space="preserve">biodegradation and bioaccumulation in food or feed. The data curation and evaluation steps</w:t>
      </w:r>
      <w:r>
        <w:t xml:space="preserve"> </w:t>
      </w:r>
      <w:r>
        <w:t xml:space="preserve">excluded metals, metalloids, organometallic substances, inorganic and ionisable substances</w:t>
      </w:r>
      <w:r>
        <w:t xml:space="preserve"> </w:t>
      </w:r>
      <w:r>
        <w:t xml:space="preserve">and ensured that a reliable SMILES notation was available.</w:t>
      </w:r>
      <w:r>
        <w:br/>
      </w:r>
      <w:r>
        <w:t xml:space="preserve">The SMILES notations of these 2,336 substances were used to predict log Koc in the KOCWIN</w:t>
      </w:r>
      <w:r>
        <w:t xml:space="preserve"> </w:t>
      </w:r>
      <w:r>
        <w:t xml:space="preserve">(v. 2.01) module of the US EPA’s EpiSuite (US EPA, 2011). Both KOCWIN models were</w:t>
      </w:r>
      <w:r>
        <w:t xml:space="preserve"> </w:t>
      </w:r>
      <w:r>
        <w:t xml:space="preserve">used: one being based on log Kow and the second one being based on the molecular</w:t>
      </w:r>
      <w:r>
        <w:t xml:space="preserve"> </w:t>
      </w:r>
      <w:r>
        <w:t xml:space="preserve">connectivity index (MCI), resulting in two log Koc values for each of the 2,336 substances.</w:t>
      </w:r>
      <w:r>
        <w:t xml:space="preserve"> </w:t>
      </w:r>
      <w:r>
        <w:t xml:space="preserve">For each substance, the minimum and the maximum value were derived. The following</w:t>
      </w:r>
      <w:r>
        <w:t xml:space="preserve"> </w:t>
      </w:r>
      <w:r>
        <w:t xml:space="preserve">evaluations are performed for both the minimum and the maximum log Koc value per</w:t>
      </w:r>
      <w:r>
        <w:t xml:space="preserve"> </w:t>
      </w:r>
      <w:r>
        <w:t xml:space="preserve">substance. Furthermore, experimental log Koc data in this software were extracted and</w:t>
      </w:r>
      <w:r>
        <w:t xml:space="preserve"> </w:t>
      </w:r>
      <w:r>
        <w:t xml:space="preserve">analysed.</w:t>
      </w:r>
      <w:r>
        <w:br/>
      </w:r>
      <w:r>
        <w:t xml:space="preserve">In a first evaluation, the substances identified as M/vM in the EFSA dataset were compared</w:t>
      </w:r>
      <w:r>
        <w:t xml:space="preserve"> </w:t>
      </w:r>
      <w:r>
        <w:t xml:space="preserve">with respect to the origin of the log Koc and the two different criteria for the cut-off. Table 43</w:t>
      </w:r>
      <w:r>
        <w:t xml:space="preserve"> </w:t>
      </w:r>
      <w:r>
        <w:t xml:space="preserve">provides the results of this evaluation, showing that 66%-75% of the substances have a</w:t>
      </w:r>
      <w:r>
        <w:t xml:space="preserve"> </w:t>
      </w:r>
      <w:r>
        <w:t xml:space="preserve">predicted log Koc &lt;4 and would be considered M/vM according to the UBA criteria. When</w:t>
      </w:r>
      <w:r>
        <w:t xml:space="preserve"> </w:t>
      </w:r>
      <w:r>
        <w:t xml:space="preserve">experimental log Koc values are used, this fraction increases to 80%. These percentages are</w:t>
      </w:r>
      <w:r>
        <w:t xml:space="preserve"> </w:t>
      </w:r>
      <w:r>
        <w:t xml:space="preserve">slightly lower than the fraction quoted in ECHA (2021a) (81%) based on running QSAR</w:t>
      </w:r>
      <w:r>
        <w:t xml:space="preserve"> </w:t>
      </w:r>
      <w:r>
        <w:t xml:space="preserve">models on a very large database (performed by the Dutch RIVM; no further details are</w:t>
      </w:r>
      <w:r>
        <w:t xml:space="preserve"> </w:t>
      </w:r>
      <w:r>
        <w:t xml:space="preserve">provided). The data also show that 49%-62% of the substances have predicted log Koc values</w:t>
      </w:r>
      <w:r>
        <w:t xml:space="preserve"> </w:t>
      </w:r>
      <w:r>
        <w:t xml:space="preserve">&lt;3 and would therefore meet the Commission’s criteria. Again, these fractions are somewhat</w:t>
      </w:r>
      <w:r>
        <w:t xml:space="preserve"> </w:t>
      </w:r>
      <w:r>
        <w:t xml:space="preserve">lower than the fraction quoted in ECHA (2021a) (65%), which in turn is lower than the one</w:t>
      </w:r>
      <w:r>
        <w:t xml:space="preserve"> </w:t>
      </w:r>
      <w:r>
        <w:t xml:space="preserve">based on experimental values.</w:t>
      </w:r>
      <w:r>
        <w:br/>
      </w:r>
      <w:r>
        <w:t xml:space="preserve">Reducing the log Koc (as in the Commission proposal) results in a decrease of the substances</w:t>
      </w:r>
      <w:r>
        <w:t xml:space="preserve"> </w:t>
      </w:r>
      <w:r>
        <w:t xml:space="preserve">identified as M/vM by 11-25%. While the effect is less pronounced for the experimental log</w:t>
      </w:r>
      <w:r>
        <w:t xml:space="preserve"> </w:t>
      </w:r>
      <w:r>
        <w:t xml:space="preserve">Koc values (from EpiSuite), the dataset is comparatively small (N=136). Giving less weight to</w:t>
      </w:r>
      <w:r>
        <w:t xml:space="preserve"> </w:t>
      </w:r>
      <w:r>
        <w:t xml:space="preserve">this lower percentage, a reduction of the fraction of M/vM substances due to the lower log Koc</w:t>
      </w:r>
      <w:r>
        <w:t xml:space="preserve"> </w:t>
      </w:r>
      <w:r>
        <w:t xml:space="preserve">cut-offs proposed by the European Commission is likely to be in the range of about 15-25%</w:t>
      </w:r>
      <w:r>
        <w:t xml:space="preserve"> </w:t>
      </w:r>
      <w:r>
        <w:t xml:space="preserve">(rounded). This finding is similar to preliminary estimates quoted in ECHA (2021a) from</w:t>
      </w:r>
      <w:r>
        <w:t xml:space="preserve"> </w:t>
      </w:r>
      <w:r>
        <w:t xml:space="preserve">which a reduction by about 20-35% can be inferred.142 In contrast to the preliminary and</w:t>
      </w:r>
      <w:r>
        <w:t xml:space="preserve"> </w:t>
      </w:r>
      <w:r>
        <w:t xml:space="preserve">unpublished findings quoted in the report, however, the data presented here are based on a</w:t>
      </w:r>
      <w:r>
        <w:t xml:space="preserve"> </w:t>
      </w:r>
      <w:r>
        <w:t xml:space="preserve">single dataset using three different sets of log Koc values.</w:t>
      </w:r>
    </w:p>
    <w:p>
      <w:pPr>
        <w:pStyle w:val="BodyText"/>
      </w:pPr>
      <w:r>
        <w:t xml:space="preserve">141 The full dataset, including SMILES notations is available at: https://zenodo.org/record/2613616#.YYaDJ7oo-</w:t>
      </w:r>
      <w:r>
        <w:t xml:space="preserve"> </w:t>
      </w:r>
      <w:r>
        <w:t xml:space="preserve">Uk, accessed 5 November 2021.</w:t>
      </w:r>
      <w:r>
        <w:t xml:space="preserve"> </w:t>
      </w:r>
      <w:r>
        <w:t xml:space="preserve">142 The report quotes unpublished evidence that about 81% of chemicals have log Koc &lt; 4, while 65% have a log</w:t>
      </w:r>
      <w:r>
        <w:t xml:space="preserve"> </w:t>
      </w:r>
      <w:r>
        <w:t xml:space="preserve">Koc &lt; 3 and 41% have a log Koc &lt; 2. Thus, lowering the log Koc cut-off from 4 to 3 results in 16% less chemicals</w:t>
      </w:r>
      <w:r>
        <w:t xml:space="preserve"> </w:t>
      </w:r>
      <w:r>
        <w:t xml:space="preserve">being identified as ‘M’ (a reduction by 16%. A higher reduction can be inferred for vM properties.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Table 44: Summary of substances identified as M/vM based on the EFSA dataset</w:t>
      </w:r>
      <w:r>
        <w:t xml:space="preserve"> </w:t>
      </w:r>
      <w:r>
        <w:t xml:space="preserve">Basis</w:t>
      </w:r>
      <w:r>
        <w:t xml:space="preserve"> </w:t>
      </w:r>
      <w:r>
        <w:t xml:space="preserve">UBA criteria*</w:t>
      </w:r>
      <w:r>
        <w:t xml:space="preserve"> </w:t>
      </w:r>
      <w:r>
        <w:t xml:space="preserve">COM criteria*</w:t>
      </w:r>
      <w:r>
        <w:t xml:space="preserve"> </w:t>
      </w:r>
      <w:r>
        <w:t xml:space="preserve">Reduction by**</w:t>
      </w:r>
      <w:r>
        <w:t xml:space="preserve"> </w:t>
      </w:r>
      <w:r>
        <w:t xml:space="preserve">Minimum predicted log Koc</w:t>
      </w:r>
      <w:r>
        <w:t xml:space="preserve"> </w:t>
      </w:r>
      <w:r>
        <w:t xml:space="preserve">1,755 (75%)</w:t>
      </w:r>
      <w:r>
        <w:t xml:space="preserve"> </w:t>
      </w:r>
      <w:r>
        <w:t xml:space="preserve">1,449 (62%)</w:t>
      </w:r>
      <w:r>
        <w:t xml:space="preserve"> </w:t>
      </w:r>
      <w:r>
        <w:t xml:space="preserve">306 (17%)</w:t>
      </w:r>
      <w:r>
        <w:t xml:space="preserve"> </w:t>
      </w:r>
      <w:r>
        <w:t xml:space="preserve">Maximum predicted log Koc</w:t>
      </w:r>
      <w:r>
        <w:t xml:space="preserve"> </w:t>
      </w:r>
      <w:r>
        <w:t xml:space="preserve">1,534 (66%)</w:t>
      </w:r>
      <w:r>
        <w:t xml:space="preserve"> </w:t>
      </w:r>
      <w:r>
        <w:t xml:space="preserve">1,145 (49%)</w:t>
      </w:r>
      <w:r>
        <w:t xml:space="preserve"> </w:t>
      </w:r>
      <w:r>
        <w:t xml:space="preserve">389 (25%)</w:t>
      </w:r>
      <w:r>
        <w:t xml:space="preserve"> </w:t>
      </w:r>
      <w:r>
        <w:t xml:space="preserve">Experimental (from EpiSuite) log Koc</w:t>
      </w:r>
      <w:r>
        <w:br/>
      </w:r>
      <w:r>
        <w:t xml:space="preserve">109 (80%)</w:t>
      </w:r>
      <w:r>
        <w:t xml:space="preserve"> </w:t>
      </w:r>
      <w:r>
        <w:t xml:space="preserve">97 (71%)</w:t>
      </w:r>
      <w:r>
        <w:t xml:space="preserve"> </w:t>
      </w:r>
      <w:r>
        <w:t xml:space="preserve">12 (11%)</w:t>
      </w:r>
      <w:r>
        <w:t xml:space="preserve"> </w:t>
      </w:r>
      <w:r>
        <w:t xml:space="preserve">Notes: * These percentages refer to the fraction of the total dataset (N=2336; N=136 for experimental data).</w:t>
      </w:r>
      <w:r>
        <w:br/>
      </w:r>
      <w:r>
        <w:t xml:space="preserve">** These percentages refer to the reduction by applying the COM criteria (e.g. 306 / 1755 = 17%).</w:t>
      </w:r>
    </w:p>
    <w:p>
      <w:pPr>
        <w:pStyle w:val="BodyText"/>
      </w:pPr>
      <w:r>
        <w:t xml:space="preserve">For more detailed analyses, each of the 2,336 substances was rated as ‘M’ or ‘vM’ according</w:t>
      </w:r>
      <w:r>
        <w:t xml:space="preserve"> </w:t>
      </w:r>
      <w:r>
        <w:t xml:space="preserve">to the different sources (minimum, maximum or experimental log Koc) and the two</w:t>
      </w:r>
      <w:r>
        <w:t xml:space="preserve"> </w:t>
      </w:r>
      <w:r>
        <w:t xml:space="preserve">classification schemes (i.e. different cut-offs for log Koc). Table 44 summarises the results of</w:t>
      </w:r>
      <w:r>
        <w:t xml:space="preserve"> </w:t>
      </w:r>
      <w:r>
        <w:t xml:space="preserve">these analyses and highlights the fraction of substances considered only mobile (M, but not</w:t>
      </w:r>
      <w:r>
        <w:t xml:space="preserve"> </w:t>
      </w:r>
      <w:r>
        <w:t xml:space="preserve">vM) among those considered M/vM. It also shows the total numbers already provided in Table</w:t>
      </w:r>
      <w:r>
        <w:t xml:space="preserve"> </w:t>
      </w:r>
      <w:r>
        <w:t xml:space="preserve">43.</w:t>
      </w:r>
      <w:r>
        <w:t xml:space="preserve"> </w:t>
      </w:r>
      <w:r>
        <w:t xml:space="preserve">Table 45: Summary of the mobility assessment of the EFSA dataset according to log Koc criteria and source</w:t>
      </w:r>
      <w:r>
        <w:t xml:space="preserve"> </w:t>
      </w:r>
      <w:r>
        <w:t xml:space="preserve">of the value</w:t>
      </w:r>
      <w:r>
        <w:t xml:space="preserve"> </w:t>
      </w:r>
      <w:r>
        <w:t xml:space="preserve">Basis</w:t>
      </w:r>
    </w:p>
    <w:p>
      <w:pPr>
        <w:pStyle w:val="BodyText"/>
      </w:pPr>
      <w:r>
        <w:t xml:space="preserve">UBA criteria</w:t>
      </w:r>
      <w:r>
        <w:t xml:space="preserve"> </w:t>
      </w:r>
      <w:r>
        <w:t xml:space="preserve">COM criteria</w:t>
      </w:r>
      <w:r>
        <w:t xml:space="preserve"> </w:t>
      </w:r>
      <w:r>
        <w:t xml:space="preserve">Minimum predicted log Koc</w:t>
      </w:r>
      <w:r>
        <w:t xml:space="preserve"> </w:t>
      </w:r>
      <w:r>
        <w:t xml:space="preserve">vM</w:t>
      </w:r>
      <w:r>
        <w:t xml:space="preserve"> </w:t>
      </w:r>
      <w:r>
        <w:t xml:space="preserve">1,449</w:t>
      </w:r>
      <w:r>
        <w:t xml:space="preserve"> </w:t>
      </w:r>
      <w:r>
        <w:t xml:space="preserve">936</w:t>
      </w:r>
      <w:r>
        <w:t xml:space="preserve"> </w:t>
      </w:r>
      <w:r>
        <w:t xml:space="preserve">M</w:t>
      </w:r>
      <w:r>
        <w:t xml:space="preserve"> </w:t>
      </w:r>
      <w:r>
        <w:t xml:space="preserve">306</w:t>
      </w:r>
      <w:r>
        <w:t xml:space="preserve"> </w:t>
      </w:r>
      <w:r>
        <w:t xml:space="preserve">513</w:t>
      </w:r>
      <w:r>
        <w:t xml:space="preserve"> </w:t>
      </w:r>
      <w:r>
        <w:t xml:space="preserve">Total M/vM</w:t>
      </w:r>
      <w:r>
        <w:t xml:space="preserve"> </w:t>
      </w:r>
      <w:r>
        <w:t xml:space="preserve">1755</w:t>
      </w:r>
      <w:r>
        <w:t xml:space="preserve"> </w:t>
      </w:r>
      <w:r>
        <w:t xml:space="preserve">1,449</w:t>
      </w:r>
      <w:r>
        <w:t xml:space="preserve"> </w:t>
      </w:r>
      <w:r>
        <w:t xml:space="preserve">M (but not vM), fraction of total M/vM</w:t>
      </w:r>
      <w:r>
        <w:t xml:space="preserve"> </w:t>
      </w:r>
      <w:r>
        <w:t xml:space="preserve">17%</w:t>
      </w:r>
      <w:r>
        <w:t xml:space="preserve"> </w:t>
      </w:r>
      <w:r>
        <w:t xml:space="preserve">35%</w:t>
      </w:r>
      <w:r>
        <w:t xml:space="preserve"> </w:t>
      </w:r>
      <w:r>
        <w:t xml:space="preserve">Maximum predicted log Koc</w:t>
      </w:r>
      <w:r>
        <w:t xml:space="preserve"> </w:t>
      </w:r>
      <w:r>
        <w:t xml:space="preserve">vM</w:t>
      </w:r>
      <w:r>
        <w:t xml:space="preserve"> </w:t>
      </w:r>
      <w:r>
        <w:t xml:space="preserve">1,145</w:t>
      </w:r>
      <w:r>
        <w:t xml:space="preserve"> </w:t>
      </w:r>
      <w:r>
        <w:t xml:space="preserve">642</w:t>
      </w:r>
      <w:r>
        <w:t xml:space="preserve"> </w:t>
      </w:r>
      <w:r>
        <w:t xml:space="preserve">M</w:t>
      </w:r>
      <w:r>
        <w:t xml:space="preserve"> </w:t>
      </w:r>
      <w:r>
        <w:t xml:space="preserve">389</w:t>
      </w:r>
      <w:r>
        <w:t xml:space="preserve"> </w:t>
      </w:r>
      <w:r>
        <w:t xml:space="preserve">503</w:t>
      </w:r>
      <w:r>
        <w:t xml:space="preserve"> </w:t>
      </w:r>
      <w:r>
        <w:t xml:space="preserve">Total M/vM</w:t>
      </w:r>
      <w:r>
        <w:t xml:space="preserve"> </w:t>
      </w:r>
      <w:r>
        <w:t xml:space="preserve">1,534</w:t>
      </w:r>
      <w:r>
        <w:t xml:space="preserve"> </w:t>
      </w:r>
      <w:r>
        <w:t xml:space="preserve">1,145</w:t>
      </w:r>
      <w:r>
        <w:t xml:space="preserve"> </w:t>
      </w:r>
      <w:r>
        <w:t xml:space="preserve">M (but not vM), fraction of total M/vM</w:t>
      </w:r>
      <w:r>
        <w:t xml:space="preserve"> </w:t>
      </w:r>
      <w:r>
        <w:t xml:space="preserve">25%</w:t>
      </w:r>
      <w:r>
        <w:t xml:space="preserve"> </w:t>
      </w:r>
      <w:r>
        <w:t xml:space="preserve">44%</w:t>
      </w:r>
      <w:r>
        <w:t xml:space="preserve"> </w:t>
      </w:r>
      <w:r>
        <w:t xml:space="preserve">Experimental (from EpiSuite)</w:t>
      </w:r>
      <w:r>
        <w:t xml:space="preserve"> </w:t>
      </w:r>
      <w:r>
        <w:t xml:space="preserve">log Koc</w:t>
      </w:r>
      <w:r>
        <w:t xml:space="preserve"> </w:t>
      </w:r>
      <w:r>
        <w:t xml:space="preserve">vM</w:t>
      </w:r>
      <w:r>
        <w:t xml:space="preserve"> </w:t>
      </w:r>
      <w:r>
        <w:t xml:space="preserve">97</w:t>
      </w:r>
      <w:r>
        <w:t xml:space="preserve"> </w:t>
      </w:r>
      <w:r>
        <w:t xml:space="preserve">51</w:t>
      </w:r>
      <w:r>
        <w:t xml:space="preserve"> </w:t>
      </w:r>
      <w:r>
        <w:t xml:space="preserve">M</w:t>
      </w:r>
      <w:r>
        <w:t xml:space="preserve"> </w:t>
      </w:r>
      <w:r>
        <w:t xml:space="preserve">12</w:t>
      </w:r>
      <w:r>
        <w:t xml:space="preserve"> </w:t>
      </w:r>
      <w:r>
        <w:t xml:space="preserve">46</w:t>
      </w:r>
      <w:r>
        <w:t xml:space="preserve"> </w:t>
      </w:r>
      <w:r>
        <w:t xml:space="preserve">Total M/vM</w:t>
      </w:r>
      <w:r>
        <w:t xml:space="preserve"> </w:t>
      </w:r>
      <w:r>
        <w:t xml:space="preserve">109</w:t>
      </w:r>
      <w:r>
        <w:t xml:space="preserve"> </w:t>
      </w:r>
      <w:r>
        <w:t xml:space="preserve">97</w:t>
      </w:r>
      <w:r>
        <w:t xml:space="preserve"> </w:t>
      </w:r>
      <w:r>
        <w:t xml:space="preserve">M (but not vM), fraction of total M/vM</w:t>
      </w:r>
      <w:r>
        <w:t xml:space="preserve"> </w:t>
      </w:r>
      <w:r>
        <w:t xml:space="preserve">11%</w:t>
      </w:r>
      <w:r>
        <w:t xml:space="preserve"> </w:t>
      </w:r>
      <w:r>
        <w:t xml:space="preserve">47%</w:t>
      </w:r>
      <w:r>
        <w:t xml:space="preserve"> </w:t>
      </w:r>
      <w:r>
        <w:t xml:space="preserve">Weighted mean</w:t>
      </w:r>
      <w:r>
        <w:t xml:space="preserve"> </w:t>
      </w:r>
      <w:r>
        <w:t xml:space="preserve">M (but not vM), fraction of total M/vM</w:t>
      </w:r>
      <w:r>
        <w:t xml:space="preserve"> </w:t>
      </w:r>
      <w:r>
        <w:t xml:space="preserve">21%</w:t>
      </w:r>
      <w:r>
        <w:t xml:space="preserve"> </w:t>
      </w:r>
      <w:r>
        <w:t xml:space="preserve">39%</w:t>
      </w:r>
      <w:r>
        <w:t xml:space="preserve"> </w:t>
      </w:r>
      <w:r>
        <w:t xml:space="preserve">Overall estimate</w:t>
      </w:r>
      <w:r>
        <w:t xml:space="preserve"> </w:t>
      </w:r>
      <w:r>
        <w:t xml:space="preserve">M (but not vM), fraction of total</w:t>
      </w:r>
      <w:r>
        <w:t xml:space="preserve"> </w:t>
      </w:r>
      <w:r>
        <w:t xml:space="preserve">M/vM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vM (but not M), fraction of total</w:t>
      </w:r>
      <w:r>
        <w:t xml:space="preserve"> </w:t>
      </w:r>
      <w:r>
        <w:t xml:space="preserve">M/vM</w:t>
      </w:r>
      <w:r>
        <w:t xml:space="preserve"> </w:t>
      </w:r>
      <w:r>
        <w:t xml:space="preserve">80%</w:t>
      </w:r>
      <w:r>
        <w:t xml:space="preserve"> </w:t>
      </w:r>
      <w:r>
        <w:t xml:space="preserve">60%</w:t>
      </w:r>
    </w:p>
    <w:p>
      <w:pPr>
        <w:pStyle w:val="BodyText"/>
      </w:pPr>
      <w:r>
        <w:t xml:space="preserve">Use of the maximum log Koc increases the fraction of substances considered ‘M’ (but not</w:t>
      </w:r>
      <w:r>
        <w:t xml:space="preserve"> </w:t>
      </w:r>
      <w:r>
        <w:t xml:space="preserve">‘vM’) compared to use of the minimum log Koc. This finding is not surprising, since a</w:t>
      </w:r>
      <w:r>
        <w:t xml:space="preserve"> </w:t>
      </w:r>
      <w:r>
        <w:t xml:space="preserve">substance with – for example – a minimum log Koc of 1.5 and a maximum log Koc of 2.5 will</w:t>
      </w:r>
      <w:r>
        <w:t xml:space="preserve"> </w:t>
      </w:r>
      <w:r>
        <w:t xml:space="preserve">move from the ‘vM’ group to the ‘M’ group under the Commission’s criteria. The same trend</w:t>
      </w:r>
      <w:r>
        <w:t xml:space="preserve"> </w:t>
      </w:r>
      <w:r>
        <w:t xml:space="preserve">is observed if the UBA criteria are applied.</w:t>
      </w:r>
      <w:r>
        <w:t xml:space="preserve"> </w:t>
      </w:r>
      <w:r>
        <w:t xml:space="preserve">Lowering the log Koc cut-offs by one log unit in the Commission’s criteria (when compared</w:t>
      </w:r>
      <w:r>
        <w:t xml:space="preserve"> </w:t>
      </w:r>
      <w:r>
        <w:t xml:space="preserve">with the UBA criteria) also has the expected effects of a lower number of substances identified</w:t>
      </w:r>
      <w:r>
        <w:t xml:space="preserve"> </w:t>
      </w:r>
      <w:r>
        <w:t xml:space="preserve">as M/vM and a higher fraction of substances considered ‘M’ (but not ‘vM’) among those</w:t>
      </w:r>
      <w:r>
        <w:t xml:space="preserve"> </w:t>
      </w:r>
      <w:r>
        <w:t xml:space="preserve">identified as M/vM. The experimental log Koc show a similar pattern, but the small number of</w:t>
      </w:r>
      <w:r>
        <w:t xml:space="preserve"> </w:t>
      </w:r>
      <w:r>
        <w:t xml:space="preserve">experimental data limit the findings of this evaluation. Overall, the fraction of substances to be</w:t>
      </w:r>
      <w:r>
        <w:t xml:space="preserve"> </w:t>
      </w:r>
      <w:r>
        <w:t xml:space="preserve">considered ‘M’ (but not ‘vM’) among those identified as either ‘M’ or ‘vM’ is 20% if the UBA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criteria are applied and is 40% if the Commission’s criteria are applied. Consequently, 80% of</w:t>
      </w:r>
      <w:r>
        <w:t xml:space="preserve"> </w:t>
      </w:r>
      <w:r>
        <w:t xml:space="preserve">these substances are considered ‘vM’ according to the UBA criteria, and 60% are considered</w:t>
      </w:r>
      <w:r>
        <w:t xml:space="preserve"> </w:t>
      </w:r>
      <w:r>
        <w:t xml:space="preserve">‘vM’ according to the Commission’s criteria. Combining both the impact of lowering the log</w:t>
      </w:r>
      <w:r>
        <w:t xml:space="preserve"> </w:t>
      </w:r>
      <w:r>
        <w:t xml:space="preserve">Koc cut-offs and assigning substances identified as PMT/vPvM to either of the two envisaged</w:t>
      </w:r>
      <w:r>
        <w:t xml:space="preserve"> </w:t>
      </w:r>
      <w:r>
        <w:t xml:space="preserve">hazard classes is a complex issue. We apply the following approach:</w:t>
      </w:r>
      <w:r>
        <w:t xml:space="preserve"> </w:t>
      </w:r>
      <w:r>
        <w:t xml:space="preserve"> Although ECHA estimate of the number of substances identified as PMT/vPvM is</w:t>
      </w:r>
      <w:r>
        <w:t xml:space="preserve"> </w:t>
      </w:r>
      <w:r>
        <w:t xml:space="preserve">apparently largely based on the UBA criteria, the total number of 231 is not reduced.</w:t>
      </w:r>
      <w:r>
        <w:t xml:space="preserve"> </w:t>
      </w:r>
      <w:r>
        <w:t xml:space="preserve">This approach accounts for the suggestion in ECHA (2021a) that the number of basket</w:t>
      </w:r>
      <w:r>
        <w:t xml:space="preserve"> </w:t>
      </w:r>
      <w:r>
        <w:t xml:space="preserve">2 substances ‘may to some extent underestimate the number of potential PMT/vPvMs’.</w:t>
      </w:r>
      <w:r>
        <w:t xml:space="preserve"> </w:t>
      </w:r>
      <w:r>
        <w:t xml:space="preserve">The assignment to either of the two hazard classes is performed based on the fractions derived</w:t>
      </w:r>
      <w:r>
        <w:t xml:space="preserve"> </w:t>
      </w:r>
      <w:r>
        <w:t xml:space="preserve">above with respect to the Commission’s criteria and the UBA criteria. Using the Commission’s</w:t>
      </w:r>
      <w:r>
        <w:t xml:space="preserve"> </w:t>
      </w:r>
      <w:r>
        <w:t xml:space="preserve">criteria, 40% of the 231 substances identified as PMT/vPvM (N=92) are assigned to the PMT</w:t>
      </w:r>
      <w:r>
        <w:t xml:space="preserve"> </w:t>
      </w:r>
      <w:r>
        <w:t xml:space="preserve">group, while 60% (N=139) are assigned to the vPvM group in the ECHA approach.</w:t>
      </w:r>
      <w:r>
        <w:t xml:space="preserve"> </w:t>
      </w:r>
      <w:r>
        <w:t xml:space="preserve">Table 45 summarises the resulting split between PMT and vPvM substances.143</w:t>
      </w:r>
      <w:r>
        <w:t xml:space="preserve"> </w:t>
      </w:r>
      <w:r>
        <w:t xml:space="preserve">Table 46: Estimated number of substances expected to be classified as PMT and vPvM based on the</w:t>
      </w:r>
      <w:r>
        <w:t xml:space="preserve"> </w:t>
      </w:r>
      <w:r>
        <w:t xml:space="preserve">Commission’s criteria and comparison with UBA criteria</w:t>
      </w:r>
      <w:r>
        <w:t xml:space="preserve"> </w:t>
      </w:r>
      <w:r>
        <w:t xml:space="preserve">Approach</w:t>
      </w:r>
      <w:r>
        <w:t xml:space="preserve"> </w:t>
      </w:r>
      <w:r>
        <w:t xml:space="preserve">PMT</w:t>
      </w:r>
      <w:r>
        <w:t xml:space="preserve"> </w:t>
      </w:r>
      <w:r>
        <w:t xml:space="preserve">vPvM</w:t>
      </w:r>
      <w:r>
        <w:t xml:space="preserve"> </w:t>
      </w:r>
      <w:r>
        <w:t xml:space="preserve">EC</w:t>
      </w:r>
      <w:r>
        <w:t xml:space="preserve"> </w:t>
      </w:r>
      <w:r>
        <w:t xml:space="preserve">UBA</w:t>
      </w:r>
      <w:r>
        <w:t xml:space="preserve"> </w:t>
      </w:r>
      <w:r>
        <w:t xml:space="preserve">EC-UBA</w:t>
      </w:r>
      <w:r>
        <w:t xml:space="preserve"> </w:t>
      </w:r>
      <w:r>
        <w:t xml:space="preserve">EC</w:t>
      </w:r>
      <w:r>
        <w:t xml:space="preserve"> </w:t>
      </w:r>
      <w:r>
        <w:t xml:space="preserve">UBA</w:t>
      </w:r>
      <w:r>
        <w:t xml:space="preserve"> </w:t>
      </w:r>
      <w:r>
        <w:t xml:space="preserve">EC-UBA</w:t>
      </w:r>
      <w:r>
        <w:t xml:space="preserve"> </w:t>
      </w:r>
      <w:r>
        <w:t xml:space="preserve">ECHA</w:t>
      </w:r>
      <w:r>
        <w:t xml:space="preserve"> </w:t>
      </w:r>
      <w:r>
        <w:t xml:space="preserve">92</w:t>
      </w:r>
      <w:r>
        <w:t xml:space="preserve"> </w:t>
      </w:r>
      <w:r>
        <w:t xml:space="preserve">46</w:t>
      </w:r>
      <w:r>
        <w:t xml:space="preserve"> </w:t>
      </w:r>
      <w:r>
        <w:t xml:space="preserve">+46</w:t>
      </w:r>
      <w:r>
        <w:t xml:space="preserve"> </w:t>
      </w:r>
      <w:r>
        <w:t xml:space="preserve">139</w:t>
      </w:r>
      <w:r>
        <w:t xml:space="preserve"> </w:t>
      </w:r>
      <w:r>
        <w:t xml:space="preserve">185</w:t>
      </w:r>
      <w:r>
        <w:t xml:space="preserve"> </w:t>
      </w:r>
      <w:r>
        <w:t xml:space="preserve">-46</w:t>
      </w:r>
      <w:r>
        <w:t xml:space="preserve"> </w:t>
      </w:r>
      <w:r>
        <w:t xml:space="preserve">AA-2</w:t>
      </w:r>
      <w:r>
        <w:t xml:space="preserve"> </w:t>
      </w:r>
      <w:r>
        <w:t xml:space="preserve">277</w:t>
      </w:r>
      <w:r>
        <w:t xml:space="preserve"> </w:t>
      </w:r>
      <w:r>
        <w:t xml:space="preserve">139</w:t>
      </w:r>
      <w:r>
        <w:t xml:space="preserve"> </w:t>
      </w:r>
      <w:r>
        <w:t xml:space="preserve">+138</w:t>
      </w:r>
      <w:r>
        <w:t xml:space="preserve"> </w:t>
      </w:r>
      <w:r>
        <w:t xml:space="preserve">416</w:t>
      </w:r>
      <w:r>
        <w:t xml:space="preserve"> </w:t>
      </w:r>
      <w:r>
        <w:t xml:space="preserve">554</w:t>
      </w:r>
      <w:r>
        <w:t xml:space="preserve"> </w:t>
      </w:r>
      <w:r>
        <w:t xml:space="preserve">-138</w:t>
      </w:r>
    </w:p>
    <w:p>
      <w:pPr>
        <w:pStyle w:val="BodyText"/>
      </w:pPr>
      <w:r>
        <w:t xml:space="preserve">Applying the Commission’s criteria for log Koc therefore results in a shift of 46 substances</w:t>
      </w:r>
      <w:r>
        <w:t xml:space="preserve"> </w:t>
      </w:r>
      <w:r>
        <w:t xml:space="preserve">from the vPvM group to the PMT group in the ECHA approach (139 substances in the AA-2</w:t>
      </w:r>
      <w:r>
        <w:t xml:space="preserve"> </w:t>
      </w:r>
      <w:r>
        <w:t xml:space="preserve">approach).</w:t>
      </w:r>
      <w:r>
        <w:t xml:space="preserve"> </w:t>
      </w:r>
      <w:r>
        <w:t xml:space="preserve">The key assumption in using the figures to differentiate between ‘M’ and ‘vM’ substances for</w:t>
      </w:r>
      <w:r>
        <w:t xml:space="preserve"> </w:t>
      </w:r>
      <w:r>
        <w:t xml:space="preserve">these estimates is that a shift from ‘vM’ to ‘M’ equals a shift from vPvM to PMT. This</w:t>
      </w:r>
      <w:r>
        <w:t xml:space="preserve"> </w:t>
      </w:r>
      <w:r>
        <w:t xml:space="preserve">assumption is not entirely valid, since it may concern substances that are not toxic.</w:t>
      </w:r>
      <w:r>
        <w:t xml:space="preserve"> </w:t>
      </w:r>
      <w:r>
        <w:t xml:space="preserve">Consequently, such substances would rather move from the ‘vPvM’ hazard class to no hazard</w:t>
      </w:r>
      <w:r>
        <w:t xml:space="preserve"> </w:t>
      </w:r>
      <w:r>
        <w:t xml:space="preserve">class. This assumption cannot be verified based on the approach of this study since the</w:t>
      </w:r>
      <w:r>
        <w:t xml:space="preserve"> </w:t>
      </w:r>
      <w:r>
        <w:t xml:space="preserve">projections do not relate to specific substances. Such evaluations would in principle be possible</w:t>
      </w:r>
      <w:r>
        <w:t xml:space="preserve"> </w:t>
      </w:r>
      <w:r>
        <w:t xml:space="preserve">for basket 2 substances, but this would require an analysis of log Koc values (see discussion</w:t>
      </w:r>
      <w:r>
        <w:t xml:space="preserve"> </w:t>
      </w:r>
      <w:r>
        <w:t xml:space="preserve">above) as well as a review and evaluation of the toxicity data for each substance. These analyses</w:t>
      </w:r>
      <w:r>
        <w:t xml:space="preserve"> </w:t>
      </w:r>
      <w:r>
        <w:t xml:space="preserve">are not possible given their resource-intensive nature and the timeframe of this study.</w:t>
      </w:r>
      <w:r>
        <w:t xml:space="preserve"> </w:t>
      </w:r>
      <w:r>
        <w:t xml:space="preserve">Data from a UBA study (Arp and Hale, 2019) aiming to predict the number of substances that</w:t>
      </w:r>
      <w:r>
        <w:t xml:space="preserve"> </w:t>
      </w:r>
      <w:r>
        <w:t xml:space="preserve">would be identified as PMT/vPvM are therefore used to further analyse this issue. This study</w:t>
      </w:r>
      <w:r>
        <w:t xml:space="preserve"> </w:t>
      </w:r>
      <w:r>
        <w:t xml:space="preserve">estimated the number of REACH registered substances (as of 2017) that would be identified</w:t>
      </w:r>
      <w:r>
        <w:t xml:space="preserve"> </w:t>
      </w:r>
      <w:r>
        <w:t xml:space="preserve">as PMT (N=58), vPvM (N=47) and PMT &amp; vPvM (N=155), resulting in a total of 260</w:t>
      </w:r>
      <w:r>
        <w:t xml:space="preserve"> </w:t>
      </w:r>
      <w:r>
        <w:t xml:space="preserve">substances. If the group PMT &amp; vPvM is added to both the PMT and the vPvM group, 213</w:t>
      </w:r>
      <w:r>
        <w:t xml:space="preserve"> </w:t>
      </w:r>
      <w:r>
        <w:t xml:space="preserve">substances (51%) are assigned to the PMT group and 202 substances (49%) to the vPvM group</w:t>
      </w:r>
      <w:r>
        <w:t xml:space="preserve"> </w:t>
      </w:r>
      <w:r>
        <w:t xml:space="preserve">(percentages relate to the total of 415 theoretical substances). In contrast to the approach based</w:t>
      </w:r>
      <w:r>
        <w:t xml:space="preserve"> </w:t>
      </w:r>
      <w:r>
        <w:t xml:space="preserve">on the EFSA dataset, these figures better reflect all properties (i.e. persistence, mobility and</w:t>
      </w:r>
      <w:r>
        <w:t xml:space="preserve"> </w:t>
      </w:r>
      <w:r>
        <w:t xml:space="preserve">toxicity) and the underlying dataset also includes some substances excluded from the EFSA</w:t>
      </w:r>
    </w:p>
    <w:p>
      <w:pPr>
        <w:pStyle w:val="BodyText"/>
      </w:pPr>
      <w:r>
        <w:t xml:space="preserve">143 As explained above, no lower end (AA-1) estimate can be provided.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dataset (e.g. ionisable substances). However, mobility in this study was assessed on the basis</w:t>
      </w:r>
      <w:r>
        <w:t xml:space="preserve"> </w:t>
      </w:r>
      <w:r>
        <w:t xml:space="preserve">of the UBA criteria for log Koc.</w:t>
      </w:r>
      <w:r>
        <w:t xml:space="preserve"> </w:t>
      </w:r>
      <w:r>
        <w:t xml:space="preserve">Figure 65 illustrates the division into the two hazard classes for the 231 substances identified</w:t>
      </w:r>
      <w:r>
        <w:t xml:space="preserve"> </w:t>
      </w:r>
      <w:r>
        <w:t xml:space="preserve">as PMT/vPvM in the ECHA approach (left plot) and for the 693 substances from the upper end</w:t>
      </w:r>
      <w:r>
        <w:t xml:space="preserve"> </w:t>
      </w:r>
      <w:r>
        <w:t xml:space="preserve">(AA-2) approach. In both plots:</w:t>
      </w:r>
      <w:r>
        <w:t xml:space="preserve"> </w:t>
      </w:r>
      <w:r>
        <w:t xml:space="preserve"> the left columns show the estimates derived in this study using the split to PMT and</w:t>
      </w:r>
      <w:r>
        <w:t xml:space="preserve"> </w:t>
      </w:r>
      <w:r>
        <w:t xml:space="preserve">vPvM of 40% and 60%, respectively, derived from dataset of 2,336 substances using</w:t>
      </w:r>
      <w:r>
        <w:t xml:space="preserve"> </w:t>
      </w:r>
      <w:r>
        <w:t xml:space="preserve">the Commission’s criteria for log Koc cut-offs;</w:t>
      </w:r>
      <w:r>
        <w:t xml:space="preserve"> </w:t>
      </w:r>
      <w:r>
        <w:t xml:space="preserve"> the central columns show the estimates derived in this study using the split to PMT and</w:t>
      </w:r>
      <w:r>
        <w:t xml:space="preserve"> </w:t>
      </w:r>
      <w:r>
        <w:t xml:space="preserve">vPvM of 20% and 80%, respectively, derived from dataset of 2,336 substances using</w:t>
      </w:r>
      <w:r>
        <w:t xml:space="preserve"> </w:t>
      </w:r>
      <w:r>
        <w:t xml:space="preserve">the UBA criteria for log Koc cut-offs; and</w:t>
      </w:r>
      <w:r>
        <w:t xml:space="preserve"> </w:t>
      </w:r>
      <w:r>
        <w:t xml:space="preserve"> the right columns show the estimates derived in this study using the split to PMT and</w:t>
      </w:r>
      <w:r>
        <w:t xml:space="preserve"> </w:t>
      </w:r>
      <w:r>
        <w:t xml:space="preserve">vPvM of 51% and 49%, respectively, derived from the UBA study (Arp and Hale,</w:t>
      </w:r>
      <w:r>
        <w:t xml:space="preserve"> </w:t>
      </w:r>
      <w:r>
        <w:t xml:space="preserve">2019).</w:t>
      </w:r>
    </w:p>
    <w:p>
      <w:pPr>
        <w:pStyle w:val="BodyText"/>
      </w:pPr>
      <w:r>
        <w:t xml:space="preserve">Figure 65: Number of substances assigned to the two hazard classes. Left: total number of PMT/vPvM</w:t>
      </w:r>
      <w:r>
        <w:t xml:space="preserve"> </w:t>
      </w:r>
      <w:r>
        <w:t xml:space="preserve">substances based on ECHA estimate (N=231); right: total number of PMT/vPvM substances based on upper</w:t>
      </w:r>
      <w:r>
        <w:t xml:space="preserve"> </w:t>
      </w:r>
      <w:r>
        <w:t xml:space="preserve">estimate AA-2 (N=693)</w:t>
      </w:r>
    </w:p>
    <w:p>
      <w:pPr>
        <w:pStyle w:val="BodyText"/>
      </w:pPr>
      <w:r>
        <w:t xml:space="preserve">The split into PMT and vPvM according to the UBA criteria results in 1.3 times more vPvM</w:t>
      </w:r>
      <w:r>
        <w:t xml:space="preserve"> </w:t>
      </w:r>
      <w:r>
        <w:t xml:space="preserve">substances than the one based on the Commission’s criteria, because of the differences noted</w:t>
      </w:r>
      <w:r>
        <w:t xml:space="preserve"> </w:t>
      </w:r>
      <w:r>
        <w:t xml:space="preserve">in the evaluation of the dataset of 2,336 substances (i.e. 80% vs. 60%; see above). The number</w:t>
      </w:r>
      <w:r>
        <w:t xml:space="preserve"> </w:t>
      </w:r>
      <w:r>
        <w:t xml:space="preserve">of PMT substances is consequently lower. In both cases, this split is derived from an evaluation</w:t>
      </w:r>
      <w:r>
        <w:t xml:space="preserve"> </w:t>
      </w:r>
      <w:r>
        <w:t xml:space="preserve">of the EFSA dataset that only addresses log Koc as the mobility criterion with the limitation</w:t>
      </w:r>
      <w:r>
        <w:t xml:space="preserve"> </w:t>
      </w:r>
      <w:r>
        <w:t xml:space="preserve">discussed above. The split from the Arp and Hale (2019) covers all three relevant properties as</w:t>
      </w:r>
      <w:r>
        <w:t xml:space="preserve"> </w:t>
      </w:r>
      <w:r>
        <w:t xml:space="preserve">well as some groups of substances not covered by the EFSA dataset, but is based on the UBA</w:t>
      </w:r>
      <w:r>
        <w:t xml:space="preserve"> </w:t>
      </w:r>
      <w:r>
        <w:t xml:space="preserve">criteria for log Koc. The number of substances assigned to the vPvM group is lower in the</w:t>
      </w:r>
      <w:r>
        <w:t xml:space="preserve"> </w:t>
      </w:r>
      <w:r>
        <w:t xml:space="preserve">UBA split than in both other approaches, reflecting the lower fraction of 49% compared to 60%</w:t>
      </w:r>
      <w:r>
        <w:t xml:space="preserve"> </w:t>
      </w:r>
      <w:r>
        <w:t xml:space="preserve">and 80% based on Commission’s and UBA criteria (see above). Table 46 shows the number of</w:t>
      </w:r>
      <w:r>
        <w:t xml:space="preserve"> </w:t>
      </w:r>
      <w:r>
        <w:t xml:space="preserve">substances plotted in Figure 65 for easier reference.</w:t>
      </w:r>
      <w:r>
        <w:t xml:space="preserve"> </w:t>
      </w:r>
      <w:r>
        <w:t xml:space="preserve">Table 47: Estimated number of substances expected to be classified as PMT and vPvM based on different splits</w:t>
      </w:r>
      <w:r>
        <w:t xml:space="preserve"> </w:t>
      </w:r>
      <w:r>
        <w:t xml:space="preserve">between PMT and vPvM</w:t>
      </w:r>
      <w:r>
        <w:t xml:space="preserve"> </w:t>
      </w:r>
      <w:r>
        <w:t xml:space="preserve">Approach</w:t>
      </w:r>
      <w:r>
        <w:t xml:space="preserve"> </w:t>
      </w:r>
      <w:r>
        <w:t xml:space="preserve">PMT</w:t>
      </w:r>
      <w:r>
        <w:t xml:space="preserve"> </w:t>
      </w:r>
      <w:r>
        <w:t xml:space="preserve">vPvM</w:t>
      </w:r>
      <w:r>
        <w:t xml:space="preserve"> </w:t>
      </w:r>
      <w:r>
        <w:t xml:space="preserve">EC criteria</w:t>
      </w:r>
      <w:r>
        <w:t xml:space="preserve"> </w:t>
      </w:r>
      <w:r>
        <w:t xml:space="preserve">UBA criteria</w:t>
      </w:r>
      <w:r>
        <w:t xml:space="preserve"> </w:t>
      </w:r>
      <w:r>
        <w:t xml:space="preserve">UBA</w:t>
      </w:r>
      <w:r>
        <w:t xml:space="preserve"> </w:t>
      </w:r>
      <w:r>
        <w:t xml:space="preserve">split</w:t>
      </w:r>
      <w:r>
        <w:t xml:space="preserve"> </w:t>
      </w:r>
      <w:r>
        <w:t xml:space="preserve">EC criteria</w:t>
      </w:r>
      <w:r>
        <w:t xml:space="preserve"> </w:t>
      </w:r>
      <w:r>
        <w:t xml:space="preserve">UBA criteria</w:t>
      </w:r>
      <w:r>
        <w:t xml:space="preserve"> </w:t>
      </w:r>
      <w:r>
        <w:t xml:space="preserve">UBA</w:t>
      </w:r>
      <w:r>
        <w:t xml:space="preserve"> </w:t>
      </w:r>
      <w:r>
        <w:t xml:space="preserve">split</w:t>
      </w:r>
      <w:r>
        <w:t xml:space="preserve"> </w:t>
      </w:r>
      <w:r>
        <w:t xml:space="preserve">ECHA</w:t>
      </w:r>
      <w:r>
        <w:t xml:space="preserve"> </w:t>
      </w:r>
      <w:r>
        <w:t xml:space="preserve">(N=231)</w:t>
      </w:r>
      <w:r>
        <w:t xml:space="preserve"> </w:t>
      </w:r>
      <w:r>
        <w:t xml:space="preserve">92</w:t>
      </w:r>
      <w:r>
        <w:t xml:space="preserve"> </w:t>
      </w:r>
      <w:r>
        <w:t xml:space="preserve">46</w:t>
      </w:r>
      <w:r>
        <w:t xml:space="preserve"> </w:t>
      </w:r>
      <w:r>
        <w:t xml:space="preserve">119</w:t>
      </w:r>
      <w:r>
        <w:t xml:space="preserve"> </w:t>
      </w:r>
      <w:r>
        <w:t xml:space="preserve">139</w:t>
      </w:r>
      <w:r>
        <w:t xml:space="preserve"> </w:t>
      </w:r>
      <w:r>
        <w:t xml:space="preserve">185</w:t>
      </w:r>
      <w:r>
        <w:t xml:space="preserve"> </w:t>
      </w:r>
      <w:r>
        <w:t xml:space="preserve">112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AA-2</w:t>
      </w:r>
      <w:r>
        <w:t xml:space="preserve"> </w:t>
      </w:r>
      <w:r>
        <w:t xml:space="preserve">(N=693)</w:t>
      </w:r>
      <w:r>
        <w:t xml:space="preserve"> </w:t>
      </w:r>
      <w:r>
        <w:t xml:space="preserve">277</w:t>
      </w:r>
      <w:r>
        <w:t xml:space="preserve"> </w:t>
      </w:r>
      <w:r>
        <w:t xml:space="preserve">139</w:t>
      </w:r>
      <w:r>
        <w:t xml:space="preserve"> </w:t>
      </w:r>
      <w:r>
        <w:t xml:space="preserve">356</w:t>
      </w:r>
      <w:r>
        <w:t xml:space="preserve"> </w:t>
      </w:r>
      <w:r>
        <w:t xml:space="preserve">416</w:t>
      </w:r>
      <w:r>
        <w:t xml:space="preserve"> </w:t>
      </w:r>
      <w:r>
        <w:t xml:space="preserve">554</w:t>
      </w:r>
      <w:r>
        <w:t xml:space="preserve"> </w:t>
      </w:r>
      <w:r>
        <w:t xml:space="preserve">337</w:t>
      </w:r>
      <w:r>
        <w:t xml:space="preserve"> </w:t>
      </w:r>
      <w:r>
        <w:t xml:space="preserve">Notes: Unrounded percentages were used for splitting all PMT/vPvM substances between the two hazard</w:t>
      </w:r>
      <w:r>
        <w:t xml:space="preserve"> </w:t>
      </w:r>
      <w:r>
        <w:t xml:space="preserve">classes.</w:t>
      </w:r>
    </w:p>
    <w:p>
      <w:pPr>
        <w:pStyle w:val="BodyText"/>
      </w:pPr>
      <w:r>
        <w:t xml:space="preserve">These evaluations demonstrate that the numbers assigned to PMT and vPvM hazard classes</w:t>
      </w:r>
      <w:r>
        <w:t xml:space="preserve"> </w:t>
      </w:r>
      <w:r>
        <w:t xml:space="preserve">based on the Commission’s criteria range between those derived with the UBA criteria and the</w:t>
      </w:r>
      <w:r>
        <w:t xml:space="preserve"> </w:t>
      </w:r>
      <w:r>
        <w:t xml:space="preserve">ones calculated using the split derived from the UBA study. The numbers resulting from the</w:t>
      </w:r>
      <w:r>
        <w:t xml:space="preserve"> </w:t>
      </w:r>
      <w:r>
        <w:t xml:space="preserve">split using the COM criteria are used in this study for the following reasons:</w:t>
      </w:r>
      <w:r>
        <w:t xml:space="preserve"> </w:t>
      </w:r>
      <w:r>
        <w:t xml:space="preserve">They range between the other two approaches but are closer to the numbers derived by using</w:t>
      </w:r>
      <w:r>
        <w:t xml:space="preserve"> </w:t>
      </w:r>
      <w:r>
        <w:t xml:space="preserve">the split from the UBA study than the ones derived using UBA criteria on the EFSA dataset.</w:t>
      </w:r>
      <w:r>
        <w:t xml:space="preserve"> </w:t>
      </w:r>
      <w:r>
        <w:t xml:space="preserve">The split derived from the UBA study may be considered somewhat less uncertain than the</w:t>
      </w:r>
      <w:r>
        <w:t xml:space="preserve"> </w:t>
      </w:r>
      <w:r>
        <w:t xml:space="preserve">ones derived from the EFSA dataset (using Commission’s or UBA criteria for the log Koc cut-</w:t>
      </w:r>
      <w:r>
        <w:t xml:space="preserve"> </w:t>
      </w:r>
      <w:r>
        <w:t xml:space="preserve">offs). However, the UBA split is based on UBA criteria for log Koc cut-offs, and the number</w:t>
      </w:r>
      <w:r>
        <w:t xml:space="preserve"> </w:t>
      </w:r>
      <w:r>
        <w:t xml:space="preserve">derived using this split are not taken directly. The fact that the numbers estimated using the</w:t>
      </w:r>
      <w:r>
        <w:t xml:space="preserve"> </w:t>
      </w:r>
      <w:r>
        <w:t xml:space="preserve">Commission’s criteria are closer to the ones calculated with the UBA split than the ones using</w:t>
      </w:r>
      <w:r>
        <w:t xml:space="preserve"> </w:t>
      </w:r>
      <w:r>
        <w:t xml:space="preserve">the UBA criteria supports the derivation used here.</w:t>
      </w:r>
      <w:r>
        <w:br/>
      </w:r>
      <w:r>
        <w:t xml:space="preserve">The central estimate based on the total number of 231 expected to be classified as PMT/vPvM,</w:t>
      </w:r>
      <w:r>
        <w:t xml:space="preserve"> </w:t>
      </w:r>
      <w:r>
        <w:t xml:space="preserve">as derived in ECHA (2021a), results in a lower number of vPvM substances based on the</w:t>
      </w:r>
      <w:r>
        <w:t xml:space="preserve"> </w:t>
      </w:r>
      <w:r>
        <w:t xml:space="preserve">Commission’s criteria (N=139) compared to the UBA criteria for log Koc (N=185).144</w:t>
      </w:r>
      <w:r>
        <w:t xml:space="preserve"> </w:t>
      </w:r>
      <w:r>
        <w:t xml:space="preserve">However, the upper end estimate derived in this study for this hazard class based on</w:t>
      </w:r>
      <w:r>
        <w:t xml:space="preserve"> </w:t>
      </w:r>
      <w:r>
        <w:t xml:space="preserve">Commission’s criteria (N=416) is more than 2-times higher.</w:t>
      </w:r>
      <w:r>
        <w:br/>
      </w:r>
      <w:r>
        <w:t xml:space="preserve">Final estimates</w:t>
      </w:r>
      <w:r>
        <w:t xml:space="preserve"> </w:t>
      </w:r>
      <w:r>
        <w:t xml:space="preserve">Table 47 summarises the final estimates, providing both a central estimate representing the</w:t>
      </w:r>
      <w:r>
        <w:t xml:space="preserve"> </w:t>
      </w:r>
      <w:r>
        <w:t xml:space="preserve">total number of expected PMT/vPvM derived in ECHA (2021a) (N=231) as well as an upper-</w:t>
      </w:r>
      <w:r>
        <w:t xml:space="preserve"> </w:t>
      </w:r>
      <w:r>
        <w:t xml:space="preserve">end estimate (N=693) and the split into the two envisaged hazard classes as derived above.</w:t>
      </w:r>
      <w:r>
        <w:t xml:space="preserve"> </w:t>
      </w:r>
      <w:r>
        <w:t xml:space="preserve">Possible ranges for the split are indicated in brackets but are not used in the impact assessment.</w:t>
      </w:r>
      <w:r>
        <w:t xml:space="preserve"> </w:t>
      </w:r>
      <w:r>
        <w:t xml:space="preserve">Table 48: Final estimate on the number of substances expected to be classified as PMT and vPvM</w:t>
      </w:r>
      <w:r>
        <w:t xml:space="preserve"> </w:t>
      </w:r>
      <w:r>
        <w:t xml:space="preserve">Type of estimate</w:t>
      </w:r>
      <w:r>
        <w:t xml:space="preserve"> </w:t>
      </w:r>
      <w:r>
        <w:t xml:space="preserve">PMT/vPvM</w:t>
      </w:r>
      <w:r>
        <w:t xml:space="preserve"> </w:t>
      </w:r>
      <w:r>
        <w:t xml:space="preserve">PMT</w:t>
      </w:r>
      <w:r>
        <w:t xml:space="preserve"> </w:t>
      </w:r>
      <w:r>
        <w:t xml:space="preserve">vPvM</w:t>
      </w:r>
      <w:r>
        <w:t xml:space="preserve"> </w:t>
      </w:r>
      <w:r>
        <w:t xml:space="preserve">Central estimate (ECHA approach)</w:t>
      </w:r>
      <w:r>
        <w:t xml:space="preserve"> </w:t>
      </w:r>
      <w:r>
        <w:t xml:space="preserve">231</w:t>
      </w:r>
      <w:r>
        <w:t xml:space="preserve"> </w:t>
      </w:r>
      <w:r>
        <w:t xml:space="preserve">92 (46-119)</w:t>
      </w:r>
      <w:r>
        <w:t xml:space="preserve"> </w:t>
      </w:r>
      <w:r>
        <w:t xml:space="preserve">139 (112-185)</w:t>
      </w:r>
      <w:r>
        <w:t xml:space="preserve"> </w:t>
      </w:r>
      <w:r>
        <w:t xml:space="preserve">Upper-end estimate (AA-2 approach)</w:t>
      </w:r>
      <w:r>
        <w:t xml:space="preserve"> </w:t>
      </w:r>
      <w:r>
        <w:t xml:space="preserve">693</w:t>
      </w:r>
      <w:r>
        <w:t xml:space="preserve"> </w:t>
      </w:r>
      <w:r>
        <w:t xml:space="preserve">277 (139-356)</w:t>
      </w:r>
      <w:r>
        <w:t xml:space="preserve"> </w:t>
      </w:r>
      <w:r>
        <w:t xml:space="preserve">416 (337-554)</w:t>
      </w:r>
    </w:p>
    <w:p>
      <w:pPr>
        <w:pStyle w:val="BodyText"/>
      </w:pPr>
      <w:r>
        <w:t xml:space="preserve">These numbers represent very rough estimates. As noted earlier, the apparent accuracy of the</w:t>
      </w:r>
      <w:r>
        <w:t xml:space="preserve"> </w:t>
      </w:r>
      <w:r>
        <w:t xml:space="preserve">estimates is spurious, but the numbers are provided to increase transparency and to allow cross-</w:t>
      </w:r>
      <w:r>
        <w:t xml:space="preserve"> </w:t>
      </w:r>
      <w:r>
        <w:t xml:space="preserve">checking of calculations. The uncertainties of these estimates relate to the following issues:</w:t>
      </w:r>
      <w:r>
        <w:t xml:space="preserve"> </w:t>
      </w:r>
      <w:r>
        <w:t xml:space="preserve"> ECHA (2021a) considers the basket 3 estimate (i.e. the figure of 231 substances</w:t>
      </w:r>
      <w:r>
        <w:t xml:space="preserve"> </w:t>
      </w:r>
      <w:r>
        <w:t xml:space="preserve">expected to be identified as PMT/vPvM) as a guestimate and therefore highly uncertain.</w:t>
      </w:r>
      <w:r>
        <w:t xml:space="preserve"> </w:t>
      </w:r>
      <w:r>
        <w:t xml:space="preserve"> For PMT/vPvM properties, the ECHA assessment is largely based on lists compiled by</w:t>
      </w:r>
      <w:r>
        <w:t xml:space="preserve"> </w:t>
      </w:r>
      <w:r>
        <w:t xml:space="preserve">other authors with most substances coming from a study by the Danish Technical</w:t>
      </w:r>
      <w:r>
        <w:t xml:space="preserve"> </w:t>
      </w:r>
      <w:r>
        <w:t xml:space="preserve">University (DTU) that almost exclusively relied on predicted data with respect to</w:t>
      </w:r>
      <w:r>
        <w:t xml:space="preserve"> </w:t>
      </w:r>
      <w:r>
        <w:t xml:space="preserve">persistence, mobility and toxicity (Holmberg et al., 2021). In fact, all Annex X</w:t>
      </w:r>
    </w:p>
    <w:p>
      <w:pPr>
        <w:pStyle w:val="BodyText"/>
      </w:pPr>
      <w:r>
        <w:t xml:space="preserve">144 Note that the 46 substances move from the vPvM to the PMT group under the COM criteria.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substances in basket 2 used to estimate the upper end (N=63 substances, multiplied by</w:t>
      </w:r>
      <w:r>
        <w:t xml:space="preserve"> </w:t>
      </w:r>
      <w:r>
        <w:t xml:space="preserve">11, resulting in 693 substances) come from this source. Predicted properties are</w:t>
      </w:r>
      <w:r>
        <w:t xml:space="preserve"> </w:t>
      </w:r>
      <w:r>
        <w:t xml:space="preserve">considered uncertain (as is also suggested by the low WF assigned). The upper-end</w:t>
      </w:r>
      <w:r>
        <w:t xml:space="preserve"> </w:t>
      </w:r>
      <w:r>
        <w:t xml:space="preserve">estimate may therefore turn out to be an overestimate.</w:t>
      </w:r>
      <w:r>
        <w:t xml:space="preserve"> </w:t>
      </w:r>
      <w:r>
        <w:t xml:space="preserve">The log Koc values used in the analyses of this study also represent predicted values and the</w:t>
      </w:r>
      <w:r>
        <w:t xml:space="preserve"> </w:t>
      </w:r>
      <w:r>
        <w:t xml:space="preserve">above analyses illustrate the differences between e.g. the use of minimum and maximum log</w:t>
      </w:r>
      <w:r>
        <w:t xml:space="preserve"> </w:t>
      </w:r>
      <w:r>
        <w:t xml:space="preserve">Koc values. The associated uncertainty has an impact on:</w:t>
      </w:r>
      <w:r>
        <w:t xml:space="preserve"> </w:t>
      </w:r>
      <w:r>
        <w:t xml:space="preserve"> the comparison of Commission’s criteria for the mobility assessment with those</w:t>
      </w:r>
      <w:r>
        <w:t xml:space="preserve"> </w:t>
      </w:r>
      <w:r>
        <w:t xml:space="preserve">proposed by UBA;</w:t>
      </w:r>
      <w:r>
        <w:br/>
      </w:r>
      <w:r>
        <w:t xml:space="preserve"> the fraction assigned to the envisaged hazard classes PMT and vPvM.</w:t>
      </w:r>
      <w:r>
        <w:t xml:space="preserve"> </w:t>
      </w:r>
      <w:r>
        <w:t xml:space="preserve">It must be noted, however, that other approaches to estimate the number of PMT/vPvM</w:t>
      </w:r>
      <w:r>
        <w:t xml:space="preserve"> </w:t>
      </w:r>
      <w:r>
        <w:t xml:space="preserve">substances also largely rely on predicted log Koc values. In fact, the DTU study employed</w:t>
      </w:r>
      <w:r>
        <w:t xml:space="preserve"> </w:t>
      </w:r>
      <w:r>
        <w:t xml:space="preserve">three different prediction models to assess mobility, together with two persistence models and</w:t>
      </w:r>
      <w:r>
        <w:t xml:space="preserve"> </w:t>
      </w:r>
      <w:r>
        <w:t xml:space="preserve">several approaches to assess toxicity (Holmberg et al., 2021).</w:t>
      </w:r>
      <w:r>
        <w:t xml:space="preserve"> </w:t>
      </w:r>
      <w:r>
        <w:t xml:space="preserve">The evaluation of log Koc values in this study and their impacts on the mobility assessment</w:t>
      </w:r>
      <w:r>
        <w:t xml:space="preserve"> </w:t>
      </w:r>
      <w:r>
        <w:t xml:space="preserve">using different cut-offs as well as the assignment to the two envisaged hazard classes is limited</w:t>
      </w:r>
      <w:r>
        <w:t xml:space="preserve"> </w:t>
      </w:r>
      <w:r>
        <w:t xml:space="preserve">by the fact that it covers almost exclusively mono-constituent neural organic substances. This</w:t>
      </w:r>
      <w:r>
        <w:t xml:space="preserve"> </w:t>
      </w:r>
      <w:r>
        <w:t xml:space="preserve">limitation also applies to the DTU study as noted in ECHA (2021a). The complexity of the</w:t>
      </w:r>
      <w:r>
        <w:t xml:space="preserve"> </w:t>
      </w:r>
      <w:r>
        <w:t xml:space="preserve">mobility assessment e.g. for ionisable substances and UVCBs is therefore not covered by this</w:t>
      </w:r>
      <w:r>
        <w:t xml:space="preserve"> </w:t>
      </w:r>
      <w:r>
        <w:t xml:space="preserve">assessment.</w:t>
      </w:r>
      <w:r>
        <w:br/>
      </w:r>
      <w:r>
        <w:t xml:space="preserve">The 231 substances identified as PMT/vPvM in the central estimate represent 1% of the total</w:t>
      </w:r>
      <w:r>
        <w:t xml:space="preserve"> </w:t>
      </w:r>
      <w:r>
        <w:t xml:space="preserve">number of 23,751 unique substances in ECHA’s combined inventory. This estimate is in line</w:t>
      </w:r>
      <w:r>
        <w:t xml:space="preserve"> </w:t>
      </w:r>
      <w:r>
        <w:t xml:space="preserve">with an earlier estimate by the German UBA that 260 of the 15,469 REACH registered</w:t>
      </w:r>
      <w:r>
        <w:t xml:space="preserve"> </w:t>
      </w:r>
      <w:r>
        <w:t xml:space="preserve">substances (around 1.7%) would be identified as PMT/vPvM substances (Arp and Hale, 2019).</w:t>
      </w:r>
      <w:r>
        <w:t xml:space="preserve"> </w:t>
      </w:r>
      <w:r>
        <w:t xml:space="preserve">If the information from the UBA study is linearly extrapolated to the 23,751 substances in</w:t>
      </w:r>
      <w:r>
        <w:t xml:space="preserve"> </w:t>
      </w:r>
      <w:r>
        <w:t xml:space="preserve">ECHA’s combined inventory, 399 substances would be identified as PMT/vPvM substances.</w:t>
      </w:r>
      <w:r>
        <w:t xml:space="preserve"> </w:t>
      </w:r>
      <w:r>
        <w:t xml:space="preserve">This value is substantially lower than the upper end estimate used in this study (N=693). This</w:t>
      </w:r>
      <w:r>
        <w:t xml:space="preserve"> </w:t>
      </w:r>
      <w:r>
        <w:t xml:space="preserve">comparison increases the confidence in the estimates derived in this study.</w:t>
      </w:r>
      <w:r>
        <w:br/>
      </w:r>
      <w:r>
        <w:t xml:space="preserve">The DTU study (Holmberg et al., 2021) produces several different outcomes depending on the</w:t>
      </w:r>
      <w:r>
        <w:t xml:space="preserve"> </w:t>
      </w:r>
      <w:r>
        <w:t xml:space="preserve">models chosen to assess persistence and mobility (both entirely based on predictions). The</w:t>
      </w:r>
      <w:r>
        <w:t xml:space="preserve"> </w:t>
      </w:r>
      <w:r>
        <w:t xml:space="preserve">number of substances identified in this screening exercise as potential PMT/vPvM substances</w:t>
      </w:r>
      <w:r>
        <w:t xml:space="preserve"> </w:t>
      </w:r>
      <w:r>
        <w:t xml:space="preserve">in a dataset of 2,073 REACH registered mono-constituent chemicals ranged from 53 (2.6%) to</w:t>
      </w:r>
      <w:r>
        <w:t xml:space="preserve"> </w:t>
      </w:r>
      <w:r>
        <w:t xml:space="preserve">262 (13%). These fractions are substantially higher than estimated here or in the UBA study</w:t>
      </w:r>
      <w:r>
        <w:t xml:space="preserve"> </w:t>
      </w:r>
      <w:r>
        <w:t xml:space="preserve">(Arp and Hale, 2019). Most likely, this difference is due to the sole reliance of predicted values.</w:t>
      </w:r>
      <w:r>
        <w:t xml:space="preserve"> </w:t>
      </w:r>
      <w:r>
        <w:t xml:space="preserve">Holmberg et al. (2021) considered a set of 29 substances as deserving scrutiny by regulatory</w:t>
      </w:r>
      <w:r>
        <w:t xml:space="preserve"> </w:t>
      </w:r>
      <w:r>
        <w:t xml:space="preserve">agencies, since these substances were identified in the DTU approach as well as in an earlier</w:t>
      </w:r>
      <w:r>
        <w:t xml:space="preserve"> </w:t>
      </w:r>
      <w:r>
        <w:t xml:space="preserve">UBA study performed by the Norwegian Geotechnical Institute (NGI). If these 29 substances</w:t>
      </w:r>
      <w:r>
        <w:t xml:space="preserve"> </w:t>
      </w:r>
      <w:r>
        <w:t xml:space="preserve">are taken as an indication of the substances that would be classified as PMT/vPvM (out of the</w:t>
      </w:r>
      <w:r>
        <w:t xml:space="preserve"> </w:t>
      </w:r>
      <w:r>
        <w:t xml:space="preserve">2,073 substances evaluated) in the future, the resulting fraction of 1.4% is in line with the</w:t>
      </w:r>
      <w:r>
        <w:t xml:space="preserve"> </w:t>
      </w:r>
      <w:r>
        <w:t xml:space="preserve">estimates presented above.</w:t>
      </w:r>
      <w:r>
        <w:br/>
      </w:r>
      <w:r>
        <w:t xml:space="preserve">However, according to Holmberg et al. (2021), the substances identified as PMT/vPvM</w:t>
      </w:r>
      <w:r>
        <w:t xml:space="preserve"> </w:t>
      </w:r>
      <w:r>
        <w:t xml:space="preserve">differed in most cases from the ones by NGI in in the earlier UBA study. The differences noted</w:t>
      </w:r>
      <w:r>
        <w:t xml:space="preserve"> </w:t>
      </w:r>
      <w:r>
        <w:t xml:space="preserve">are due to differences in substance selection and methodological differences in data generation</w:t>
      </w:r>
      <w:r>
        <w:t xml:space="preserve"> </w:t>
      </w:r>
      <w:r>
        <w:t xml:space="preserve">and evaluation. However, even if only substances included in the NGI list and the DTU list are</w:t>
      </w:r>
      <w:r>
        <w:t xml:space="preserve"> </w:t>
      </w:r>
      <w:r>
        <w:t xml:space="preserve">considered, only about one fourth of the substances identified as PMT/vPvM in the NGI list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are also identified by DTU as PMT/vPvM (the 29 substances mentioned above). This</w:t>
      </w:r>
      <w:r>
        <w:t xml:space="preserve"> </w:t>
      </w:r>
      <w:r>
        <w:t xml:space="preserve">comparatively low level of agreement is due to the different methods in predicting PMT/vPvM</w:t>
      </w:r>
      <w:r>
        <w:t xml:space="preserve"> </w:t>
      </w:r>
      <w:r>
        <w:t xml:space="preserve">properties.</w:t>
      </w:r>
      <w:r>
        <w:t xml:space="preserve"> </w:t>
      </w:r>
      <w:r>
        <w:t xml:space="preserve">Overall, given the uncertainties discussed and the different approaches applied to estimate the</w:t>
      </w:r>
      <w:r>
        <w:t xml:space="preserve"> </w:t>
      </w:r>
      <w:r>
        <w:t xml:space="preserve">number of PMT/vPvM, the alignment of the estimates in this study with the ones in the UBA</w:t>
      </w:r>
      <w:r>
        <w:t xml:space="preserve"> </w:t>
      </w:r>
      <w:r>
        <w:t xml:space="preserve">study is noteworthy. The upper-end estimate provided here – although not specifically</w:t>
      </w:r>
      <w:r>
        <w:t xml:space="preserve"> </w:t>
      </w:r>
      <w:r>
        <w:t xml:space="preserve">addressing these uncertainties – may be considered a reflection of the high overall uncertainty</w:t>
      </w:r>
      <w:r>
        <w:t xml:space="preserve"> </w:t>
      </w:r>
      <w:r>
        <w:t xml:space="preserve">in deriving figures for the number of substances with PMT/vPvM properties and the assignment</w:t>
      </w:r>
      <w:r>
        <w:t xml:space="preserve"> </w:t>
      </w:r>
      <w:r>
        <w:t xml:space="preserve">to the two envisaged hazard classes.</w:t>
      </w:r>
    </w:p>
    <w:p>
      <w:pPr>
        <w:pStyle w:val="BodyText"/>
      </w:pPr>
      <w:r>
        <w:t xml:space="preserve">SCREENING AND ASSESSMENT OF THE POTENTIAL MEASURES</w:t>
      </w:r>
      <w:r>
        <w:t xml:space="preserve"> </w:t>
      </w:r>
      <w:r>
        <w:t xml:space="preserve">Economic, social and environmental impacts of policy option 1a: adding new hazard</w:t>
      </w:r>
      <w:r>
        <w:t xml:space="preserve"> </w:t>
      </w:r>
      <w:r>
        <w:t xml:space="preserve">classes</w:t>
      </w:r>
      <w:r>
        <w:t xml:space="preserve"> </w:t>
      </w:r>
      <w:r>
        <w:t xml:space="preserve">Direct and indirect costs of the introduction of new hazard classes in CLP</w:t>
      </w:r>
      <w:r>
        <w:t xml:space="preserve"> </w:t>
      </w:r>
      <w:r>
        <w:t xml:space="preserve">A cost-benefit analysis requires that the relevant costs (those with policy action minus the costs</w:t>
      </w:r>
      <w:r>
        <w:t xml:space="preserve"> </w:t>
      </w:r>
      <w:r>
        <w:t xml:space="preserve">of the baseline) accruing to any agent affected by the policy — including manufacturers and</w:t>
      </w:r>
      <w:r>
        <w:t xml:space="preserve"> </w:t>
      </w:r>
      <w:r>
        <w:t xml:space="preserve">importers of chemicals, downstream users, public authorities and consumers — are estimated.</w:t>
      </w:r>
      <w:r>
        <w:t xml:space="preserve"> </w:t>
      </w:r>
      <w:r>
        <w:t xml:space="preserve">Cost also relates to any loss of human wellbeing: for example, if the actors substitute the newly</w:t>
      </w:r>
      <w:r>
        <w:t xml:space="preserve"> </w:t>
      </w:r>
      <w:r>
        <w:t xml:space="preserve">classified chemicals with alternatives that are safer from a human health perspective but are</w:t>
      </w:r>
      <w:r>
        <w:t xml:space="preserve"> </w:t>
      </w:r>
      <w:r>
        <w:t xml:space="preserve">less efficient from a technical perspective, then the loss of beneficial use of the chemicals</w:t>
      </w:r>
      <w:r>
        <w:t xml:space="preserve"> </w:t>
      </w:r>
      <w:r>
        <w:t xml:space="preserve">constitutes a cost. Ideally, understanding and calculating who bears the costs involve a dynamic</w:t>
      </w:r>
      <w:r>
        <w:t xml:space="preserve"> </w:t>
      </w:r>
      <w:r>
        <w:t xml:space="preserve">general equilibrium model of the chemicals sector and beyond. Such a detailed model is not</w:t>
      </w:r>
      <w:r>
        <w:t xml:space="preserve"> </w:t>
      </w:r>
      <w:r>
        <w:t xml:space="preserve">available, and therefore costs are estimated rudimentary by multiplying number of chemical</w:t>
      </w:r>
      <w:r>
        <w:t xml:space="preserve"> </w:t>
      </w:r>
      <w:r>
        <w:t xml:space="preserve">products (substances and mixtures) to be classified, notified and labelled, and the unit costs for</w:t>
      </w:r>
      <w:r>
        <w:t xml:space="preserve"> </w:t>
      </w:r>
      <w:r>
        <w:t xml:space="preserve">classification, notification and labelling. These are referred to as the direct costs of CLP.</w:t>
      </w:r>
      <w:r>
        <w:t xml:space="preserve"> </w:t>
      </w:r>
      <w:r>
        <w:t xml:space="preserve">Table 49 provides the total number of substances under low, main, and high estimate scenarios</w:t>
      </w:r>
      <w:r>
        <w:t xml:space="preserve"> </w:t>
      </w:r>
      <w:r>
        <w:t xml:space="preserve">that are:</w:t>
      </w:r>
      <w:r>
        <w:t xml:space="preserve"> </w:t>
      </w:r>
      <w:r>
        <w:t xml:space="preserve">Already known to meet the proposed criteria for classification for each hazard;</w:t>
      </w:r>
      <w:r>
        <w:t xml:space="preserve"> </w:t>
      </w:r>
      <w:r>
        <w:t xml:space="preserve">Are expected to be identified by ongoing assessment (mainly under REACH) as meeting the</w:t>
      </w:r>
      <w:r>
        <w:t xml:space="preserve"> </w:t>
      </w:r>
      <w:r>
        <w:t xml:space="preserve">proposed criteria; and</w:t>
      </w:r>
      <w:r>
        <w:t xml:space="preserve"> </w:t>
      </w:r>
      <w:r>
        <w:t xml:space="preserve">Are expected to be identified in the future by a combination of further information generation</w:t>
      </w:r>
      <w:r>
        <w:t xml:space="preserve"> </w:t>
      </w:r>
      <w:r>
        <w:t xml:space="preserve">under REACH and/or prioritisation processes yet to be applied to the substances.</w:t>
      </w:r>
      <w:r>
        <w:t xml:space="preserve"> </w:t>
      </w:r>
      <w:r>
        <w:t xml:space="preserve">The methodological approach to estimating the number of substances expected to be classified</w:t>
      </w:r>
      <w:r>
        <w:t xml:space="preserve"> </w:t>
      </w:r>
      <w:r>
        <w:t xml:space="preserve">for ED, PBT/vPvB or PMT/vPvM properties has been summarised in the sections above. As</w:t>
      </w:r>
      <w:r>
        <w:t xml:space="preserve"> </w:t>
      </w:r>
      <w:r>
        <w:t xml:space="preserve">already mentioned, these numbers have been derived to inform the impact assessment and are</w:t>
      </w:r>
      <w:r>
        <w:t xml:space="preserve"> </w:t>
      </w:r>
      <w:r>
        <w:t xml:space="preserve">associated with substantial uncertainty owing to the fact that the final criteria required for the</w:t>
      </w:r>
      <w:r>
        <w:t xml:space="preserve"> </w:t>
      </w:r>
      <w:r>
        <w:t xml:space="preserve">classification as ED (including categorisation and differentiation by impact area) and for</w:t>
      </w:r>
      <w:r>
        <w:t xml:space="preserve"> </w:t>
      </w:r>
      <w:r>
        <w:t xml:space="preserve">mobility are not yet fully available. Separate legislative proposals to alter the information</w:t>
      </w:r>
      <w:r>
        <w:t xml:space="preserve"> </w:t>
      </w:r>
      <w:r>
        <w:t xml:space="preserve">requirements under REACH to include ED are being examined in the separate study ‘Gather</w:t>
      </w:r>
      <w:r>
        <w:t xml:space="preserve"> </w:t>
      </w:r>
      <w:r>
        <w:t xml:space="preserve">further information to be used in support of an Impact Assessment of potential options, for the</w:t>
      </w:r>
      <w:r>
        <w:t xml:space="preserve"> </w:t>
      </w:r>
      <w:r>
        <w:t xml:space="preserve">update of REACH Annexes for inclusion of data requirements on endocrine disruption’. It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must be stressed that – even if the estimated numbers prove to be close to the real numbers –</w:t>
      </w:r>
      <w:r>
        <w:t xml:space="preserve"> </w:t>
      </w:r>
      <w:r>
        <w:t xml:space="preserve">they would only materialise if all necessary studies have been conducted for all substances.</w:t>
      </w:r>
      <w:r>
        <w:br/>
      </w:r>
      <w:r>
        <w:t xml:space="preserve">Table 49: Estimated number of substances expected to be identified as ED (with</w:t>
      </w:r>
      <w:r>
        <w:t xml:space="preserve"> </w:t>
      </w:r>
      <w:r>
        <w:t xml:space="preserve">categorisation), PBT/vPvB and PMT/vPvM</w:t>
      </w:r>
      <w:r>
        <w:t xml:space="preserve"> </w:t>
      </w:r>
      <w:r>
        <w:t xml:space="preserve">Type of estimate</w:t>
      </w:r>
      <w:r>
        <w:t xml:space="preserve"> </w:t>
      </w:r>
      <w:r>
        <w:t xml:space="preserve">Lower end</w:t>
      </w:r>
      <w:r>
        <w:t xml:space="preserve"> </w:t>
      </w:r>
      <w:r>
        <w:t xml:space="preserve">(AA-1)</w:t>
      </w:r>
      <w:r>
        <w:t xml:space="preserve"> </w:t>
      </w:r>
      <w:r>
        <w:t xml:space="preserve">Central estimate</w:t>
      </w:r>
      <w:r>
        <w:t xml:space="preserve"> </w:t>
      </w:r>
      <w:r>
        <w:t xml:space="preserve">(based on ECHA</w:t>
      </w:r>
      <w:r>
        <w:t xml:space="preserve"> </w:t>
      </w:r>
      <w:r>
        <w:t xml:space="preserve">approach)</w:t>
      </w:r>
      <w:r>
        <w:t xml:space="preserve"> </w:t>
      </w:r>
      <w:r>
        <w:t xml:space="preserve">Upper end</w:t>
      </w:r>
      <w:r>
        <w:t xml:space="preserve"> </w:t>
      </w:r>
      <w:r>
        <w:t xml:space="preserve">(AA-2)</w:t>
      </w:r>
      <w:r>
        <w:t xml:space="preserve"> </w:t>
      </w:r>
      <w:r>
        <w:t xml:space="preserve">ED Cat. 1</w:t>
      </w:r>
      <w:r>
        <w:t xml:space="preserve"> </w:t>
      </w:r>
      <w:r>
        <w:t xml:space="preserve">HH</w:t>
      </w:r>
      <w:r>
        <w:t xml:space="preserve"> </w:t>
      </w:r>
      <w:r>
        <w:t xml:space="preserve">334</w:t>
      </w:r>
      <w:r>
        <w:t xml:space="preserve"> </w:t>
      </w:r>
      <w:r>
        <w:t xml:space="preserve">405</w:t>
      </w:r>
      <w:r>
        <w:t xml:space="preserve"> </w:t>
      </w:r>
      <w:r>
        <w:t xml:space="preserve">510</w:t>
      </w:r>
      <w:r>
        <w:t xml:space="preserve"> </w:t>
      </w:r>
      <w:r>
        <w:t xml:space="preserve">ENV</w:t>
      </w:r>
      <w:r>
        <w:t xml:space="preserve"> </w:t>
      </w:r>
      <w:r>
        <w:t xml:space="preserve">502</w:t>
      </w:r>
      <w:r>
        <w:t xml:space="preserve"> </w:t>
      </w:r>
      <w:r>
        <w:t xml:space="preserve">607</w:t>
      </w:r>
      <w:r>
        <w:t xml:space="preserve"> </w:t>
      </w:r>
      <w:r>
        <w:t xml:space="preserve">766</w:t>
      </w:r>
      <w:r>
        <w:t xml:space="preserve"> </w:t>
      </w:r>
      <w:r>
        <w:t xml:space="preserve">ED Cat. 2</w:t>
      </w:r>
      <w:r>
        <w:t xml:space="preserve"> </w:t>
      </w:r>
      <w:r>
        <w:t xml:space="preserve">HH</w:t>
      </w:r>
      <w:r>
        <w:t xml:space="preserve"> </w:t>
      </w:r>
      <w:r>
        <w:t xml:space="preserve">374</w:t>
      </w:r>
      <w:r>
        <w:t xml:space="preserve"> </w:t>
      </w:r>
      <w:r>
        <w:t xml:space="preserve">453</w:t>
      </w:r>
      <w:r>
        <w:t xml:space="preserve"> </w:t>
      </w:r>
      <w:r>
        <w:t xml:space="preserve">572</w:t>
      </w:r>
      <w:r>
        <w:t xml:space="preserve"> </w:t>
      </w:r>
      <w:r>
        <w:t xml:space="preserve">ENV</w:t>
      </w:r>
      <w:r>
        <w:t xml:space="preserve"> </w:t>
      </w:r>
      <w:r>
        <w:t xml:space="preserve">562</w:t>
      </w:r>
      <w:r>
        <w:t xml:space="preserve"> </w:t>
      </w:r>
      <w:r>
        <w:t xml:space="preserve">680</w:t>
      </w:r>
      <w:r>
        <w:t xml:space="preserve"> </w:t>
      </w:r>
      <w:r>
        <w:t xml:space="preserve">857</w:t>
      </w:r>
      <w:r>
        <w:t xml:space="preserve"> </w:t>
      </w:r>
      <w:r>
        <w:t xml:space="preserve">ED Total</w:t>
      </w:r>
      <w:r>
        <w:t xml:space="preserve"> </w:t>
      </w:r>
      <w:r>
        <w:t xml:space="preserve">HH</w:t>
      </w:r>
      <w:r>
        <w:t xml:space="preserve"> </w:t>
      </w:r>
      <w:r>
        <w:t xml:space="preserve">708</w:t>
      </w:r>
      <w:r>
        <w:t xml:space="preserve"> </w:t>
      </w:r>
      <w:r>
        <w:t xml:space="preserve">858</w:t>
      </w:r>
      <w:r>
        <w:t xml:space="preserve"> </w:t>
      </w:r>
      <w:r>
        <w:t xml:space="preserve">1 082</w:t>
      </w:r>
      <w:r>
        <w:t xml:space="preserve"> </w:t>
      </w:r>
      <w:r>
        <w:t xml:space="preserve">ENV</w:t>
      </w:r>
      <w:r>
        <w:t xml:space="preserve"> </w:t>
      </w:r>
      <w:r>
        <w:t xml:space="preserve">1 064</w:t>
      </w:r>
      <w:r>
        <w:t xml:space="preserve"> </w:t>
      </w:r>
      <w:r>
        <w:t xml:space="preserve">1 287</w:t>
      </w:r>
      <w:r>
        <w:t xml:space="preserve"> </w:t>
      </w:r>
      <w:r>
        <w:t xml:space="preserve">1 623</w:t>
      </w:r>
      <w:r>
        <w:t xml:space="preserve"> </w:t>
      </w:r>
      <w:r>
        <w:t xml:space="preserve">All*</w:t>
      </w:r>
      <w:r>
        <w:t xml:space="preserve"> </w:t>
      </w:r>
      <w:r>
        <w:t xml:space="preserve">1 772*</w:t>
      </w:r>
      <w:r>
        <w:t xml:space="preserve"> </w:t>
      </w:r>
      <w:r>
        <w:t xml:space="preserve">2 145*</w:t>
      </w:r>
      <w:r>
        <w:t xml:space="preserve"> </w:t>
      </w:r>
      <w:r>
        <w:t xml:space="preserve">2 705*</w:t>
      </w:r>
      <w:r>
        <w:t xml:space="preserve"> </w:t>
      </w:r>
      <w:r>
        <w:t xml:space="preserve">PBT</w:t>
      </w:r>
      <w:r>
        <w:t xml:space="preserve"> </w:t>
      </w:r>
      <w:r>
        <w:t xml:space="preserve">64</w:t>
      </w:r>
      <w:r>
        <w:t xml:space="preserve"> </w:t>
      </w:r>
      <w:r>
        <w:t xml:space="preserve">178</w:t>
      </w:r>
      <w:r>
        <w:t xml:space="preserve"> </w:t>
      </w:r>
      <w:r>
        <w:t xml:space="preserve">381</w:t>
      </w:r>
      <w:r>
        <w:t xml:space="preserve"> </w:t>
      </w:r>
      <w:r>
        <w:t xml:space="preserve">vPvB</w:t>
      </w:r>
      <w:r>
        <w:t xml:space="preserve"> </w:t>
      </w:r>
      <w:r>
        <w:t xml:space="preserve">79</w:t>
      </w:r>
      <w:r>
        <w:t xml:space="preserve"> </w:t>
      </w:r>
      <w:r>
        <w:t xml:space="preserve">218</w:t>
      </w:r>
      <w:r>
        <w:t xml:space="preserve"> </w:t>
      </w:r>
      <w:r>
        <w:t xml:space="preserve">466</w:t>
      </w:r>
      <w:r>
        <w:t xml:space="preserve"> </w:t>
      </w:r>
      <w:r>
        <w:t xml:space="preserve">PBT/vPvB tot.</w:t>
      </w:r>
      <w:r>
        <w:t xml:space="preserve"> </w:t>
      </w:r>
      <w:r>
        <w:t xml:space="preserve">143</w:t>
      </w:r>
      <w:r>
        <w:t xml:space="preserve"> </w:t>
      </w:r>
      <w:r>
        <w:t xml:space="preserve">396</w:t>
      </w:r>
      <w:r>
        <w:t xml:space="preserve"> </w:t>
      </w:r>
      <w:r>
        <w:t xml:space="preserve">847</w:t>
      </w:r>
      <w:r>
        <w:t xml:space="preserve"> </w:t>
      </w:r>
      <w:r>
        <w:t xml:space="preserve">PMT</w:t>
      </w:r>
      <w:r>
        <w:t xml:space="preserve"> </w:t>
      </w:r>
      <w:r>
        <w:t xml:space="preserve">46**</w:t>
      </w:r>
      <w:r>
        <w:t xml:space="preserve"> </w:t>
      </w:r>
      <w:r>
        <w:t xml:space="preserve">92</w:t>
      </w:r>
      <w:r>
        <w:t xml:space="preserve"> </w:t>
      </w:r>
      <w:r>
        <w:t xml:space="preserve">277</w:t>
      </w:r>
      <w:r>
        <w:t xml:space="preserve"> </w:t>
      </w:r>
      <w:r>
        <w:t xml:space="preserve">vPvM</w:t>
      </w:r>
      <w:r>
        <w:t xml:space="preserve"> </w:t>
      </w:r>
      <w:r>
        <w:t xml:space="preserve">112**</w:t>
      </w:r>
      <w:r>
        <w:t xml:space="preserve"> </w:t>
      </w:r>
      <w:r>
        <w:t xml:space="preserve">139</w:t>
      </w:r>
      <w:r>
        <w:t xml:space="preserve"> </w:t>
      </w:r>
      <w:r>
        <w:t xml:space="preserve">416</w:t>
      </w:r>
      <w:r>
        <w:t xml:space="preserve"> </w:t>
      </w:r>
      <w:r>
        <w:t xml:space="preserve">PMT/vPvM</w:t>
      </w:r>
      <w:r>
        <w:t xml:space="preserve"> </w:t>
      </w:r>
      <w:r>
        <w:t xml:space="preserve">tot.</w:t>
      </w:r>
      <w:r>
        <w:t xml:space="preserve"> </w:t>
      </w:r>
      <w:r>
        <w:t xml:space="preserve">158**</w:t>
      </w:r>
      <w:r>
        <w:t xml:space="preserve"> </w:t>
      </w:r>
      <w:r>
        <w:t xml:space="preserve">231</w:t>
      </w:r>
      <w:r>
        <w:t xml:space="preserve"> </w:t>
      </w:r>
      <w:r>
        <w:t xml:space="preserve">693</w:t>
      </w:r>
    </w:p>
    <w:p>
      <w:pPr>
        <w:pStyle w:val="BodyText"/>
      </w:pPr>
      <w:r>
        <w:t xml:space="preserve">As noted in Ricardo (2021), ‘the inclusion of new hazard classes in CLP will not result in an</w:t>
      </w:r>
      <w:r>
        <w:t xml:space="preserve"> </w:t>
      </w:r>
      <w:r>
        <w:t xml:space="preserve">immediate EU-harmonization of classifications to the new hazard classes. The process will</w:t>
      </w:r>
      <w:r>
        <w:t xml:space="preserve"> </w:t>
      </w:r>
      <w:r>
        <w:t xml:space="preserve">take place gradually, following the harmonised classification and labelling (CLH) processes</w:t>
      </w:r>
      <w:r>
        <w:t xml:space="preserve"> </w:t>
      </w:r>
      <w:r>
        <w:t xml:space="preserve">and subject to the existing or newly generated evidence necessary to support classification, as</w:t>
      </w:r>
      <w:r>
        <w:t xml:space="preserve"> </w:t>
      </w:r>
      <w:r>
        <w:t xml:space="preserve">well as resource availability from authorities’.</w:t>
      </w:r>
      <w:r>
        <w:t xml:space="preserve"> </w:t>
      </w:r>
      <w:r>
        <w:t xml:space="preserve">It is assumed that policy option 1a would enter into force in 2023 and, as a consequence, those</w:t>
      </w:r>
      <w:r>
        <w:t xml:space="preserve"> </w:t>
      </w:r>
      <w:r>
        <w:t xml:space="preserve">substances already identified as entailing these hazards would have to be classified and labelled</w:t>
      </w:r>
      <w:r>
        <w:t xml:space="preserve"> </w:t>
      </w:r>
      <w:r>
        <w:t xml:space="preserve">accordingly. As presented in the baseline, 113 substances have been identified as having ED</w:t>
      </w:r>
      <w:r>
        <w:t xml:space="preserve"> </w:t>
      </w:r>
      <w:r>
        <w:t xml:space="preserve">properties, but only 13 are still registered and therefore on the market, although for some</w:t>
      </w:r>
      <w:r>
        <w:t xml:space="preserve"> </w:t>
      </w:r>
      <w:r>
        <w:t xml:space="preserve">substances currently classified as toxic to the reproductive system there may be already</w:t>
      </w:r>
      <w:r>
        <w:t xml:space="preserve"> </w:t>
      </w:r>
      <w:r>
        <w:t xml:space="preserve">sufficient information for a classification as EDs. While CLP requirements cover all</w:t>
      </w:r>
      <w:r>
        <w:t xml:space="preserve"> </w:t>
      </w:r>
      <w:r>
        <w:t xml:space="preserve">substances, including those not registered, the main driver to the identification of EDs will be</w:t>
      </w:r>
      <w:r>
        <w:t xml:space="preserve"> </w:t>
      </w:r>
      <w:r>
        <w:t xml:space="preserve">the inclusion of additional testing requirements in REACH and the follow-up activities to the</w:t>
      </w:r>
      <w:r>
        <w:t xml:space="preserve"> </w:t>
      </w:r>
      <w:r>
        <w:t xml:space="preserve">screening of the chemical universe of registered substances to identify substances of concern</w:t>
      </w:r>
      <w:r>
        <w:t xml:space="preserve"> </w:t>
      </w:r>
      <w:r>
        <w:t xml:space="preserve">carried out in the framework of the IRS by ECHA and MSCAs. It is assumed that the inclusion</w:t>
      </w:r>
      <w:r>
        <w:t xml:space="preserve"> </w:t>
      </w:r>
      <w:r>
        <w:t xml:space="preserve">of ED testing requirements in REACH would result in the identification of ED substances over</w:t>
      </w:r>
      <w:r>
        <w:t xml:space="preserve"> </w:t>
      </w:r>
      <w:r>
        <w:t xml:space="preserve">time, as registrants submit testing proposals and generate information, and ECHA carries</w:t>
      </w:r>
      <w:r>
        <w:t xml:space="preserve"> </w:t>
      </w:r>
      <w:r>
        <w:t xml:space="preserve">compliance check, testing proposal examination and substance evaluation and ask for</w:t>
      </w:r>
      <w:r>
        <w:t xml:space="preserve"> </w:t>
      </w:r>
      <w:r>
        <w:t xml:space="preserve">additional data. Indeed, many substances would be identified through follow-up activities by</w:t>
      </w:r>
      <w:r>
        <w:t xml:space="preserve"> </w:t>
      </w:r>
      <w:r>
        <w:t xml:space="preserve">ECHA and MSCAs, e.g. asking for additional or different tests. It is assumed that the new</w:t>
      </w:r>
      <w:r>
        <w:t xml:space="preserve"> </w:t>
      </w:r>
      <w:r>
        <w:t xml:space="preserve">hazard classes — or better, the new endpoints — will be included among those endpoints145</w:t>
      </w:r>
      <w:r>
        <w:t xml:space="preserve"> </w:t>
      </w:r>
      <w:r>
        <w:t xml:space="preserve">for which scoping review, compliance check and request of missing information are always</w:t>
      </w:r>
    </w:p>
    <w:p>
      <w:pPr>
        <w:pStyle w:val="BodyText"/>
      </w:pPr>
      <w:r>
        <w:t xml:space="preserve">145 So-called ‘super endpoints’: genotoxicity, repeated-dose toxicity, pre-natal development toxicity, reproduction</w:t>
      </w:r>
      <w:r>
        <w:t xml:space="preserve"> </w:t>
      </w:r>
      <w:r>
        <w:t xml:space="preserve">toxicity, carcinogenicity, long-term aquatic toxicity, biodegradation and bioaccumulation.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performed. As illustrative examples, a typical PBT battery of simulation, bioaccumulation and</w:t>
      </w:r>
      <w:r>
        <w:t xml:space="preserve"> </w:t>
      </w:r>
      <w:r>
        <w:t xml:space="preserve">aquatic toxicity may take between three to five years to carry out. A basic Extended One-</w:t>
      </w:r>
      <w:r>
        <w:t xml:space="preserve"> </w:t>
      </w:r>
      <w:r>
        <w:t xml:space="preserve">Generation Reproductive Toxicity Study (EOGRTS) study takes minimum two years and</w:t>
      </w:r>
      <w:r>
        <w:t xml:space="preserve"> </w:t>
      </w:r>
      <w:r>
        <w:t xml:space="preserve">requires assessment prior to testing and again afterwards to check test compliance. Moreover,</w:t>
      </w:r>
      <w:r>
        <w:t xml:space="preserve"> </w:t>
      </w:r>
      <w:r>
        <w:t xml:space="preserve">companies may face limited laboratory capacity to contract the testing, further delaying the</w:t>
      </w:r>
      <w:r>
        <w:t xml:space="preserve"> </w:t>
      </w:r>
      <w:r>
        <w:t xml:space="preserve">generation and checking of data.146</w:t>
      </w:r>
      <w:r>
        <w:br/>
      </w:r>
      <w:r>
        <w:t xml:space="preserve">It is likely that also for PMT/vPvM substances there will be generation of new data, following</w:t>
      </w:r>
      <w:r>
        <w:t xml:space="preserve"> </w:t>
      </w:r>
      <w:r>
        <w:t xml:space="preserve">the revision of REACH information requirements to ensure adequate data for classification.147</w:t>
      </w:r>
      <w:r>
        <w:t xml:space="preserve"> </w:t>
      </w:r>
      <w:r>
        <w:t xml:space="preserve">For PBT/vPvB properties, it is assumed that the REACH Annex XIII identification criteria are</w:t>
      </w:r>
      <w:r>
        <w:t xml:space="preserve"> </w:t>
      </w:r>
      <w:r>
        <w:t xml:space="preserve">moved to Annex I of CLP, but the requirement for a PBT/vPvB assessment remain for</w:t>
      </w:r>
      <w:r>
        <w:t xml:space="preserve"> </w:t>
      </w:r>
      <w:r>
        <w:t xml:space="preserve">substances manufactured or imported in quantities of 10 tonnes or more per year per registrant</w:t>
      </w:r>
      <w:r>
        <w:t xml:space="preserve"> </w:t>
      </w:r>
      <w:r>
        <w:t xml:space="preserve">(Article 14 of REACH).</w:t>
      </w:r>
      <w:r>
        <w:t xml:space="preserve"> </w:t>
      </w:r>
      <w:r>
        <w:t xml:space="preserve">In summary, the substances that are expected to be (self-)classified, labelled and notified for</w:t>
      </w:r>
      <w:r>
        <w:t xml:space="preserve"> </w:t>
      </w:r>
      <w:r>
        <w:t xml:space="preserve">the new hazard classes will be identified through the generation of new data because of new</w:t>
      </w:r>
      <w:r>
        <w:t xml:space="preserve"> </w:t>
      </w:r>
      <w:r>
        <w:t xml:space="preserve">information requirements and follow up activities by ECHA and MSCAs. Table 50 shows the</w:t>
      </w:r>
      <w:r>
        <w:t xml:space="preserve"> </w:t>
      </w:r>
      <w:r>
        <w:t xml:space="preserve">lower end, central, and upper end estimates of the number of substances that could have the</w:t>
      </w:r>
      <w:r>
        <w:t xml:space="preserve"> </w:t>
      </w:r>
      <w:r>
        <w:t xml:space="preserve">considered properties</w:t>
      </w:r>
      <w:r>
        <w:t xml:space="preserve"> </w:t>
      </w:r>
      <w:r>
        <w:t xml:space="preserve">Table 50: Number of substances expected to be classified for the new hazard classes</w:t>
      </w:r>
    </w:p>
    <w:p>
      <w:pPr>
        <w:pStyle w:val="BodyText"/>
      </w:pPr>
      <w:r>
        <w:t xml:space="preserve">ED</w:t>
      </w:r>
      <w:r>
        <w:t xml:space="preserve"> </w:t>
      </w:r>
      <w:r>
        <w:t xml:space="preserve">PBT/vPvB</w:t>
      </w:r>
      <w:r>
        <w:t xml:space="preserve"> </w:t>
      </w:r>
      <w:r>
        <w:t xml:space="preserve">PMT/vPvM</w:t>
      </w:r>
      <w:r>
        <w:t xml:space="preserve"> </w:t>
      </w:r>
      <w:r>
        <w:t xml:space="preserve">Number of substances – lower end estimate</w:t>
      </w:r>
      <w:r>
        <w:t xml:space="preserve"> </w:t>
      </w:r>
      <w:r>
        <w:t xml:space="preserve">1,772</w:t>
      </w:r>
      <w:r>
        <w:t xml:space="preserve"> </w:t>
      </w:r>
      <w:r>
        <w:t xml:space="preserve">143</w:t>
      </w:r>
      <w:r>
        <w:t xml:space="preserve"> </w:t>
      </w:r>
      <w:r>
        <w:t xml:space="preserve">158</w:t>
      </w:r>
      <w:r>
        <w:t xml:space="preserve"> </w:t>
      </w:r>
      <w:r>
        <w:t xml:space="preserve">Number of substances - central estimate</w:t>
      </w:r>
      <w:r>
        <w:t xml:space="preserve"> </w:t>
      </w:r>
      <w:r>
        <w:t xml:space="preserve">2145</w:t>
      </w:r>
      <w:r>
        <w:t xml:space="preserve"> </w:t>
      </w:r>
      <w:r>
        <w:t xml:space="preserve">396</w:t>
      </w:r>
      <w:r>
        <w:t xml:space="preserve"> </w:t>
      </w:r>
      <w:r>
        <w:t xml:space="preserve">231</w:t>
      </w:r>
      <w:r>
        <w:t xml:space="preserve"> </w:t>
      </w:r>
      <w:r>
        <w:t xml:space="preserve">Number of substances – upper end estimate</w:t>
      </w:r>
      <w:r>
        <w:t xml:space="preserve"> </w:t>
      </w:r>
      <w:r>
        <w:t xml:space="preserve">2,705</w:t>
      </w:r>
      <w:r>
        <w:t xml:space="preserve"> </w:t>
      </w:r>
      <w:r>
        <w:t xml:space="preserve">847</w:t>
      </w:r>
      <w:r>
        <w:t xml:space="preserve"> </w:t>
      </w:r>
      <w:r>
        <w:t xml:space="preserve">693</w:t>
      </w:r>
    </w:p>
    <w:p>
      <w:pPr>
        <w:pStyle w:val="BodyText"/>
      </w:pPr>
      <w:r>
        <w:t xml:space="preserve">More accurately, Table 50 relates to the number of classifications for substances rather than</w:t>
      </w:r>
      <w:r>
        <w:t xml:space="preserve"> </w:t>
      </w:r>
      <w:r>
        <w:t xml:space="preserve">the number of substances. This is because some substances may meet the classification criteria</w:t>
      </w:r>
      <w:r>
        <w:t xml:space="preserve"> </w:t>
      </w:r>
      <w:r>
        <w:t xml:space="preserve">for more than one of the hazards. To account for such overlap, ECHA’s estimates for the Basket</w:t>
      </w:r>
      <w:r>
        <w:t xml:space="preserve"> </w:t>
      </w:r>
      <w:r>
        <w:t xml:space="preserve">1 (confirmed) and Basket 2 (pending conclusion) substances have been examined. For these</w:t>
      </w:r>
      <w:r>
        <w:t xml:space="preserve"> </w:t>
      </w:r>
      <w:r>
        <w:t xml:space="preserve">Basket 1 and 2 substances the identity of substances is known and hence it is possible to identify</w:t>
      </w:r>
      <w:r>
        <w:t xml:space="preserve"> </w:t>
      </w:r>
      <w:r>
        <w:t xml:space="preserve">which substances meet (or are being considered may meet) classification for one, two or three</w:t>
      </w:r>
      <w:r>
        <w:t xml:space="preserve"> </w:t>
      </w:r>
      <w:r>
        <w:t xml:space="preserve">of the hazards (ED, PBT/vPvB and PMT/vPvM). The extent of this overlap is described in</w:t>
      </w:r>
      <w:r>
        <w:t xml:space="preserve"> </w:t>
      </w:r>
      <w:r>
        <w:t xml:space="preserve">Table 51. This suggests that, of the 936 substances identified in Basket 1 or 2 by ECHA, 801</w:t>
      </w:r>
      <w:r>
        <w:t xml:space="preserve"> </w:t>
      </w:r>
      <w:r>
        <w:t xml:space="preserve">meet (or may meet) criteria for one hazard, 128 for two of the hazards and 7 for three. Thus,</w:t>
      </w:r>
      <w:r>
        <w:t xml:space="preserve"> </w:t>
      </w:r>
      <w:r>
        <w:t xml:space="preserve">for 801 of the substances, a single hazard is captured in any cycle of re-classification for a</w:t>
      </w:r>
      <w:r>
        <w:t xml:space="preserve"> </w:t>
      </w:r>
      <w:r>
        <w:t xml:space="preserve">substance, for 128, two hazards are captured in any cycle of reclassification and for 7, three</w:t>
      </w:r>
      <w:r>
        <w:t xml:space="preserve"> </w:t>
      </w:r>
      <w:r>
        <w:t xml:space="preserve">hazards are captured resulting in an average of 1.15 hazards per substance. To account for this</w:t>
      </w:r>
      <w:r>
        <w:t xml:space="preserve"> </w:t>
      </w:r>
      <w:r>
        <w:t xml:space="preserve">overlap when calculating costs per hazard identified, costs of the actions required have been</w:t>
      </w:r>
      <w:r>
        <w:t xml:space="preserve"> </w:t>
      </w:r>
      <w:r>
        <w:t xml:space="preserve">adjusted to 87% of the unit costs.</w:t>
      </w:r>
      <w:r>
        <w:t xml:space="preserve"> </w:t>
      </w:r>
      <w:r>
        <w:t xml:space="preserve">Table 51: Overlap in substances meeting one or more hazard criteria</w:t>
      </w:r>
    </w:p>
    <w:p>
      <w:pPr>
        <w:pStyle w:val="BodyText"/>
      </w:pPr>
      <w:r>
        <w:t xml:space="preserve">Number of substances</w:t>
      </w:r>
      <w:r>
        <w:t xml:space="preserve"> </w:t>
      </w:r>
      <w:r>
        <w:t xml:space="preserve">on Basket 1 or 2</w:t>
      </w:r>
      <w:r>
        <w:t xml:space="preserve"> </w:t>
      </w:r>
      <w:r>
        <w:t xml:space="preserve">Number of hazards</w:t>
      </w:r>
      <w:r>
        <w:t xml:space="preserve"> </w:t>
      </w:r>
      <w:r>
        <w:t xml:space="preserve">considered</w:t>
      </w:r>
      <w:r>
        <w:t xml:space="preserve"> </w:t>
      </w:r>
      <w:r>
        <w:t xml:space="preserve">Number with one new hazard classification</w:t>
      </w:r>
      <w:r>
        <w:t xml:space="preserve"> </w:t>
      </w:r>
      <w:r>
        <w:t xml:space="preserve">801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146 See the final report of the supporting study to ‘Gather Further Information to be Used in Support of an Impact</w:t>
      </w:r>
      <w:r>
        <w:t xml:space="preserve"> </w:t>
      </w:r>
      <w:r>
        <w:t xml:space="preserve">Assessment of Potential Options, for the Update of REACH Annexes for Inclusion of Data Requirements on</w:t>
      </w:r>
      <w:r>
        <w:t xml:space="preserve"> </w:t>
      </w:r>
      <w:r>
        <w:t xml:space="preserve">Endocrine Disruption’.</w:t>
      </w:r>
      <w:r>
        <w:t xml:space="preserve"> </w:t>
      </w:r>
      <w:r>
        <w:t xml:space="preserve">147 Currently information requirements for simulation tests in soil and sediment and adsorption desorption can be</w:t>
      </w:r>
      <w:r>
        <w:t xml:space="preserve"> </w:t>
      </w:r>
      <w:r>
        <w:t xml:space="preserve">waived if the substance is not adsorptive.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Number with two new hazard classifications</w:t>
      </w:r>
      <w:r>
        <w:t xml:space="preserve"> </w:t>
      </w:r>
      <w:r>
        <w:t xml:space="preserve">128</w:t>
      </w:r>
      <w:r>
        <w:t xml:space="preserve"> </w:t>
      </w:r>
      <w:r>
        <w:t xml:space="preserve">2</w:t>
      </w:r>
      <w:r>
        <w:t xml:space="preserve"> </w:t>
      </w:r>
      <w:r>
        <w:t xml:space="preserve">Number with three new hazard classifications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Total substances/hazards</w:t>
      </w:r>
      <w:r>
        <w:t xml:space="preserve"> </w:t>
      </w:r>
      <w:r>
        <w:t xml:space="preserve">936</w:t>
      </w:r>
      <w:r>
        <w:t xml:space="preserve"> </w:t>
      </w:r>
      <w:r>
        <w:t xml:space="preserve">1,078</w:t>
      </w:r>
      <w:r>
        <w:t xml:space="preserve"> </w:t>
      </w:r>
      <w:r>
        <w:t xml:space="preserve">Hazards per substance</w:t>
      </w:r>
    </w:p>
    <w:p>
      <w:pPr>
        <w:pStyle w:val="BodyText"/>
      </w:pPr>
      <w:r>
        <w:t xml:space="preserve">1.15</w:t>
      </w:r>
      <w:r>
        <w:t xml:space="preserve"> </w:t>
      </w:r>
      <w:r>
        <w:t xml:space="preserve">Adjustment factor</w:t>
      </w:r>
    </w:p>
    <w:p>
      <w:pPr>
        <w:pStyle w:val="BodyText"/>
      </w:pPr>
      <w:r>
        <w:t xml:space="preserve">0.87 (1/1.15)</w:t>
      </w:r>
    </w:p>
    <w:p>
      <w:pPr>
        <w:pStyle w:val="BodyText"/>
      </w:pPr>
      <w:r>
        <w:t xml:space="preserve">Economic impacts of PO1a</w:t>
      </w:r>
      <w:r>
        <w:t xml:space="preserve"> </w:t>
      </w:r>
      <w:r>
        <w:t xml:space="preserve">PO1a: Administrative costs on businesses and conduct of business</w:t>
      </w:r>
      <w:r>
        <w:t xml:space="preserve"> </w:t>
      </w:r>
      <w:r>
        <w:t xml:space="preserve">Under PO1a, manufacturers and importers of substances meeting classification for one or more</w:t>
      </w:r>
      <w:r>
        <w:t xml:space="preserve"> </w:t>
      </w:r>
      <w:r>
        <w:t xml:space="preserve">of the hazards would be required to classify the substances accordingly. Action would also be</w:t>
      </w:r>
      <w:r>
        <w:t xml:space="preserve"> </w:t>
      </w:r>
      <w:r>
        <w:t xml:space="preserve">required to provide a notification to the CLI and communicate to downstream users by means</w:t>
      </w:r>
      <w:r>
        <w:t xml:space="preserve"> </w:t>
      </w:r>
      <w:r>
        <w:t xml:space="preserve">of labelling and revised SDS. In turn, formulators that are incorporating the substance into</w:t>
      </w:r>
      <w:r>
        <w:t xml:space="preserve"> </w:t>
      </w:r>
      <w:r>
        <w:t xml:space="preserve">mixtures would have to carry out mixture classification and label mixtures accordingly and</w:t>
      </w:r>
      <w:r>
        <w:t xml:space="preserve"> </w:t>
      </w:r>
      <w:r>
        <w:t xml:space="preserve">provide necessary documentation to SDS. Depending on the outcomes, mixtures might also be</w:t>
      </w:r>
      <w:r>
        <w:t xml:space="preserve"> </w:t>
      </w:r>
      <w:r>
        <w:t xml:space="preserve">reformulated. The unit costs of these activities are provided in Table 51 and adjusted by the</w:t>
      </w:r>
      <w:r>
        <w:t xml:space="preserve"> </w:t>
      </w:r>
      <w:r>
        <w:t xml:space="preserve">factor of 0.87 for correct application to information on the number of substances identified with</w:t>
      </w:r>
      <w:r>
        <w:t xml:space="preserve"> </w:t>
      </w:r>
      <w:r>
        <w:t xml:space="preserve">each hazard (see Table 50). The cost of classification and SDS revision of PBT/vPvB</w:t>
      </w:r>
      <w:r>
        <w:t xml:space="preserve"> </w:t>
      </w:r>
      <w:r>
        <w:t xml:space="preserve">substances is not accounted for, as PBT/vPvB assessment is already obligatory under REACH,</w:t>
      </w:r>
      <w:r>
        <w:t xml:space="preserve"> </w:t>
      </w:r>
      <w:r>
        <w:t xml:space="preserve">although it applies to substances manufactured and imported in quantities above 10 tonnes per</w:t>
      </w:r>
      <w:r>
        <w:t xml:space="preserve"> </w:t>
      </w:r>
      <w:r>
        <w:t xml:space="preserve">year per registrant only. Also for EDs, the cost of classification and SDS revision is not</w:t>
      </w:r>
      <w:r>
        <w:t xml:space="preserve"> </w:t>
      </w:r>
      <w:r>
        <w:t xml:space="preserve">accounted for, as ‘the inclusion of a substance in the Candidate List for authorisation due to</w:t>
      </w:r>
      <w:r>
        <w:t xml:space="preserve"> </w:t>
      </w:r>
      <w:r>
        <w:t xml:space="preserve">concerns for endocrine disrupting effects triggers additional provisions for risk assessment</w:t>
      </w:r>
      <w:r>
        <w:t xml:space="preserve"> </w:t>
      </w:r>
      <w:r>
        <w:t xml:space="preserve">(Chemical Safety Report) and risk communication (Safety Data Sheet)’ (EC, 2020b).</w:t>
      </w:r>
      <w:r>
        <w:t xml:space="preserve"> </w:t>
      </w:r>
      <w:r>
        <w:t xml:space="preserve">Table 52: Unit costs of actions for manufacturers and importers of substances (per substance par company)</w:t>
      </w:r>
      <w:r>
        <w:t xml:space="preserve"> </w:t>
      </w:r>
      <w:r>
        <w:t xml:space="preserve">Cost Element</w:t>
      </w:r>
      <w:r>
        <w:t xml:space="preserve"> </w:t>
      </w:r>
      <w:r>
        <w:t xml:space="preserve">Base value</w:t>
      </w:r>
      <w:r>
        <w:t xml:space="preserve"> </w:t>
      </w:r>
      <w:r>
        <w:t xml:space="preserve">used in</w:t>
      </w:r>
      <w:r>
        <w:t xml:space="preserve"> </w:t>
      </w:r>
      <w:r>
        <w:t xml:space="preserve">calculations</w:t>
      </w:r>
      <w:r>
        <w:t xml:space="preserve"> </w:t>
      </w:r>
      <w:r>
        <w:t xml:space="preserve">As adjusted</w:t>
      </w:r>
      <w:r>
        <w:t xml:space="preserve"> </w:t>
      </w:r>
      <w:r>
        <w:t xml:space="preserve">(87%)</w:t>
      </w:r>
      <w:r>
        <w:t xml:space="preserve"> </w:t>
      </w:r>
      <w:r>
        <w:t xml:space="preserve">Euro (2022)</w:t>
      </w:r>
      <w:r>
        <w:t xml:space="preserve"> </w:t>
      </w:r>
      <w:r>
        <w:t xml:space="preserve">Classification of a single substance according to CLP</w:t>
      </w:r>
      <w:r>
        <w:t xml:space="preserve"> </w:t>
      </w:r>
      <w:r>
        <w:t xml:space="preserve">€ 400</w:t>
      </w:r>
      <w:r>
        <w:t xml:space="preserve"> </w:t>
      </w:r>
      <w:r>
        <w:t xml:space="preserve">€ 347.31</w:t>
      </w:r>
      <w:r>
        <w:t xml:space="preserve"> </w:t>
      </w:r>
      <w:r>
        <w:t xml:space="preserve">€ 378</w:t>
      </w:r>
      <w:r>
        <w:t xml:space="preserve"> </w:t>
      </w:r>
      <w:r>
        <w:t xml:space="preserve">Cost of re-labelling in line with CLP</w:t>
      </w:r>
      <w:r>
        <w:t xml:space="preserve"> </w:t>
      </w:r>
      <w:r>
        <w:t xml:space="preserve">€ 388</w:t>
      </w:r>
      <w:r>
        <w:t xml:space="preserve"> </w:t>
      </w:r>
      <w:r>
        <w:t xml:space="preserve">€ 336.89</w:t>
      </w:r>
      <w:r>
        <w:t xml:space="preserve"> </w:t>
      </w:r>
      <w:r>
        <w:t xml:space="preserve">€ 367</w:t>
      </w:r>
      <w:r>
        <w:t xml:space="preserve"> </w:t>
      </w:r>
      <w:r>
        <w:t xml:space="preserve">Cost of notification*</w:t>
      </w:r>
      <w:r>
        <w:t xml:space="preserve"> </w:t>
      </w:r>
      <w:r>
        <w:t xml:space="preserve">€ 7.20</w:t>
      </w:r>
      <w:r>
        <w:t xml:space="preserve"> </w:t>
      </w:r>
      <w:r>
        <w:t xml:space="preserve">€ 6.25</w:t>
      </w:r>
      <w:r>
        <w:t xml:space="preserve"> </w:t>
      </w:r>
      <w:r>
        <w:t xml:space="preserve">€ 7.4</w:t>
      </w:r>
      <w:r>
        <w:t xml:space="preserve"> </w:t>
      </w:r>
      <w:r>
        <w:t xml:space="preserve">Total cost of classification, labelling and notification of</w:t>
      </w:r>
      <w:r>
        <w:t xml:space="preserve"> </w:t>
      </w:r>
      <w:r>
        <w:t xml:space="preserve">PMT/vPvM substances</w:t>
      </w:r>
      <w:r>
        <w:t xml:space="preserve"> </w:t>
      </w:r>
      <w:r>
        <w:t xml:space="preserve">€ 795</w:t>
      </w:r>
    </w:p>
    <w:p>
      <w:pPr>
        <w:pStyle w:val="BodyText"/>
      </w:pPr>
      <w:r>
        <w:t xml:space="preserve">€ 752</w:t>
      </w:r>
      <w:r>
        <w:t xml:space="preserve"> </w:t>
      </w:r>
      <w:r>
        <w:t xml:space="preserve">Total cost of labelling of ED and PBT/vPvB substances</w:t>
      </w:r>
      <w:r>
        <w:t xml:space="preserve"> </w:t>
      </w:r>
      <w:r>
        <w:t xml:space="preserve">€ 395</w:t>
      </w:r>
      <w:r>
        <w:t xml:space="preserve"> </w:t>
      </w:r>
      <w:r>
        <w:t xml:space="preserve">€ 367.54</w:t>
      </w:r>
      <w:r>
        <w:t xml:space="preserve"> </w:t>
      </w:r>
      <w:r>
        <w:t xml:space="preserve">€ 374</w:t>
      </w:r>
      <w:r>
        <w:t xml:space="preserve"> </w:t>
      </w:r>
      <w:r>
        <w:t xml:space="preserve">Cost of updating and distributing revised SDS</w:t>
      </w:r>
      <w:r>
        <w:t xml:space="preserve"> </w:t>
      </w:r>
      <w:r>
        <w:t xml:space="preserve">€ 250</w:t>
      </w:r>
      <w:r>
        <w:t xml:space="preserve"> </w:t>
      </w:r>
      <w:r>
        <w:t xml:space="preserve">€ 217.07</w:t>
      </w:r>
      <w:r>
        <w:t xml:space="preserve"> </w:t>
      </w:r>
      <w:r>
        <w:t xml:space="preserve">€ 237</w:t>
      </w:r>
      <w:r>
        <w:t xml:space="preserve"> </w:t>
      </w:r>
      <w:r>
        <w:t xml:space="preserve">Source: RPA et al. (2017b, p. 72)</w:t>
      </w:r>
      <w:r>
        <w:t xml:space="preserve"> </w:t>
      </w:r>
      <w:r>
        <w:t xml:space="preserve">Notes: *0.18 hours at €40.5 per hour</w:t>
      </w:r>
    </w:p>
    <w:p>
      <w:pPr>
        <w:pStyle w:val="BodyText"/>
      </w:pPr>
      <w:r>
        <w:t xml:space="preserve">For ED and PBT/vPvB substances, the information is already required to be included in the</w:t>
      </w:r>
      <w:r>
        <w:t xml:space="preserve"> </w:t>
      </w:r>
      <w:r>
        <w:t xml:space="preserve">SDS, so this cost is not accounted for.</w:t>
      </w:r>
      <w:r>
        <w:t xml:space="preserve"> </w:t>
      </w:r>
      <w:r>
        <w:t xml:space="preserve">Total cost of classification, labelling and notification of substances</w:t>
      </w:r>
      <w:r>
        <w:t xml:space="preserve"> </w:t>
      </w:r>
      <w:r>
        <w:t xml:space="preserve">The unit costs of classification, labelling and notification are expressed on a per substance per</w:t>
      </w:r>
      <w:r>
        <w:t xml:space="preserve"> </w:t>
      </w:r>
      <w:r>
        <w:t xml:space="preserve">company</w:t>
      </w:r>
      <w:r>
        <w:t xml:space="preserve"> </w:t>
      </w:r>
      <w:r>
        <w:t xml:space="preserve">basis</w:t>
      </w:r>
      <w:r>
        <w:t xml:space="preserve"> </w:t>
      </w:r>
      <w:r>
        <w:t xml:space="preserve">and</w:t>
      </w:r>
      <w:r>
        <w:t xml:space="preserve"> </w:t>
      </w:r>
      <w:r>
        <w:t xml:space="preserve">so</w:t>
      </w:r>
      <w:r>
        <w:t xml:space="preserve"> </w:t>
      </w:r>
      <w:r>
        <w:t xml:space="preserve">require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companies</w:t>
      </w:r>
      <w:r>
        <w:t xml:space="preserve"> </w:t>
      </w:r>
      <w:r>
        <w:t xml:space="preserve">manufacturing/importing each substance. The ECHA information on the identity of the Baskets</w:t>
      </w:r>
      <w:r>
        <w:t xml:space="preserve"> </w:t>
      </w:r>
      <w:r>
        <w:t xml:space="preserve">1 (confirmed) and 2 (pending) substances has been compared with REACH registration</w:t>
      </w:r>
      <w:r>
        <w:t xml:space="preserve"> </w:t>
      </w:r>
      <w:r>
        <w:t xml:space="preserve">database data on the number of active registrations. From these data, the average number of</w:t>
      </w:r>
      <w:r>
        <w:t xml:space="preserve"> </w:t>
      </w:r>
      <w:r>
        <w:t xml:space="preserve">registrants by company size can be extracted for each of the hazards. These data are provided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in Table 52 and suggest that there are 11.19 companies on average for substances with ED</w:t>
      </w:r>
      <w:r>
        <w:t xml:space="preserve"> </w:t>
      </w:r>
      <w:r>
        <w:t xml:space="preserve">properties, 6.14 for PBT/vPvB and 6.7 for PMT/vPvM.</w:t>
      </w:r>
      <w:r>
        <w:t xml:space="preserve"> </w:t>
      </w:r>
      <w:r>
        <w:t xml:space="preserve">Table 53: Average number of companies (and percentage) with an active registration per substance by</w:t>
      </w:r>
      <w:r>
        <w:t xml:space="preserve"> </w:t>
      </w:r>
      <w:r>
        <w:t xml:space="preserve">company size</w:t>
      </w:r>
    </w:p>
    <w:p>
      <w:pPr>
        <w:pStyle w:val="BodyText"/>
      </w:pP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Total</w:t>
      </w:r>
      <w:r>
        <w:t xml:space="preserve"> </w:t>
      </w:r>
      <w:r>
        <w:t xml:space="preserve">ED</w:t>
      </w:r>
      <w:r>
        <w:t xml:space="preserve"> </w:t>
      </w:r>
      <w:r>
        <w:t xml:space="preserve">0.16 (1.4%)</w:t>
      </w:r>
      <w:r>
        <w:t xml:space="preserve"> </w:t>
      </w:r>
      <w:r>
        <w:t xml:space="preserve">0.32 (2.9%)</w:t>
      </w:r>
      <w:r>
        <w:t xml:space="preserve"> </w:t>
      </w:r>
      <w:r>
        <w:t xml:space="preserve">0.68 (6.0%)</w:t>
      </w:r>
      <w:r>
        <w:t xml:space="preserve"> </w:t>
      </w:r>
      <w:r>
        <w:t xml:space="preserve">10.03 (89.7%)</w:t>
      </w:r>
      <w:r>
        <w:t xml:space="preserve"> </w:t>
      </w:r>
      <w:r>
        <w:t xml:space="preserve">11.19</w:t>
      </w:r>
      <w:r>
        <w:t xml:space="preserve"> </w:t>
      </w:r>
      <w:r>
        <w:t xml:space="preserve">PBT/vPvB</w:t>
      </w:r>
      <w:r>
        <w:t xml:space="preserve"> </w:t>
      </w:r>
      <w:r>
        <w:t xml:space="preserve">0.04 (0.6%)</w:t>
      </w:r>
      <w:r>
        <w:t xml:space="preserve"> </w:t>
      </w:r>
      <w:r>
        <w:t xml:space="preserve">0.21 (3.3%)</w:t>
      </w:r>
      <w:r>
        <w:t xml:space="preserve"> </w:t>
      </w:r>
      <w:r>
        <w:t xml:space="preserve">0.42 (6.9%)</w:t>
      </w:r>
      <w:r>
        <w:t xml:space="preserve"> </w:t>
      </w:r>
      <w:r>
        <w:t xml:space="preserve">5.47 (89.2%)</w:t>
      </w:r>
      <w:r>
        <w:t xml:space="preserve"> </w:t>
      </w:r>
      <w:r>
        <w:t xml:space="preserve">6.14</w:t>
      </w:r>
      <w:r>
        <w:t xml:space="preserve"> </w:t>
      </w:r>
      <w:r>
        <w:t xml:space="preserve">PMT/vPvM</w:t>
      </w:r>
      <w:r>
        <w:t xml:space="preserve"> </w:t>
      </w:r>
      <w:r>
        <w:t xml:space="preserve">0.05 (0.7%)</w:t>
      </w:r>
      <w:r>
        <w:t xml:space="preserve"> </w:t>
      </w:r>
      <w:r>
        <w:t xml:space="preserve">0.24 (3.6%)</w:t>
      </w:r>
      <w:r>
        <w:t xml:space="preserve"> </w:t>
      </w:r>
      <w:r>
        <w:t xml:space="preserve">0.54 (8.1%)</w:t>
      </w:r>
      <w:r>
        <w:t xml:space="preserve"> </w:t>
      </w:r>
      <w:r>
        <w:t xml:space="preserve">5.87 (87.6%)</w:t>
      </w:r>
      <w:r>
        <w:t xml:space="preserve"> </w:t>
      </w:r>
      <w:r>
        <w:t xml:space="preserve">6.70</w:t>
      </w:r>
      <w:r>
        <w:t xml:space="preserve"> </w:t>
      </w:r>
      <w:r>
        <w:t xml:space="preserve">Overall</w:t>
      </w:r>
      <w:r>
        <w:t xml:space="preserve"> </w:t>
      </w:r>
      <w:r>
        <w:t xml:space="preserve">0.09 (1.1%)</w:t>
      </w:r>
      <w:r>
        <w:t xml:space="preserve"> </w:t>
      </w:r>
      <w:r>
        <w:t xml:space="preserve">0.27 (3.2%)</w:t>
      </w:r>
      <w:r>
        <w:t xml:space="preserve"> </w:t>
      </w:r>
      <w:r>
        <w:t xml:space="preserve">0.56 (6.7%)</w:t>
      </w:r>
      <w:r>
        <w:t xml:space="preserve"> </w:t>
      </w:r>
      <w:r>
        <w:t xml:space="preserve">7.38 (89.0%)</w:t>
      </w:r>
      <w:r>
        <w:t xml:space="preserve"> </w:t>
      </w:r>
      <w:r>
        <w:t xml:space="preserve">8.30</w:t>
      </w:r>
    </w:p>
    <w:p>
      <w:pPr>
        <w:pStyle w:val="BodyText"/>
      </w:pPr>
      <w:r>
        <w:t xml:space="preserve">The data on the number of substances expected to meet each hazard criterion, the average</w:t>
      </w:r>
      <w:r>
        <w:t xml:space="preserve"> </w:t>
      </w:r>
      <w:r>
        <w:t xml:space="preserve">number of companies for each hazard type (Table 52) and unit costs of the activities (Table 51)</w:t>
      </w:r>
      <w:r>
        <w:t xml:space="preserve"> </w:t>
      </w:r>
      <w:r>
        <w:t xml:space="preserve">provides estimates of the total cost of classification, labelling and notification for each one of</w:t>
      </w:r>
      <w:r>
        <w:t xml:space="preserve"> </w:t>
      </w:r>
      <w:r>
        <w:t xml:space="preserve">the three scenarios (Table 53).</w:t>
      </w:r>
      <w:r>
        <w:t xml:space="preserve"> </w:t>
      </w:r>
      <w:r>
        <w:t xml:space="preserve">Table 54: Total cost of classification, labelling and notification (and SDS revision)</w:t>
      </w:r>
    </w:p>
    <w:p>
      <w:pPr>
        <w:pStyle w:val="BodyText"/>
      </w:pPr>
      <w:r>
        <w:t xml:space="preserve">ED</w:t>
      </w:r>
      <w:r>
        <w:t xml:space="preserve"> </w:t>
      </w:r>
      <w:r>
        <w:t xml:space="preserve">PBT/vPvB</w:t>
      </w:r>
      <w:r>
        <w:t xml:space="preserve"> </w:t>
      </w:r>
      <w:r>
        <w:t xml:space="preserve">PMT/vPvM</w:t>
      </w:r>
      <w:r>
        <w:t xml:space="preserve"> </w:t>
      </w:r>
      <w:r>
        <w:t xml:space="preserve">Total</w:t>
      </w:r>
      <w:r>
        <w:t xml:space="preserve"> </w:t>
      </w:r>
      <w:r>
        <w:t xml:space="preserve">Lower end estimate</w:t>
      </w:r>
      <w:r>
        <w:t xml:space="preserve"> </w:t>
      </w:r>
      <w:r>
        <w:t xml:space="preserve">€7,421,125.99</w:t>
      </w:r>
      <w:r>
        <w:br/>
      </w:r>
      <w:r>
        <w:t xml:space="preserve">€329,100.23</w:t>
      </w:r>
      <w:r>
        <w:br/>
      </w:r>
      <w:r>
        <w:t xml:space="preserve">€1,047,288.48</w:t>
      </w:r>
      <w:r>
        <w:br/>
      </w:r>
      <w:r>
        <w:t xml:space="preserve">€8,797,514.70</w:t>
      </w:r>
      <w:r>
        <w:br/>
      </w:r>
      <w:r>
        <w:t xml:space="preserve">Central estimate</w:t>
      </w:r>
      <w:r>
        <w:t xml:space="preserve"> </w:t>
      </w:r>
      <w:r>
        <w:t xml:space="preserve">€8,983,247.89</w:t>
      </w:r>
      <w:r>
        <w:br/>
      </w:r>
      <w:r>
        <w:t xml:space="preserve">€911,354.49</w:t>
      </w:r>
      <w:r>
        <w:br/>
      </w:r>
      <w:r>
        <w:t xml:space="preserve">€1,531,162.27</w:t>
      </w:r>
      <w:r>
        <w:br/>
      </w:r>
      <w:r>
        <w:t xml:space="preserve">€11,425,764.65</w:t>
      </w:r>
      <w:r>
        <w:br/>
      </w:r>
      <w:r>
        <w:t xml:space="preserve">Upper end estimate</w:t>
      </w:r>
      <w:r>
        <w:t xml:space="preserve"> </w:t>
      </w:r>
      <w:r>
        <w:t xml:space="preserve">€11,328,524.72</w:t>
      </w:r>
      <w:r>
        <w:br/>
      </w:r>
      <w:r>
        <w:t xml:space="preserve">€1,949,285.99</w:t>
      </w:r>
      <w:r>
        <w:br/>
      </w:r>
      <w:r>
        <w:t xml:space="preserve">€4,593,486.81</w:t>
      </w:r>
      <w:r>
        <w:br/>
      </w:r>
      <w:r>
        <w:t xml:space="preserve">€17,871,297.52</w:t>
      </w:r>
    </w:p>
    <w:p>
      <w:pPr>
        <w:pStyle w:val="BodyText"/>
      </w:pPr>
      <w:r>
        <w:t xml:space="preserve">Total cost of PO1a for substances</w:t>
      </w:r>
      <w:r>
        <w:t xml:space="preserve"> </w:t>
      </w:r>
      <w:r>
        <w:t xml:space="preserve">Table 54 provides the total cost of all activities in relation to PO1 for manufacturers and</w:t>
      </w:r>
      <w:r>
        <w:t xml:space="preserve"> </w:t>
      </w:r>
      <w:r>
        <w:t xml:space="preserve">importers of substances, combining cost from updating and distributing revised SDS and cost</w:t>
      </w:r>
      <w:r>
        <w:t xml:space="preserve"> </w:t>
      </w:r>
      <w:r>
        <w:t xml:space="preserve">of classification, labelling and notification, assuming that all the substances expected to meet</w:t>
      </w:r>
      <w:r>
        <w:t xml:space="preserve"> </w:t>
      </w:r>
      <w:r>
        <w:t xml:space="preserve">the criteria for classification according to the new hazard classes will be identified over a period</w:t>
      </w:r>
      <w:r>
        <w:t xml:space="preserve"> </w:t>
      </w:r>
      <w:r>
        <w:t xml:space="preserve">of 20 years. Table 54 provides the present value — discount rate of 3% — of the total costs for</w:t>
      </w:r>
      <w:r>
        <w:t xml:space="preserve"> </w:t>
      </w:r>
      <w:r>
        <w:t xml:space="preserve">companies of different size and in total for the number of substances meeting the criteria.</w:t>
      </w:r>
      <w:r>
        <w:br/>
      </w:r>
      <w:r>
        <w:t xml:space="preserve">Table 55: Present value of the total cost of PO1-a for substances - (20 years, discount rate: 3%)</w:t>
      </w:r>
      <w:r>
        <w:t xml:space="preserve"> </w:t>
      </w:r>
      <w:r>
        <w:t xml:space="preserve">Lower end (AA-1)</w:t>
      </w:r>
      <w:r>
        <w:t xml:space="preserve"> </w:t>
      </w: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Total</w:t>
      </w:r>
      <w:r>
        <w:t xml:space="preserve"> </w:t>
      </w:r>
      <w:r>
        <w:t xml:space="preserve">Lower end</w:t>
      </w:r>
      <w:r>
        <w:t xml:space="preserve"> </w:t>
      </w:r>
      <w:r>
        <w:t xml:space="preserve">€ 8,000</w:t>
      </w:r>
      <w:r>
        <w:br/>
      </w:r>
      <w:r>
        <w:t xml:space="preserve">€17,000</w:t>
      </w:r>
      <w:r>
        <w:br/>
      </w:r>
      <w:r>
        <w:t xml:space="preserve">€ 36,000</w:t>
      </w:r>
      <w:r>
        <w:br/>
      </w:r>
      <w:r>
        <w:t xml:space="preserve">€530,000</w:t>
      </w:r>
      <w:r>
        <w:br/>
      </w:r>
      <w:r>
        <w:t xml:space="preserve">€ 591,000</w:t>
      </w:r>
      <w:r>
        <w:br/>
      </w:r>
      <w:r>
        <w:t xml:space="preserve">Central estimate</w:t>
      </w:r>
      <w:r>
        <w:t xml:space="preserve"> </w:t>
      </w:r>
      <w:r>
        <w:t xml:space="preserve">€ 5,000</w:t>
      </w:r>
      <w:r>
        <w:br/>
      </w:r>
      <w:r>
        <w:t xml:space="preserve">€26,000</w:t>
      </w:r>
      <w:r>
        <w:br/>
      </w:r>
      <w:r>
        <w:t xml:space="preserve">€ 53,000</w:t>
      </w:r>
      <w:r>
        <w:br/>
      </w:r>
      <w:r>
        <w:t xml:space="preserve">€685,000</w:t>
      </w:r>
      <w:r>
        <w:br/>
      </w:r>
      <w:r>
        <w:t xml:space="preserve">€ 768,000</w:t>
      </w:r>
      <w:r>
        <w:br/>
      </w:r>
      <w:r>
        <w:t xml:space="preserve">Upper end</w:t>
      </w:r>
      <w:r>
        <w:t xml:space="preserve"> </w:t>
      </w:r>
      <w:r>
        <w:t xml:space="preserve">€ 9,000</w:t>
      </w:r>
      <w:r>
        <w:br/>
      </w:r>
      <w:r>
        <w:t xml:space="preserve">€43,000</w:t>
      </w:r>
      <w:r>
        <w:br/>
      </w:r>
      <w:r>
        <w:t xml:space="preserve">€ 97,000</w:t>
      </w:r>
      <w:r>
        <w:br/>
      </w:r>
      <w:r>
        <w:t xml:space="preserve">€ 1,052,000 € 1,201,000</w:t>
      </w:r>
    </w:p>
    <w:p>
      <w:pPr>
        <w:pStyle w:val="BodyText"/>
      </w:pPr>
      <w:r>
        <w:t xml:space="preserve">Costs of PO1a to manufacturers and importers of mixtures</w:t>
      </w:r>
      <w:r>
        <w:t xml:space="preserve"> </w:t>
      </w:r>
      <w:r>
        <w:t xml:space="preserve">Manufacturers and importers of mixtures containing substances identified as meeting</w:t>
      </w:r>
      <w:r>
        <w:t xml:space="preserve"> </w:t>
      </w:r>
      <w:r>
        <w:t xml:space="preserve">classification for ED and/or PBT/vPvB and/or PMT/vPvM would have to carry out mixture</w:t>
      </w:r>
      <w:r>
        <w:t xml:space="preserve"> </w:t>
      </w:r>
      <w:r>
        <w:t xml:space="preserve">classification and label mixtures accordingly. For PMT/vPvM substance, manufacturers and</w:t>
      </w:r>
      <w:r>
        <w:t xml:space="preserve"> </w:t>
      </w:r>
      <w:r>
        <w:t xml:space="preserve">importers would have to revise and provide necessary documentation in SDS. Depending on</w:t>
      </w:r>
      <w:r>
        <w:t xml:space="preserve"> </w:t>
      </w:r>
      <w:r>
        <w:t xml:space="preserve">the outcomes, mixtures might also be reformulated.</w:t>
      </w:r>
      <w:r>
        <w:t xml:space="preserve"> </w:t>
      </w:r>
      <w:r>
        <w:t xml:space="preserve">Number of mixtures per substance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Table 55 shows the estimates of the number of mixtures containing substances identified with</w:t>
      </w:r>
      <w:r>
        <w:t xml:space="preserve"> </w:t>
      </w:r>
      <w:r>
        <w:t xml:space="preserve">ED, PBT/vPvB and/or PMT/vPvM properties, obtained by applying the two factors (11 and 25</w:t>
      </w:r>
      <w:r>
        <w:t xml:space="preserve"> </w:t>
      </w:r>
      <w:r>
        <w:t xml:space="preserve">mixtures per substance) presented in the baseline.</w:t>
      </w:r>
      <w:r>
        <w:br/>
      </w:r>
      <w:r>
        <w:t xml:space="preserve">Table 56: Number of mixtures for all substances with new hazard class</w:t>
      </w:r>
      <w:r>
        <w:t xml:space="preserve"> </w:t>
      </w:r>
      <w:r>
        <w:t xml:space="preserve">Factor: 11</w:t>
      </w:r>
      <w:r>
        <w:t xml:space="preserve"> </w:t>
      </w:r>
      <w:r>
        <w:t xml:space="preserve">ED</w:t>
      </w:r>
      <w:r>
        <w:t xml:space="preserve"> </w:t>
      </w:r>
      <w:r>
        <w:t xml:space="preserve">PBT/vPvB</w:t>
      </w:r>
      <w:r>
        <w:t xml:space="preserve"> </w:t>
      </w:r>
      <w:r>
        <w:t xml:space="preserve">PMT/vPvM</w:t>
      </w:r>
      <w:r>
        <w:t xml:space="preserve"> </w:t>
      </w:r>
      <w:r>
        <w:t xml:space="preserve">Lower end estimate</w:t>
      </w:r>
      <w:r>
        <w:t xml:space="preserve"> </w:t>
      </w:r>
      <w:r>
        <w:t xml:space="preserve">19,492</w:t>
      </w:r>
      <w:r>
        <w:t xml:space="preserve"> </w:t>
      </w:r>
      <w:r>
        <w:t xml:space="preserve">1,573</w:t>
      </w:r>
      <w:r>
        <w:t xml:space="preserve"> </w:t>
      </w:r>
      <w:r>
        <w:t xml:space="preserve">1,738</w:t>
      </w:r>
      <w:r>
        <w:t xml:space="preserve"> </w:t>
      </w:r>
      <w:r>
        <w:t xml:space="preserve">Central estimate</w:t>
      </w:r>
      <w:r>
        <w:t xml:space="preserve"> </w:t>
      </w:r>
      <w:r>
        <w:t xml:space="preserve">23,595</w:t>
      </w:r>
      <w:r>
        <w:t xml:space="preserve"> </w:t>
      </w:r>
      <w:r>
        <w:t xml:space="preserve">4,356</w:t>
      </w:r>
      <w:r>
        <w:t xml:space="preserve"> </w:t>
      </w:r>
      <w:r>
        <w:t xml:space="preserve">2,541</w:t>
      </w:r>
      <w:r>
        <w:t xml:space="preserve"> </w:t>
      </w:r>
      <w:r>
        <w:t xml:space="preserve">Upper end estimate</w:t>
      </w:r>
      <w:r>
        <w:t xml:space="preserve"> </w:t>
      </w:r>
      <w:r>
        <w:t xml:space="preserve">29,755</w:t>
      </w:r>
      <w:r>
        <w:t xml:space="preserve"> </w:t>
      </w:r>
      <w:r>
        <w:t xml:space="preserve">9,317</w:t>
      </w:r>
      <w:r>
        <w:t xml:space="preserve"> </w:t>
      </w:r>
      <w:r>
        <w:t xml:space="preserve">7,623</w:t>
      </w:r>
      <w:r>
        <w:t xml:space="preserve"> </w:t>
      </w:r>
      <w:r>
        <w:t xml:space="preserve">Factor: 25</w:t>
      </w:r>
      <w:r>
        <w:t xml:space="preserve"> </w:t>
      </w:r>
      <w:r>
        <w:t xml:space="preserve">ED</w:t>
      </w:r>
      <w:r>
        <w:t xml:space="preserve"> </w:t>
      </w:r>
      <w:r>
        <w:t xml:space="preserve">PBT/vPvB</w:t>
      </w:r>
      <w:r>
        <w:t xml:space="preserve"> </w:t>
      </w:r>
      <w:r>
        <w:t xml:space="preserve">PMT/vPvM</w:t>
      </w:r>
      <w:r>
        <w:t xml:space="preserve"> </w:t>
      </w:r>
      <w:r>
        <w:t xml:space="preserve">Lower end estimate</w:t>
      </w:r>
      <w:r>
        <w:t xml:space="preserve"> </w:t>
      </w:r>
      <w:r>
        <w:t xml:space="preserve">44,300</w:t>
      </w:r>
      <w:r>
        <w:t xml:space="preserve"> </w:t>
      </w:r>
      <w:r>
        <w:t xml:space="preserve">3,575</w:t>
      </w:r>
      <w:r>
        <w:t xml:space="preserve"> </w:t>
      </w:r>
      <w:r>
        <w:t xml:space="preserve">3,950</w:t>
      </w:r>
      <w:r>
        <w:t xml:space="preserve"> </w:t>
      </w:r>
      <w:r>
        <w:t xml:space="preserve">Central estimate</w:t>
      </w:r>
      <w:r>
        <w:t xml:space="preserve"> </w:t>
      </w:r>
      <w:r>
        <w:t xml:space="preserve">53,625</w:t>
      </w:r>
      <w:r>
        <w:t xml:space="preserve"> </w:t>
      </w:r>
      <w:r>
        <w:t xml:space="preserve">9,900</w:t>
      </w:r>
      <w:r>
        <w:t xml:space="preserve"> </w:t>
      </w:r>
      <w:r>
        <w:t xml:space="preserve">5,775</w:t>
      </w:r>
      <w:r>
        <w:t xml:space="preserve"> </w:t>
      </w:r>
      <w:r>
        <w:t xml:space="preserve">Upper end estimate</w:t>
      </w:r>
      <w:r>
        <w:t xml:space="preserve"> </w:t>
      </w:r>
      <w:r>
        <w:t xml:space="preserve">67,625</w:t>
      </w:r>
      <w:r>
        <w:t xml:space="preserve"> </w:t>
      </w:r>
      <w:r>
        <w:t xml:space="preserve">21,175</w:t>
      </w:r>
      <w:r>
        <w:t xml:space="preserve"> </w:t>
      </w:r>
      <w:r>
        <w:t xml:space="preserve">17,325</w:t>
      </w:r>
    </w:p>
    <w:p>
      <w:pPr>
        <w:pStyle w:val="BodyText"/>
      </w:pPr>
      <w:r>
        <w:t xml:space="preserve">Unit costs</w:t>
      </w:r>
      <w:r>
        <w:t xml:space="preserve"> </w:t>
      </w:r>
      <w:r>
        <w:t xml:space="preserve">The unit costs of the CLP activities in relation to mixture manufacturers and importers are</w:t>
      </w:r>
      <w:r>
        <w:t xml:space="preserve"> </w:t>
      </w:r>
      <w:r>
        <w:t xml:space="preserve">provided in Table 56 and adjusted by the 0.87 factor to account for the overlap created by some</w:t>
      </w:r>
      <w:r>
        <w:t xml:space="preserve"> </w:t>
      </w:r>
      <w:r>
        <w:t xml:space="preserve">substances having more than one identified hazard. The costs of the activities are largely</w:t>
      </w:r>
      <w:r>
        <w:t xml:space="preserve"> </w:t>
      </w:r>
      <w:r>
        <w:t xml:space="preserve">expressed per mixture per company. For the purpose of this assessment, it has been assumed</w:t>
      </w:r>
      <w:r>
        <w:t xml:space="preserve"> </w:t>
      </w:r>
      <w:r>
        <w:t xml:space="preserve">that each mixture is manufactured uniquely by one company. Thus, all cost expressed per</w:t>
      </w:r>
      <w:r>
        <w:t xml:space="preserve"> </w:t>
      </w:r>
      <w:r>
        <w:t xml:space="preserve">mixture per company are applied on a per mixture basis. The cost of the classification of</w:t>
      </w:r>
      <w:r>
        <w:t xml:space="preserve"> </w:t>
      </w:r>
      <w:r>
        <w:t xml:space="preserve">mixtures containing ED and PBT/vPvB substances and the cost of updating and distributing</w:t>
      </w:r>
      <w:r>
        <w:t xml:space="preserve"> </w:t>
      </w:r>
      <w:r>
        <w:t xml:space="preserve">revised SDS is not accounted for, as part of the baseline.</w:t>
      </w:r>
      <w:r>
        <w:t xml:space="preserve"> </w:t>
      </w:r>
      <w:r>
        <w:t xml:space="preserve">Table 57: Unit costs for mixtures</w:t>
      </w:r>
      <w:r>
        <w:t xml:space="preserve"> </w:t>
      </w:r>
      <w:r>
        <w:t xml:space="preserve">Cost Element</w:t>
      </w:r>
      <w:r>
        <w:t xml:space="preserve"> </w:t>
      </w:r>
      <w:r>
        <w:t xml:space="preserve">Base value used</w:t>
      </w:r>
      <w:r>
        <w:t xml:space="preserve"> </w:t>
      </w:r>
      <w:r>
        <w:t xml:space="preserve">in calculations</w:t>
      </w:r>
      <w:r>
        <w:t xml:space="preserve"> </w:t>
      </w:r>
      <w:r>
        <w:t xml:space="preserve">As adjusted</w:t>
      </w:r>
      <w:r>
        <w:t xml:space="preserve"> </w:t>
      </w:r>
      <w:r>
        <w:t xml:space="preserve">(87%)</w:t>
      </w:r>
      <w:r>
        <w:t xml:space="preserve"> </w:t>
      </w:r>
      <w:r>
        <w:t xml:space="preserve">Euro</w:t>
      </w:r>
      <w:r>
        <w:t xml:space="preserve"> </w:t>
      </w:r>
      <w:r>
        <w:t xml:space="preserve">(2022)</w:t>
      </w:r>
      <w:r>
        <w:t xml:space="preserve"> </w:t>
      </w:r>
      <w:r>
        <w:t xml:space="preserve">Classification of a single mixture according to CLP</w:t>
      </w:r>
      <w:r>
        <w:t xml:space="preserve"> </w:t>
      </w:r>
      <w:r>
        <w:t xml:space="preserve">€ 200</w:t>
      </w:r>
      <w:r>
        <w:t xml:space="preserve"> </w:t>
      </w:r>
      <w:r>
        <w:t xml:space="preserve">€ 174.00</w:t>
      </w:r>
      <w:r>
        <w:t xml:space="preserve"> </w:t>
      </w:r>
      <w:r>
        <w:t xml:space="preserve">€ 190</w:t>
      </w:r>
      <w:r>
        <w:t xml:space="preserve"> </w:t>
      </w:r>
      <w:r>
        <w:t xml:space="preserve">Cost of re-labelling in line with CLP</w:t>
      </w:r>
      <w:r>
        <w:t xml:space="preserve"> </w:t>
      </w:r>
      <w:r>
        <w:t xml:space="preserve">€ 475</w:t>
      </w:r>
      <w:r>
        <w:t xml:space="preserve"> </w:t>
      </w:r>
      <w:r>
        <w:t xml:space="preserve">€ 412.43</w:t>
      </w:r>
      <w:r>
        <w:t xml:space="preserve"> </w:t>
      </w:r>
      <w:r>
        <w:t xml:space="preserve">€ 449</w:t>
      </w:r>
      <w:r>
        <w:t xml:space="preserve"> </w:t>
      </w:r>
      <w:r>
        <w:t xml:space="preserve">Cost of updating and distributing revised SDS</w:t>
      </w:r>
      <w:r>
        <w:t xml:space="preserve"> </w:t>
      </w:r>
      <w:r>
        <w:t xml:space="preserve">€ 250</w:t>
      </w:r>
      <w:r>
        <w:t xml:space="preserve"> </w:t>
      </w:r>
      <w:r>
        <w:t xml:space="preserve">€ 217.07</w:t>
      </w:r>
      <w:r>
        <w:t xml:space="preserve"> </w:t>
      </w:r>
      <w:r>
        <w:t xml:space="preserve">€ 237</w:t>
      </w:r>
      <w:r>
        <w:t xml:space="preserve"> </w:t>
      </w:r>
      <w:r>
        <w:t xml:space="preserve">Cost of classification, labelling and SDS of mixtures</w:t>
      </w:r>
      <w:r>
        <w:t xml:space="preserve"> </w:t>
      </w:r>
      <w:r>
        <w:t xml:space="preserve">containing PMT/vPvM substances</w:t>
      </w:r>
      <w:r>
        <w:t xml:space="preserve"> </w:t>
      </w:r>
      <w:r>
        <w:t xml:space="preserve">€ 925</w:t>
      </w:r>
      <w:r>
        <w:t xml:space="preserve"> </w:t>
      </w:r>
      <w:r>
        <w:t xml:space="preserve">€ 803.5</w:t>
      </w:r>
      <w:r>
        <w:t xml:space="preserve"> </w:t>
      </w:r>
      <w:r>
        <w:t xml:space="preserve">€ 876</w:t>
      </w:r>
      <w:r>
        <w:t xml:space="preserve"> </w:t>
      </w:r>
      <w:r>
        <w:t xml:space="preserve">Cost of classification and labelling of mixtures containing</w:t>
      </w:r>
      <w:r>
        <w:t xml:space="preserve"> </w:t>
      </w:r>
      <w:r>
        <w:t xml:space="preserve">ED, PBT/vPvB substances</w:t>
      </w:r>
      <w:r>
        <w:t xml:space="preserve"> </w:t>
      </w:r>
      <w:r>
        <w:t xml:space="preserve">€ 675</w:t>
      </w:r>
      <w:r>
        <w:t xml:space="preserve"> </w:t>
      </w:r>
      <w:r>
        <w:t xml:space="preserve">€ 586.43</w:t>
      </w:r>
      <w:r>
        <w:t xml:space="preserve"> </w:t>
      </w:r>
      <w:r>
        <w:t xml:space="preserve">€ 639</w:t>
      </w:r>
      <w:r>
        <w:t xml:space="preserve"> </w:t>
      </w:r>
      <w:r>
        <w:t xml:space="preserve">Re-formulation of mixtures due to changes in hazard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€ 15,000</w:t>
      </w:r>
      <w:r>
        <w:t xml:space="preserve"> </w:t>
      </w:r>
      <w:r>
        <w:t xml:space="preserve">€ 13,024</w:t>
      </w:r>
      <w:r>
        <w:t xml:space="preserve"> </w:t>
      </w:r>
      <w:r>
        <w:t xml:space="preserve">€ 14,182</w:t>
      </w:r>
      <w:r>
        <w:t xml:space="preserve"> </w:t>
      </w:r>
      <w:r>
        <w:t xml:space="preserve">Source: RPA et al. (2017b, p. 72)</w:t>
      </w:r>
      <w:r>
        <w:t xml:space="preserve"> </w:t>
      </w:r>
      <w:r>
        <w:t xml:space="preserve">Notes: it is assumed that classifying mixtures requires half of the time of classifying substances, as it entails the comparison</w:t>
      </w:r>
      <w:r>
        <w:t xml:space="preserve"> </w:t>
      </w:r>
      <w:r>
        <w:t xml:space="preserve">of concentration limits.</w:t>
      </w:r>
    </w:p>
    <w:p>
      <w:pPr>
        <w:pStyle w:val="BodyText"/>
      </w:pPr>
      <w:r>
        <w:t xml:space="preserve">The introduction of new hazard classes in CLP also entails indirect costs for businesses, in the</w:t>
      </w:r>
      <w:r>
        <w:t xml:space="preserve"> </w:t>
      </w:r>
      <w:r>
        <w:t xml:space="preserve">form of substitution of chemical substances and reformulation of mixtures and withdrawal from</w:t>
      </w:r>
      <w:r>
        <w:t xml:space="preserve"> </w:t>
      </w:r>
      <w:r>
        <w:t xml:space="preserve">the market of substances and mixtures that may be classified.</w:t>
      </w:r>
      <w:r>
        <w:t xml:space="preserve"> </w:t>
      </w:r>
      <w:r>
        <w:t xml:space="preserve">As noted by Ricardo (2021), ‘These reclassifications could also have indirect impacts, for</w:t>
      </w:r>
      <w:r>
        <w:t xml:space="preserve"> </w:t>
      </w:r>
      <w:r>
        <w:t xml:space="preserve">example, companies may consider product discontinuation or substitution (e.g., as seen for</w:t>
      </w:r>
      <w:r>
        <w:t xml:space="preserve"> </w:t>
      </w:r>
      <w:r>
        <w:t xml:space="preserve">CMR in fast moving consumer goods, fluorinated substances in food packaging in Denmark,</w:t>
      </w:r>
      <w:r>
        <w:t xml:space="preserve"> </w:t>
      </w:r>
      <w:r>
        <w:t xml:space="preserve">etc.). This is driven by non-legislative pressures such as the SIN-list, pressure from retailers,</w:t>
      </w:r>
      <w:r>
        <w:t xml:space="preserve"> </w:t>
      </w:r>
      <w:r>
        <w:t xml:space="preserve">expectations from consumers and professionals, ecolabelling schemes, etc.’.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There are two basic approaches to risk management often used in combination, in the EU</w:t>
      </w:r>
      <w:r>
        <w:t xml:space="preserve"> </w:t>
      </w:r>
      <w:r>
        <w:t xml:space="preserve">chemicals acquis: one based on specific risk assessment and the other one based on generic</w:t>
      </w:r>
      <w:r>
        <w:t xml:space="preserve"> </w:t>
      </w:r>
      <w:r>
        <w:t xml:space="preserve">risk considerations (GRC). The main difference between these two approaches is the point in</w:t>
      </w:r>
      <w:r>
        <w:t xml:space="preserve"> </w:t>
      </w:r>
      <w:r>
        <w:t xml:space="preserve">time when the exposure assessment is considered and the specificity of the exposure</w:t>
      </w:r>
      <w:r>
        <w:t xml:space="preserve"> </w:t>
      </w:r>
      <w:r>
        <w:t xml:space="preserve">assessment. For risk management based on GRC, the potential exposures and risks are</w:t>
      </w:r>
      <w:r>
        <w:t xml:space="preserve"> </w:t>
      </w:r>
      <w:r>
        <w:t xml:space="preserve">considered generically, prior to the adoption of legislation. The GRC-based approach is built</w:t>
      </w:r>
      <w:r>
        <w:t xml:space="preserve"> </w:t>
      </w:r>
      <w:r>
        <w:t xml:space="preserve">into the legislation in the form of an automatic trigger of pre-determined risk management</w:t>
      </w:r>
      <w:r>
        <w:t xml:space="preserve"> </w:t>
      </w:r>
      <w:r>
        <w:t xml:space="preserve">measures (e.g. packaging requirement, communication requirement, restrictions, bans, etc.)</w:t>
      </w:r>
      <w:r>
        <w:t xml:space="preserve"> </w:t>
      </w:r>
      <w:r>
        <w:t xml:space="preserve">based on the hazardous properties of the chemical determined under CLP, without the need or</w:t>
      </w:r>
      <w:r>
        <w:t xml:space="preserve"> </w:t>
      </w:r>
      <w:r>
        <w:t xml:space="preserve">possibility to assess and take into account specific exposure levels for a specific situation or</w:t>
      </w:r>
      <w:r>
        <w:t xml:space="preserve"> </w:t>
      </w:r>
      <w:r>
        <w:t xml:space="preserve">use. Companies consulted in the context of the Ricardo (2021) study estimated that around</w:t>
      </w:r>
      <w:r>
        <w:t xml:space="preserve"> </w:t>
      </w:r>
      <w:r>
        <w:t xml:space="preserve">43% of their product portfolio would be affected by the inclusion of new hazard classes to CLP</w:t>
      </w:r>
      <w:r>
        <w:t xml:space="preserve"> </w:t>
      </w:r>
      <w:r>
        <w:t xml:space="preserve">and the extension of the GRC-based approach. Indeed, substances and mixtures reclassified for</w:t>
      </w:r>
      <w:r>
        <w:t xml:space="preserve"> </w:t>
      </w:r>
      <w:r>
        <w:t xml:space="preserve">the new hazard classes would be affected by the application of the GRC-based approach, where</w:t>
      </w:r>
      <w:r>
        <w:t xml:space="preserve"> </w:t>
      </w:r>
      <w:r>
        <w:t xml:space="preserve">a CLH triggers the restriction or ban of a classified substance for some specific or all uses. This</w:t>
      </w:r>
      <w:r>
        <w:t xml:space="preserve"> </w:t>
      </w:r>
      <w:r>
        <w:t xml:space="preserve">impact should be accounted for by the parallel studies supporting the revision of the REACH</w:t>
      </w:r>
      <w:r>
        <w:t xml:space="preserve"> </w:t>
      </w:r>
      <w:r>
        <w:t xml:space="preserve">Regulation.148</w:t>
      </w:r>
      <w:r>
        <w:t xml:space="preserve"> </w:t>
      </w:r>
      <w:r>
        <w:t xml:space="preserve">Some products will not be directly affected by changes to the application of the GRC-based</w:t>
      </w:r>
      <w:r>
        <w:t xml:space="preserve"> </w:t>
      </w:r>
      <w:r>
        <w:t xml:space="preserve">approach, but CLP classification and labelling for the new hazard classes may still put pressure</w:t>
      </w:r>
      <w:r>
        <w:t xml:space="preserve"> </w:t>
      </w:r>
      <w:r>
        <w:t xml:space="preserve">for market withdrawal or substitution and reformulation. The “total potentially affected</w:t>
      </w:r>
      <w:r>
        <w:t xml:space="preserve"> </w:t>
      </w:r>
      <w:r>
        <w:t xml:space="preserve">portfolio” considers the inclusion of hazard classes for immunotoxic and neurotoxic substances</w:t>
      </w:r>
      <w:r>
        <w:t xml:space="preserve"> </w:t>
      </w:r>
      <w:r>
        <w:t xml:space="preserve">in addition to ED, PBT/vPvB and PMT/vPvM, and also the extension of the GRC-based</w:t>
      </w:r>
      <w:r>
        <w:t xml:space="preserve"> </w:t>
      </w:r>
      <w:r>
        <w:t xml:space="preserve">approach to consumer and professional uses via REACH restriction and sector specific</w:t>
      </w:r>
      <w:r>
        <w:t xml:space="preserve"> </w:t>
      </w:r>
      <w:r>
        <w:t xml:space="preserve">legislation to respiratory sensitisers and STOT RE/SE, immunotoxic and neurotoxic</w:t>
      </w:r>
      <w:r>
        <w:t xml:space="preserve"> </w:t>
      </w:r>
      <w:r>
        <w:t xml:space="preserve">substances, skin sensitisers 1, 1A and 1B, CMR 2 and substances toxic to the aquatic</w:t>
      </w:r>
      <w:r>
        <w:t xml:space="preserve"> </w:t>
      </w:r>
      <w:r>
        <w:t xml:space="preserve">environment with long lasting effects (chronic) 1 and 2. The portion of the products that is</w:t>
      </w:r>
      <w:r>
        <w:t xml:space="preserve"> </w:t>
      </w:r>
      <w:r>
        <w:t xml:space="preserve">affected by changes to CLP and not the GRC-based approach is estimated as 31% of the total</w:t>
      </w:r>
      <w:r>
        <w:t xml:space="preserve"> </w:t>
      </w:r>
      <w:r>
        <w:t xml:space="preserve">potentially affected product portfolio in terms of turnover (Ricardo, 2021, p.59).</w:t>
      </w:r>
      <w:r>
        <w:br/>
      </w:r>
      <w:r>
        <w:t xml:space="preserve">Moreover, Ricardo (2021) assumes that a quarter (25%) of the products not affected by the</w:t>
      </w:r>
      <w:r>
        <w:t xml:space="preserve"> </w:t>
      </w:r>
      <w:r>
        <w:t xml:space="preserve">GRC-based approach but directly by CLP would face indirect market pressure to substitute and</w:t>
      </w:r>
      <w:r>
        <w:t xml:space="preserve"> </w:t>
      </w:r>
      <w:r>
        <w:t xml:space="preserve">reformulate or withdraw from the market (Ricardo, 2021, p.59). Participants to the bespoke</w:t>
      </w:r>
      <w:r>
        <w:t xml:space="preserve"> </w:t>
      </w:r>
      <w:r>
        <w:t xml:space="preserve">survey of Cefic business members in the context of the Ricardo (2021) study reported that they</w:t>
      </w:r>
      <w:r>
        <w:t xml:space="preserve"> </w:t>
      </w:r>
      <w:r>
        <w:t xml:space="preserve">would be able to substitute and/or reformulate around 35% of the products (in terms of</w:t>
      </w:r>
      <w:r>
        <w:t xml:space="preserve"> </w:t>
      </w:r>
      <w:r>
        <w:t xml:space="preserve">turnover) that may be affected by the changes to the GRC-based approach application and CLP.</w:t>
      </w:r>
      <w:r>
        <w:t xml:space="preserve"> </w:t>
      </w:r>
      <w:r>
        <w:t xml:space="preserve">These two percentages are used as lower (9%)149 and upper (25%) bounds of the number of</w:t>
      </w:r>
      <w:r>
        <w:t xml:space="preserve"> </w:t>
      </w:r>
      <w:r>
        <w:t xml:space="preserve">mixtures that would be reformulated as a result of the classification for ED, PBT/vPvB and</w:t>
      </w:r>
      <w:r>
        <w:t xml:space="preserve"> </w:t>
      </w:r>
      <w:r>
        <w:t xml:space="preserve">PMT/vPvM properties.</w:t>
      </w:r>
      <w:r>
        <w:t xml:space="preserve"> </w:t>
      </w:r>
      <w:r>
        <w:t xml:space="preserve">Ricardo (2021) estimates that CLP could be responsible for the reduction of 1% of the total</w:t>
      </w:r>
      <w:r>
        <w:t xml:space="preserve"> </w:t>
      </w:r>
      <w:r>
        <w:t xml:space="preserve">potentially affected portfolio, equivalent to around €5.8 billion.150 However, this figure should</w:t>
      </w:r>
      <w:r>
        <w:t xml:space="preserve"> </w:t>
      </w:r>
      <w:r>
        <w:t xml:space="preserve">be considered as illustration of the size of the sectors involved rather than an indicator of</w:t>
      </w:r>
      <w:r>
        <w:t xml:space="preserve"> </w:t>
      </w:r>
      <w:r>
        <w:t xml:space="preserve">economic losses. A better measure would be the ‘value added foregone’, which could be</w:t>
      </w:r>
      <w:r>
        <w:t xml:space="preserve"> </w:t>
      </w:r>
      <w:r>
        <w:t xml:space="preserve">estimated by subtracting the cost of all inputs except capital and labour from the production</w:t>
      </w:r>
    </w:p>
    <w:p>
      <w:pPr>
        <w:pStyle w:val="BodyText"/>
      </w:pPr>
      <w:r>
        <w:t xml:space="preserve">148 In particular, the “Study to support the impact assessment for potential amendments of the REACH Regulation,</w:t>
      </w:r>
      <w:r>
        <w:t xml:space="preserve"> </w:t>
      </w:r>
      <w:r>
        <w:t xml:space="preserve">to extend the use of the generic risk management approach to further hazard classes and uses, and to reform</w:t>
      </w:r>
      <w:r>
        <w:t xml:space="preserve"> </w:t>
      </w:r>
      <w:r>
        <w:t xml:space="preserve">REACH authorisation ad restriction” (GRO/IMA/21/2123/12108).</w:t>
      </w:r>
      <w:r>
        <w:t xml:space="preserve"> </w:t>
      </w:r>
      <w:r>
        <w:t xml:space="preserve">149 35% of 25% of mixtures.</w:t>
      </w:r>
      <w:r>
        <w:t xml:space="preserve"> </w:t>
      </w:r>
      <w:r>
        <w:t xml:space="preserve">150 Information provided by Cefic in response to a request by the European Commission.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value. But even this measure cannot be treated as costs in a cost-benefit analysis or cost-</w:t>
      </w:r>
      <w:r>
        <w:t xml:space="preserve"> </w:t>
      </w:r>
      <w:r>
        <w:t xml:space="preserve">effectiveness analysis, and it is certainly not comparable to compliance costs. Whether the</w:t>
      </w:r>
      <w:r>
        <w:t xml:space="preserve"> </w:t>
      </w:r>
      <w:r>
        <w:t xml:space="preserve">‘value added foregone’ is a cost depends on whether the production factors (capital and labour)</w:t>
      </w:r>
      <w:r>
        <w:t xml:space="preserve"> </w:t>
      </w:r>
      <w:r>
        <w:t xml:space="preserve">can be productively re-employed or not.</w:t>
      </w:r>
      <w:r>
        <w:t xml:space="preserve"> </w:t>
      </w:r>
      <w:r>
        <w:t xml:space="preserve">Cost of classification, labelling, SDS revision and reformulation for mixtures</w:t>
      </w:r>
      <w:r>
        <w:t xml:space="preserve"> </w:t>
      </w:r>
      <w:r>
        <w:t xml:space="preserve">The cost of classification, labelling and SDS revision for mixtures is calculated by combining</w:t>
      </w:r>
      <w:r>
        <w:t xml:space="preserve"> </w:t>
      </w:r>
      <w:r>
        <w:t xml:space="preserve">the estimates of the number of mixtures in Table 55 with the unit costs for mixtures in Table</w:t>
      </w:r>
      <w:r>
        <w:t xml:space="preserve"> </w:t>
      </w:r>
      <w:r>
        <w:t xml:space="preserve">56. A range between 9% and 25% of the total number of mixtures are assumed to be</w:t>
      </w:r>
      <w:r>
        <w:t xml:space="preserve"> </w:t>
      </w:r>
      <w:r>
        <w:t xml:space="preserve">reformulated. This provides the estimated costs in thousands of euros (Table 58) for numbers</w:t>
      </w:r>
      <w:r>
        <w:t xml:space="preserve"> </w:t>
      </w:r>
      <w:r>
        <w:t xml:space="preserve">of substances identified.</w:t>
      </w:r>
      <w:r>
        <w:br/>
      </w:r>
      <w:r>
        <w:t xml:space="preserve">Table 58: Total cost of classification, labelling, SDS revision and reformulation of mixtures</w:t>
      </w:r>
      <w:r>
        <w:t xml:space="preserve"> </w:t>
      </w:r>
      <w:r>
        <w:t xml:space="preserve">Factor: 11</w:t>
      </w:r>
      <w:r>
        <w:t xml:space="preserve"> </w:t>
      </w:r>
      <w:r>
        <w:t xml:space="preserve">Reformulation: 9%</w:t>
      </w:r>
      <w:r>
        <w:t xml:space="preserve"> </w:t>
      </w:r>
      <w:r>
        <w:t xml:space="preserve">ED</w:t>
      </w:r>
      <w:r>
        <w:t xml:space="preserve"> </w:t>
      </w:r>
      <w:r>
        <w:t xml:space="preserve">PBT/vPvB</w:t>
      </w:r>
      <w:r>
        <w:t xml:space="preserve"> </w:t>
      </w:r>
      <w:r>
        <w:t xml:space="preserve">PMT/vPvM</w:t>
      </w:r>
      <w:r>
        <w:t xml:space="preserve"> </w:t>
      </w:r>
      <w:r>
        <w:t xml:space="preserve">Total</w:t>
      </w:r>
      <w:r>
        <w:t xml:space="preserve"> </w:t>
      </w:r>
      <w:r>
        <w:t xml:space="preserve">Lower end estimate</w:t>
      </w:r>
      <w:r>
        <w:t xml:space="preserve"> </w:t>
      </w:r>
      <w:r>
        <w:t xml:space="preserve">€405,081,092.00</w:t>
      </w:r>
      <w:r>
        <w:br/>
      </w:r>
      <w:r>
        <w:t xml:space="preserve">€17,931,330.74</w:t>
      </w:r>
      <w:r>
        <w:br/>
      </w:r>
      <w:r>
        <w:t xml:space="preserve">€24,143,460.76</w:t>
      </w:r>
      <w:r>
        <w:br/>
      </w:r>
      <w:r>
        <w:t xml:space="preserve">€447,155,883.49</w:t>
      </w:r>
      <w:r>
        <w:br/>
      </w:r>
      <w:r>
        <w:t xml:space="preserve">Central estimate</w:t>
      </w:r>
      <w:r>
        <w:t xml:space="preserve"> </w:t>
      </w:r>
      <w:r>
        <w:t xml:space="preserve">€490,349,290.25</w:t>
      </w:r>
      <w:r>
        <w:br/>
      </w:r>
      <w:r>
        <w:t xml:space="preserve">€49,655,992.81</w:t>
      </w:r>
      <w:r>
        <w:br/>
      </w:r>
      <w:r>
        <w:t xml:space="preserve">€35,298,350.85</w:t>
      </w:r>
      <w:r>
        <w:br/>
      </w:r>
      <w:r>
        <w:t xml:space="preserve">€575,303,633.91</w:t>
      </w:r>
      <w:r>
        <w:br/>
      </w:r>
      <w:r>
        <w:t xml:space="preserve">Upper end estimate</w:t>
      </w:r>
      <w:r>
        <w:t xml:space="preserve"> </w:t>
      </w:r>
      <w:r>
        <w:t xml:space="preserve">€618,365,888.18</w:t>
      </w:r>
      <w:r>
        <w:br/>
      </w:r>
      <w:r>
        <w:t xml:space="preserve">€106,208,651.28 €105,895,052.55</w:t>
      </w:r>
      <w:r>
        <w:br/>
      </w:r>
      <w:r>
        <w:t xml:space="preserve">€830,469,592.01</w:t>
      </w:r>
      <w:r>
        <w:br/>
      </w:r>
      <w:r>
        <w:t xml:space="preserve">Factor: 11</w:t>
      </w:r>
      <w:r>
        <w:t xml:space="preserve"> </w:t>
      </w:r>
      <w:r>
        <w:t xml:space="preserve">Reformulation: 25%</w:t>
      </w:r>
      <w:r>
        <w:t xml:space="preserve"> </w:t>
      </w:r>
      <w:r>
        <w:t xml:space="preserve">ED</w:t>
      </w:r>
      <w:r>
        <w:t xml:space="preserve"> </w:t>
      </w:r>
      <w:r>
        <w:t xml:space="preserve">PBT/vPvB</w:t>
      </w:r>
      <w:r>
        <w:t xml:space="preserve"> </w:t>
      </w:r>
      <w:r>
        <w:t xml:space="preserve">PMT/vPvM</w:t>
      </w:r>
      <w:r>
        <w:t xml:space="preserve"> </w:t>
      </w:r>
      <w:r>
        <w:t xml:space="preserve">Total</w:t>
      </w:r>
      <w:r>
        <w:t xml:space="preserve"> </w:t>
      </w:r>
      <w:r>
        <w:t xml:space="preserve">Lower end estimate</w:t>
      </w:r>
      <w:r>
        <w:t xml:space="preserve"> </w:t>
      </w:r>
      <w:r>
        <w:t xml:space="preserve">€877,537,246.96</w:t>
      </w:r>
      <w:r>
        <w:br/>
      </w:r>
      <w:r>
        <w:t xml:space="preserve">€38,845,087.86</w:t>
      </w:r>
      <w:r>
        <w:br/>
      </w:r>
      <w:r>
        <w:t xml:space="preserve">€48,932,209.57</w:t>
      </w:r>
      <w:r>
        <w:br/>
      </w:r>
      <w:r>
        <w:t xml:space="preserve">€965,314,544.38</w:t>
      </w:r>
      <w:r>
        <w:br/>
      </w:r>
      <w:r>
        <w:t xml:space="preserve">Central estimate</w:t>
      </w:r>
      <w:r>
        <w:t xml:space="preserve"> </w:t>
      </w:r>
      <w:r>
        <w:t xml:space="preserve">€1,062,255,866.10 €107,571,012.53</w:t>
      </w:r>
      <w:r>
        <w:br/>
      </w:r>
      <w:r>
        <w:t xml:space="preserve">€71,540,129.18</w:t>
      </w:r>
      <w:r>
        <w:br/>
      </w:r>
      <w:r>
        <w:t xml:space="preserve">€1,241,367,007.80</w:t>
      </w:r>
      <w:r>
        <w:br/>
      </w:r>
      <w:r>
        <w:t xml:space="preserve">Upper end estimate</w:t>
      </w:r>
      <w:r>
        <w:t xml:space="preserve"> </w:t>
      </w:r>
      <w:r>
        <w:t xml:space="preserve">€1,339,581,406.90 €230,082,443.46 €214,620,387.53 €1,784,284,237.89</w:t>
      </w:r>
      <w:r>
        <w:br/>
      </w:r>
      <w:r>
        <w:t xml:space="preserve">Factor: 25</w:t>
      </w:r>
      <w:r>
        <w:t xml:space="preserve"> </w:t>
      </w:r>
      <w:r>
        <w:t xml:space="preserve">Reformulation: 25%</w:t>
      </w:r>
      <w:r>
        <w:t xml:space="preserve"> </w:t>
      </w:r>
      <w:r>
        <w:t xml:space="preserve">ED</w:t>
      </w:r>
      <w:r>
        <w:t xml:space="preserve"> </w:t>
      </w:r>
      <w:r>
        <w:t xml:space="preserve">PBT/vPvB</w:t>
      </w:r>
      <w:r>
        <w:t xml:space="preserve"> </w:t>
      </w:r>
      <w:r>
        <w:t xml:space="preserve">PMT/vPvM</w:t>
      </w:r>
      <w:r>
        <w:t xml:space="preserve"> </w:t>
      </w:r>
      <w:r>
        <w:t xml:space="preserve">Total</w:t>
      </w:r>
      <w:r>
        <w:t xml:space="preserve"> </w:t>
      </w:r>
      <w:r>
        <w:t xml:space="preserve">Lower end estimate</w:t>
      </w:r>
      <w:r>
        <w:t xml:space="preserve"> </w:t>
      </w:r>
      <w:r>
        <w:t xml:space="preserve">€920,638,845.44</w:t>
      </w:r>
      <w:r>
        <w:br/>
      </w:r>
      <w:r>
        <w:t xml:space="preserve">€40,753,024.40</w:t>
      </w:r>
      <w:r>
        <w:br/>
      </w:r>
      <w:r>
        <w:t xml:space="preserve">€54,871,501.72</w:t>
      </w:r>
      <w:r>
        <w:br/>
      </w:r>
      <w:r>
        <w:t xml:space="preserve">€1,016,263,371.56</w:t>
      </w:r>
      <w:r>
        <w:br/>
      </w:r>
      <w:r>
        <w:t xml:space="preserve">Central estimate</w:t>
      </w:r>
      <w:r>
        <w:t xml:space="preserve"> </w:t>
      </w:r>
      <w:r>
        <w:t xml:space="preserve">€1,114,430,205.12 €112,854,529.10</w:t>
      </w:r>
      <w:r>
        <w:br/>
      </w:r>
      <w:r>
        <w:t xml:space="preserve">€80,223,524.66</w:t>
      </w:r>
      <w:r>
        <w:br/>
      </w:r>
      <w:r>
        <w:t xml:space="preserve">€1,307,508,258.89</w:t>
      </w:r>
      <w:r>
        <w:br/>
      </w:r>
      <w:r>
        <w:t xml:space="preserve">Upper end estimate</w:t>
      </w:r>
      <w:r>
        <w:t xml:space="preserve"> </w:t>
      </w:r>
      <w:r>
        <w:t xml:space="preserve">€1,405,377,018.58 €241,383,298.36 €240,670,573.99 €1,887,430,890.93</w:t>
      </w:r>
      <w:r>
        <w:br/>
      </w:r>
      <w:r>
        <w:t xml:space="preserve">Factor: 25</w:t>
      </w:r>
      <w:r>
        <w:t xml:space="preserve"> </w:t>
      </w:r>
      <w:r>
        <w:t xml:space="preserve">Reformulation: 25%</w:t>
      </w:r>
      <w:r>
        <w:t xml:space="preserve"> </w:t>
      </w:r>
      <w:r>
        <w:t xml:space="preserve">ED</w:t>
      </w:r>
      <w:r>
        <w:t xml:space="preserve"> </w:t>
      </w:r>
      <w:r>
        <w:t xml:space="preserve">PBT/vPvB</w:t>
      </w:r>
      <w:r>
        <w:t xml:space="preserve"> </w:t>
      </w:r>
      <w:r>
        <w:t xml:space="preserve">PMT/vPvM</w:t>
      </w:r>
      <w:r>
        <w:t xml:space="preserve"> </w:t>
      </w:r>
      <w:r>
        <w:t xml:space="preserve">Total</w:t>
      </w:r>
      <w:r>
        <w:t xml:space="preserve"> </w:t>
      </w:r>
      <w:r>
        <w:t xml:space="preserve">Lower end estimate</w:t>
      </w:r>
      <w:r>
        <w:t xml:space="preserve"> </w:t>
      </w:r>
      <w:r>
        <w:t xml:space="preserve">€1,994,402,834.00</w:t>
      </w:r>
      <w:r>
        <w:br/>
      </w:r>
      <w:r>
        <w:t xml:space="preserve">€88,284,290.58</w:t>
      </w:r>
      <w:r>
        <w:br/>
      </w:r>
      <w:r>
        <w:t xml:space="preserve">€111,209,567.20 €2,193,896,691.78</w:t>
      </w:r>
      <w:r>
        <w:br/>
      </w:r>
      <w:r>
        <w:t xml:space="preserve">Central estimate</w:t>
      </w:r>
      <w:r>
        <w:t xml:space="preserve"> </w:t>
      </w:r>
      <w:r>
        <w:t xml:space="preserve">€2,414,217,877.50 €244,479,573.92 €162,591,202.67 €2,821,288,654.10</w:t>
      </w:r>
      <w:r>
        <w:br/>
      </w:r>
      <w:r>
        <w:t xml:space="preserve">Upper end estimate</w:t>
      </w:r>
      <w:r>
        <w:t xml:space="preserve"> </w:t>
      </w:r>
      <w:r>
        <w:t xml:space="preserve">€3,044,503,197.50 €522,914,644.23 €487,773,608.02 €4,055,191,449.75</w:t>
      </w:r>
    </w:p>
    <w:p>
      <w:pPr>
        <w:pStyle w:val="BodyText"/>
      </w:pPr>
      <w:r>
        <w:t xml:space="preserve">Total cost of PO1a for mixtures</w:t>
      </w:r>
      <w:r>
        <w:t xml:space="preserve"> </w:t>
      </w:r>
      <w:r>
        <w:t xml:space="preserve">Table 58 provides the total cost of all activities in relation to PO1a for manufacturers and</w:t>
      </w:r>
      <w:r>
        <w:t xml:space="preserve"> </w:t>
      </w:r>
      <w:r>
        <w:t xml:space="preserve">importers of mixtures, combining cost from updating and distributing revised SDS and cost of</w:t>
      </w:r>
      <w:r>
        <w:t xml:space="preserve"> </w:t>
      </w:r>
      <w:r>
        <w:t xml:space="preserve">classification and labelling, assuming that a range between 9% and 25% of the total number of</w:t>
      </w:r>
      <w:r>
        <w:t xml:space="preserve"> </w:t>
      </w:r>
      <w:r>
        <w:t xml:space="preserve">mixtures will be reformulated.</w:t>
      </w:r>
      <w:r>
        <w:t xml:space="preserve"> </w:t>
      </w:r>
      <w:r>
        <w:t xml:space="preserve">Table 59 provides the present value — discount rate of 3% — of the total costs for companies</w:t>
      </w:r>
      <w:r>
        <w:t xml:space="preserve"> </w:t>
      </w:r>
      <w:r>
        <w:t xml:space="preserve">of different size and in total for the number of mixtures meeting the criteria.</w:t>
      </w:r>
      <w:r>
        <w:br/>
      </w:r>
      <w:r>
        <w:t xml:space="preserve">Table 59: Present value of the total cost of PO1-a for mixtures (20 years, discount rate: 3%) – rounded to the</w:t>
      </w:r>
      <w:r>
        <w:t xml:space="preserve"> </w:t>
      </w:r>
      <w:r>
        <w:t xml:space="preserve">nearest thousand</w:t>
      </w:r>
      <w:r>
        <w:t xml:space="preserve"> </w:t>
      </w:r>
      <w:r>
        <w:t xml:space="preserve">Factor: 11</w:t>
      </w:r>
      <w:r>
        <w:t xml:space="preserve"> </w:t>
      </w:r>
      <w:r>
        <w:t xml:space="preserve">Reformulation: 9%</w:t>
      </w:r>
      <w:r>
        <w:t xml:space="preserve"> </w:t>
      </w: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Total</w:t>
      </w:r>
      <w:r>
        <w:t xml:space="preserve"> </w:t>
      </w:r>
      <w:r>
        <w:t xml:space="preserve">Lower end estimate</w:t>
      </w:r>
      <w:r>
        <w:t xml:space="preserve"> </w:t>
      </w:r>
      <w:r>
        <w:t xml:space="preserve">€ 424,000</w:t>
      </w:r>
      <w:r>
        <w:br/>
      </w:r>
      <w:r>
        <w:t xml:space="preserve">€ 860,000</w:t>
      </w:r>
      <w:r>
        <w:br/>
      </w:r>
      <w:r>
        <w:t xml:space="preserve">€ 1,814,000</w:t>
      </w:r>
      <w:r>
        <w:br/>
      </w:r>
      <w:r>
        <w:t xml:space="preserve">€ 26,958,000</w:t>
      </w:r>
      <w:r>
        <w:br/>
      </w:r>
      <w:r>
        <w:t xml:space="preserve">€ 30,056,000</w:t>
      </w:r>
      <w:r>
        <w:br/>
      </w:r>
      <w:r>
        <w:t xml:space="preserve">Central estimate</w:t>
      </w:r>
      <w:r>
        <w:t xml:space="preserve"> </w:t>
      </w:r>
      <w:r>
        <w:t xml:space="preserve">€ 230,000</w:t>
      </w:r>
      <w:r>
        <w:br/>
      </w:r>
      <w:r>
        <w:t xml:space="preserve">€ 1,294,000</w:t>
      </w:r>
      <w:r>
        <w:br/>
      </w:r>
      <w:r>
        <w:t xml:space="preserve">€ 2,650,000</w:t>
      </w:r>
      <w:r>
        <w:br/>
      </w:r>
      <w:r>
        <w:t xml:space="preserve">€ 34,496,000</w:t>
      </w:r>
      <w:r>
        <w:br/>
      </w:r>
      <w:r>
        <w:t xml:space="preserve">€ 38,669,000</w:t>
      </w:r>
      <w:r>
        <w:br/>
      </w:r>
      <w:r>
        <w:t xml:space="preserve">Upper end estimate</w:t>
      </w:r>
      <w:r>
        <w:t xml:space="preserve"> </w:t>
      </w:r>
      <w:r>
        <w:t xml:space="preserve">€ 409,000</w:t>
      </w:r>
      <w:r>
        <w:br/>
      </w:r>
      <w:r>
        <w:t xml:space="preserve">€ 1,999,000</w:t>
      </w:r>
      <w:r>
        <w:br/>
      </w:r>
      <w:r>
        <w:t xml:space="preserve">€ 4,527,000</w:t>
      </w:r>
      <w:r>
        <w:br/>
      </w:r>
      <w:r>
        <w:t xml:space="preserve">€ 48,885,000</w:t>
      </w:r>
      <w:r>
        <w:br/>
      </w:r>
      <w:r>
        <w:t xml:space="preserve">€ 55,821,000</w:t>
      </w:r>
      <w:r>
        <w:br/>
      </w:r>
      <w:r>
        <w:t xml:space="preserve">Factor: 25</w:t>
      </w:r>
      <w:r>
        <w:t xml:space="preserve"> </w:t>
      </w:r>
      <w:r>
        <w:t xml:space="preserve">Reformulation: 9%</w:t>
      </w:r>
      <w:r>
        <w:t xml:space="preserve"> </w:t>
      </w: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Lower end estimate</w:t>
      </w:r>
      <w:r>
        <w:t xml:space="preserve"> </w:t>
      </w:r>
      <w:r>
        <w:t xml:space="preserve">€ 963,000</w:t>
      </w:r>
      <w:r>
        <w:br/>
      </w:r>
      <w:r>
        <w:t xml:space="preserve">€1,954,000</w:t>
      </w:r>
      <w:r>
        <w:br/>
      </w:r>
      <w:r>
        <w:t xml:space="preserve">€ 4,124,000</w:t>
      </w:r>
      <w:r>
        <w:br/>
      </w:r>
      <w:r>
        <w:t xml:space="preserve">€ 61,268,000</w:t>
      </w:r>
      <w:r>
        <w:br/>
      </w:r>
      <w:r>
        <w:t xml:space="preserve">€ 68,309,000</w:t>
      </w:r>
      <w:r>
        <w:br/>
      </w:r>
      <w:r>
        <w:t xml:space="preserve">Central estimate</w:t>
      </w:r>
      <w:r>
        <w:t xml:space="preserve"> </w:t>
      </w:r>
      <w:r>
        <w:t xml:space="preserve">€ 522,000</w:t>
      </w:r>
      <w:r>
        <w:br/>
      </w:r>
      <w:r>
        <w:t xml:space="preserve">€2,941,000</w:t>
      </w:r>
      <w:r>
        <w:br/>
      </w:r>
      <w:r>
        <w:t xml:space="preserve">€ 6,023,000</w:t>
      </w:r>
      <w:r>
        <w:br/>
      </w:r>
      <w:r>
        <w:t xml:space="preserve">€ 78,399,000</w:t>
      </w:r>
      <w:r>
        <w:br/>
      </w:r>
      <w:r>
        <w:t xml:space="preserve">€ 87,885,000</w:t>
      </w:r>
      <w:r>
        <w:br/>
      </w:r>
      <w:r>
        <w:t xml:space="preserve">Upper end estimate</w:t>
      </w:r>
      <w:r>
        <w:t xml:space="preserve"> </w:t>
      </w:r>
      <w:r>
        <w:t xml:space="preserve">€ 930,000</w:t>
      </w:r>
      <w:r>
        <w:br/>
      </w:r>
      <w:r>
        <w:t xml:space="preserve">€4,543,000</w:t>
      </w:r>
      <w:r>
        <w:br/>
      </w:r>
      <w:r>
        <w:t xml:space="preserve">€10,289,000</w:t>
      </w:r>
      <w:r>
        <w:br/>
      </w:r>
      <w:r>
        <w:t xml:space="preserve">€ 111,103,000</w:t>
      </w:r>
      <w:r>
        <w:br/>
      </w:r>
      <w:r>
        <w:t xml:space="preserve">€ 126,865,000</w:t>
      </w:r>
      <w:r>
        <w:br/>
      </w:r>
      <w:r>
        <w:t xml:space="preserve">Factor: 11</w:t>
      </w:r>
      <w:r>
        <w:t xml:space="preserve"> </w:t>
      </w:r>
      <w:r>
        <w:t xml:space="preserve">Reformulation:</w:t>
      </w:r>
      <w:r>
        <w:t xml:space="preserve"> </w:t>
      </w:r>
      <w:r>
        <w:t xml:space="preserve">25%</w:t>
      </w:r>
      <w:r>
        <w:t xml:space="preserve"> </w:t>
      </w: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Total</w:t>
      </w:r>
      <w:r>
        <w:t xml:space="preserve"> </w:t>
      </w:r>
      <w:r>
        <w:t xml:space="preserve">Lower end estimate</w:t>
      </w:r>
      <w:r>
        <w:t xml:space="preserve"> </w:t>
      </w:r>
      <w:r>
        <w:t xml:space="preserve">€914,000</w:t>
      </w:r>
      <w:r>
        <w:br/>
      </w:r>
      <w:r>
        <w:t xml:space="preserve">€ 1,856,000</w:t>
      </w:r>
      <w:r>
        <w:br/>
      </w:r>
      <w:r>
        <w:t xml:space="preserve">€ 3,917,000</w:t>
      </w:r>
      <w:r>
        <w:br/>
      </w:r>
      <w:r>
        <w:t xml:space="preserve">€ 58,197,000</w:t>
      </w:r>
      <w:r>
        <w:br/>
      </w:r>
      <w:r>
        <w:t xml:space="preserve">€ 64,884,000</w:t>
      </w:r>
      <w:r>
        <w:br/>
      </w:r>
      <w:r>
        <w:t xml:space="preserve">Central estimate</w:t>
      </w:r>
      <w:r>
        <w:t xml:space="preserve"> </w:t>
      </w:r>
      <w:r>
        <w:t xml:space="preserve">€495,000</w:t>
      </w:r>
      <w:r>
        <w:br/>
      </w:r>
      <w:r>
        <w:t xml:space="preserve">€ 2,792,000</w:t>
      </w:r>
      <w:r>
        <w:br/>
      </w:r>
      <w:r>
        <w:t xml:space="preserve">€ 5,719,000</w:t>
      </w:r>
      <w:r>
        <w:br/>
      </w:r>
      <w:r>
        <w:t xml:space="preserve">€ 74,433,000</w:t>
      </w:r>
      <w:r>
        <w:br/>
      </w:r>
      <w:r>
        <w:t xml:space="preserve">€ 83,439,000</w:t>
      </w:r>
      <w:r>
        <w:br/>
      </w:r>
      <w:r>
        <w:t xml:space="preserve">Upper end estimate</w:t>
      </w:r>
      <w:r>
        <w:t xml:space="preserve"> </w:t>
      </w:r>
      <w:r>
        <w:t xml:space="preserve">€880,000</w:t>
      </w:r>
      <w:r>
        <w:br/>
      </w:r>
      <w:r>
        <w:t xml:space="preserve">€ 4,294,000</w:t>
      </w:r>
      <w:r>
        <w:br/>
      </w:r>
      <w:r>
        <w:t xml:space="preserve">€ 9,727,000</w:t>
      </w:r>
      <w:r>
        <w:br/>
      </w:r>
      <w:r>
        <w:t xml:space="preserve">€105,031,000</w:t>
      </w:r>
      <w:r>
        <w:br/>
      </w:r>
      <w:r>
        <w:t xml:space="preserve">€119,932,000</w:t>
      </w:r>
      <w:r>
        <w:br/>
      </w:r>
      <w:r>
        <w:t xml:space="preserve">Factor: 25</w:t>
      </w:r>
      <w:r>
        <w:t xml:space="preserve"> </w:t>
      </w:r>
      <w:r>
        <w:t xml:space="preserve">Reformulation:</w:t>
      </w:r>
      <w:r>
        <w:t xml:space="preserve"> </w:t>
      </w:r>
      <w:r>
        <w:t xml:space="preserve">25%</w:t>
      </w:r>
      <w:r>
        <w:t xml:space="preserve"> </w:t>
      </w: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Total</w:t>
      </w:r>
      <w:r>
        <w:t xml:space="preserve"> </w:t>
      </w:r>
      <w:r>
        <w:t xml:space="preserve">Lower end estimate</w:t>
      </w:r>
      <w:r>
        <w:t xml:space="preserve"> </w:t>
      </w:r>
      <w:r>
        <w:t xml:space="preserve">€914,000</w:t>
      </w:r>
      <w:r>
        <w:br/>
      </w:r>
      <w:r>
        <w:t xml:space="preserve">€ 1,856,000</w:t>
      </w:r>
      <w:r>
        <w:br/>
      </w:r>
      <w:r>
        <w:t xml:space="preserve">€3,917,000</w:t>
      </w:r>
      <w:r>
        <w:br/>
      </w:r>
      <w:r>
        <w:t xml:space="preserve">€ 58,197,000</w:t>
      </w:r>
      <w:r>
        <w:br/>
      </w:r>
      <w:r>
        <w:t xml:space="preserve">€ 147,464,000</w:t>
      </w:r>
      <w:r>
        <w:br/>
      </w:r>
      <w:r>
        <w:t xml:space="preserve">Central estimate</w:t>
      </w:r>
      <w:r>
        <w:t xml:space="preserve"> </w:t>
      </w:r>
      <w:r>
        <w:t xml:space="preserve">€495,000</w:t>
      </w:r>
      <w:r>
        <w:br/>
      </w:r>
      <w:r>
        <w:t xml:space="preserve">€ 2,792,000</w:t>
      </w:r>
      <w:r>
        <w:br/>
      </w:r>
      <w:r>
        <w:t xml:space="preserve">€5,719,000</w:t>
      </w:r>
      <w:r>
        <w:br/>
      </w:r>
      <w:r>
        <w:t xml:space="preserve">€ 74,433,000</w:t>
      </w:r>
      <w:r>
        <w:br/>
      </w:r>
      <w:r>
        <w:t xml:space="preserve">€ 189,635,000</w:t>
      </w:r>
      <w:r>
        <w:br/>
      </w:r>
      <w:r>
        <w:t xml:space="preserve">Upper end estimate</w:t>
      </w:r>
      <w:r>
        <w:t xml:space="preserve"> </w:t>
      </w:r>
      <w:r>
        <w:t xml:space="preserve">€880,000</w:t>
      </w:r>
      <w:r>
        <w:br/>
      </w:r>
      <w:r>
        <w:t xml:space="preserve">€ 4,294,000</w:t>
      </w:r>
      <w:r>
        <w:br/>
      </w:r>
      <w:r>
        <w:t xml:space="preserve">€9,727,000</w:t>
      </w:r>
      <w:r>
        <w:br/>
      </w:r>
      <w:r>
        <w:t xml:space="preserve">€ 105,031,000</w:t>
      </w:r>
      <w:r>
        <w:br/>
      </w:r>
      <w:r>
        <w:t xml:space="preserve">€ 272,573,000</w:t>
      </w:r>
    </w:p>
    <w:p>
      <w:pPr>
        <w:pStyle w:val="BodyText"/>
      </w:pPr>
      <w:r>
        <w:t xml:space="preserve">Grand total costs of PO1</w:t>
      </w:r>
      <w:r>
        <w:t xml:space="preserve"> </w:t>
      </w:r>
      <w:r>
        <w:t xml:space="preserve">The grand total cost of the inclusion of the new hazard classes is the sum of the costs of</w:t>
      </w:r>
      <w:r>
        <w:t xml:space="preserve"> </w:t>
      </w:r>
      <w:r>
        <w:t xml:space="preserve">classification, labelling, notification and SDS revision of substances and mixtures and the</w:t>
      </w:r>
      <w:r>
        <w:t xml:space="preserve"> </w:t>
      </w:r>
      <w:r>
        <w:t xml:space="preserve">reformulation of mixtures. The central estimate of the present value (discount rate: 3%) is in</w:t>
      </w:r>
      <w:r>
        <w:t xml:space="preserve"> </w:t>
      </w:r>
      <w:r>
        <w:t xml:space="preserve">the range €39M - €190M, with a lower end estimate of €30M and an upper end estimate of</w:t>
      </w:r>
      <w:r>
        <w:t xml:space="preserve"> </w:t>
      </w:r>
      <w:r>
        <w:t xml:space="preserve">€273M.</w:t>
      </w:r>
      <w:r>
        <w:t xml:space="preserve"> </w:t>
      </w:r>
      <w:r>
        <w:t xml:space="preserve">Table 60: Present value of the grand total costs of CLP activities on PO1-a (discount rate: 3%)</w:t>
      </w:r>
    </w:p>
    <w:p>
      <w:pPr>
        <w:pStyle w:val="BodyText"/>
      </w:pPr>
      <w:r>
        <w:t xml:space="preserve">Reformulation: 9% of mixtures</w:t>
      </w:r>
      <w:r>
        <w:t xml:space="preserve"> </w:t>
      </w:r>
      <w:r>
        <w:t xml:space="preserve">Reformulation: 25% of mixtures</w:t>
      </w:r>
    </w:p>
    <w:p>
      <w:pPr>
        <w:pStyle w:val="BodyText"/>
      </w:pPr>
      <w:r>
        <w:t xml:space="preserve">Based on 11</w:t>
      </w:r>
      <w:r>
        <w:t xml:space="preserve"> </w:t>
      </w:r>
      <w:r>
        <w:t xml:space="preserve">mixtures per</w:t>
      </w:r>
      <w:r>
        <w:t xml:space="preserve"> </w:t>
      </w:r>
      <w:r>
        <w:t xml:space="preserve">substance</w:t>
      </w:r>
      <w:r>
        <w:t xml:space="preserve"> </w:t>
      </w:r>
      <w:r>
        <w:t xml:space="preserve">Based on 25</w:t>
      </w:r>
      <w:r>
        <w:t xml:space="preserve"> </w:t>
      </w:r>
      <w:r>
        <w:t xml:space="preserve">mixtures per</w:t>
      </w:r>
      <w:r>
        <w:t xml:space="preserve"> </w:t>
      </w:r>
      <w:r>
        <w:t xml:space="preserve">substance</w:t>
      </w:r>
      <w:r>
        <w:t xml:space="preserve"> </w:t>
      </w:r>
      <w:r>
        <w:t xml:space="preserve">Based on 11</w:t>
      </w:r>
      <w:r>
        <w:t xml:space="preserve"> </w:t>
      </w:r>
      <w:r>
        <w:t xml:space="preserve">mixtures per</w:t>
      </w:r>
      <w:r>
        <w:t xml:space="preserve"> </w:t>
      </w:r>
      <w:r>
        <w:t xml:space="preserve">substance</w:t>
      </w:r>
      <w:r>
        <w:t xml:space="preserve"> </w:t>
      </w:r>
      <w:r>
        <w:t xml:space="preserve">Based on 25</w:t>
      </w:r>
      <w:r>
        <w:t xml:space="preserve"> </w:t>
      </w:r>
      <w:r>
        <w:t xml:space="preserve">mixtures per</w:t>
      </w:r>
      <w:r>
        <w:t xml:space="preserve"> </w:t>
      </w:r>
      <w:r>
        <w:t xml:space="preserve">substance</w:t>
      </w:r>
      <w:r>
        <w:t xml:space="preserve"> </w:t>
      </w:r>
      <w:r>
        <w:t xml:space="preserve">Total – Lower end</w:t>
      </w:r>
      <w:r>
        <w:t xml:space="preserve"> </w:t>
      </w:r>
      <w:r>
        <w:t xml:space="preserve">€30,647,000</w:t>
      </w:r>
      <w:r>
        <w:t xml:space="preserve"> </w:t>
      </w:r>
      <w:r>
        <w:t xml:space="preserve">€ 68,900,000</w:t>
      </w:r>
      <w:r>
        <w:t xml:space="preserve"> </w:t>
      </w:r>
      <w:r>
        <w:t xml:space="preserve">€65,475,000</w:t>
      </w:r>
      <w:r>
        <w:t xml:space="preserve"> </w:t>
      </w:r>
      <w:r>
        <w:t xml:space="preserve">€ 148,055,000</w:t>
      </w:r>
      <w:r>
        <w:br/>
      </w:r>
      <w:r>
        <w:t xml:space="preserve">Total - Central estimate</w:t>
      </w:r>
      <w:r>
        <w:t xml:space="preserve"> </w:t>
      </w:r>
      <w:r>
        <w:t xml:space="preserve">€39,437,000</w:t>
      </w:r>
      <w:r>
        <w:t xml:space="preserve"> </w:t>
      </w:r>
      <w:r>
        <w:t xml:space="preserve">€ 88,653,000</w:t>
      </w:r>
      <w:r>
        <w:br/>
      </w:r>
      <w:r>
        <w:t xml:space="preserve">€84,207,000</w:t>
      </w:r>
      <w:r>
        <w:t xml:space="preserve"> </w:t>
      </w:r>
      <w:r>
        <w:t xml:space="preserve">€ 190,403,000</w:t>
      </w:r>
      <w:r>
        <w:br/>
      </w:r>
      <w:r>
        <w:t xml:space="preserve">Total - Upper end</w:t>
      </w:r>
      <w:r>
        <w:t xml:space="preserve"> </w:t>
      </w:r>
      <w:r>
        <w:t xml:space="preserve">€57,022,000</w:t>
      </w:r>
      <w:r>
        <w:t xml:space="preserve"> </w:t>
      </w:r>
      <w:r>
        <w:t xml:space="preserve">€ 128,066,000</w:t>
      </w:r>
      <w:r>
        <w:t xml:space="preserve"> </w:t>
      </w:r>
      <w:r>
        <w:t xml:space="preserve">€ 121,133,000</w:t>
      </w:r>
      <w:r>
        <w:br/>
      </w:r>
      <w:r>
        <w:t xml:space="preserve">€ 273,774,000</w:t>
      </w:r>
      <w:r>
        <w:br/>
      </w:r>
      <w:r>
        <w:t xml:space="preserve">Notes: rounded to the nearest million</w:t>
      </w:r>
    </w:p>
    <w:p>
      <w:pPr>
        <w:pStyle w:val="BodyText"/>
      </w:pPr>
      <w:r>
        <w:t xml:space="preserve">The cost estimates are sensitive to the assumptions made on the number of mixtures per</w:t>
      </w:r>
      <w:r>
        <w:t xml:space="preserve"> </w:t>
      </w:r>
      <w:r>
        <w:t xml:space="preserve">substance and the percentage of mixtures that would be reformulated.</w:t>
      </w:r>
      <w:r>
        <w:br/>
      </w:r>
      <w:r>
        <w:t xml:space="preserve">Public authorities: Change in costs to the Commission, ECHA and MSCAs</w:t>
      </w:r>
      <w:r>
        <w:t xml:space="preserve"> </w:t>
      </w:r>
      <w:r>
        <w:t xml:space="preserve">In the coming years, the Commission, ECHA and MSCAs are expected to keep the current</w:t>
      </w:r>
      <w:r>
        <w:t xml:space="preserve"> </w:t>
      </w:r>
      <w:r>
        <w:t xml:space="preserve">level of resources dedicated to chemical risk management. The introduction of new hazard</w:t>
      </w:r>
      <w:r>
        <w:t xml:space="preserve"> </w:t>
      </w:r>
      <w:r>
        <w:t xml:space="preserve">classes in the CLP Regulation — in itself — does not entail a cost for administration but will</w:t>
      </w:r>
      <w:r>
        <w:t xml:space="preserve"> </w:t>
      </w:r>
      <w:r>
        <w:t xml:space="preserve">result in a higher number of substances identified as EDs or with PBT/vPvB and PMT/vPvM</w:t>
      </w:r>
      <w:r>
        <w:t xml:space="preserve"> </w:t>
      </w:r>
      <w:r>
        <w:t xml:space="preserve">properties being subject to further regulatory risk management actions, ‘competing’ with</w:t>
      </w:r>
      <w:r>
        <w:t xml:space="preserve"> </w:t>
      </w:r>
      <w:r>
        <w:t xml:space="preserve">substances classified for other hazards of concern.</w:t>
      </w:r>
      <w:r>
        <w:t xml:space="preserve"> </w:t>
      </w:r>
      <w:r>
        <w:t xml:space="preserve">This subsection presents a discussion over the amount of resources that would be required to</w:t>
      </w:r>
      <w:r>
        <w:t xml:space="preserve"> </w:t>
      </w:r>
      <w:r>
        <w:t xml:space="preserve">prepare CLH dossiers for the number of substances that could be identified as EDs or with</w:t>
      </w:r>
      <w:r>
        <w:t xml:space="preserve"> </w:t>
      </w:r>
      <w:r>
        <w:t xml:space="preserve">PBT/vPvB and PMT/vPvM properties.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ECHA has made an estimate of the resources required for development of CLH dossiers</w:t>
      </w:r>
      <w:r>
        <w:t xml:space="preserve"> </w:t>
      </w:r>
      <w:r>
        <w:t xml:space="preserve">including the average time and other resources required per dossier. The development of a CLH</w:t>
      </w:r>
      <w:r>
        <w:t xml:space="preserve"> </w:t>
      </w:r>
      <w:r>
        <w:t xml:space="preserve">dossier for ED/PMT/PBT hazard classes is of higher complexity than the average CLH. This</w:t>
      </w:r>
      <w:r>
        <w:t xml:space="preserve"> </w:t>
      </w:r>
      <w:r>
        <w:t xml:space="preserve">is summarised in Table 60 and results in an estimated average cost per CLH of €120,500.</w:t>
      </w:r>
      <w:r>
        <w:t xml:space="preserve"> </w:t>
      </w:r>
      <w:r>
        <w:t xml:space="preserve">In the notes supporting its estimate, ECHA identify that ‘dossier development’ cost component</w:t>
      </w:r>
      <w:r>
        <w:t xml:space="preserve"> </w:t>
      </w:r>
      <w:r>
        <w:t xml:space="preserve">has two key stages:</w:t>
      </w:r>
    </w:p>
    <w:p>
      <w:pPr>
        <w:numPr>
          <w:ilvl w:val="0"/>
          <w:numId w:val="1002"/>
        </w:numPr>
      </w:pPr>
      <w:r>
        <w:t xml:space="preserve">the collection of data for proposing the hazard classes; and</w:t>
      </w:r>
    </w:p>
    <w:p>
      <w:pPr>
        <w:numPr>
          <w:ilvl w:val="0"/>
          <w:numId w:val="1002"/>
        </w:numPr>
      </w:pPr>
      <w:r>
        <w:t xml:space="preserve">the drafting of the dossier.</w:t>
      </w:r>
    </w:p>
    <w:p>
      <w:pPr>
        <w:pStyle w:val="FirstParagraph"/>
      </w:pPr>
      <w:r>
        <w:t xml:space="preserve">ECHA identifies that the first stage of collecting the data will be the most challenging in respect</w:t>
      </w:r>
      <w:r>
        <w:t xml:space="preserve"> </w:t>
      </w:r>
      <w:r>
        <w:t xml:space="preserve">of time management and experience in literature searching and data collection as it will require</w:t>
      </w:r>
      <w:r>
        <w:t xml:space="preserve"> </w:t>
      </w:r>
      <w:r>
        <w:t xml:space="preserve">the need to acquire/access proprietary data and maybe the necessary access rights to do this.</w:t>
      </w:r>
      <w:r>
        <w:t xml:space="preserve"> </w:t>
      </w:r>
      <w:r>
        <w:t xml:space="preserve">The second stage of drafting the report is identified as being more manageable.</w:t>
      </w:r>
      <w:r>
        <w:br/>
      </w:r>
      <w:r>
        <w:t xml:space="preserve">Table 61: ECHA’s estimate of resources for supporting the preparation of a complex CLH dossier</w:t>
      </w:r>
    </w:p>
    <w:p>
      <w:pPr>
        <w:pStyle w:val="BodyText"/>
      </w:pPr>
      <w:r>
        <w:t xml:space="preserve">ECHA estimate for CLH</w:t>
      </w:r>
      <w:r>
        <w:t xml:space="preserve"> </w:t>
      </w:r>
      <w:r>
        <w:t xml:space="preserve">Dossier development</w:t>
      </w:r>
      <w:r>
        <w:t xml:space="preserve"> </w:t>
      </w:r>
      <w:r>
        <w:t xml:space="preserve">0.5 FTE</w:t>
      </w:r>
      <w:r>
        <w:t xml:space="preserve"> </w:t>
      </w:r>
      <w:r>
        <w:t xml:space="preserve">RAC opinion making</w:t>
      </w:r>
      <w:r>
        <w:t xml:space="preserve"> </w:t>
      </w:r>
      <w:r>
        <w:t xml:space="preserve">0.1 FTE</w:t>
      </w:r>
      <w:r>
        <w:t xml:space="preserve"> </w:t>
      </w:r>
      <w:r>
        <w:t xml:space="preserve">Support services</w:t>
      </w:r>
      <w:r>
        <w:t xml:space="preserve"> </w:t>
      </w:r>
      <w:r>
        <w:t xml:space="preserve">0.05 FTE</w:t>
      </w:r>
      <w:r>
        <w:t xml:space="preserve"> </w:t>
      </w:r>
      <w:r>
        <w:t xml:space="preserve">Total FTE</w:t>
      </w:r>
      <w:r>
        <w:t xml:space="preserve"> </w:t>
      </w:r>
      <w:r>
        <w:t xml:space="preserve">0.65</w:t>
      </w:r>
      <w:r>
        <w:t xml:space="preserve"> </w:t>
      </w:r>
      <w:r>
        <w:t xml:space="preserve">1 FTE staff costs including 19% overhead cost and infrastructure</w:t>
      </w:r>
      <w:r>
        <w:t xml:space="preserve"> </w:t>
      </w:r>
      <w:r>
        <w:t xml:space="preserve">€170,000</w:t>
      </w:r>
      <w:r>
        <w:t xml:space="preserve"> </w:t>
      </w:r>
      <w:r>
        <w:t xml:space="preserve">Total cost of the above</w:t>
      </w:r>
      <w:r>
        <w:t xml:space="preserve"> </w:t>
      </w:r>
      <w:r>
        <w:t xml:space="preserve">€110,500</w:t>
      </w:r>
      <w:r>
        <w:t xml:space="preserve"> </w:t>
      </w:r>
      <w:r>
        <w:t xml:space="preserve">Contribution to RAC organisation cost</w:t>
      </w:r>
      <w:r>
        <w:t xml:space="preserve"> </w:t>
      </w:r>
      <w:r>
        <w:t xml:space="preserve">€10,000</w:t>
      </w:r>
      <w:r>
        <w:t xml:space="preserve"> </w:t>
      </w:r>
      <w:r>
        <w:t xml:space="preserve">Total</w:t>
      </w:r>
      <w:r>
        <w:br/>
      </w:r>
      <w:r>
        <w:t xml:space="preserve">€120,500</w:t>
      </w:r>
    </w:p>
    <w:p>
      <w:pPr>
        <w:pStyle w:val="BodyText"/>
      </w:pPr>
      <w:r>
        <w:t xml:space="preserve">The estimate of the average cost of developing CLH for a substance can now be applied to the</w:t>
      </w:r>
      <w:r>
        <w:t xml:space="preserve"> </w:t>
      </w:r>
      <w:r>
        <w:t xml:space="preserve">number of substances. According to the analysis, the following estimated numbers of</w:t>
      </w:r>
      <w:r>
        <w:t xml:space="preserve"> </w:t>
      </w:r>
      <w:r>
        <w:t xml:space="preserve">substances may be identified as meeting classification for each of the identified hazards. As</w:t>
      </w:r>
      <w:r>
        <w:t xml:space="preserve"> </w:t>
      </w:r>
      <w:r>
        <w:t xml:space="preserve">noted earlier, there is overlap between the proposed hazard classes such that some substances</w:t>
      </w:r>
      <w:r>
        <w:t xml:space="preserve"> </w:t>
      </w:r>
      <w:r>
        <w:t xml:space="preserve">may have more than one classification. In earlier parts of the analysis, it was estimated that, on</w:t>
      </w:r>
      <w:r>
        <w:t xml:space="preserve"> </w:t>
      </w:r>
      <w:r>
        <w:t xml:space="preserve">average, each substance may be identified with 1.15 hazard classifications151. Thus, the number</w:t>
      </w:r>
      <w:r>
        <w:t xml:space="preserve"> </w:t>
      </w:r>
      <w:r>
        <w:t xml:space="preserve">of substances implied is adjusted to provide the estimated number of CLH dossiers, giving a</w:t>
      </w:r>
      <w:r>
        <w:t xml:space="preserve"> </w:t>
      </w:r>
      <w:r>
        <w:t xml:space="preserve">central estimate of 2,407 (ranging between 1,800 and 3,686). This assumes that there is no</w:t>
      </w:r>
      <w:r>
        <w:t xml:space="preserve"> </w:t>
      </w:r>
      <w:r>
        <w:t xml:space="preserve">grouping of substances, and each substance would require its own CLH dossier. It also does</w:t>
      </w:r>
      <w:r>
        <w:t xml:space="preserve"> </w:t>
      </w:r>
      <w:r>
        <w:t xml:space="preserve">not take account of the fact that some of the substances may already have a hazard classification</w:t>
      </w:r>
      <w:r>
        <w:t xml:space="preserve"> </w:t>
      </w:r>
      <w:r>
        <w:t xml:space="preserve">that requires that a CLH dossier is developed (such as CMR 1A/1B).</w:t>
      </w:r>
      <w:r>
        <w:br/>
      </w:r>
      <w:r>
        <w:t xml:space="preserve">Table 62: Number of substances for CLH</w:t>
      </w:r>
    </w:p>
    <w:p>
      <w:pPr>
        <w:pStyle w:val="BodyText"/>
      </w:pPr>
      <w:r>
        <w:t xml:space="preserve">Lower end (AA-1)</w:t>
      </w:r>
      <w:r>
        <w:t xml:space="preserve"> </w:t>
      </w:r>
      <w:r>
        <w:t xml:space="preserve">Central estimate (ECHA</w:t>
      </w:r>
      <w:r>
        <w:t xml:space="preserve"> </w:t>
      </w:r>
      <w:r>
        <w:t xml:space="preserve">approach)</w:t>
      </w:r>
      <w:r>
        <w:t xml:space="preserve"> </w:t>
      </w:r>
      <w:r>
        <w:t xml:space="preserve">Upper end (AA-2)</w:t>
      </w:r>
      <w:r>
        <w:t xml:space="preserve"> </w:t>
      </w:r>
      <w:r>
        <w:t xml:space="preserve">ED Total</w:t>
      </w:r>
      <w:r>
        <w:t xml:space="preserve"> </w:t>
      </w:r>
      <w:r>
        <w:t xml:space="preserve">1,772</w:t>
      </w:r>
      <w:r>
        <w:t xml:space="preserve"> </w:t>
      </w:r>
      <w:r>
        <w:t xml:space="preserve">2,145</w:t>
      </w:r>
      <w:r>
        <w:t xml:space="preserve"> </w:t>
      </w:r>
      <w:r>
        <w:t xml:space="preserve">2,705</w:t>
      </w:r>
      <w:r>
        <w:t xml:space="preserve"> </w:t>
      </w:r>
      <w:r>
        <w:t xml:space="preserve">PBT/vPvB total</w:t>
      </w:r>
      <w:r>
        <w:t xml:space="preserve"> </w:t>
      </w:r>
      <w:r>
        <w:t xml:space="preserve">143</w:t>
      </w:r>
      <w:r>
        <w:t xml:space="preserve"> </w:t>
      </w:r>
      <w:r>
        <w:t xml:space="preserve">396</w:t>
      </w:r>
      <w:r>
        <w:t xml:space="preserve"> </w:t>
      </w:r>
      <w:r>
        <w:t xml:space="preserve">847</w:t>
      </w:r>
      <w:r>
        <w:t xml:space="preserve"> </w:t>
      </w:r>
      <w:r>
        <w:t xml:space="preserve">PMT/vPvM</w:t>
      </w:r>
      <w:r>
        <w:t xml:space="preserve"> </w:t>
      </w:r>
      <w:r>
        <w:t xml:space="preserve">158</w:t>
      </w:r>
      <w:r>
        <w:t xml:space="preserve"> </w:t>
      </w:r>
      <w:r>
        <w:t xml:space="preserve">231</w:t>
      </w:r>
      <w:r>
        <w:t xml:space="preserve"> </w:t>
      </w:r>
      <w:r>
        <w:t xml:space="preserve">693</w:t>
      </w:r>
      <w:r>
        <w:t xml:space="preserve"> </w:t>
      </w:r>
      <w:r>
        <w:t xml:space="preserve">Total hazard / substance</w:t>
      </w:r>
      <w:r>
        <w:t xml:space="preserve"> </w:t>
      </w:r>
      <w:r>
        <w:t xml:space="preserve">combinations</w:t>
      </w:r>
      <w:r>
        <w:t xml:space="preserve"> </w:t>
      </w:r>
      <w:r>
        <w:t xml:space="preserve">2,073</w:t>
      </w:r>
      <w:r>
        <w:t xml:space="preserve"> </w:t>
      </w:r>
      <w:r>
        <w:t xml:space="preserve">2,772</w:t>
      </w:r>
      <w:r>
        <w:t xml:space="preserve"> </w:t>
      </w:r>
      <w:r>
        <w:t xml:space="preserve">4,245</w:t>
      </w:r>
      <w:r>
        <w:t xml:space="preserve"> </w:t>
      </w:r>
      <w:r>
        <w:t xml:space="preserve">Implied substances</w:t>
      </w:r>
      <w:r>
        <w:t xml:space="preserve"> </w:t>
      </w:r>
      <w:r>
        <w:t xml:space="preserve">1,800</w:t>
      </w:r>
      <w:r>
        <w:t xml:space="preserve"> </w:t>
      </w:r>
      <w:r>
        <w:t xml:space="preserve">2,407</w:t>
      </w:r>
      <w:r>
        <w:t xml:space="preserve"> </w:t>
      </w:r>
      <w:r>
        <w:t xml:space="preserve">3,686</w:t>
      </w:r>
    </w:p>
    <w:p>
      <w:pPr>
        <w:pStyle w:val="BodyText"/>
      </w:pPr>
      <w:r>
        <w:t xml:space="preserve">151 It is important to note that, considering hazard classes other than ED, PBT/vPvB and PMT/vPvM, the average</w:t>
      </w:r>
      <w:r>
        <w:t xml:space="preserve"> </w:t>
      </w:r>
      <w:r>
        <w:t xml:space="preserve">number of hazard classes covered by a CLH dossier is three (analysis of CLH up to CLP ATP17).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The resulting cost estimates are provided in Table 62. It should be noted that, whilst the costs</w:t>
      </w:r>
      <w:r>
        <w:t xml:space="preserve"> </w:t>
      </w:r>
      <w:r>
        <w:t xml:space="preserve">provide an estimate of the financial cost of the undertakings, they do not consider the</w:t>
      </w:r>
      <w:r>
        <w:t xml:space="preserve"> </w:t>
      </w:r>
      <w:r>
        <w:t xml:space="preserve">practicality of producing such large numbers of CLH proposals within a framework that</w:t>
      </w:r>
      <w:r>
        <w:t xml:space="preserve"> </w:t>
      </w:r>
      <w:r>
        <w:t xml:space="preserve">currently produces 50 to 60 CLH dossiers per year. Here ECHA notes that the feasibility of</w:t>
      </w:r>
      <w:r>
        <w:t xml:space="preserve"> </w:t>
      </w:r>
      <w:r>
        <w:t xml:space="preserve">the work needs to be seen in the light of resources that would be available to ECHA as</w:t>
      </w:r>
      <w:r>
        <w:t xml:space="preserve"> </w:t>
      </w:r>
      <w:r>
        <w:t xml:space="preserve">opposed to the total amount of activities (under REACH and CLP) that are foreseen for</w:t>
      </w:r>
      <w:r>
        <w:t xml:space="preserve"> </w:t>
      </w:r>
      <w:r>
        <w:t xml:space="preserve">ECHA to carry out.</w:t>
      </w:r>
      <w:r>
        <w:br/>
      </w:r>
      <w:r>
        <w:t xml:space="preserve">ECHA also notes that the estimates are of limited scalability, meaning that in case of a</w:t>
      </w:r>
      <w:r>
        <w:t xml:space="preserve"> </w:t>
      </w:r>
      <w:r>
        <w:t xml:space="preserve">relatively high demand (e.g. additional &gt;10 CLH per year) additional overhead will need to be</w:t>
      </w:r>
      <w:r>
        <w:t xml:space="preserve"> </w:t>
      </w:r>
      <w:r>
        <w:t xml:space="preserve">looked at.</w:t>
      </w:r>
      <w:r>
        <w:br/>
      </w:r>
      <w:r>
        <w:t xml:space="preserve">Table 63: Costs of CLH proposal development under PO1-c</w:t>
      </w:r>
    </w:p>
    <w:p>
      <w:pPr>
        <w:pStyle w:val="BodyText"/>
      </w:pPr>
      <w:r>
        <w:t xml:space="preserve">Number of Substances /</w:t>
      </w:r>
      <w:r>
        <w:t xml:space="preserve"> </w:t>
      </w:r>
      <w:r>
        <w:t xml:space="preserve">CLH proposals</w:t>
      </w:r>
      <w:r>
        <w:t xml:space="preserve"> </w:t>
      </w:r>
      <w:r>
        <w:t xml:space="preserve">ECHA estimate</w:t>
      </w:r>
      <w:r>
        <w:t xml:space="preserve"> </w:t>
      </w:r>
      <w:r>
        <w:t xml:space="preserve">for CLH cost</w:t>
      </w:r>
      <w:r>
        <w:t xml:space="preserve"> </w:t>
      </w:r>
      <w:r>
        <w:t xml:space="preserve">Present value (20</w:t>
      </w:r>
      <w:r>
        <w:t xml:space="preserve"> </w:t>
      </w:r>
      <w:r>
        <w:t xml:space="preserve">years, 3%)</w:t>
      </w:r>
      <w:r>
        <w:t xml:space="preserve"> </w:t>
      </w:r>
      <w:r>
        <w:t xml:space="preserve">Lower end (AA-1)</w:t>
      </w:r>
      <w:r>
        <w:t xml:space="preserve"> </w:t>
      </w:r>
      <w:r>
        <w:t xml:space="preserve">1,800</w:t>
      </w:r>
      <w:r>
        <w:t xml:space="preserve"> </w:t>
      </w:r>
      <w:r>
        <w:t xml:space="preserve">€ 198,900,000</w:t>
      </w:r>
      <w:r>
        <w:t xml:space="preserve"> </w:t>
      </w:r>
      <w:r>
        <w:t xml:space="preserve">€ 13,400,000</w:t>
      </w:r>
      <w:r>
        <w:t xml:space="preserve"> </w:t>
      </w:r>
      <w:r>
        <w:t xml:space="preserve">Central estimate (ECHA approach)</w:t>
      </w:r>
      <w:r>
        <w:t xml:space="preserve"> </w:t>
      </w:r>
      <w:r>
        <w:t xml:space="preserve">2,407</w:t>
      </w:r>
      <w:r>
        <w:t xml:space="preserve"> </w:t>
      </w:r>
      <w:r>
        <w:t xml:space="preserve">€ 266,000,000</w:t>
      </w:r>
      <w:r>
        <w:t xml:space="preserve"> </w:t>
      </w:r>
      <w:r>
        <w:t xml:space="preserve">€ 17,900,000</w:t>
      </w:r>
      <w:r>
        <w:t xml:space="preserve"> </w:t>
      </w:r>
      <w:r>
        <w:t xml:space="preserve">Upper end (AA-2)</w:t>
      </w:r>
      <w:r>
        <w:t xml:space="preserve"> </w:t>
      </w:r>
      <w:r>
        <w:t xml:space="preserve">3,686</w:t>
      </w:r>
      <w:r>
        <w:t xml:space="preserve"> </w:t>
      </w:r>
      <w:r>
        <w:t xml:space="preserve">€ 407,300,000</w:t>
      </w:r>
      <w:r>
        <w:t xml:space="preserve"> </w:t>
      </w:r>
      <w:r>
        <w:t xml:space="preserve">€ 27,400,000</w:t>
      </w:r>
    </w:p>
    <w:p>
      <w:pPr>
        <w:pStyle w:val="BodyText"/>
      </w:pPr>
      <w:r>
        <w:t xml:space="preserve">Considering a 20-year period, dossier submitters (ECHA, MSCAs and industry actors)152</w:t>
      </w:r>
      <w:r>
        <w:t xml:space="preserve"> </w:t>
      </w:r>
      <w:r>
        <w:t xml:space="preserve">would have to prepare additional 120 CLH dossiers per year (central estimate; 90-184 CLHs</w:t>
      </w:r>
      <w:r>
        <w:t xml:space="preserve"> </w:t>
      </w:r>
      <w:r>
        <w:t xml:space="preserve">per year), and ECHA and RAC would have to process them. Annualised costs (20-year period,</w:t>
      </w:r>
      <w:r>
        <w:t xml:space="preserve"> </w:t>
      </w:r>
      <w:r>
        <w:t xml:space="preserve">3% discount rate)153 would sum up to €17.9 million. In terms of human resources, to prepare</w:t>
      </w:r>
      <w:r>
        <w:t xml:space="preserve"> </w:t>
      </w:r>
      <w:r>
        <w:t xml:space="preserve">and process the additional number of CLH dossiers in 20 years, dossier submitters would</w:t>
      </w:r>
      <w:r>
        <w:t xml:space="preserve"> </w:t>
      </w:r>
      <w:r>
        <w:t xml:space="preserve">require additional 60 FTEs per year (ECHA estimate) (CI: 45-92 FTEs), ECHA support</w:t>
      </w:r>
      <w:r>
        <w:t xml:space="preserve"> </w:t>
      </w:r>
      <w:r>
        <w:t xml:space="preserve">services would require 6 FTEs (CI: 5-9 FTEs) and RAC would require additional 12 FTEs per</w:t>
      </w:r>
      <w:r>
        <w:t xml:space="preserve"> </w:t>
      </w:r>
      <w:r>
        <w:t xml:space="preserve">year (CI: 9-18 FTEs).</w:t>
      </w:r>
      <w:r>
        <w:t xml:space="preserve"> </w:t>
      </w:r>
      <w:r>
        <w:t xml:space="preserve">To put these numbers in perspective with the current capacity, with the current rate of dossier</w:t>
      </w:r>
      <w:r>
        <w:t xml:space="preserve"> </w:t>
      </w:r>
      <w:r>
        <w:t xml:space="preserve">of 50 per year, on the period 2023-2042 (20 years), only 1,000 dossiers will be produced.</w:t>
      </w:r>
      <w:r>
        <w:t xml:space="preserve"> </w:t>
      </w:r>
      <w:r>
        <w:t xml:space="preserve">Assuming that 50% of all CLH dossiers in the next 20 years will cover one or more new hazard</w:t>
      </w:r>
      <w:r>
        <w:t xml:space="preserve"> </w:t>
      </w:r>
      <w:r>
        <w:t xml:space="preserve">classes, dossier submitters would require 13 FTEs per year, ECHA support services would</w:t>
      </w:r>
      <w:r>
        <w:t xml:space="preserve"> </w:t>
      </w:r>
      <w:r>
        <w:t xml:space="preserve">require 1 FTE per year and RAC would require additional 3 additional FTEs per year. The</w:t>
      </w:r>
      <w:r>
        <w:t xml:space="preserve"> </w:t>
      </w:r>
      <w:r>
        <w:t xml:space="preserve">present value is €3.7M (period: 20 years; discount rate: 3%).</w:t>
      </w:r>
      <w:r>
        <w:t xml:space="preserve"> </w:t>
      </w:r>
      <w:r>
        <w:t xml:space="preserve">In addition, the ED and PBT hazard classes are expected to impact the BPC work on the</w:t>
      </w:r>
      <w:r>
        <w:t xml:space="preserve"> </w:t>
      </w:r>
      <w:r>
        <w:t xml:space="preserve">approval of biocidal active substances. The BPC, based on the peer review of the conclusion</w:t>
      </w:r>
      <w:r>
        <w:t xml:space="preserve"> </w:t>
      </w:r>
      <w:r>
        <w:t xml:space="preserve">of the biocide evaluating Competent Authority, is concluding on ED/PBT identification of</w:t>
      </w:r>
      <w:r>
        <w:t xml:space="preserve"> </w:t>
      </w:r>
      <w:r>
        <w:t xml:space="preserve">biocidal active substances. After the introduction of ED and PBT hazard classes, the hazard</w:t>
      </w:r>
      <w:r>
        <w:t xml:space="preserve"> </w:t>
      </w:r>
      <w:r>
        <w:t xml:space="preserve">identification would rely on the harmonised classification under CLP, at least for the cases</w:t>
      </w:r>
      <w:r>
        <w:t xml:space="preserve"> </w:t>
      </w:r>
      <w:r>
        <w:t xml:space="preserve">where there is a trigger for classification. This would be similar to what happens for CMR</w:t>
      </w:r>
      <w:r>
        <w:t xml:space="preserve"> </w:t>
      </w:r>
      <w:r>
        <w:t xml:space="preserve">classification.</w:t>
      </w:r>
      <w:r>
        <w:br/>
      </w:r>
      <w:r>
        <w:t xml:space="preserve">In the review programme there are approximately 200 biocidal active substances that still</w:t>
      </w:r>
      <w:r>
        <w:t xml:space="preserve"> </w:t>
      </w:r>
      <w:r>
        <w:t xml:space="preserve">require ED assessment. The BPC is progressing with the evaluation, and it expects to review a</w:t>
      </w:r>
    </w:p>
    <w:p>
      <w:pPr>
        <w:pStyle w:val="BodyText"/>
      </w:pPr>
      <w:r>
        <w:t xml:space="preserve">152 The number of CLH dossiers submitted by industry actors is very small.</w:t>
      </w:r>
      <w:r>
        <w:t xml:space="preserve"> </w:t>
      </w:r>
      <w:r>
        <w:t xml:space="preserve">153 As recommended by Tool #64 of the Better Regulation Toolbox (EC, 2021c, p.555).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minimum of 15 substances per year. Assuming that the new hazard classes are introduced in</w:t>
      </w:r>
      <w:r>
        <w:t xml:space="preserve"> </w:t>
      </w:r>
      <w:r>
        <w:t xml:space="preserve">2023, there may be still around 175 substances154 for review of ED properties. For some</w:t>
      </w:r>
      <w:r>
        <w:t xml:space="preserve"> </w:t>
      </w:r>
      <w:r>
        <w:t xml:space="preserve">substances, the entry in BPC peer review may be delayed awaiting the harmonised ED and</w:t>
      </w:r>
      <w:r>
        <w:t xml:space="preserve"> </w:t>
      </w:r>
      <w:r>
        <w:t xml:space="preserve">PBT classification. The BPC will have to ensure a smooth interplay with the CLH process.</w:t>
      </w:r>
      <w:r>
        <w:t xml:space="preserve"> </w:t>
      </w:r>
      <w:r>
        <w:t xml:space="preserve">The BPR only refers to substances having endocrine-disrupting properties (article 5(1)(d)), but</w:t>
      </w:r>
      <w:r>
        <w:t xml:space="preserve"> </w:t>
      </w:r>
      <w:r>
        <w:t xml:space="preserve">it is assumed that in analogy with other hazard classifications, only Cat. 1 will be considered</w:t>
      </w:r>
      <w:r>
        <w:t xml:space="preserve"> </w:t>
      </w:r>
      <w:r>
        <w:t xml:space="preserve">for exclusion criteria. For PBT, the confirmation of two criteria (out of the three P, B or T) is</w:t>
      </w:r>
      <w:r>
        <w:t xml:space="preserve"> </w:t>
      </w:r>
      <w:r>
        <w:t xml:space="preserve">enough for being identified as candidate for substitution.</w:t>
      </w:r>
      <w:r>
        <w:t xml:space="preserve"> </w:t>
      </w:r>
      <w:r>
        <w:t xml:space="preserve">This impact assess for the BPC will impact in a similar way EFSA which asses endocrine-</w:t>
      </w:r>
      <w:r>
        <w:t xml:space="preserve"> </w:t>
      </w:r>
      <w:r>
        <w:t xml:space="preserve">disrupting properties and PBT for active substances in PPP. Moreover, the revision of REACH</w:t>
      </w:r>
      <w:r>
        <w:t xml:space="preserve"> </w:t>
      </w:r>
      <w:r>
        <w:t xml:space="preserve">will touch upon other tasks of public authorities and of RAC. Synergies will be identified. This</w:t>
      </w:r>
      <w:r>
        <w:t xml:space="preserve"> </w:t>
      </w:r>
      <w:r>
        <w:t xml:space="preserve">is why no costs are entitled for PO1a when it comes to public authorities, including ECHA.</w:t>
      </w:r>
      <w:r>
        <w:t xml:space="preserve"> </w:t>
      </w:r>
      <w:r>
        <w:t xml:space="preserve">Territorial impacts (specific regions)</w:t>
      </w:r>
      <w:r>
        <w:t xml:space="preserve"> </w:t>
      </w:r>
      <w:r>
        <w:t xml:space="preserve">During the consultation activities for this supporting study, stakeholders have highlighted that</w:t>
      </w:r>
      <w:r>
        <w:t xml:space="preserve"> </w:t>
      </w:r>
      <w:r>
        <w:t xml:space="preserve">some chemical products produced in specific regions of the EU may come within the scope of</w:t>
      </w:r>
      <w:r>
        <w:t xml:space="preserve"> </w:t>
      </w:r>
      <w:r>
        <w:t xml:space="preserve">classification as ED category 2.155 Many are mainly consumer products, and stakeholders fear</w:t>
      </w:r>
      <w:r>
        <w:t xml:space="preserve"> </w:t>
      </w:r>
      <w:r>
        <w:t xml:space="preserve">that a classification as ED would result in a drastic decrease in the demand for these products,</w:t>
      </w:r>
      <w:r>
        <w:t xml:space="preserve"> </w:t>
      </w:r>
      <w:r>
        <w:t xml:space="preserve">with very severe socio-economic impacts on the economy of the interested regions.</w:t>
      </w:r>
      <w:r>
        <w:br/>
      </w:r>
      <w:r>
        <w:t xml:space="preserve">Impacts on SMEs</w:t>
      </w:r>
      <w:r>
        <w:t xml:space="preserve"> </w:t>
      </w:r>
      <w:r>
        <w:t xml:space="preserve">The overall cost of PO1a according to the different assumptions used (reformulation rate and</w:t>
      </w:r>
      <w:r>
        <w:t xml:space="preserve"> </w:t>
      </w:r>
      <w:r>
        <w:t xml:space="preserve">number of mixtures per substance) has been assessed against the number of persons employed</w:t>
      </w:r>
      <w:r>
        <w:t xml:space="preserve"> </w:t>
      </w:r>
      <w:r>
        <w:t xml:space="preserve">in each enterprise per company size (Table 63),156 to obtain an ‘average cost per employee’</w:t>
      </w:r>
      <w:r>
        <w:t xml:space="preserve"> </w:t>
      </w:r>
      <w:r>
        <w:t xml:space="preserve">(the ‘SME test’)157.</w:t>
      </w:r>
      <w:r>
        <w:br/>
      </w:r>
      <w:r>
        <w:t xml:space="preserve">Table 64: Main aggregates of NACE code C20 Manufacture of chemicals and chemical products per company</w:t>
      </w:r>
      <w:r>
        <w:t xml:space="preserve"> </w:t>
      </w:r>
      <w:r>
        <w:t xml:space="preserve">size</w:t>
      </w:r>
    </w:p>
    <w:p>
      <w:pPr>
        <w:pStyle w:val="BodyText"/>
      </w:pP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Med.</w:t>
      </w:r>
      <w:r>
        <w:t xml:space="preserve"> </w:t>
      </w:r>
      <w:r>
        <w:t xml:space="preserve">Large</w:t>
      </w:r>
      <w:r>
        <w:t xml:space="preserve"> </w:t>
      </w:r>
      <w:r>
        <w:t xml:space="preserve">Total</w:t>
      </w:r>
      <w:r>
        <w:t xml:space="preserve"> </w:t>
      </w:r>
      <w:r>
        <w:t xml:space="preserve">Number of enterprises</w:t>
      </w:r>
      <w:r>
        <w:t xml:space="preserve"> </w:t>
      </w:r>
      <w:r>
        <w:t xml:space="preserve">19,447</w:t>
      </w:r>
      <w:r>
        <w:t xml:space="preserve"> </w:t>
      </w:r>
      <w:r>
        <w:t xml:space="preserve">5,242</w:t>
      </w:r>
      <w:r>
        <w:t xml:space="preserve"> </w:t>
      </w:r>
      <w:r>
        <w:t xml:space="preserve">2,504</w:t>
      </w:r>
      <w:r>
        <w:t xml:space="preserve"> </w:t>
      </w:r>
      <w:r>
        <w:t xml:space="preserve">793</w:t>
      </w:r>
      <w:r>
        <w:t xml:space="preserve"> </w:t>
      </w:r>
      <w:r>
        <w:t xml:space="preserve">27,986</w:t>
      </w:r>
      <w:r>
        <w:t xml:space="preserve"> </w:t>
      </w:r>
      <w:r>
        <w:t xml:space="preserve">Turnover</w:t>
      </w:r>
      <w:r>
        <w:t xml:space="preserve"> </w:t>
      </w:r>
      <w:r>
        <w:t xml:space="preserve">€ 10,133M</w:t>
      </w:r>
      <w:r>
        <w:t xml:space="preserve"> </w:t>
      </w:r>
      <w:r>
        <w:t xml:space="preserve">€34,648M</w:t>
      </w:r>
      <w:r>
        <w:t xml:space="preserve"> </w:t>
      </w:r>
      <w:r>
        <w:t xml:space="preserve">€ 118,957M</w:t>
      </w:r>
      <w:r>
        <w:t xml:space="preserve"> </w:t>
      </w:r>
      <w:r>
        <w:t xml:space="preserve">€414,870M</w:t>
      </w:r>
      <w:r>
        <w:t xml:space="preserve"> </w:t>
      </w:r>
      <w:r>
        <w:t xml:space="preserve">€600,000M</w:t>
      </w:r>
      <w:r>
        <w:t xml:space="preserve"> </w:t>
      </w:r>
      <w:r>
        <w:t xml:space="preserve">Persons employed</w:t>
      </w:r>
      <w:r>
        <w:t xml:space="preserve"> </w:t>
      </w:r>
      <w:r>
        <w:t xml:space="preserve">47,000</w:t>
      </w:r>
      <w:r>
        <w:t xml:space="preserve"> </w:t>
      </w:r>
      <w:r>
        <w:t xml:space="preserve">119,331</w:t>
      </w:r>
      <w:r>
        <w:t xml:space="preserve"> </w:t>
      </w:r>
      <w:r>
        <w:t xml:space="preserve">278,071</w:t>
      </w:r>
      <w:r>
        <w:t xml:space="preserve"> </w:t>
      </w:r>
      <w:r>
        <w:t xml:space="preserve">735,156</w:t>
      </w:r>
      <w:r>
        <w:t xml:space="preserve"> </w:t>
      </w:r>
      <w:r>
        <w:t xml:space="preserve">1,200,000</w:t>
      </w:r>
      <w:r>
        <w:t xml:space="preserve"> </w:t>
      </w:r>
      <w:r>
        <w:t xml:space="preserve">Turnover per person employed</w:t>
      </w:r>
      <w:r>
        <w:t xml:space="preserve"> </w:t>
      </w:r>
      <w:r>
        <w:t xml:space="preserve">215,596</w:t>
      </w:r>
      <w:r>
        <w:t xml:space="preserve"> </w:t>
      </w:r>
      <w:r>
        <w:t xml:space="preserve">290,353</w:t>
      </w:r>
      <w:r>
        <w:t xml:space="preserve"> </w:t>
      </w:r>
      <w:r>
        <w:t xml:space="preserve">427,794</w:t>
      </w:r>
      <w:r>
        <w:t xml:space="preserve"> </w:t>
      </w:r>
      <w:r>
        <w:t xml:space="preserve">564,330</w:t>
      </w:r>
      <w:r>
        <w:t xml:space="preserve"> </w:t>
      </w:r>
      <w:r>
        <w:t xml:space="preserve">500,000</w:t>
      </w:r>
    </w:p>
    <w:p>
      <w:pPr>
        <w:pStyle w:val="BodyText"/>
      </w:pPr>
      <w:r>
        <w:t xml:space="preserve">The average administrative burden of PO1a per person employed per year for a large enterprise</w:t>
      </w:r>
      <w:r>
        <w:t xml:space="preserve"> </w:t>
      </w:r>
      <w:r>
        <w:t xml:space="preserve">is €20.1 while for SMEs is €4, assuming a reformulation rate of 9% and 11 mixtures per</w:t>
      </w:r>
      <w:r>
        <w:t xml:space="preserve"> </w:t>
      </w:r>
      <w:r>
        <w:t xml:space="preserve">substance. Assuming a reformulation rate of 25% and 25 mixtures per substance, the average</w:t>
      </w:r>
      <w:r>
        <w:t xml:space="preserve"> </w:t>
      </w:r>
      <w:r>
        <w:t xml:space="preserve">administrative burden of PO1 per person employed per year for a large enterprise would be of</w:t>
      </w:r>
      <w:r>
        <w:t xml:space="preserve"> </w:t>
      </w:r>
      <w:r>
        <w:t xml:space="preserve">€97.2 per year, while for SMEs would of €19.6.</w:t>
      </w:r>
      <w:r>
        <w:t xml:space="preserve"> </w:t>
      </w:r>
      <w:r>
        <w:t xml:space="preserve">Table 65: Average cost (central estimate) per person employed per company size</w:t>
      </w:r>
    </w:p>
    <w:p>
      <w:pPr>
        <w:pStyle w:val="BodyText"/>
      </w:pPr>
      <w:r>
        <w:t xml:space="preserve">154 There may be 2-3 new active substances per year, although only a fraction of these substances may have</w:t>
      </w:r>
      <w:r>
        <w:t xml:space="preserve"> </w:t>
      </w:r>
      <w:r>
        <w:t xml:space="preserve">positive triggers for ED/PBT harmonised classification.</w:t>
      </w:r>
      <w:r>
        <w:t xml:space="preserve"> </w:t>
      </w:r>
      <w:r>
        <w:t xml:space="preserve">155 For example, see Ramsey et al. 2019; Kalyan S, 2007; Dean CJ, 2007.</w:t>
      </w:r>
      <w:r>
        <w:t xml:space="preserve"> </w:t>
      </w:r>
      <w:r>
        <w:t xml:space="preserve">156 Eurostat Structural business statistics – Industry by employment size class (NACE Rev. 2, B-E) – NACE code</w:t>
      </w:r>
      <w:r>
        <w:t xml:space="preserve"> </w:t>
      </w:r>
      <w:r>
        <w:t xml:space="preserve">C20 Manufacture of chemicals and chemical products.</w:t>
      </w:r>
      <w:r>
        <w:t xml:space="preserve"> </w:t>
      </w:r>
      <w:r>
        <w:t xml:space="preserve">157 In line with Better Regulation Guideline’s Tool #23.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Assumptions / company size</w:t>
      </w:r>
      <w:r>
        <w:t xml:space="preserve"> </w:t>
      </w: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Medium-</w:t>
      </w:r>
      <w:r>
        <w:t xml:space="preserve"> </w:t>
      </w:r>
      <w:r>
        <w:t xml:space="preserve">sized</w:t>
      </w:r>
      <w:r>
        <w:t xml:space="preserve"> </w:t>
      </w:r>
      <w:r>
        <w:t xml:space="preserve">Large</w:t>
      </w:r>
      <w:r>
        <w:t xml:space="preserve"> </w:t>
      </w:r>
      <w:r>
        <w:t xml:space="preserve">Reformulation 9% - 11 mixtures per substance</w:t>
      </w:r>
      <w:r>
        <w:t xml:space="preserve"> </w:t>
      </w:r>
      <w:r>
        <w:t xml:space="preserve">€ 1.3</w:t>
      </w:r>
      <w:r>
        <w:t xml:space="preserve"> </w:t>
      </w:r>
      <w:r>
        <w:t xml:space="preserve">€ 3.3</w:t>
      </w:r>
      <w:r>
        <w:t xml:space="preserve"> </w:t>
      </w:r>
      <w:r>
        <w:t xml:space="preserve">€ 7.6</w:t>
      </w:r>
      <w:r>
        <w:t xml:space="preserve"> </w:t>
      </w:r>
      <w:r>
        <w:t xml:space="preserve">€ 20.1</w:t>
      </w:r>
      <w:r>
        <w:t xml:space="preserve"> </w:t>
      </w:r>
      <w:r>
        <w:t xml:space="preserve">Reformulation 25% - 11 mixtures per substance</w:t>
      </w:r>
      <w:r>
        <w:t xml:space="preserve"> </w:t>
      </w:r>
      <w:r>
        <w:t xml:space="preserve">€ 2.7</w:t>
      </w:r>
      <w:r>
        <w:t xml:space="preserve"> </w:t>
      </w:r>
      <w:r>
        <w:t xml:space="preserve">€ 7</w:t>
      </w:r>
      <w:r>
        <w:t xml:space="preserve"> </w:t>
      </w:r>
      <w:r>
        <w:t xml:space="preserve">€ 16.3</w:t>
      </w:r>
      <w:r>
        <w:t xml:space="preserve"> </w:t>
      </w:r>
      <w:r>
        <w:t xml:space="preserve">€ 43</w:t>
      </w:r>
      <w:r>
        <w:t xml:space="preserve"> </w:t>
      </w:r>
      <w:r>
        <w:t xml:space="preserve">Reformulation 9% - 25 mixtures per substance</w:t>
      </w:r>
      <w:r>
        <w:t xml:space="preserve"> </w:t>
      </w:r>
      <w:r>
        <w:t xml:space="preserve">€ 2.9</w:t>
      </w:r>
      <w:r>
        <w:t xml:space="preserve"> </w:t>
      </w:r>
      <w:r>
        <w:t xml:space="preserve">€ 7.3</w:t>
      </w:r>
      <w:r>
        <w:t xml:space="preserve"> </w:t>
      </w:r>
      <w:r>
        <w:t xml:space="preserve">€ 17.1</w:t>
      </w:r>
      <w:r>
        <w:t xml:space="preserve"> </w:t>
      </w:r>
      <w:r>
        <w:t xml:space="preserve">€ 45.3</w:t>
      </w:r>
      <w:r>
        <w:t xml:space="preserve"> </w:t>
      </w:r>
      <w:r>
        <w:t xml:space="preserve">Reformulation 25% - 25 mixtures per substance</w:t>
      </w:r>
      <w:r>
        <w:t xml:space="preserve"> </w:t>
      </w:r>
      <w:r>
        <w:t xml:space="preserve">€ 6.2</w:t>
      </w:r>
      <w:r>
        <w:t xml:space="preserve"> </w:t>
      </w:r>
      <w:r>
        <w:t xml:space="preserve">€ 15.8</w:t>
      </w:r>
      <w:r>
        <w:t xml:space="preserve"> </w:t>
      </w:r>
      <w:r>
        <w:t xml:space="preserve">€ 36.8</w:t>
      </w:r>
      <w:r>
        <w:t xml:space="preserve"> </w:t>
      </w:r>
      <w:r>
        <w:t xml:space="preserve">€ 97.2</w:t>
      </w:r>
    </w:p>
    <w:p>
      <w:pPr>
        <w:pStyle w:val="BodyText"/>
      </w:pPr>
      <w:r>
        <w:t xml:space="preserve">The underlying cost estimates suggest no disproportionate effects on SMEs versus large</w:t>
      </w:r>
      <w:r>
        <w:t xml:space="preserve"> </w:t>
      </w:r>
      <w:r>
        <w:t xml:space="preserve">enterprises. It should be noted that small and medium-sized formulators (manufacturers of</w:t>
      </w:r>
      <w:r>
        <w:t xml:space="preserve"> </w:t>
      </w:r>
      <w:r>
        <w:t xml:space="preserve">mixtures), depending on their product portfolio and market (industrial users vs professional</w:t>
      </w:r>
      <w:r>
        <w:t xml:space="preserve"> </w:t>
      </w:r>
      <w:r>
        <w:t xml:space="preserve">users vs consumers) may be significantly affected by the inclusion of the new hazard classes.</w:t>
      </w:r>
      <w:r>
        <w:t xml:space="preserve"> </w:t>
      </w:r>
      <w:r>
        <w:t xml:space="preserve">Concerns have been raised on the inclusion of a category 2 for ‘suspected’ EDs, which may</w:t>
      </w:r>
      <w:r>
        <w:t xml:space="preserve"> </w:t>
      </w:r>
      <w:r>
        <w:t xml:space="preserve">capture a high number of consumer chemical products put on the market by SMEs, often</w:t>
      </w:r>
      <w:r>
        <w:t xml:space="preserve"> </w:t>
      </w:r>
      <w:r>
        <w:t xml:space="preserve">concentrated in specific EU regions. Such a classification may result in drastic decrease in the</w:t>
      </w:r>
      <w:r>
        <w:t xml:space="preserve"> </w:t>
      </w:r>
      <w:r>
        <w:t xml:space="preserve">demand for these products, with very severe socio-economic impacts on the economy of the</w:t>
      </w:r>
      <w:r>
        <w:t xml:space="preserve"> </w:t>
      </w:r>
      <w:r>
        <w:t xml:space="preserve">interested regions.</w:t>
      </w:r>
      <w:r>
        <w:br/>
      </w:r>
      <w:r>
        <w:t xml:space="preserve">Employment, sectoral competitiveness, trade and investment flows</w:t>
      </w:r>
      <w:r>
        <w:t xml:space="preserve"> </w:t>
      </w:r>
      <w:r>
        <w:t xml:space="preserve">With regard to impacts on particular sectors, despite the fact that cosmetic products are</w:t>
      </w:r>
      <w:r>
        <w:t xml:space="preserve"> </w:t>
      </w:r>
      <w:r>
        <w:t xml:space="preserve">exempted from CLP, the introduction of the ED hazard classes may create a conflict with the</w:t>
      </w:r>
      <w:r>
        <w:t xml:space="preserve"> </w:t>
      </w:r>
      <w:r>
        <w:t xml:space="preserve">CPR, as substances used as cosmetic ingredients only cannot resort to animal testing for</w:t>
      </w:r>
      <w:r>
        <w:t xml:space="preserve"> </w:t>
      </w:r>
      <w:r>
        <w:t xml:space="preserve">classification.</w:t>
      </w:r>
      <w:r>
        <w:br/>
      </w:r>
      <w:r>
        <w:t xml:space="preserve">Regarding impacts on trade, the introduction of new hazard classes in CLP prior to their</w:t>
      </w:r>
      <w:r>
        <w:t xml:space="preserve"> </w:t>
      </w:r>
      <w:r>
        <w:t xml:space="preserve">introduction in the UN GHS could pose non-tariff barriers to trade for most sectors and for</w:t>
      </w:r>
      <w:r>
        <w:t xml:space="preserve"> </w:t>
      </w:r>
      <w:r>
        <w:t xml:space="preserve">companies within and outside the EU. GHS follows a “building block approach”, aiming at</w:t>
      </w:r>
      <w:r>
        <w:t xml:space="preserve"> </w:t>
      </w:r>
      <w:r>
        <w:t xml:space="preserve">ensuring a certain degree of flexibility with the hazard classes and categories to be implemented</w:t>
      </w:r>
      <w:r>
        <w:t xml:space="preserve"> </w:t>
      </w:r>
      <w:r>
        <w:t xml:space="preserve">while meeting the requirements regarding cut-off values, concentration limits and label</w:t>
      </w:r>
      <w:r>
        <w:t xml:space="preserve"> </w:t>
      </w:r>
      <w:r>
        <w:t xml:space="preserve">elements. RPA et al. (2017c) reported some key differences in:</w:t>
      </w:r>
    </w:p>
    <w:p>
      <w:pPr>
        <w:pStyle w:val="BodyText"/>
      </w:pPr>
      <w:r>
        <w:t xml:space="preserve">The adoption of the building blocks;</w:t>
      </w:r>
    </w:p>
    <w:p>
      <w:pPr>
        <w:pStyle w:val="BodyText"/>
      </w:pPr>
      <w:r>
        <w:t xml:space="preserve">The transition times for adoption of GHS and GHS biennial revisions;</w:t>
      </w:r>
    </w:p>
    <w:p>
      <w:pPr>
        <w:pStyle w:val="BodyText"/>
      </w:pPr>
      <w:r>
        <w:t xml:space="preserve">The labelling and packaging requirements; and</w:t>
      </w:r>
      <w:r>
        <w:br/>
      </w:r>
      <w:r>
        <w:t xml:space="preserve">The classification requirements across the countries or regions that have implemented GHS.</w:t>
      </w:r>
      <w:r>
        <w:t xml:space="preserve"> </w:t>
      </w:r>
      <w:r>
        <w:t xml:space="preserve">All these differences are constraints to the goal of global harmonisation and, effectively,</w:t>
      </w:r>
      <w:r>
        <w:t xml:space="preserve"> </w:t>
      </w:r>
      <w:r>
        <w:t xml:space="preserve">constitute non-tariff barriers to trade. Over 70% of the industry stakeholders participating to</w:t>
      </w:r>
      <w:r>
        <w:t xml:space="preserve"> </w:t>
      </w:r>
      <w:r>
        <w:t xml:space="preserve">the consultation activities carried out in the context of the RPA et al. (2017) study indicated</w:t>
      </w:r>
      <w:r>
        <w:t xml:space="preserve"> </w:t>
      </w:r>
      <w:r>
        <w:t xml:space="preserve">that differences in labelling requirements across countries are key drivers of costs.</w:t>
      </w:r>
      <w:r>
        <w:br/>
      </w:r>
      <w:r>
        <w:t xml:space="preserve">There is a vast empirical literature in the environmental economics field investigating the</w:t>
      </w:r>
      <w:r>
        <w:t xml:space="preserve"> </w:t>
      </w:r>
      <w:r>
        <w:t xml:space="preserve">effects of asymmetric environmental regulations on key aspects of firms’ competitiveness,</w:t>
      </w:r>
      <w:r>
        <w:t xml:space="preserve"> </w:t>
      </w:r>
      <w:r>
        <w:t xml:space="preserve">including trade, industry location, employment, productivity, and innovation. The first major</w:t>
      </w:r>
      <w:r>
        <w:t xml:space="preserve"> </w:t>
      </w:r>
      <w:r>
        <w:t xml:space="preserve">review on the topic (Jaffe et al, 1995)158 concluded that ‘there is relatively little evidence to</w:t>
      </w:r>
    </w:p>
    <w:p>
      <w:pPr>
        <w:pStyle w:val="BodyText"/>
      </w:pPr>
      <w:r>
        <w:t xml:space="preserve">158 Jaffe AB, Peterson SR, Portney PR, Stavins RN (1995): Environmental Regulation and the Competitiveness</w:t>
      </w:r>
      <w:r>
        <w:t xml:space="preserve"> </w:t>
      </w:r>
      <w:r>
        <w:t xml:space="preserve">of U.S. Manufacturing: What does the evidence tell us? Journal of Economic Literature, Vol. 33, No. 1</w:t>
      </w:r>
      <w:r>
        <w:t xml:space="preserve"> </w:t>
      </w:r>
      <w:r>
        <w:t xml:space="preserve">(Mar., 1995), 132-163.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support the hypothesis that environmental regulations have had a large adverse effect on</w:t>
      </w:r>
      <w:r>
        <w:t xml:space="preserve"> </w:t>
      </w:r>
      <w:r>
        <w:t xml:space="preserve">competitiveness, however that elusive term is defined’.</w:t>
      </w:r>
      <w:r>
        <w:br/>
      </w:r>
      <w:r>
        <w:t xml:space="preserve">Thanks to the growing number of environmental policies worldwide and the availability of</w:t>
      </w:r>
      <w:r>
        <w:t xml:space="preserve"> </w:t>
      </w:r>
      <w:r>
        <w:t xml:space="preserve">high-quality data, their findings have been tested multiple times around the world. A review of</w:t>
      </w:r>
      <w:r>
        <w:t xml:space="preserve"> </w:t>
      </w:r>
      <w:r>
        <w:t xml:space="preserve">these studies by Dechezleprêtre and Sato (2017)159 found that the conclusion of Jaffe et al</w:t>
      </w:r>
      <w:r>
        <w:t xml:space="preserve"> </w:t>
      </w:r>
      <w:r>
        <w:t xml:space="preserve">(1995) ‘has only become more robust’. Moreover, ‘the cost burden of environmental policies</w:t>
      </w:r>
      <w:r>
        <w:t xml:space="preserve"> </w:t>
      </w:r>
      <w:r>
        <w:t xml:space="preserve">has often been found to be very small. The recent evidence shows that taking the lead in</w:t>
      </w:r>
      <w:r>
        <w:t xml:space="preserve"> </w:t>
      </w:r>
      <w:r>
        <w:t xml:space="preserve">implementing ambitious environmental policies can lead to small, statistically significant</w:t>
      </w:r>
      <w:r>
        <w:t xml:space="preserve"> </w:t>
      </w:r>
      <w:r>
        <w:t xml:space="preserve">adverse effects on trade, employment, plant location, and productivity in the short run,</w:t>
      </w:r>
      <w:r>
        <w:t xml:space="preserve"> </w:t>
      </w:r>
      <w:r>
        <w:t xml:space="preserve">particularly in pollution- and energy-intensive sectors. However, the scale of these impacts is</w:t>
      </w:r>
      <w:r>
        <w:t xml:space="preserve"> </w:t>
      </w:r>
      <w:r>
        <w:t xml:space="preserve">small compared with other determinants of trade and investment location choices such as</w:t>
      </w:r>
      <w:r>
        <w:t xml:space="preserve"> </w:t>
      </w:r>
      <w:r>
        <w:t xml:space="preserve">transport costs, proximity to demand, quality of local workers, availability of raw materials,</w:t>
      </w:r>
      <w:r>
        <w:t xml:space="preserve"> </w:t>
      </w:r>
      <w:r>
        <w:t xml:space="preserve">sunk capital costs, and agglomeration’.</w:t>
      </w:r>
      <w:r>
        <w:t xml:space="preserve"> </w:t>
      </w:r>
      <w:r>
        <w:t xml:space="preserve">These findings have also been confirmed by a study commissioned in 2014 by the European</w:t>
      </w:r>
      <w:r>
        <w:t xml:space="preserve"> </w:t>
      </w:r>
      <w:r>
        <w:t xml:space="preserve">Chemical Industry Council (Cefic) to investigate the prospects of the competitiveness of the</w:t>
      </w:r>
      <w:r>
        <w:t xml:space="preserve"> </w:t>
      </w:r>
      <w:r>
        <w:t xml:space="preserve">European chemical industry.160 Oxford Economics applied constant-market share analysis to</w:t>
      </w:r>
      <w:r>
        <w:t xml:space="preserve"> </w:t>
      </w:r>
      <w:r>
        <w:t xml:space="preserve">chemical exports coupled with econometric analysis. The authors found that the decrease in</w:t>
      </w:r>
      <w:r>
        <w:t xml:space="preserve"> </w:t>
      </w:r>
      <w:r>
        <w:t xml:space="preserve">extra-EU export market share observed in the preceding two decades is due to declining</w:t>
      </w:r>
      <w:r>
        <w:t xml:space="preserve"> </w:t>
      </w:r>
      <w:r>
        <w:t xml:space="preserve">competitiveness rather than slow-growing destination markets, in particular in the production</w:t>
      </w:r>
      <w:r>
        <w:t xml:space="preserve"> </w:t>
      </w:r>
      <w:r>
        <w:t xml:space="preserve">of petrochemicals and polymers. The change in competitiveness was found to be strongly</w:t>
      </w:r>
      <w:r>
        <w:t xml:space="preserve"> </w:t>
      </w:r>
      <w:r>
        <w:t xml:space="preserve">associated with energy prices, labour costs and research and development intensity. The</w:t>
      </w:r>
      <w:r>
        <w:t xml:space="preserve"> </w:t>
      </w:r>
      <w:r>
        <w:t xml:space="preserve">regulatory burden was not found to be an important driver (no strong statistical relationship).</w:t>
      </w:r>
      <w:r>
        <w:t xml:space="preserve"> </w:t>
      </w:r>
      <w:r>
        <w:t xml:space="preserve">Finally, the UN GHS has not yet been adopted fully by all countries, nor adopted in a</w:t>
      </w:r>
      <w:r>
        <w:t xml:space="preserve"> </w:t>
      </w:r>
      <w:r>
        <w:t xml:space="preserve">harmonised manner by those who have adopted it (for example, there is no implementation of</w:t>
      </w:r>
      <w:r>
        <w:t xml:space="preserve"> </w:t>
      </w:r>
      <w:r>
        <w:t xml:space="preserve">GHS for consumer products in North America). Therefore, significant differences in labelling</w:t>
      </w:r>
      <w:r>
        <w:t xml:space="preserve"> </w:t>
      </w:r>
      <w:r>
        <w:t xml:space="preserve">requirements continue to exist.</w:t>
      </w:r>
      <w:r>
        <w:t xml:space="preserve"> </w:t>
      </w:r>
      <w:r>
        <w:t xml:space="preserve">Social and environmental impacts</w:t>
      </w:r>
      <w:r>
        <w:t xml:space="preserve"> </w:t>
      </w:r>
      <w:r>
        <w:t xml:space="preserve">The ideal model</w:t>
      </w:r>
      <w:r>
        <w:t xml:space="preserve"> </w:t>
      </w:r>
      <w:r>
        <w:t xml:space="preserve">The benefits of including new hazard classes in CLP are expected to arise from the availability</w:t>
      </w:r>
      <w:r>
        <w:t xml:space="preserve"> </w:t>
      </w:r>
      <w:r>
        <w:t xml:space="preserve">of hazard information and the role that this plays in hazard communication, providing</w:t>
      </w:r>
      <w:r>
        <w:t xml:space="preserve"> </w:t>
      </w:r>
      <w:r>
        <w:t xml:space="preserve">incentives towards the use of safer alternatives and the reduction of exposure to hazardous</w:t>
      </w:r>
      <w:r>
        <w:t xml:space="preserve"> </w:t>
      </w:r>
      <w:r>
        <w:t xml:space="preserve">chemical products. The main benefits for human health and the environment will stem from a</w:t>
      </w:r>
      <w:r>
        <w:t xml:space="preserve"> </w:t>
      </w:r>
      <w:r>
        <w:t xml:space="preserve">reduction in exposures of people and the environment to ED, PBT/vPvB and PMT/vPvM</w:t>
      </w:r>
      <w:r>
        <w:t xml:space="preserve"> </w:t>
      </w:r>
      <w:r>
        <w:t xml:space="preserve">substances — and therefore avoidance of future cases of disease and environmental damage —</w:t>
      </w:r>
      <w:r>
        <w:t xml:space="preserve"> </w:t>
      </w:r>
      <w:r>
        <w:t xml:space="preserve">through risk management measures triggered under various pieces of downstream legislation</w:t>
      </w:r>
      <w:r>
        <w:t xml:space="preserve"> </w:t>
      </w:r>
      <w:r>
        <w:t xml:space="preserve">and, where applicable, under REACH. These will be delivered through:</w:t>
      </w:r>
    </w:p>
    <w:p>
      <w:pPr>
        <w:pStyle w:val="BodyText"/>
      </w:pPr>
      <w:r>
        <w:t xml:space="preserve">Improved cohesion with other legislation, such as REACH, BPR and PPPR;</w:t>
      </w:r>
    </w:p>
    <w:p>
      <w:pPr>
        <w:pStyle w:val="BodyText"/>
      </w:pPr>
      <w:r>
        <w:t xml:space="preserve">Improved communication of the hazards of substances and mixtures to downstream</w:t>
      </w:r>
      <w:r>
        <w:t xml:space="preserve"> </w:t>
      </w:r>
      <w:r>
        <w:t xml:space="preserve">users;</w:t>
      </w:r>
    </w:p>
    <w:p>
      <w:pPr>
        <w:pStyle w:val="BodyText"/>
      </w:pPr>
      <w:r>
        <w:t xml:space="preserve">159 Dechezleprêtre and Sato (2017): The Impacts of Environmental Regulations on Competitiveness. Review of</w:t>
      </w:r>
      <w:r>
        <w:t xml:space="preserve"> </w:t>
      </w:r>
      <w:r>
        <w:t xml:space="preserve">Environmental Economics and Policy, volume 11, issue 2, Summer 2017, pp. 183–206.</w:t>
      </w:r>
      <w:r>
        <w:t xml:space="preserve"> </w:t>
      </w:r>
      <w:r>
        <w:t xml:space="preserve">160 Oxford Economics (2014): Evolution of competitiveness in the European chemical industry: historical trends</w:t>
      </w:r>
      <w:r>
        <w:t xml:space="preserve"> </w:t>
      </w:r>
      <w:r>
        <w:t xml:space="preserve">and future prospects. Report for Cefic – October 2014. Available at:</w:t>
      </w:r>
      <w:r>
        <w:t xml:space="preserve"> </w:t>
      </w:r>
      <w:r>
        <w:t xml:space="preserve">https://cefic.org/app/uploads/2019/02/OXFORD_ECONOMICS_competitiveness_chemind_2014.pdf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Incentives to shift to safer alternatives; and</w:t>
      </w:r>
      <w:r>
        <w:t xml:space="preserve"> </w:t>
      </w:r>
      <w:r>
        <w:t xml:space="preserve">For some mixtures, reformulation (leading to reductions in exposure and risk of workers and</w:t>
      </w:r>
      <w:r>
        <w:t xml:space="preserve"> </w:t>
      </w:r>
      <w:r>
        <w:t xml:space="preserve">consumers).</w:t>
      </w:r>
      <w:r>
        <w:t xml:space="preserve"> </w:t>
      </w:r>
      <w:r>
        <w:t xml:space="preserve">The ideal model — ignoring the availability of relevant data — to assess the benefits of the</w:t>
      </w:r>
      <w:r>
        <w:t xml:space="preserve"> </w:t>
      </w:r>
      <w:r>
        <w:t xml:space="preserve">introduction of new hazard classes requires:161</w:t>
      </w:r>
      <w:r>
        <w:t xml:space="preserve"> </w:t>
      </w:r>
      <w:r>
        <w:t xml:space="preserve">Policy effect on exposure. An assessment of the extent to which the CLP revision will reduce</w:t>
      </w:r>
      <w:r>
        <w:t xml:space="preserve"> </w:t>
      </w:r>
      <w:r>
        <w:t xml:space="preserve">human and environmental exposure to chemicals. Refer to this change as X where X refers</w:t>
      </w:r>
      <w:r>
        <w:t xml:space="preserve"> </w:t>
      </w:r>
      <w:r>
        <w:t xml:space="preserve">to exposure. In reality, X is a vector of many different chemicals. For those that are withdrawn</w:t>
      </w:r>
      <w:r>
        <w:t xml:space="preserve"> </w:t>
      </w:r>
      <w:r>
        <w:t xml:space="preserve">completely from the market as a result of the introduction of new hazard classes, X = 100%.</w:t>
      </w:r>
      <w:r>
        <w:br/>
      </w:r>
      <w:r>
        <w:t xml:space="preserve">Exposure-response relationship. The effect on human health can be referred to as H, which</w:t>
      </w:r>
      <w:r>
        <w:t xml:space="preserve"> </w:t>
      </w:r>
      <w:r>
        <w:t xml:space="preserve">is a vector of many different health outcomes. Because there may be differences in the</w:t>
      </w:r>
      <w:r>
        <w:t xml:space="preserve"> </w:t>
      </w:r>
      <w:r>
        <w:t xml:space="preserve">monetary valuation, H can be distinguished in reduced occupational risks (HO) and reduced</w:t>
      </w:r>
      <w:r>
        <w:t xml:space="preserve"> </w:t>
      </w:r>
      <w:r>
        <w:t xml:space="preserve">public health risks (HP). The effect on the environment can be referred to as E. The overall</w:t>
      </w:r>
      <w:r>
        <w:t xml:space="preserve"> </w:t>
      </w:r>
      <w:r>
        <w:t xml:space="preserve">impact is therefore: I = HP + HO + E</w:t>
      </w:r>
      <w:r>
        <w:t xml:space="preserve"> </w:t>
      </w:r>
      <w:r>
        <w:t xml:space="preserve">Economic values. Monetary values are used to reconcile the different impacts. These shadow</w:t>
      </w:r>
      <w:r>
        <w:t xml:space="preserve"> </w:t>
      </w:r>
      <w:r>
        <w:t xml:space="preserve">prices162 (P) reflect individuals’ willingness to pay for avoiding the ill-health or negative</w:t>
      </w:r>
      <w:r>
        <w:t xml:space="preserve"> </w:t>
      </w:r>
      <w:r>
        <w:t xml:space="preserve">environmental impact associated with chemicals.</w:t>
      </w:r>
      <w:r>
        <w:t xml:space="preserve"> </w:t>
      </w:r>
      <w:r>
        <w:t xml:space="preserve">Time and discount factor. Because individuals have time preferences, changes in the future</w:t>
      </w:r>
      <w:r>
        <w:t xml:space="preserve"> </w:t>
      </w:r>
      <w:r>
        <w:t xml:space="preserve">are valued less than near-term changes. To compare monetary values in the future with present</w:t>
      </w:r>
      <w:r>
        <w:t xml:space="preserve"> </w:t>
      </w:r>
      <w:r>
        <w:t xml:space="preserve">values (PV), a discount factor (DF) of 3% is used.163 Timing is important because the costs of</w:t>
      </w:r>
      <w:r>
        <w:t xml:space="preserve"> </w:t>
      </w:r>
      <w:r>
        <w:t xml:space="preserve">classifying, labelling and possibly substituting/withdrawing chemical products are entailed</w:t>
      </w:r>
      <w:r>
        <w:t xml:space="preserve"> </w:t>
      </w:r>
      <w:r>
        <w:t xml:space="preserve">before the point in time when exposure is reduced, and negative health outcomes are avoided.</w:t>
      </w:r>
      <w:r>
        <w:t xml:space="preserve"> </w:t>
      </w:r>
      <w:r>
        <w:t xml:space="preserve">Location. Human health and environment impacts are location-specific (e.g. the benefits of</w:t>
      </w:r>
      <w:r>
        <w:t xml:space="preserve"> </w:t>
      </w:r>
      <w:r>
        <w:t xml:space="preserve">risk reduction are higher in heavily populated areas). For convenience, the geographical</w:t>
      </w:r>
      <w:r>
        <w:t xml:space="preserve"> </w:t>
      </w:r>
      <w:r>
        <w:t xml:space="preserve">variation in exposure reduction is ignored and EU averaged values are used instead.</w:t>
      </w:r>
      <w:r>
        <w:t xml:space="preserve"> </w:t>
      </w:r>
      <w:r>
        <w:t xml:space="preserve">The present value of the benefits of the revision of CLP is:</w:t>
      </w:r>
      <w:r>
        <w:t xml:space="preserve"> </w:t>
      </w:r>
      <w:r>
        <w:t xml:space="preserve">PV (B) =  i, j, t I I, t (X j, t) x DF</w:t>
      </w:r>
      <w:r>
        <w:t xml:space="preserve"> </w:t>
      </w:r>
      <w:r>
        <w:t xml:space="preserve">Where i: different health and environmental outcomes and j: different chemical products</w:t>
      </w:r>
      <w:r>
        <w:t xml:space="preserve"> </w:t>
      </w:r>
      <w:r>
        <w:t xml:space="preserve">The CLP revision would pass the cost-benefit test if the PV (B) &gt; PV (C).</w:t>
      </w:r>
      <w:r>
        <w:t xml:space="preserve"> </w:t>
      </w:r>
      <w:r>
        <w:t xml:space="preserve">The problem with the ideal model is that the following parameters are not known:</w:t>
      </w:r>
      <w:r>
        <w:t xml:space="preserve"> </w:t>
      </w:r>
      <w:r>
        <w:t xml:space="preserve">The effects of the CLP revision on exposure (X), since this is dependent on the behavioural</w:t>
      </w:r>
      <w:r>
        <w:t xml:space="preserve"> </w:t>
      </w:r>
      <w:r>
        <w:t xml:space="preserve">reaction of producers, users, and regulators to changes in the classification and labelling of</w:t>
      </w:r>
      <w:r>
        <w:t xml:space="preserve"> </w:t>
      </w:r>
      <w:r>
        <w:t xml:space="preserve">chemical products.</w:t>
      </w:r>
    </w:p>
    <w:p>
      <w:pPr>
        <w:pStyle w:val="BodyText"/>
      </w:pPr>
      <w:r>
        <w:t xml:space="preserve">161 Adapted from Pierce and Koundouri (2003): The social cost of chemicals. The Cost and Benefits of Future</w:t>
      </w:r>
      <w:r>
        <w:t xml:space="preserve"> </w:t>
      </w:r>
      <w:r>
        <w:t xml:space="preserve">Chemicals Policy in the European Union. A WWF Chemicals and Health campaign report.</w:t>
      </w:r>
      <w:r>
        <w:t xml:space="preserve"> </w:t>
      </w:r>
      <w:r>
        <w:t xml:space="preserve">162 Prices that would be attached to the reduced risk if there was an overt market in risk reduction.</w:t>
      </w:r>
      <w:r>
        <w:t xml:space="preserve"> </w:t>
      </w:r>
      <w:r>
        <w:t xml:space="preserve">163 As recommended by the Better Regulation guidelines.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The health and environmental exposure-response functions (I(X)) for the chemical</w:t>
      </w:r>
      <w:r>
        <w:t xml:space="preserve"> </w:t>
      </w:r>
      <w:r>
        <w:t xml:space="preserve">products that may be classified for the new hazard classes, the split between occupational and</w:t>
      </w:r>
      <w:r>
        <w:t xml:space="preserve"> </w:t>
      </w:r>
      <w:r>
        <w:t xml:space="preserve">public health effects and when the reduction of exposure may be realised.</w:t>
      </w:r>
      <w:r>
        <w:t xml:space="preserve"> </w:t>
      </w:r>
      <w:r>
        <w:t xml:space="preserve">Because of the limitations in the availability of data, another method needs to be devised, which</w:t>
      </w:r>
      <w:r>
        <w:t xml:space="preserve"> </w:t>
      </w:r>
      <w:r>
        <w:t xml:space="preserve">is determining a benchmark, i.e. how large the benefits need to be for the CLP revision to</w:t>
      </w:r>
      <w:r>
        <w:t xml:space="preserve"> </w:t>
      </w:r>
      <w:r>
        <w:t xml:space="preserve">pass a cost-benefit test. This procedure requires a range of assumptions, detailed in the</w:t>
      </w:r>
      <w:r>
        <w:t xml:space="preserve"> </w:t>
      </w:r>
      <w:r>
        <w:t xml:space="preserve">following subsections.</w:t>
      </w:r>
      <w:r>
        <w:br/>
      </w:r>
      <w:r>
        <w:t xml:space="preserve">The approach to quantifying and monetising the benefits involves:</w:t>
      </w:r>
    </w:p>
    <w:p>
      <w:pPr>
        <w:pStyle w:val="BodyText"/>
      </w:pPr>
      <w:r>
        <w:t xml:space="preserve">Estimating how many substances are identified as having ED, PBT/vPvB and</w:t>
      </w:r>
      <w:r>
        <w:t xml:space="preserve"> </w:t>
      </w:r>
      <w:r>
        <w:t xml:space="preserve">PMT/vPvM properties;</w:t>
      </w:r>
    </w:p>
    <w:p>
      <w:pPr>
        <w:pStyle w:val="BodyText"/>
      </w:pPr>
      <w:r>
        <w:t xml:space="preserve">Identifying the disorders, diseases and impacts that are associated with each of those</w:t>
      </w:r>
      <w:r>
        <w:t xml:space="preserve"> </w:t>
      </w:r>
      <w:r>
        <w:t xml:space="preserve">hazardous properties;</w:t>
      </w:r>
    </w:p>
    <w:p>
      <w:pPr>
        <w:pStyle w:val="BodyText"/>
      </w:pPr>
      <w:r>
        <w:t xml:space="preserve">Applying appropriate economic metrics for the single cases avoided or units of</w:t>
      </w:r>
      <w:r>
        <w:t xml:space="preserve"> </w:t>
      </w:r>
      <w:r>
        <w:t xml:space="preserve">environmental area improved for each type of hazardous properties (in €s); and</w:t>
      </w:r>
      <w:r>
        <w:t xml:space="preserve"> </w:t>
      </w:r>
      <w:r>
        <w:t xml:space="preserve">Estimating the number of cases of these diseases, disorders and impacts that would have to be</w:t>
      </w:r>
      <w:r>
        <w:t xml:space="preserve"> </w:t>
      </w:r>
      <w:r>
        <w:t xml:space="preserve">reduced in order for the benefits of each information option to outweigh the costs.</w:t>
      </w:r>
      <w:r>
        <w:br/>
      </w:r>
      <w:r>
        <w:t xml:space="preserve">A range of disorders, diseases and impacts can be associated with each of the hazardous</w:t>
      </w:r>
      <w:r>
        <w:t xml:space="preserve"> </w:t>
      </w:r>
      <w:r>
        <w:t xml:space="preserve">properties to which can be applied appropriate economic metrics to provide a monetary value</w:t>
      </w:r>
      <w:r>
        <w:t xml:space="preserve"> </w:t>
      </w:r>
      <w:r>
        <w:t xml:space="preserve">for the associated damages. Valuing damages in this way provides a means of estimating the</w:t>
      </w:r>
      <w:r>
        <w:t xml:space="preserve"> </w:t>
      </w:r>
      <w:r>
        <w:t xml:space="preserve">benefits of each option in terms of the damage costs avoided through identification of</w:t>
      </w:r>
      <w:r>
        <w:t xml:space="preserve"> </w:t>
      </w:r>
      <w:r>
        <w:t xml:space="preserve">hazardous properties and appropriate risk management. At the same time, the range of possible</w:t>
      </w:r>
      <w:r>
        <w:t xml:space="preserve"> </w:t>
      </w:r>
      <w:r>
        <w:t xml:space="preserve">outcomes from exposure and environmental releases is much larger than the range of available</w:t>
      </w:r>
      <w:r>
        <w:t xml:space="preserve"> </w:t>
      </w:r>
      <w:r>
        <w:t xml:space="preserve">metrics. As such, valuation must rely on selected ‘representative’ outcomes.</w:t>
      </w:r>
      <w:r>
        <w:t xml:space="preserve"> </w:t>
      </w:r>
      <w:r>
        <w:t xml:space="preserve">Estimating the magnitude of such benefits and a complete monetary valuation is confounded</w:t>
      </w:r>
      <w:r>
        <w:t xml:space="preserve"> </w:t>
      </w:r>
      <w:r>
        <w:t xml:space="preserve">by a number of problems, including the possibility of estimating the attributable fraction of</w:t>
      </w:r>
      <w:r>
        <w:t xml:space="preserve"> </w:t>
      </w:r>
      <w:r>
        <w:t xml:space="preserve">disease incidence, prevalence and mortality to certain chemical products. There is a lack of</w:t>
      </w:r>
      <w:r>
        <w:t xml:space="preserve"> </w:t>
      </w:r>
      <w:r>
        <w:t xml:space="preserve">detailed health statistics and monitoring data, and the long latency period — measured in</w:t>
      </w:r>
      <w:r>
        <w:t xml:space="preserve"> </w:t>
      </w:r>
      <w:r>
        <w:t xml:space="preserve">years/decades — of some health outcomes between exposure to a causative agent — such as</w:t>
      </w:r>
      <w:r>
        <w:t xml:space="preserve"> </w:t>
      </w:r>
      <w:r>
        <w:t xml:space="preserve">an ED — and diagnosis of disease is an additional complicating factor, with the effect that the</w:t>
      </w:r>
      <w:r>
        <w:t xml:space="preserve"> </w:t>
      </w:r>
      <w:r>
        <w:t xml:space="preserve">benefits of any reduction in exposure achieved via CLP and other chemicals regulation will not</w:t>
      </w:r>
      <w:r>
        <w:t xml:space="preserve"> </w:t>
      </w:r>
      <w:r>
        <w:t xml:space="preserve">be manifested until some point in the future. For the environmental component, very few</w:t>
      </w:r>
      <w:r>
        <w:t xml:space="preserve"> </w:t>
      </w:r>
      <w:r>
        <w:t xml:space="preserve">metrics are available, and this limits the ability of the analysis to assess the full breadth and</w:t>
      </w:r>
      <w:r>
        <w:t xml:space="preserve"> </w:t>
      </w:r>
      <w:r>
        <w:t xml:space="preserve">depth of possible impacts. Thus, by default, assessment of the benefits will tend to</w:t>
      </w:r>
      <w:r>
        <w:t xml:space="preserve"> </w:t>
      </w:r>
      <w:r>
        <w:t xml:space="preserve">underestimate the ‘true’ environmental benefit.</w:t>
      </w:r>
      <w:r>
        <w:t xml:space="preserve"> </w:t>
      </w:r>
      <w:r>
        <w:t xml:space="preserve">A break-even approach is adopted to weigh up the likely relative advantages and drawbacks of</w:t>
      </w:r>
      <w:r>
        <w:t xml:space="preserve"> </w:t>
      </w:r>
      <w:r>
        <w:t xml:space="preserve">option 1a and judge whether it is likely to be ‘justified’ considering the costs. The aim is to</w:t>
      </w:r>
      <w:r>
        <w:t xml:space="preserve"> </w:t>
      </w:r>
      <w:r>
        <w:t xml:space="preserve">answer the following questions:</w:t>
      </w:r>
      <w:r>
        <w:br/>
      </w:r>
      <w:r>
        <w:t xml:space="preserve"> What level of benefit would be required to offset the costs?</w:t>
      </w:r>
      <w:r>
        <w:t xml:space="preserve"> </w:t>
      </w:r>
      <w:r>
        <w:t xml:space="preserve"> What is the minimum number of cases/outcomes that would need to be avoided to</w:t>
      </w:r>
      <w:r>
        <w:t xml:space="preserve"> </w:t>
      </w:r>
      <w:r>
        <w:t xml:space="preserve">achieve this level of benefit?</w:t>
      </w:r>
      <w:r>
        <w:t xml:space="preserve"> </w:t>
      </w:r>
      <w:r>
        <w:t xml:space="preserve"> Is this minimum number cases/outcomes avoided a plausible outcome of the option?</w:t>
      </w:r>
      <w:r>
        <w:t xml:space="preserve"> </w:t>
      </w:r>
      <w:r>
        <w:t xml:space="preserve">In order to estimate the economic value of the potential human health damage costs avoided, a</w:t>
      </w:r>
      <w:r>
        <w:t xml:space="preserve"> </w:t>
      </w:r>
      <w:r>
        <w:t xml:space="preserve">cost-of-illness approach has been adopted. This considers medical treatment costs,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productivity/earnings losses and, where available, individual’s willingness to pay (WTP) to</w:t>
      </w:r>
      <w:r>
        <w:t xml:space="preserve"> </w:t>
      </w:r>
      <w:r>
        <w:t xml:space="preserve">avoid the outcome under consideration.</w:t>
      </w:r>
      <w:r>
        <w:t xml:space="preserve"> </w:t>
      </w:r>
      <w:r>
        <w:t xml:space="preserve">The following subsections provide an overview of the possible health and environmental</w:t>
      </w:r>
      <w:r>
        <w:t xml:space="preserve"> </w:t>
      </w:r>
      <w:r>
        <w:t xml:space="preserve">outcomes of the exposure to substances with ED, PBT/vPvB and PMT/vPvM properties, and</w:t>
      </w:r>
      <w:r>
        <w:t xml:space="preserve"> </w:t>
      </w:r>
      <w:r>
        <w:t xml:space="preserve">their economic metrics.</w:t>
      </w:r>
      <w:r>
        <w:t xml:space="preserve"> </w:t>
      </w:r>
      <w:r>
        <w:t xml:space="preserve">Endocrine disruptors</w:t>
      </w:r>
      <w:r>
        <w:t xml:space="preserve"> </w:t>
      </w:r>
      <w:r>
        <w:t xml:space="preserve">Despite all uncertainties and information gaps, researchers agree that exposure to EDs may</w:t>
      </w:r>
      <w:r>
        <w:t xml:space="preserve"> </w:t>
      </w:r>
      <w:r>
        <w:t xml:space="preserve">lead to substantial societal costs, with estimates in the range of billions of euros for the EU on</w:t>
      </w:r>
      <w:r>
        <w:t xml:space="preserve"> </w:t>
      </w:r>
      <w:r>
        <w:t xml:space="preserve">a yearly basis, with some studies estimating costs in the range of €46-288 billion per year (Rijk</w:t>
      </w:r>
      <w:r>
        <w:t xml:space="preserve"> </w:t>
      </w:r>
      <w:r>
        <w:t xml:space="preserve">et al, 2016).164 Assuming that the overall burden is broadly correct, the grand total cost of PO1</w:t>
      </w:r>
      <w:r>
        <w:t xml:space="preserve"> </w:t>
      </w:r>
      <w:r>
        <w:t xml:space="preserve">is approximately one to three thousandths of the overall burden. However, there is a lot of</w:t>
      </w:r>
      <w:r>
        <w:t xml:space="preserve"> </w:t>
      </w:r>
      <w:r>
        <w:t xml:space="preserve">uncertainty associated with the causal link between health effects and EDs’ exposure and the</w:t>
      </w:r>
      <w:r>
        <w:t xml:space="preserve"> </w:t>
      </w:r>
      <w:r>
        <w:t xml:space="preserve">corresponding health-related costs. Moreover, only a few ED-associated health effects have</w:t>
      </w:r>
      <w:r>
        <w:t xml:space="preserve"> </w:t>
      </w:r>
      <w:r>
        <w:t xml:space="preserve">been quantified, and therefore any estimate need to be interpreted with care.</w:t>
      </w:r>
      <w:r>
        <w:t xml:space="preserve"> </w:t>
      </w:r>
      <w:r>
        <w:t xml:space="preserve">Due to the large uncertainties surrounding the monetary evaluation of the health and</w:t>
      </w:r>
      <w:r>
        <w:t xml:space="preserve"> </w:t>
      </w:r>
      <w:r>
        <w:t xml:space="preserve">environmental impacts of EDs, a break-even approach is used to provide an illustration of the</w:t>
      </w:r>
      <w:r>
        <w:t xml:space="preserve"> </w:t>
      </w:r>
      <w:r>
        <w:t xml:space="preserve">number of specific health outcomes that policy option 1 would have to contribute to avoid</w:t>
      </w:r>
      <w:r>
        <w:t xml:space="preserve"> </w:t>
      </w:r>
      <w:r>
        <w:t xml:space="preserve">justifying its costs. This is complemented by an additional benchmark approach, comparing</w:t>
      </w:r>
      <w:r>
        <w:t xml:space="preserve"> </w:t>
      </w:r>
      <w:r>
        <w:t xml:space="preserve">the benefits calculated through predefined population attributable fractions to the costs of the</w:t>
      </w:r>
      <w:r>
        <w:t xml:space="preserve"> </w:t>
      </w:r>
      <w:r>
        <w:t xml:space="preserve">policy option.</w:t>
      </w:r>
      <w:r>
        <w:t xml:space="preserve"> </w:t>
      </w:r>
      <w:r>
        <w:t xml:space="preserve">Human and environmental exposure to EDs — through multiple routes — is the result of their</w:t>
      </w:r>
      <w:r>
        <w:t xml:space="preserve"> </w:t>
      </w:r>
      <w:r>
        <w:t xml:space="preserve">presence in a wide variety of products, including food packaging, pharmaceuticals, cosmetics</w:t>
      </w:r>
      <w:r>
        <w:t xml:space="preserve"> </w:t>
      </w:r>
      <w:r>
        <w:t xml:space="preserve">and personal care products, pesticides, fabrics and upholstery, electronics, plastic bottles, metal</w:t>
      </w:r>
      <w:r>
        <w:t xml:space="preserve"> </w:t>
      </w:r>
      <w:r>
        <w:t xml:space="preserve">food cans, detergents and toys (Kassotis et al., 2020). EDs can mimic or interfere with the</w:t>
      </w:r>
      <w:r>
        <w:t xml:space="preserve"> </w:t>
      </w:r>
      <w:r>
        <w:t xml:space="preserve">body’s endocrine system, and associated effects include impacts on male and female</w:t>
      </w:r>
      <w:r>
        <w:t xml:space="preserve"> </w:t>
      </w:r>
      <w:r>
        <w:t xml:space="preserve">reproduction, breast development and cancer, prostate cancer, neuroendocrinology, thyroid,</w:t>
      </w:r>
      <w:r>
        <w:t xml:space="preserve"> </w:t>
      </w:r>
      <w:r>
        <w:t xml:space="preserve">metabolism and obesity, and cardiovascular endocrinology.165 Vulnerable groups, such as</w:t>
      </w:r>
      <w:r>
        <w:t xml:space="preserve"> </w:t>
      </w:r>
      <w:r>
        <w:t xml:space="preserve">young children, are particularly affected by exposure to EDs, which can have life-long impacts</w:t>
      </w:r>
      <w:r>
        <w:t xml:space="preserve"> </w:t>
      </w:r>
      <w:r>
        <w:t xml:space="preserve">and exhibit in adulthood. Rijk et al. (2016) identified more than 80 different health endpoints</w:t>
      </w:r>
      <w:r>
        <w:t xml:space="preserve"> </w:t>
      </w:r>
      <w:r>
        <w:t xml:space="preserve">which have been potentially associated to exposure to EDs. Table 65 reproduces health</w:t>
      </w:r>
      <w:r>
        <w:t xml:space="preserve"> </w:t>
      </w:r>
      <w:r>
        <w:t xml:space="preserve">outcomes attributable to exposure to specific EDs — with strength of human evidence and</w:t>
      </w:r>
      <w:r>
        <w:t xml:space="preserve"> </w:t>
      </w:r>
      <w:r>
        <w:t xml:space="preserve">probability of causation — as reported by Kahn et al. (2020).</w:t>
      </w:r>
      <w:r>
        <w:t xml:space="preserve"> </w:t>
      </w:r>
      <w:r>
        <w:t xml:space="preserve">Table 66: Strength of evidence and probability of causation for outcome-exposure associations</w:t>
      </w:r>
      <w:r>
        <w:t xml:space="preserve"> </w:t>
      </w:r>
      <w:r>
        <w:t xml:space="preserve">Outcome</w:t>
      </w:r>
      <w:r>
        <w:t xml:space="preserve"> </w:t>
      </w:r>
      <w:r>
        <w:t xml:space="preserve">Strength of human evidence</w:t>
      </w:r>
      <w:r>
        <w:t xml:space="preserve"> </w:t>
      </w:r>
      <w:r>
        <w:t xml:space="preserve">Probability of causation</w:t>
      </w:r>
      <w:r>
        <w:t xml:space="preserve"> </w:t>
      </w:r>
      <w:r>
        <w:t xml:space="preserve">Perinatal outcomes</w:t>
      </w:r>
      <w:r>
        <w:t xml:space="preserve"> </w:t>
      </w:r>
      <w:r>
        <w:t xml:space="preserve">Low birthweight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Preterm birth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Reduced anogenital distance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Neurodevelopmental</w:t>
      </w:r>
      <w:r>
        <w:t xml:space="preserve"> </w:t>
      </w:r>
      <w:r>
        <w:t xml:space="preserve">IQ loss and intellectual disability</w:t>
      </w:r>
      <w:r>
        <w:t xml:space="preserve"> </w:t>
      </w:r>
      <w:r>
        <w:t xml:space="preserve">Moderate to high</w:t>
      </w:r>
      <w:r>
        <w:t xml:space="preserve"> </w:t>
      </w:r>
      <w:r>
        <w:t xml:space="preserve">70-100%</w:t>
      </w:r>
    </w:p>
    <w:p>
      <w:pPr>
        <w:pStyle w:val="BodyText"/>
      </w:pPr>
      <w:r>
        <w:t xml:space="preserve">164 I. Rijk, M. van Duursen, and M. van den Berg, Health cost that may be associated with Endocrine Disrupting</w:t>
      </w:r>
      <w:r>
        <w:t xml:space="preserve"> </w:t>
      </w:r>
      <w:r>
        <w:t xml:space="preserve">Chemicals — An inventory, evaluation and way forward to assess the potential health impact of EDC-associated</w:t>
      </w:r>
      <w:r>
        <w:t xml:space="preserve"> </w:t>
      </w:r>
      <w:r>
        <w:t xml:space="preserve">health effects in the EU, Institute for Risk Assessment Sciences, University of Utrecht, 2016.</w:t>
      </w:r>
      <w:r>
        <w:t xml:space="preserve"> </w:t>
      </w:r>
      <w:r>
        <w:t xml:space="preserve">165</w:t>
      </w:r>
      <w:r>
        <w:t xml:space="preserve"> </w:t>
      </w:r>
      <w:r>
        <w:t xml:space="preserve">National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Health</w:t>
      </w:r>
      <w:r>
        <w:t xml:space="preserve"> </w:t>
      </w:r>
      <w:r>
        <w:t xml:space="preserve">Sciences.</w:t>
      </w:r>
      <w:r>
        <w:t xml:space="preserve"> </w:t>
      </w:r>
      <w:r>
        <w:t xml:space="preserve">(n.d.)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Disruptors.</w:t>
      </w:r>
      <w:r>
        <w:t xml:space="preserve"> </w:t>
      </w:r>
      <w:r>
        <w:t xml:space="preserve">https://www.niehs.nih.gov/health/topics/agents/endocrine/index.cfm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Table 66: Strength of evidence and probability of causation for outcome-exposure associations</w:t>
      </w:r>
      <w:r>
        <w:t xml:space="preserve"> </w:t>
      </w:r>
      <w:r>
        <w:t xml:space="preserve">Outcome</w:t>
      </w:r>
      <w:r>
        <w:t xml:space="preserve"> </w:t>
      </w:r>
      <w:r>
        <w:t xml:space="preserve">Strength of human evidence</w:t>
      </w:r>
      <w:r>
        <w:t xml:space="preserve"> </w:t>
      </w:r>
      <w:r>
        <w:t xml:space="preserve">Probability of causation</w:t>
      </w:r>
      <w:r>
        <w:t xml:space="preserve"> </w:t>
      </w:r>
      <w:r>
        <w:t xml:space="preserve">Attention-deficit disorder</w:t>
      </w:r>
      <w:r>
        <w:t xml:space="preserve"> </w:t>
      </w:r>
      <w:r>
        <w:t xml:space="preserve">Low to moderate</w:t>
      </w:r>
      <w:r>
        <w:t xml:space="preserve"> </w:t>
      </w:r>
      <w:r>
        <w:t xml:space="preserve">20-69%</w:t>
      </w:r>
      <w:r>
        <w:t xml:space="preserve"> </w:t>
      </w:r>
      <w:r>
        <w:t xml:space="preserve">Autism spectrum disorder</w:t>
      </w:r>
      <w:r>
        <w:t xml:space="preserve"> </w:t>
      </w:r>
      <w:r>
        <w:t xml:space="preserve">Low</w:t>
      </w:r>
      <w:r>
        <w:t xml:space="preserve"> </w:t>
      </w:r>
      <w:r>
        <w:t xml:space="preserve">20-39%</w:t>
      </w:r>
      <w:r>
        <w:t xml:space="preserve"> </w:t>
      </w:r>
      <w:r>
        <w:t xml:space="preserve">Metabolic</w:t>
      </w:r>
      <w:r>
        <w:t xml:space="preserve"> </w:t>
      </w:r>
      <w:r>
        <w:t xml:space="preserve">Childhood obesity</w:t>
      </w:r>
      <w:r>
        <w:t xml:space="preserve"> </w:t>
      </w:r>
      <w:r>
        <w:t xml:space="preserve">Moderate</w:t>
      </w:r>
      <w:r>
        <w:t xml:space="preserve"> </w:t>
      </w:r>
      <w:r>
        <w:t xml:space="preserve">40-69%</w:t>
      </w:r>
      <w:r>
        <w:t xml:space="preserve"> </w:t>
      </w:r>
      <w:r>
        <w:t xml:space="preserve">Adult obesity</w:t>
      </w:r>
      <w:r>
        <w:t xml:space="preserve"> </w:t>
      </w:r>
      <w:r>
        <w:t xml:space="preserve">Low</w:t>
      </w:r>
      <w:r>
        <w:t xml:space="preserve"> </w:t>
      </w:r>
      <w:r>
        <w:t xml:space="preserve">40-69%</w:t>
      </w:r>
      <w:r>
        <w:t xml:space="preserve"> </w:t>
      </w:r>
      <w:r>
        <w:t xml:space="preserve">Adult diabetes</w:t>
      </w:r>
      <w:r>
        <w:t xml:space="preserve"> </w:t>
      </w:r>
      <w:r>
        <w:t xml:space="preserve">Low</w:t>
      </w:r>
      <w:r>
        <w:t xml:space="preserve"> </w:t>
      </w:r>
      <w:r>
        <w:t xml:space="preserve">40-69%</w:t>
      </w:r>
      <w:r>
        <w:t xml:space="preserve"> </w:t>
      </w:r>
      <w:r>
        <w:t xml:space="preserve">Reproductive outcomes</w:t>
      </w:r>
      <w:r>
        <w:t xml:space="preserve"> </w:t>
      </w:r>
      <w:r>
        <w:t xml:space="preserve">Cryptorchidism</w:t>
      </w:r>
      <w:r>
        <w:t xml:space="preserve"> </w:t>
      </w:r>
      <w:r>
        <w:t xml:space="preserve">Low</w:t>
      </w:r>
      <w:r>
        <w:t xml:space="preserve"> </w:t>
      </w:r>
      <w:r>
        <w:t xml:space="preserve">40-69%</w:t>
      </w:r>
      <w:r>
        <w:t xml:space="preserve"> </w:t>
      </w:r>
      <w:r>
        <w:t xml:space="preserve">Low testosterone, resulting in</w:t>
      </w:r>
      <w:r>
        <w:t xml:space="preserve"> </w:t>
      </w:r>
      <w:r>
        <w:t xml:space="preserve">increased early mortality</w:t>
      </w:r>
      <w:r>
        <w:t xml:space="preserve"> </w:t>
      </w:r>
      <w:r>
        <w:t xml:space="preserve">Low</w:t>
      </w:r>
      <w:r>
        <w:t xml:space="preserve"> </w:t>
      </w:r>
      <w:r>
        <w:t xml:space="preserve">40-69%</w:t>
      </w:r>
      <w:r>
        <w:t xml:space="preserve"> </w:t>
      </w:r>
      <w:r>
        <w:t xml:space="preserve">Male</w:t>
      </w:r>
      <w:r>
        <w:t xml:space="preserve"> </w:t>
      </w:r>
      <w:r>
        <w:t xml:space="preserve">infertility,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increased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assisted</w:t>
      </w:r>
      <w:r>
        <w:t xml:space="preserve"> </w:t>
      </w:r>
      <w:r>
        <w:t xml:space="preserve">reproductive technology</w:t>
      </w:r>
      <w:r>
        <w:t xml:space="preserve"> </w:t>
      </w:r>
      <w:r>
        <w:t xml:space="preserve">Low</w:t>
      </w:r>
      <w:r>
        <w:t xml:space="preserve"> </w:t>
      </w:r>
      <w:r>
        <w:t xml:space="preserve">40-69%</w:t>
      </w:r>
      <w:r>
        <w:t xml:space="preserve"> </w:t>
      </w:r>
      <w:r>
        <w:t xml:space="preserve">Endometriosis</w:t>
      </w:r>
      <w:r>
        <w:t xml:space="preserve"> </w:t>
      </w:r>
      <w:r>
        <w:t xml:space="preserve">Low</w:t>
      </w:r>
      <w:r>
        <w:t xml:space="preserve"> </w:t>
      </w:r>
      <w:r>
        <w:t xml:space="preserve">20-39%</w:t>
      </w:r>
      <w:r>
        <w:t xml:space="preserve"> </w:t>
      </w:r>
      <w:r>
        <w:t xml:space="preserve">Fibroids</w:t>
      </w:r>
      <w:r>
        <w:t xml:space="preserve"> </w:t>
      </w:r>
      <w:r>
        <w:t xml:space="preserve">Low</w:t>
      </w:r>
      <w:r>
        <w:t xml:space="preserve"> </w:t>
      </w:r>
      <w:r>
        <w:t xml:space="preserve">20-39%</w:t>
      </w:r>
      <w:r>
        <w:t xml:space="preserve"> </w:t>
      </w:r>
      <w:r>
        <w:t xml:space="preserve">Testicular cancer</w:t>
      </w:r>
      <w:r>
        <w:t xml:space="preserve"> </w:t>
      </w:r>
      <w:r>
        <w:t xml:space="preserve">Very low to low</w:t>
      </w:r>
      <w:r>
        <w:t xml:space="preserve"> </w:t>
      </w:r>
      <w:r>
        <w:t xml:space="preserve">0-19%</w:t>
      </w:r>
      <w:r>
        <w:t xml:space="preserve"> </w:t>
      </w:r>
      <w:r>
        <w:t xml:space="preserve">Semen quality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Polycystic ovarian syndrome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Breast cancer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 assessed</w:t>
      </w:r>
      <w:r>
        <w:t xml:space="preserve"> </w:t>
      </w:r>
      <w:r>
        <w:t xml:space="preserve">Notes: Kahn et al. (2020) report strength of evidence and probability of causation per specific EDs and time of exposure</w:t>
      </w:r>
      <w:r>
        <w:t xml:space="preserve"> </w:t>
      </w:r>
      <w:r>
        <w:t xml:space="preserve">(prenatal, pregnancy, adult, lifetime). This table reproduces only the highest strength of human evidence and probability</w:t>
      </w:r>
      <w:r>
        <w:t xml:space="preserve"> </w:t>
      </w:r>
      <w:r>
        <w:t xml:space="preserve">of causation among specific EDs and time of exposure.</w:t>
      </w:r>
    </w:p>
    <w:p>
      <w:pPr>
        <w:pStyle w:val="BodyText"/>
      </w:pPr>
      <w:r>
        <w:t xml:space="preserve">Kahn et al. (2020) is part of a series of papers published by Trasande and colleagues starting</w:t>
      </w:r>
      <w:r>
        <w:t xml:space="preserve"> </w:t>
      </w:r>
      <w:r>
        <w:t xml:space="preserve">in 2015166 estimating the socioeconomic impacts of health outcomes attributable to EDs’</w:t>
      </w:r>
      <w:r>
        <w:t xml:space="preserve"> </w:t>
      </w:r>
      <w:r>
        <w:t xml:space="preserve">exposure. These papers use the population attributable fraction methodology and calculate the</w:t>
      </w:r>
      <w:r>
        <w:t xml:space="preserve"> </w:t>
      </w:r>
      <w:r>
        <w:t xml:space="preserve">attributable costs as the product of disease rate, attributable fraction, population size and cost</w:t>
      </w:r>
      <w:r>
        <w:t xml:space="preserve"> </w:t>
      </w:r>
      <w:r>
        <w:t xml:space="preserve">per case. The cost per case includes health care direct costs, rehabilitation costs and lost</w:t>
      </w:r>
      <w:r>
        <w:t xml:space="preserve"> </w:t>
      </w:r>
      <w:r>
        <w:t xml:space="preserve">productivity. To establish the probability of causation, the authors adapted the</w:t>
      </w:r>
      <w:r>
        <w:t xml:space="preserve"> </w:t>
      </w:r>
      <w:r>
        <w:t xml:space="preserve">Intergovernmental Panel on Climate Change (IPCC) approach, combining the assessment of</w:t>
      </w:r>
      <w:r>
        <w:t xml:space="preserve"> </w:t>
      </w:r>
      <w:r>
        <w:t xml:space="preserve">the strength of the epidemiological and toxicological evidence. Bond and Dietrich (2017) have</w:t>
      </w:r>
      <w:r>
        <w:t xml:space="preserve"> </w:t>
      </w:r>
      <w:r>
        <w:t xml:space="preserve">criticised the methodology used in this series of papers, pointing to a number of criticalities:</w:t>
      </w:r>
      <w:r>
        <w:t xml:space="preserve"> </w:t>
      </w:r>
      <w:r>
        <w:t xml:space="preserve">skewed and non-transparent selection of experts for the panels establishing probability</w:t>
      </w:r>
      <w:r>
        <w:t xml:space="preserve"> </w:t>
      </w:r>
      <w:r>
        <w:t xml:space="preserve">causation for each outcome-exposure association; limited evidence for certain outcome-</w:t>
      </w:r>
      <w:r>
        <w:t xml:space="preserve"> </w:t>
      </w:r>
      <w:r>
        <w:t xml:space="preserve">exposure association; non-transparent selection of the literature evaluated; monetisation of</w:t>
      </w:r>
      <w:r>
        <w:t xml:space="preserve"> </w:t>
      </w:r>
      <w:r>
        <w:t xml:space="preserve">health outcomes with low to moderate probability of causation; insufficient number of experts</w:t>
      </w:r>
      <w:r>
        <w:t xml:space="preserve"> </w:t>
      </w:r>
      <w:r>
        <w:t xml:space="preserve">in the panels. It should be noted that Trasande and colleagues have responded to the</w:t>
      </w:r>
      <w:r>
        <w:t xml:space="preserve"> </w:t>
      </w:r>
      <w:r>
        <w:t xml:space="preserve">criticisms,167,168 defending their methodology and maintaining that the economic estimates are</w:t>
      </w:r>
      <w:r>
        <w:t xml:space="preserve"> </w:t>
      </w:r>
      <w:r>
        <w:t xml:space="preserve">likely to be conservative.</w:t>
      </w:r>
      <w:r>
        <w:t xml:space="preserve"> </w:t>
      </w:r>
      <w:r>
        <w:t xml:space="preserve">For the purpose of this assessment, a subset of four health outcomes was selected — one</w:t>
      </w:r>
      <w:r>
        <w:t xml:space="preserve"> </w:t>
      </w:r>
      <w:r>
        <w:t xml:space="preserve">outcome for each outcome category:</w:t>
      </w:r>
    </w:p>
    <w:p>
      <w:pPr>
        <w:pStyle w:val="BodyText"/>
      </w:pPr>
      <w:r>
        <w:t xml:space="preserve">166 Trasande et al. (2015); Bellanger et al. (2015); Hauser et al. (2015); Legler et al. (2015); Hunt et al. (2016);</w:t>
      </w:r>
      <w:r>
        <w:t xml:space="preserve"> </w:t>
      </w:r>
      <w:r>
        <w:t xml:space="preserve">Trasande et al. (2016)</w:t>
      </w:r>
      <w:r>
        <w:t xml:space="preserve"> </w:t>
      </w:r>
      <w:r>
        <w:t xml:space="preserve">167 Hunt et al. (2016): Response to the Letter by G. M. H. Swaen and R. Otter. The Journal of Clinical</w:t>
      </w:r>
      <w:r>
        <w:t xml:space="preserve"> </w:t>
      </w:r>
      <w:r>
        <w:t xml:space="preserve">Endocrinology &amp; Metabolism, Volume 101, Issue 11, 1 November 2016, Pages L110–</w:t>
      </w:r>
      <w:r>
        <w:t xml:space="preserve"> </w:t>
      </w:r>
      <w:r>
        <w:t xml:space="preserve">L111, https://doi.org/10.1210/jc.2016-3294</w:t>
      </w:r>
      <w:r>
        <w:t xml:space="preserve"> </w:t>
      </w:r>
      <w:r>
        <w:t xml:space="preserve">168 Bellanger et al. (2015): Response to the Letter by Middlebeek and Veuger. The Journal of Clinical</w:t>
      </w:r>
      <w:r>
        <w:t xml:space="preserve"> </w:t>
      </w:r>
      <w:r>
        <w:t xml:space="preserve">Endocrinology &amp; Metabolism, Volume 100, Issue 6, 1 June 2015, Pages L54–</w:t>
      </w:r>
      <w:r>
        <w:t xml:space="preserve"> </w:t>
      </w:r>
      <w:r>
        <w:t xml:space="preserve">L55, https://doi.org/10.1210/jc.2015-2221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Low birth weight (perinatal outcomes);</w:t>
      </w:r>
    </w:p>
    <w:p>
      <w:pPr>
        <w:pStyle w:val="BodyText"/>
      </w:pPr>
      <w:r>
        <w:t xml:space="preserve">IQ loss and intellectual disability (neurodevelopmental);</w:t>
      </w:r>
    </w:p>
    <w:p>
      <w:pPr>
        <w:pStyle w:val="BodyText"/>
      </w:pPr>
      <w:r>
        <w:t xml:space="preserve">Childhood obesity (metabolic);</w:t>
      </w:r>
      <w:r>
        <w:t xml:space="preserve"> </w:t>
      </w:r>
      <w:r>
        <w:t xml:space="preserve">Male infertility (reproductive outcomes).</w:t>
      </w:r>
      <w:r>
        <w:t xml:space="preserve"> </w:t>
      </w:r>
      <w:r>
        <w:t xml:space="preserve">A very low weight at birth can have consequences on development, including an increased</w:t>
      </w:r>
      <w:r>
        <w:t xml:space="preserve"> </w:t>
      </w:r>
      <w:r>
        <w:t xml:space="preserve">prevalence of neurosensory problems, behavioural and social competence problems, and</w:t>
      </w:r>
      <w:r>
        <w:t xml:space="preserve"> </w:t>
      </w:r>
      <w:r>
        <w:t xml:space="preserve">intellectual and learning disabilities. As noted in ECHA (2016c), the actual outcomes</w:t>
      </w:r>
      <w:r>
        <w:t xml:space="preserve"> </w:t>
      </w:r>
      <w:r>
        <w:t xml:space="preserve">associated to very low birth weight cannot be known in advance. Alberini and Ščasný (2014)</w:t>
      </w:r>
      <w:r>
        <w:t xml:space="preserve"> </w:t>
      </w:r>
      <w:r>
        <w:t xml:space="preserve">value that the prevention of one case of very low birth weight at €2012405,000 (equal to</w:t>
      </w:r>
      <w:r>
        <w:t xml:space="preserve"> </w:t>
      </w:r>
      <w:r>
        <w:t xml:space="preserve">€2021450,000)169 from a public perspective.</w:t>
      </w:r>
      <w:r>
        <w:t xml:space="preserve"> </w:t>
      </w:r>
      <w:r>
        <w:t xml:space="preserve">Neurodevelopmental disabilities have been associated with IQ productivity losses and other</w:t>
      </w:r>
      <w:r>
        <w:t xml:space="preserve"> </w:t>
      </w:r>
      <w:r>
        <w:t xml:space="preserve">associated health and societal costs. A number of authors170 171 172 have estimated the cost of</w:t>
      </w:r>
      <w:r>
        <w:t xml:space="preserve"> </w:t>
      </w:r>
      <w:r>
        <w:t xml:space="preserve">an IQ point lost as USD201019,269 (equal to EUR202130,500) in discounted lifetime costs.</w:t>
      </w:r>
      <w:r>
        <w:t xml:space="preserve"> </w:t>
      </w:r>
      <w:r>
        <w:t xml:space="preserve">Honeycutt et al. (2004) report average lifetime costs per case of intellectual disability of</w:t>
      </w:r>
      <w:r>
        <w:t xml:space="preserve"> </w:t>
      </w:r>
      <w:r>
        <w:t xml:space="preserve">USD20031,014,000 (equal to €20211,690,000).173</w:t>
      </w:r>
      <w:r>
        <w:t xml:space="preserve"> </w:t>
      </w:r>
      <w:r>
        <w:t xml:space="preserve">Obesity presents significant healthcare costs to society and can result in various related</w:t>
      </w:r>
      <w:r>
        <w:t xml:space="preserve"> </w:t>
      </w:r>
      <w:r>
        <w:t xml:space="preserve">conditions and subsequent reductions in life expectancy. Direct costs considered include drugs,</w:t>
      </w:r>
      <w:r>
        <w:t xml:space="preserve"> </w:t>
      </w:r>
      <w:r>
        <w:t xml:space="preserve">hospitalisations, monitoring and obesity-associated pathologies. Indirect costs are productivity</w:t>
      </w:r>
      <w:r>
        <w:t xml:space="preserve"> </w:t>
      </w:r>
      <w:r>
        <w:t xml:space="preserve">losses, in terms of both presenteeism and absenteeism.174 Hamilton and Dee (2017) value the</w:t>
      </w:r>
      <w:r>
        <w:t xml:space="preserve"> </w:t>
      </w:r>
      <w:r>
        <w:t xml:space="preserve">total lifetime excess cost per obese child as €2021160,000.175</w:t>
      </w:r>
      <w:r>
        <w:t xml:space="preserve"> </w:t>
      </w:r>
      <w:r>
        <w:t xml:space="preserve">There are significant individual and societal costs associated with male reproductive health</w:t>
      </w:r>
      <w:r>
        <w:t xml:space="preserve"> </w:t>
      </w:r>
      <w:r>
        <w:t xml:space="preserve">problems, with costs including medical and fertility treatment. Alberini and Ščasný (2014)</w:t>
      </w:r>
      <w:r>
        <w:t xml:space="preserve"> </w:t>
      </w:r>
      <w:r>
        <w:t xml:space="preserve">estimated the value of a statistical pregnancy among the general population in €201237,900</w:t>
      </w:r>
      <w:r>
        <w:t xml:space="preserve"> </w:t>
      </w:r>
      <w:r>
        <w:t xml:space="preserve">(equal to €202142,000).</w:t>
      </w:r>
      <w:r>
        <w:t xml:space="preserve"> </w:t>
      </w:r>
      <w:r>
        <w:t xml:space="preserve">With regard to the environmental impacts of EDs’ exposure, while there is strong evidence in</w:t>
      </w:r>
      <w:r>
        <w:t xml:space="preserve"> </w:t>
      </w:r>
      <w:r>
        <w:t xml:space="preserve">specific cases (endocrine disruption in fish), there is limited understanding of the causal</w:t>
      </w:r>
      <w:r>
        <w:t xml:space="preserve"> </w:t>
      </w:r>
      <w:r>
        <w:t xml:space="preserve">associations between EDs and effects on individual animals and wider wildlife populations</w:t>
      </w:r>
      <w:r>
        <w:t xml:space="preserve"> </w:t>
      </w:r>
      <w:r>
        <w:t xml:space="preserve">(Jobling, S., Tyler, C. R., 2006).</w:t>
      </w:r>
      <w:r>
        <w:br/>
      </w:r>
      <w:r>
        <w:t xml:space="preserve">Illustrative benefit calculations – EDs</w:t>
      </w:r>
      <w:r>
        <w:t xml:space="preserve"> </w:t>
      </w:r>
      <w:r>
        <w:t xml:space="preserve">Number of cases to be avoided to justify the costs</w:t>
      </w:r>
    </w:p>
    <w:p>
      <w:pPr>
        <w:pStyle w:val="BodyText"/>
      </w:pPr>
      <w:r>
        <w:t xml:space="preserve">169 Rounded to the nearest ten thousand.</w:t>
      </w:r>
      <w:r>
        <w:t xml:space="preserve"> </w:t>
      </w:r>
      <w:r>
        <w:t xml:space="preserve">170 Attina TM, Trasande L (2013): Economic costs of childhood lead exposure in low and middle-income</w:t>
      </w:r>
      <w:r>
        <w:t xml:space="preserve"> </w:t>
      </w:r>
      <w:r>
        <w:t xml:space="preserve">countries. Environ Health Perspect 121:1097-1102</w:t>
      </w:r>
      <w:r>
        <w:t xml:space="preserve"> </w:t>
      </w:r>
      <w:r>
        <w:t xml:space="preserve">171 Trasande L, Liu Y (2011): Reducing the Staggering Costs of Environmental Disease in Children, Estimated at</w:t>
      </w:r>
      <w:r>
        <w:t xml:space="preserve"> </w:t>
      </w:r>
      <w:r>
        <w:t xml:space="preserve">$76.6 Billion In 2008. Health Affairs 30:863-870</w:t>
      </w:r>
      <w:r>
        <w:t xml:space="preserve"> </w:t>
      </w:r>
      <w:r>
        <w:t xml:space="preserve">172 Bellanger et al. (2013): Economic benefits of methylmercury exposure control in Europe: monetary value of</w:t>
      </w:r>
      <w:r>
        <w:t xml:space="preserve"> </w:t>
      </w:r>
      <w:r>
        <w:t xml:space="preserve">neurotoxicity prevention Environmental Health 12</w:t>
      </w:r>
      <w:r>
        <w:t xml:space="preserve"> </w:t>
      </w:r>
      <w:r>
        <w:t xml:space="preserve">173 Converted using the purchasing power parities and inflation rates reported by the OECD</w:t>
      </w:r>
      <w:r>
        <w:t xml:space="preserve"> </w:t>
      </w:r>
      <w:r>
        <w:t xml:space="preserve">(https://data.oecd.org/conversion/purchasing-power-parities-ppp.htm)</w:t>
      </w:r>
      <w:r>
        <w:t xml:space="preserve"> </w:t>
      </w:r>
      <w:r>
        <w:t xml:space="preserve">and</w:t>
      </w:r>
      <w:r>
        <w:t xml:space="preserve"> </w:t>
      </w:r>
      <w:r>
        <w:t xml:space="preserve">(https://stats.oecd.org/index.aspx?queryid=82174)</w:t>
      </w:r>
      <w:r>
        <w:t xml:space="preserve"> </w:t>
      </w:r>
      <w:r>
        <w:t xml:space="preserve">174 Presenteeism refers to the lost productivity that occurs when employees are not fully functioning in the</w:t>
      </w:r>
      <w:r>
        <w:t xml:space="preserve"> </w:t>
      </w:r>
      <w:r>
        <w:t xml:space="preserve">workplace because of an illness, injury, or other condition. Absenteeism occurs when people are sick, injured,</w:t>
      </w:r>
      <w:r>
        <w:t xml:space="preserve"> </w:t>
      </w:r>
      <w:r>
        <w:t xml:space="preserve">unwell or are unable to come to work due to circumstances.</w:t>
      </w:r>
      <w:r>
        <w:t xml:space="preserve"> </w:t>
      </w:r>
      <w:r>
        <w:t xml:space="preserve">175 Rounded to the nearest ten thousand.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The benefits of PO1 are equal to the number of adverse human health and environmental</w:t>
      </w:r>
      <w:r>
        <w:t xml:space="preserve"> </w:t>
      </w:r>
      <w:r>
        <w:t xml:space="preserve">outcomes avoided multiplied by the cost (or value) of each of those outcomes. Regarding the</w:t>
      </w:r>
      <w:r>
        <w:t xml:space="preserve"> </w:t>
      </w:r>
      <w:r>
        <w:t xml:space="preserve">value of the outcomes avoided, the range of possible outcomes from human exposure and</w:t>
      </w:r>
      <w:r>
        <w:t xml:space="preserve"> </w:t>
      </w:r>
      <w:r>
        <w:t xml:space="preserve">environmental releases to EDs is much larger than the range of available metrics. The valuation</w:t>
      </w:r>
      <w:r>
        <w:t xml:space="preserve"> </w:t>
      </w:r>
      <w:r>
        <w:t xml:space="preserve">of the benefits relies on selected ‘representative’ outcomes which capture some of the possible</w:t>
      </w:r>
      <w:r>
        <w:t xml:space="preserve"> </w:t>
      </w:r>
      <w:r>
        <w:t xml:space="preserve">outcomes. Thus, by default, any assessment of the benefits will tend to underestimate the ‘true’</w:t>
      </w:r>
      <w:r>
        <w:t xml:space="preserve"> </w:t>
      </w:r>
      <w:r>
        <w:t xml:space="preserve">benefit. There is no means of predicting how many avoided cases PO1 would result in, and</w:t>
      </w:r>
      <w:r>
        <w:t xml:space="preserve"> </w:t>
      </w:r>
      <w:r>
        <w:t xml:space="preserve">therefore there is no ‘case multiplier’ to calculate the benefits.</w:t>
      </w:r>
      <w:r>
        <w:t xml:space="preserve"> </w:t>
      </w:r>
      <w:r>
        <w:t xml:space="preserve">In order to simplify the analysis, the values of the multiple possible outcomes of EDs’ exposure</w:t>
      </w:r>
      <w:r>
        <w:t xml:space="preserve"> </w:t>
      </w:r>
      <w:r>
        <w:t xml:space="preserve">have been aggregated to provide a single statistical value, using a weighted average approach</w:t>
      </w:r>
      <w:r>
        <w:t xml:space="preserve"> </w:t>
      </w:r>
      <w:r>
        <w:t xml:space="preserve">based on assumed equal frequency of outcomes (Table 66). The weighted average value has</w:t>
      </w:r>
      <w:r>
        <w:t xml:space="preserve"> </w:t>
      </w:r>
      <w:r>
        <w:t xml:space="preserve">been annualised using a 40-year period to account for the long latency of the considered health</w:t>
      </w:r>
      <w:r>
        <w:t xml:space="preserve"> </w:t>
      </w:r>
      <w:r>
        <w:t xml:space="preserve">outcomes — i.e. the long time that passes between being exposed and having symptoms — and</w:t>
      </w:r>
      <w:r>
        <w:t xml:space="preserve"> </w:t>
      </w:r>
      <w:r>
        <w:t xml:space="preserve">for the fact that some of the health outcomes affect the offspring of the exposed population.</w:t>
      </w:r>
      <w:r>
        <w:t xml:space="preserve"> </w:t>
      </w:r>
      <w:r>
        <w:t xml:space="preserve">Table 67: Aggregation of values for substances with outcomes</w:t>
      </w:r>
      <w:r>
        <w:t xml:space="preserve"> </w:t>
      </w:r>
      <w:r>
        <w:t xml:space="preserve">Substance</w:t>
      </w:r>
      <w:r>
        <w:t xml:space="preserve"> </w:t>
      </w:r>
      <w:r>
        <w:t xml:space="preserve">properties</w:t>
      </w:r>
      <w:r>
        <w:t xml:space="preserve"> </w:t>
      </w:r>
      <w:r>
        <w:t xml:space="preserve">Valuation metric</w:t>
      </w:r>
      <w:r>
        <w:t xml:space="preserve"> </w:t>
      </w:r>
      <w:r>
        <w:t xml:space="preserve">Monetary value</w:t>
      </w:r>
      <w:r>
        <w:t xml:space="preserve"> </w:t>
      </w:r>
      <w:r>
        <w:t xml:space="preserve">Relative frequency /</w:t>
      </w:r>
      <w:r>
        <w:t xml:space="preserve"> </w:t>
      </w:r>
      <w:r>
        <w:t xml:space="preserve">weight</w:t>
      </w:r>
      <w:r>
        <w:t xml:space="preserve"> </w:t>
      </w:r>
      <w:r>
        <w:t xml:space="preserve">Weighted</w:t>
      </w:r>
      <w:r>
        <w:t xml:space="preserve"> </w:t>
      </w:r>
      <w:r>
        <w:t xml:space="preserve">average</w:t>
      </w:r>
      <w:r>
        <w:t xml:space="preserve"> </w:t>
      </w:r>
      <w:r>
        <w:t xml:space="preserve">value to be applied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disruption</w:t>
      </w:r>
      <w:r>
        <w:t xml:space="preserve"> </w:t>
      </w:r>
      <w:r>
        <w:t xml:space="preserve">Low birth weight</w:t>
      </w:r>
      <w:r>
        <w:t xml:space="preserve"> </w:t>
      </w:r>
      <w:r>
        <w:t xml:space="preserve">€450,000</w:t>
      </w:r>
      <w:r>
        <w:t xml:space="preserve"> </w:t>
      </w:r>
      <w:r>
        <w:t xml:space="preserve">25%</w:t>
      </w:r>
      <w:r>
        <w:t xml:space="preserve"> </w:t>
      </w:r>
      <w:r>
        <w:t xml:space="preserve">€585,500</w:t>
      </w:r>
      <w:r>
        <w:t xml:space="preserve"> </w:t>
      </w:r>
      <w:r>
        <w:t xml:space="preserve">PV = € 25,330 (40y,</w:t>
      </w:r>
      <w:r>
        <w:t xml:space="preserve"> </w:t>
      </w:r>
      <w:r>
        <w:t xml:space="preserve">3%)</w:t>
      </w:r>
      <w:r>
        <w:t xml:space="preserve"> </w:t>
      </w:r>
      <w:r>
        <w:t xml:space="preserve">Intellectual disability</w:t>
      </w:r>
      <w:r>
        <w:t xml:space="preserve"> </w:t>
      </w:r>
      <w:r>
        <w:t xml:space="preserve">€1,690,000</w:t>
      </w:r>
      <w:r>
        <w:t xml:space="preserve"> </w:t>
      </w:r>
      <w:r>
        <w:t xml:space="preserve">25%</w:t>
      </w:r>
      <w:r>
        <w:t xml:space="preserve"> </w:t>
      </w:r>
      <w:r>
        <w:t xml:space="preserve">Childhood obesity</w:t>
      </w:r>
      <w:r>
        <w:t xml:space="preserve"> </w:t>
      </w:r>
      <w:r>
        <w:t xml:space="preserve">€160,000</w:t>
      </w:r>
      <w:r>
        <w:t xml:space="preserve"> </w:t>
      </w:r>
      <w:r>
        <w:t xml:space="preserve">25%</w:t>
      </w:r>
      <w:r>
        <w:t xml:space="preserve"> </w:t>
      </w:r>
      <w:r>
        <w:t xml:space="preserve">Male infertility</w:t>
      </w:r>
      <w:r>
        <w:t xml:space="preserve"> </w:t>
      </w:r>
      <w:r>
        <w:t xml:space="preserve">€42,000</w:t>
      </w:r>
      <w:r>
        <w:t xml:space="preserve"> </w:t>
      </w:r>
      <w:r>
        <w:t xml:space="preserve">25%</w:t>
      </w:r>
    </w:p>
    <w:p>
      <w:pPr>
        <w:pStyle w:val="BodyText"/>
      </w:pPr>
      <w:r>
        <w:t xml:space="preserve">The minimum number of cases/outcomes that would need to be avoided to offset PO1a costs</w:t>
      </w:r>
      <w:r>
        <w:t xml:space="preserve"> </w:t>
      </w:r>
      <w:r>
        <w:t xml:space="preserve">for ED substances is estimated to range between 1,325 – 2,981 in the case of 9% of the</w:t>
      </w:r>
      <w:r>
        <w:t xml:space="preserve"> </w:t>
      </w:r>
      <w:r>
        <w:t xml:space="preserve">substances classified for ED properties being withdrawn from the market because of CLP</w:t>
      </w:r>
      <w:r>
        <w:t xml:space="preserve"> </w:t>
      </w:r>
      <w:r>
        <w:t xml:space="preserve">classification. This equates to 0.6 to 1.4 cases/outcomes to be avoided per substance (Table</w:t>
      </w:r>
      <w:r>
        <w:t xml:space="preserve"> </w:t>
      </w:r>
      <w:r>
        <w:t xml:space="preserve">67).</w:t>
      </w:r>
      <w:r>
        <w:br/>
      </w:r>
      <w:r>
        <w:t xml:space="preserve">Table 68: Illustrative benefits for ED substances</w:t>
      </w:r>
      <w:r>
        <w:t xml:space="preserve"> </w:t>
      </w:r>
      <w:r>
        <w:t xml:space="preserve">PV total cost of PO1a for ED substances - (9% market withdrawal)</w:t>
      </w:r>
      <w:r>
        <w:t xml:space="preserve"> </w:t>
      </w:r>
      <w:r>
        <w:t xml:space="preserve">€33,560,000 - €75,510,000</w:t>
      </w:r>
      <w:r>
        <w:t xml:space="preserve"> </w:t>
      </w:r>
      <w:r>
        <w:t xml:space="preserve">(CI: €27M - €95M)</w:t>
      </w:r>
      <w:r>
        <w:t xml:space="preserve"> </w:t>
      </w:r>
      <w:r>
        <w:t xml:space="preserve">PV total cost of PO1a for ED substances - (25% market withdrawal)</w:t>
      </w:r>
      <w:r>
        <w:t xml:space="preserve"> </w:t>
      </w:r>
      <w:r>
        <w:t xml:space="preserve">€72,000,000 - €162,880,000</w:t>
      </w:r>
      <w:r>
        <w:t xml:space="preserve"> </w:t>
      </w:r>
      <w:r>
        <w:t xml:space="preserve">(CI: €59M - €205M)</w:t>
      </w:r>
      <w:r>
        <w:t xml:space="preserve"> </w:t>
      </w:r>
      <w:r>
        <w:t xml:space="preserve">Statistical case</w:t>
      </w:r>
      <w:r>
        <w:t xml:space="preserve"> </w:t>
      </w:r>
      <w:r>
        <w:t xml:space="preserve">PV (40 years; 3%) of weighted average value of statistical outcome</w:t>
      </w:r>
      <w:r>
        <w:t xml:space="preserve"> </w:t>
      </w:r>
      <w:r>
        <w:t xml:space="preserve">€25,330</w:t>
      </w:r>
      <w:r>
        <w:t xml:space="preserve"> </w:t>
      </w:r>
      <w:r>
        <w:t xml:space="preserve">Total number of cases to be avoided to justify PO1a costs for EDs - (9% market</w:t>
      </w:r>
      <w:r>
        <w:t xml:space="preserve"> </w:t>
      </w:r>
      <w:r>
        <w:t xml:space="preserve">withdrawal)</w:t>
      </w:r>
      <w:r>
        <w:t xml:space="preserve"> </w:t>
      </w:r>
      <w:r>
        <w:t xml:space="preserve">1,325 – 2,981</w:t>
      </w:r>
      <w:r>
        <w:t xml:space="preserve"> </w:t>
      </w:r>
      <w:r>
        <w:t xml:space="preserve">(CI: 1,095 – 3,759)</w:t>
      </w:r>
      <w:r>
        <w:t xml:space="preserve"> </w:t>
      </w:r>
      <w:r>
        <w:t xml:space="preserve">Total number of cases to be avoided to justify PO1a costs for EDs - (25% market</w:t>
      </w:r>
      <w:r>
        <w:t xml:space="preserve"> </w:t>
      </w:r>
      <w:r>
        <w:t xml:space="preserve">withdrawal)</w:t>
      </w:r>
      <w:r>
        <w:t xml:space="preserve"> </w:t>
      </w:r>
      <w:r>
        <w:t xml:space="preserve">2,843 – 6,430</w:t>
      </w:r>
      <w:r>
        <w:t xml:space="preserve"> </w:t>
      </w:r>
      <w:r>
        <w:t xml:space="preserve">(CI: 2,348 – 8,109)</w:t>
      </w:r>
      <w:r>
        <w:t xml:space="preserve"> </w:t>
      </w:r>
      <w:r>
        <w:t xml:space="preserve">Number of cases to be avoided per substance - (9% market withdrawal)</w:t>
      </w:r>
      <w:r>
        <w:t xml:space="preserve"> </w:t>
      </w:r>
      <w:r>
        <w:t xml:space="preserve">0.62 – 1.39</w:t>
      </w:r>
      <w:r>
        <w:t xml:space="preserve"> </w:t>
      </w:r>
      <w:r>
        <w:t xml:space="preserve">Number of cases to be avoided per substance - (25% market withdrawal)</w:t>
      </w:r>
      <w:r>
        <w:t xml:space="preserve"> </w:t>
      </w:r>
      <w:r>
        <w:t xml:space="preserve">4.97 – 11.24</w:t>
      </w:r>
      <w:r>
        <w:t xml:space="preserve"> </w:t>
      </w:r>
      <w:r>
        <w:t xml:space="preserve">Low birth weight</w:t>
      </w:r>
      <w:r>
        <w:t xml:space="preserve"> </w:t>
      </w:r>
      <w:r>
        <w:t xml:space="preserve">PV (40 years; 3%) of weighted average value of statistical outcome</w:t>
      </w:r>
      <w:r>
        <w:t xml:space="preserve"> </w:t>
      </w:r>
      <w:r>
        <w:t xml:space="preserve">€19,468</w:t>
      </w:r>
      <w:r>
        <w:t xml:space="preserve"> </w:t>
      </w:r>
      <w:r>
        <w:t xml:space="preserve">Total number of cases to be avoided to justify PO1a costs for EDs - (9% market</w:t>
      </w:r>
      <w:r>
        <w:t xml:space="preserve"> </w:t>
      </w:r>
      <w:r>
        <w:t xml:space="preserve">withdrawal)</w:t>
      </w:r>
      <w:r>
        <w:t xml:space="preserve"> </w:t>
      </w:r>
      <w:r>
        <w:t xml:space="preserve">1,724 – 3,879</w:t>
      </w:r>
      <w:r>
        <w:t xml:space="preserve"> </w:t>
      </w:r>
      <w:r>
        <w:t xml:space="preserve">(CI: 1,424 – 4,891)</w:t>
      </w:r>
      <w:r>
        <w:t xml:space="preserve"> </w:t>
      </w:r>
      <w:r>
        <w:t xml:space="preserve">Total number of cases to be avoided to justify PO1a costs for EDs - (25% market</w:t>
      </w:r>
      <w:r>
        <w:t xml:space="preserve"> </w:t>
      </w:r>
      <w:r>
        <w:t xml:space="preserve">withdrawal)</w:t>
      </w:r>
      <w:r>
        <w:t xml:space="preserve"> </w:t>
      </w:r>
      <w:r>
        <w:t xml:space="preserve">3,699 – 8,366</w:t>
      </w:r>
      <w:r>
        <w:t xml:space="preserve"> </w:t>
      </w:r>
      <w:r>
        <w:t xml:space="preserve">(CI: 3,055 – 10,551)</w:t>
      </w:r>
      <w:r>
        <w:t xml:space="preserve"> </w:t>
      </w:r>
      <w:r>
        <w:t xml:space="preserve">Number of cases to be avoided per substance - (9% market withdrawal)</w:t>
      </w:r>
      <w:r>
        <w:t xml:space="preserve"> </w:t>
      </w:r>
      <w:r>
        <w:t xml:space="preserve">0.8 – 1.81</w:t>
      </w:r>
      <w:r>
        <w:t xml:space="preserve"> </w:t>
      </w:r>
      <w:r>
        <w:t xml:space="preserve">Number of cases to be avoided per substance - (25% market withdrawal)</w:t>
      </w:r>
      <w:r>
        <w:t xml:space="preserve"> </w:t>
      </w:r>
      <w:r>
        <w:t xml:space="preserve">6.47 – 14.63</w:t>
      </w:r>
      <w:r>
        <w:t xml:space="preserve"> </w:t>
      </w:r>
      <w:r>
        <w:t xml:space="preserve">Intellectual disabilities</w:t>
      </w:r>
      <w:r>
        <w:t xml:space="preserve"> </w:t>
      </w:r>
      <w:r>
        <w:t xml:space="preserve">PV (40 years; 3%) of weighted average value of statistical outcome</w:t>
      </w:r>
      <w:r>
        <w:t xml:space="preserve"> </w:t>
      </w:r>
      <w:r>
        <w:t xml:space="preserve">€73,113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Total number of cases to be avoided to justify PO1a costs for EDs - (9% market</w:t>
      </w:r>
      <w:r>
        <w:t xml:space="preserve"> </w:t>
      </w:r>
      <w:r>
        <w:t xml:space="preserve">withdrawal)</w:t>
      </w:r>
      <w:r>
        <w:t xml:space="preserve"> </w:t>
      </w:r>
      <w:r>
        <w:t xml:space="preserve">459 – 1,033</w:t>
      </w:r>
      <w:r>
        <w:t xml:space="preserve"> </w:t>
      </w:r>
      <w:r>
        <w:t xml:space="preserve">(CI: 379 – 1,302)</w:t>
      </w:r>
      <w:r>
        <w:t xml:space="preserve"> </w:t>
      </w:r>
      <w:r>
        <w:t xml:space="preserve">Total number of cases to be avoided to justify PO1a costs for EDs - (25% market</w:t>
      </w:r>
      <w:r>
        <w:t xml:space="preserve"> </w:t>
      </w:r>
      <w:r>
        <w:t xml:space="preserve">withdrawal)</w:t>
      </w:r>
      <w:r>
        <w:t xml:space="preserve"> </w:t>
      </w:r>
      <w:r>
        <w:t xml:space="preserve">958 – 2,228</w:t>
      </w:r>
      <w:r>
        <w:t xml:space="preserve"> </w:t>
      </w:r>
      <w:r>
        <w:t xml:space="preserve">(CI: 814 – 2,809)</w:t>
      </w:r>
      <w:r>
        <w:t xml:space="preserve"> </w:t>
      </w:r>
      <w:r>
        <w:t xml:space="preserve">Number of cases to be avoided per substance - (9% market withdrawal)</w:t>
      </w:r>
      <w:r>
        <w:t xml:space="preserve"> </w:t>
      </w:r>
      <w:r>
        <w:t xml:space="preserve">0.21 – 0.48</w:t>
      </w:r>
      <w:r>
        <w:t xml:space="preserve"> </w:t>
      </w:r>
      <w:r>
        <w:t xml:space="preserve">Number of cases to be avoided per substance - (25% market withdrawal)</w:t>
      </w:r>
      <w:r>
        <w:t xml:space="preserve"> </w:t>
      </w:r>
      <w:r>
        <w:t xml:space="preserve">1.72 – 3.89</w:t>
      </w:r>
      <w:r>
        <w:t xml:space="preserve"> </w:t>
      </w:r>
      <w:r>
        <w:t xml:space="preserve">Childhood obesity</w:t>
      </w:r>
      <w:r>
        <w:t xml:space="preserve"> </w:t>
      </w:r>
      <w:r>
        <w:t xml:space="preserve">PV (40 years; 3%) of weighted average value of statistical outcome</w:t>
      </w:r>
      <w:r>
        <w:t xml:space="preserve"> </w:t>
      </w:r>
      <w:r>
        <w:t xml:space="preserve">€6,922</w:t>
      </w:r>
      <w:r>
        <w:t xml:space="preserve"> </w:t>
      </w:r>
      <w:r>
        <w:t xml:space="preserve">Total number of cases to be avoided to justify PO1a costs for EDs - (9% market</w:t>
      </w:r>
      <w:r>
        <w:t xml:space="preserve"> </w:t>
      </w:r>
      <w:r>
        <w:t xml:space="preserve">withdrawal)</w:t>
      </w:r>
      <w:r>
        <w:t xml:space="preserve"> </w:t>
      </w:r>
      <w:r>
        <w:t xml:space="preserve">4,849 – 10,909</w:t>
      </w:r>
      <w:r>
        <w:t xml:space="preserve"> </w:t>
      </w:r>
      <w:r>
        <w:t xml:space="preserve">(CI: 4,006 – 13,757)</w:t>
      </w:r>
      <w:r>
        <w:t xml:space="preserve"> </w:t>
      </w:r>
      <w:r>
        <w:t xml:space="preserve">Total number of cases to be avoided to justify PO1a costs for EDs - (25% market</w:t>
      </w:r>
      <w:r>
        <w:t xml:space="preserve"> </w:t>
      </w:r>
      <w:r>
        <w:t xml:space="preserve">withdrawal)</w:t>
      </w:r>
      <w:r>
        <w:t xml:space="preserve"> </w:t>
      </w:r>
      <w:r>
        <w:t xml:space="preserve">10,402 – 23,530</w:t>
      </w:r>
      <w:r>
        <w:t xml:space="preserve"> </w:t>
      </w:r>
      <w:r>
        <w:t xml:space="preserve">(CI: 8,593 – 29,674)</w:t>
      </w:r>
      <w:r>
        <w:t xml:space="preserve"> </w:t>
      </w:r>
      <w:r>
        <w:t xml:space="preserve">Number of cases to be avoided per substance - (9% market withdrawal)</w:t>
      </w:r>
      <w:r>
        <w:t xml:space="preserve"> </w:t>
      </w:r>
      <w:r>
        <w:t xml:space="preserve">2.26 – 5.09</w:t>
      </w:r>
      <w:r>
        <w:t xml:space="preserve"> </w:t>
      </w:r>
      <w:r>
        <w:t xml:space="preserve">Number of cases to be avoided per substance - (25% market withdrawal)</w:t>
      </w:r>
      <w:r>
        <w:t xml:space="preserve"> </w:t>
      </w:r>
      <w:r>
        <w:t xml:space="preserve">18.19 – 41.14</w:t>
      </w:r>
      <w:r>
        <w:t xml:space="preserve"> </w:t>
      </w:r>
      <w:r>
        <w:t xml:space="preserve">Male infertility</w:t>
      </w:r>
      <w:r>
        <w:t xml:space="preserve"> </w:t>
      </w:r>
      <w:r>
        <w:t xml:space="preserve">PV (40 years; 3%) of weighted average value of statistical outcome</w:t>
      </w:r>
      <w:r>
        <w:t xml:space="preserve"> </w:t>
      </w:r>
      <w:r>
        <w:t xml:space="preserve">€1,817</w:t>
      </w:r>
      <w:r>
        <w:t xml:space="preserve"> </w:t>
      </w:r>
      <w:r>
        <w:t xml:space="preserve">Total number of cases to be avoided to justify PO1a costs for EDs - (9% market</w:t>
      </w:r>
      <w:r>
        <w:t xml:space="preserve"> </w:t>
      </w:r>
      <w:r>
        <w:t xml:space="preserve">withdrawal)</w:t>
      </w:r>
      <w:r>
        <w:t xml:space="preserve"> </w:t>
      </w:r>
      <w:r>
        <w:t xml:space="preserve">18,471 – 41,558</w:t>
      </w:r>
      <w:r>
        <w:t xml:space="preserve"> </w:t>
      </w:r>
      <w:r>
        <w:t xml:space="preserve">(CI: 15,259 – 52,407)</w:t>
      </w:r>
      <w:r>
        <w:t xml:space="preserve"> </w:t>
      </w:r>
      <w:r>
        <w:t xml:space="preserve">Total number of cases to be avoided to justify PO1a costs for EDs - (25% market</w:t>
      </w:r>
      <w:r>
        <w:t xml:space="preserve"> </w:t>
      </w:r>
      <w:r>
        <w:t xml:space="preserve">withdrawal)</w:t>
      </w:r>
      <w:r>
        <w:t xml:space="preserve"> </w:t>
      </w:r>
      <w:r>
        <w:t xml:space="preserve">39,628 – 89,640</w:t>
      </w:r>
      <w:r>
        <w:t xml:space="preserve"> </w:t>
      </w:r>
      <w:r>
        <w:t xml:space="preserve">(CI: 32,737 – 113,042)</w:t>
      </w:r>
      <w:r>
        <w:t xml:space="preserve"> </w:t>
      </w:r>
      <w:r>
        <w:t xml:space="preserve">Number of cases to be avoided per substance - (9% market withdrawal)</w:t>
      </w:r>
      <w:r>
        <w:t xml:space="preserve"> </w:t>
      </w:r>
      <w:r>
        <w:t xml:space="preserve">8.61 – 19.37</w:t>
      </w:r>
      <w:r>
        <w:t xml:space="preserve"> </w:t>
      </w:r>
      <w:r>
        <w:t xml:space="preserve">Number of cases to be avoided per substance - (25% market withdrawal)</w:t>
      </w:r>
      <w:r>
        <w:t xml:space="preserve"> </w:t>
      </w:r>
      <w:r>
        <w:t xml:space="preserve">69.28 – 156.71</w:t>
      </w:r>
    </w:p>
    <w:p>
      <w:pPr>
        <w:pStyle w:val="BodyText"/>
      </w:pPr>
      <w:r>
        <w:t xml:space="preserve">Table 67 also provides the total number of cases and the number of cases per substance to be</w:t>
      </w:r>
      <w:r>
        <w:t xml:space="preserve"> </w:t>
      </w:r>
      <w:r>
        <w:t xml:space="preserve">avoided to justify the costs of PO1a considering each one of the four health outcomes that have</w:t>
      </w:r>
      <w:r>
        <w:t xml:space="preserve"> </w:t>
      </w:r>
      <w:r>
        <w:t xml:space="preserve">been associated with exposure to EDs. This allows to compare the total number of cases to be</w:t>
      </w:r>
      <w:r>
        <w:t xml:space="preserve"> </w:t>
      </w:r>
      <w:r>
        <w:t xml:space="preserve">avoided with the prevalence of each one of the health outcomes:</w:t>
      </w:r>
      <w:r>
        <w:t xml:space="preserve"> </w:t>
      </w:r>
      <w:r>
        <w:t xml:space="preserve">Low birth weight: in the EU in 2018, 1 in 15 babies (6.6%) weighed less than 2,500 grammes</w:t>
      </w:r>
      <w:r>
        <w:t xml:space="preserve"> </w:t>
      </w:r>
      <w:r>
        <w:t xml:space="preserve">at birth.176 There were 4,245,710 live births in the EU27,177 meaning that around 280,217</w:t>
      </w:r>
      <w:r>
        <w:t xml:space="preserve"> </w:t>
      </w:r>
      <w:r>
        <w:t xml:space="preserve">babies had a low birth weight according to the WHO definition. The total number of low birth</w:t>
      </w:r>
      <w:r>
        <w:t xml:space="preserve"> </w:t>
      </w:r>
      <w:r>
        <w:t xml:space="preserve">weight cases to be avoided to justify PO1a costs ranges from 1,724 to 8,366 (central estimate),</w:t>
      </w:r>
      <w:r>
        <w:t xml:space="preserve"> </w:t>
      </w:r>
      <w:r>
        <w:t xml:space="preserve">i.e. between 0.6% and 3% of the number of low birth weight cases in 2018.</w:t>
      </w:r>
      <w:r>
        <w:t xml:space="preserve"> </w:t>
      </w:r>
      <w:r>
        <w:t xml:space="preserve">Intellectual disabilities: McKenzie et al. (2016) report the prevalence of intellectual</w:t>
      </w:r>
      <w:r>
        <w:t xml:space="preserve"> </w:t>
      </w:r>
      <w:r>
        <w:t xml:space="preserve">disabilities at one percent.178 Considering an average of 4 million live births per year,179 around</w:t>
      </w:r>
      <w:r>
        <w:t xml:space="preserve"> </w:t>
      </w:r>
      <w:r>
        <w:t xml:space="preserve">40,000 babies with intellectual disabilities are born every year. The total number of intellectual</w:t>
      </w:r>
      <w:r>
        <w:t xml:space="preserve"> </w:t>
      </w:r>
      <w:r>
        <w:t xml:space="preserve">disabilities cases to be avoided to justify PO1a costs ranges from 459 to 2,228 (central</w:t>
      </w:r>
      <w:r>
        <w:t xml:space="preserve"> </w:t>
      </w:r>
      <w:r>
        <w:t xml:space="preserve">estimate), i.e. between 1.1% and 5.6% of the number of low birth weight cases every year.</w:t>
      </w:r>
    </w:p>
    <w:p>
      <w:pPr>
        <w:pStyle w:val="BodyText"/>
      </w:pPr>
      <w:r>
        <w:t xml:space="preserve">176 OECD/European Union (2020): Health at a Glance: Europe 2020: State of Health in the EU Cycle, OECD</w:t>
      </w:r>
      <w:r>
        <w:t xml:space="preserve"> </w:t>
      </w:r>
      <w:r>
        <w:t xml:space="preserve">Publishing, Paris, https://doi.org/10.1787/82129230-en (Figure 3.15)</w:t>
      </w:r>
      <w:r>
        <w:t xml:space="preserve"> </w:t>
      </w:r>
      <w:r>
        <w:t xml:space="preserve">177 Eurostat: All data &gt; Population and social conditions &gt; Demography, population stock and balance &gt;</w:t>
      </w:r>
      <w:r>
        <w:t xml:space="preserve"> </w:t>
      </w:r>
      <w:r>
        <w:t xml:space="preserve">Fertility (national level) &gt; Live births (total) by month (DEMO_FMONTH)</w:t>
      </w:r>
      <w:r>
        <w:t xml:space="preserve"> </w:t>
      </w:r>
      <w:r>
        <w:t xml:space="preserve">178 McKenzie, K., Milton, M., Smith, G. et al. (2016): Systematic Review of the Prevalence and Incidence of</w:t>
      </w:r>
      <w:r>
        <w:t xml:space="preserve"> </w:t>
      </w:r>
      <w:r>
        <w:t xml:space="preserve">Intellectual Disabilities: Current Trends and Issues. Curr Dev Disord Rep 3, 104–115.</w:t>
      </w:r>
      <w:r>
        <w:t xml:space="preserve"> </w:t>
      </w:r>
      <w:r>
        <w:t xml:space="preserve">https://doi.org/10.1007/s40474-016-0085-7</w:t>
      </w:r>
      <w:r>
        <w:t xml:space="preserve"> </w:t>
      </w:r>
      <w:r>
        <w:t xml:space="preserve">179 Eurostat: All data &gt; Population and social conditions &gt; Demography, population stock and balance &gt;</w:t>
      </w:r>
      <w:r>
        <w:t xml:space="preserve"> </w:t>
      </w:r>
      <w:r>
        <w:t xml:space="preserve">Fertility (national level) &gt; Live births (total) by month (DEMO_FMONTH)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Childhood obesity: ‘Nearly one in eight children (12%) aged 7-8 is obese on average in EU</w:t>
      </w:r>
      <w:r>
        <w:t xml:space="preserve"> </w:t>
      </w:r>
      <w:r>
        <w:t xml:space="preserve">countries’.180 There are around 4,500,000 eight years old each and every year,181 meaning that</w:t>
      </w:r>
      <w:r>
        <w:t xml:space="preserve"> </w:t>
      </w:r>
      <w:r>
        <w:t xml:space="preserve">around 540,000 eight years old children are obese in the EU each and every year. The total</w:t>
      </w:r>
      <w:r>
        <w:t xml:space="preserve"> </w:t>
      </w:r>
      <w:r>
        <w:t xml:space="preserve">number of childhood obesity cases to be avoided to justify PO1a costs ranges from 4,849 to</w:t>
      </w:r>
      <w:r>
        <w:t xml:space="preserve"> </w:t>
      </w:r>
      <w:r>
        <w:t xml:space="preserve">23,530 (central estimate), i.e. between 0.9% and 4.4% of the number of childhood obesity cases</w:t>
      </w:r>
      <w:r>
        <w:t xml:space="preserve"> </w:t>
      </w:r>
      <w:r>
        <w:t xml:space="preserve">every year.</w:t>
      </w:r>
      <w:r>
        <w:t xml:space="preserve"> </w:t>
      </w:r>
      <w:r>
        <w:t xml:space="preserve">Male infertility: According to Agarwal et al. (2015),182 the prevalence of male infertility in</w:t>
      </w:r>
      <w:r>
        <w:t xml:space="preserve"> </w:t>
      </w:r>
      <w:r>
        <w:t xml:space="preserve">Europe is around 7.5% of the male population. In 2020, there were 2,089,615 male live births</w:t>
      </w:r>
      <w:r>
        <w:t xml:space="preserve"> </w:t>
      </w:r>
      <w:r>
        <w:t xml:space="preserve">in the EU27.183 This means that, by applying the prevalence rate, there were 156,721 man born</w:t>
      </w:r>
      <w:r>
        <w:t xml:space="preserve"> </w:t>
      </w:r>
      <w:r>
        <w:t xml:space="preserve">with reduced semen quality resulting in infertility. The fertility ratio in the EU27 is 1.50461,</w:t>
      </w:r>
      <w:r>
        <w:t xml:space="preserve"> </w:t>
      </w:r>
      <w:r>
        <w:t xml:space="preserve">so the number of children that will not be born naturally due to reduced semen quality is</w:t>
      </w:r>
      <w:r>
        <w:t xml:space="preserve"> </w:t>
      </w:r>
      <w:r>
        <w:t xml:space="preserve">235,804. The total number of male infertility cases to be avoided to justify PO1a costs ranges</w:t>
      </w:r>
      <w:r>
        <w:t xml:space="preserve"> </w:t>
      </w:r>
      <w:r>
        <w:t xml:space="preserve">from 18,471 to 89,640 (central estimate), i.e. between 7.8% and 38% of the number of male</w:t>
      </w:r>
      <w:r>
        <w:t xml:space="preserve"> </w:t>
      </w:r>
      <w:r>
        <w:t xml:space="preserve">infertility cases every year.</w:t>
      </w:r>
    </w:p>
    <w:p>
      <w:pPr>
        <w:pStyle w:val="BodyText"/>
      </w:pPr>
      <w:r>
        <w:t xml:space="preserve">Predefined population attributable fractions</w:t>
      </w:r>
      <w:r>
        <w:t xml:space="preserve"> </w:t>
      </w:r>
      <w:r>
        <w:t xml:space="preserve">While the evidence between exposure to endocrine disruptors and negative health outcomes is</w:t>
      </w:r>
      <w:r>
        <w:t xml:space="preserve"> </w:t>
      </w:r>
      <w:r>
        <w:t xml:space="preserve">convicing (although varying in strength), the estimate of the population attributable fractions</w:t>
      </w:r>
      <w:r>
        <w:t xml:space="preserve"> </w:t>
      </w:r>
      <w:r>
        <w:t xml:space="preserve">is associated with large uncertainties, due to their multifactorial nature. WHO/UNEP (2012)184</w:t>
      </w:r>
      <w:r>
        <w:t xml:space="preserve"> </w:t>
      </w:r>
      <w:r>
        <w:t xml:space="preserve">attributes 24% of human diseases and disorders globally to environmental factors. Prüss-Ustün,</w:t>
      </w:r>
      <w:r>
        <w:t xml:space="preserve"> </w:t>
      </w:r>
      <w:r>
        <w:t xml:space="preserve">et al. (2016) suggest that around 22% of GBD could be attributed to environmental risks using</w:t>
      </w:r>
      <w:r>
        <w:t xml:space="preserve"> </w:t>
      </w:r>
      <w:r>
        <w:t xml:space="preserve">a range of methods of expert elicitation. How much of this proportion could be attributed to</w:t>
      </w:r>
      <w:r>
        <w:t xml:space="preserve"> </w:t>
      </w:r>
      <w:r>
        <w:t xml:space="preserve">chemicals’ exposure — or EDs’ exposure — is unclear and subject to intense research. As</w:t>
      </w:r>
      <w:r>
        <w:t xml:space="preserve"> </w:t>
      </w:r>
      <w:r>
        <w:t xml:space="preserve">illustrative example, Olsson et al. (2014)185 used three different ‘etiological fractions’: 1%</w:t>
      </w:r>
      <w:r>
        <w:t xml:space="preserve"> </w:t>
      </w:r>
      <w:r>
        <w:t xml:space="preserve">(low), 20% (medium) and 40% (high), recognising that other environmental factors play a role</w:t>
      </w:r>
      <w:r>
        <w:t xml:space="preserve"> </w:t>
      </w:r>
      <w:r>
        <w:t xml:space="preserve">(e.g. dietary factors, body mass index and waist circumference, obesity, smoking, degree of</w:t>
      </w:r>
      <w:r>
        <w:t xml:space="preserve"> </w:t>
      </w:r>
      <w:r>
        <w:t xml:space="preserve">physical activity and alcohol consumption). Rijk et al. (2016) used 1%, 2.5% and 10%,</w:t>
      </w:r>
      <w:r>
        <w:t xml:space="preserve"> </w:t>
      </w:r>
      <w:r>
        <w:t xml:space="preserve">considering that the first two point estimates are within the lower ranges of fractions</w:t>
      </w:r>
      <w:r>
        <w:t xml:space="preserve"> </w:t>
      </w:r>
      <w:r>
        <w:t xml:space="preserve">attributable to environmental factors — and more specifically to chemicals — presented in</w:t>
      </w:r>
      <w:r>
        <w:t xml:space="preserve"> </w:t>
      </w:r>
      <w:r>
        <w:t xml:space="preserve">WHO and OECD papers. The 10% point estimate is used as high end of the range, which is</w:t>
      </w:r>
      <w:r>
        <w:t xml:space="preserve"> </w:t>
      </w:r>
      <w:r>
        <w:t xml:space="preserve">still conservative if compared to the range used by Olsson et al. (2014). Indeed, Rijk et al. </w:t>
      </w:r>
      <w:r>
        <w:t xml:space="preserve"> </w:t>
      </w:r>
      <w:r>
        <w:t xml:space="preserve">(2016) recognise that ‘for some diseases the role of environmental factors in stronger than for</w:t>
      </w:r>
      <w:r>
        <w:t xml:space="preserve"> </w:t>
      </w:r>
      <w:r>
        <w:t xml:space="preserve">other diseases’.</w:t>
      </w:r>
    </w:p>
    <w:p>
      <w:pPr>
        <w:pStyle w:val="BodyText"/>
      </w:pPr>
      <w:r>
        <w:t xml:space="preserve">180 OECD/European Union (2018): Health at a Glance: Europe 2018: State of Health in the EU Cycle, OECD</w:t>
      </w:r>
      <w:r>
        <w:t xml:space="preserve"> </w:t>
      </w:r>
      <w:r>
        <w:t xml:space="preserve">Publishing, Paris/European Union, Brussels, https://doi.org/10.1787/health_glance_eur-2018-en (Figure 4.15).</w:t>
      </w:r>
      <w:r>
        <w:t xml:space="preserve"> </w:t>
      </w:r>
      <w:r>
        <w:t xml:space="preserve">181 Eurostat: All data &gt; Population and social conditions &gt; Demography, population stock and balance &gt;</w:t>
      </w:r>
      <w:r>
        <w:t xml:space="preserve"> </w:t>
      </w:r>
      <w:r>
        <w:t xml:space="preserve">Population (national level)</w:t>
      </w:r>
      <w:r>
        <w:t xml:space="preserve"> </w:t>
      </w:r>
      <w:r>
        <w:t xml:space="preserve">182 Agarwal, A., Mulgund, A., Hamada, A., &amp; Chyatte, M. R. (2015): A unique view on male infertility around</w:t>
      </w:r>
      <w:r>
        <w:t xml:space="preserve"> </w:t>
      </w:r>
      <w:r>
        <w:t xml:space="preserve">the globe. Reproductive biology and endocrinology : RB&amp;E, 13, 37. https://doi.org/10.1186/s12958-015-0032-1</w:t>
      </w:r>
      <w:r>
        <w:br/>
      </w:r>
      <w:r>
        <w:t xml:space="preserve">183 Eurostat: All data &gt; Population and social conditions &gt; Demography, population stock and balance &gt;</w:t>
      </w:r>
      <w:r>
        <w:t xml:space="preserve"> </w:t>
      </w:r>
      <w:r>
        <w:t xml:space="preserve">Fertility (national level) &gt; Live births by mother’s age and newborn’s sex (DEMO_FASEC)</w:t>
      </w:r>
      <w:r>
        <w:t xml:space="preserve"> </w:t>
      </w:r>
      <w:r>
        <w:t xml:space="preserve">184 WHO/UNEP (2012) State of the science of endocrine disrupting chemicals 2012. Edited by Åke Bergman,</w:t>
      </w:r>
      <w:r>
        <w:t xml:space="preserve"> </w:t>
      </w:r>
      <w:r>
        <w:t xml:space="preserve">Jerrold J. Heindel, Susan Jobling, Karen A. Kidd and R. Thomas Zoeller.</w:t>
      </w:r>
      <w:r>
        <w:t xml:space="preserve"> </w:t>
      </w:r>
      <w:r>
        <w:t xml:space="preserve">185 Olsson et al. (2014): The Cost of Inaction. A socioeconomic analysis of costs linked to effects of endocrine</w:t>
      </w:r>
      <w:r>
        <w:t xml:space="preserve"> </w:t>
      </w:r>
      <w:r>
        <w:t xml:space="preserve">disrupting substances on male reproductive health. TemaNord 2014:557. Nordic Council of Ministers.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Under this approach, the costs attributable to exposure to EDs are taken as a proxy of the</w:t>
      </w:r>
      <w:r>
        <w:t xml:space="preserve"> </w:t>
      </w:r>
      <w:r>
        <w:t xml:space="preserve">benefits. Table 69 (overleaf) presents the discounted costs (40-year period; 3%) per year of</w:t>
      </w:r>
      <w:r>
        <w:t xml:space="preserve"> </w:t>
      </w:r>
      <w:r>
        <w:t xml:space="preserve">cases attributable to exposure to EDs for four health outcomes. Using a predefined population</w:t>
      </w:r>
      <w:r>
        <w:t xml:space="preserve"> </w:t>
      </w:r>
      <w:r>
        <w:t xml:space="preserve">attributable fraction of 2.5%, the total costs per year amount to over €300 million. The one-off</w:t>
      </w:r>
      <w:r>
        <w:t xml:space="preserve"> </w:t>
      </w:r>
      <w:r>
        <w:t xml:space="preserve">cost estimates of policy option 1a for EDs range between €33 million and €163 million, or</w:t>
      </w:r>
      <w:r>
        <w:t xml:space="preserve"> </w:t>
      </w:r>
      <w:r>
        <w:t xml:space="preserve">around 10% to 50% of the costs of cases of ill-health attributable to EDs’ exposure per year.</w:t>
      </w:r>
      <w:r>
        <w:t xml:space="preserve"> </w:t>
      </w:r>
      <w:r>
        <w:t xml:space="preserve">How much of these costs will be saved by the CLP revision only is unknown, but the</w:t>
      </w:r>
      <w:r>
        <w:t xml:space="preserve"> </w:t>
      </w:r>
      <w:r>
        <w:t xml:space="preserve">introduction of identification and classification criteria for EDs in CLP is the prerequisite for</w:t>
      </w:r>
      <w:r>
        <w:t xml:space="preserve"> </w:t>
      </w:r>
      <w:r>
        <w:t xml:space="preserve">the delivery of all benefits, including through the extension of the generic approach to risk</w:t>
      </w:r>
      <w:r>
        <w:t xml:space="preserve"> </w:t>
      </w:r>
      <w:r>
        <w:t xml:space="preserve">management (foreseen in the revision of REACH) and, more in general, through the</w:t>
      </w:r>
      <w:r>
        <w:t xml:space="preserve"> </w:t>
      </w:r>
      <w:r>
        <w:t xml:space="preserve">enhancement of risk management measures to minimise exposure. Moreover, considering that</w:t>
      </w:r>
      <w:r>
        <w:t xml:space="preserve"> </w:t>
      </w:r>
      <w:r>
        <w:t xml:space="preserve">over 80 health endpoints have been associated to exposure to EDs and that the estimates</w:t>
      </w:r>
      <w:r>
        <w:t xml:space="preserve"> </w:t>
      </w:r>
      <w:r>
        <w:t xml:space="preserve">presented refer to a subset of only four health outcomes, hence an underestimation, the omitted</w:t>
      </w:r>
      <w:r>
        <w:t xml:space="preserve"> </w:t>
      </w:r>
      <w:r>
        <w:t xml:space="preserve">benefits are very likely to result in the total benefits being much greater than the costs of this</w:t>
      </w:r>
      <w:r>
        <w:t xml:space="preserve"> </w:t>
      </w:r>
      <w:r>
        <w:t xml:space="preserve">policy option. Environmental impacts have also not been accounted for, although an attempt</w:t>
      </w:r>
      <w:r>
        <w:t xml:space="preserve"> </w:t>
      </w:r>
      <w:r>
        <w:t xml:space="preserve">for PBT/vPvB and PMT/vPvM substances is presented in the following subsection.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Table 69: Discounted costs per year of cases attributable to EDs’ exposure for four health outcomes</w:t>
      </w:r>
      <w:r>
        <w:t xml:space="preserve"> </w:t>
      </w:r>
      <w:r>
        <w:t xml:space="preserve">Health</w:t>
      </w:r>
      <w:r>
        <w:t xml:space="preserve"> </w:t>
      </w:r>
      <w:r>
        <w:t xml:space="preserve">outcome</w:t>
      </w:r>
      <w:r>
        <w:t xml:space="preserve"> </w:t>
      </w:r>
      <w:r>
        <w:t xml:space="preserve">Lifetime</w:t>
      </w:r>
      <w:r>
        <w:t xml:space="preserve"> </w:t>
      </w:r>
      <w:r>
        <w:t xml:space="preserve">cost per case</w:t>
      </w:r>
      <w:r>
        <w:t xml:space="preserve"> </w:t>
      </w:r>
      <w:r>
        <w:t xml:space="preserve">Discounting</w:t>
      </w:r>
      <w:r>
        <w:t xml:space="preserve"> </w:t>
      </w:r>
      <w:r>
        <w:t xml:space="preserve">period</w:t>
      </w:r>
      <w:r>
        <w:t xml:space="preserve"> </w:t>
      </w:r>
      <w:r>
        <w:t xml:space="preserve">Discount</w:t>
      </w:r>
      <w:r>
        <w:t xml:space="preserve"> </w:t>
      </w:r>
      <w:r>
        <w:t xml:space="preserve">rate</w:t>
      </w:r>
      <w:r>
        <w:t xml:space="preserve"> </w:t>
      </w:r>
      <w:r>
        <w:t xml:space="preserve">Discounted</w:t>
      </w:r>
      <w:r>
        <w:t xml:space="preserve"> </w:t>
      </w:r>
      <w:r>
        <w:t xml:space="preserve">lifetime cost</w:t>
      </w:r>
      <w:r>
        <w:t xml:space="preserve"> </w:t>
      </w:r>
      <w:r>
        <w:t xml:space="preserve">per case</w:t>
      </w:r>
      <w:r>
        <w:t xml:space="preserve"> </w:t>
      </w:r>
      <w:r>
        <w:t xml:space="preserve">Prevalence</w:t>
      </w:r>
      <w:r>
        <w:t xml:space="preserve"> </w:t>
      </w:r>
      <w:r>
        <w:t xml:space="preserve">Population</w:t>
      </w:r>
      <w:r>
        <w:t xml:space="preserve"> </w:t>
      </w:r>
      <w:r>
        <w:t xml:space="preserve">Cases</w:t>
      </w:r>
      <w:r>
        <w:t xml:space="preserve"> </w:t>
      </w:r>
      <w:r>
        <w:t xml:space="preserve">PAF</w:t>
      </w:r>
      <w:r>
        <w:t xml:space="preserve"> </w:t>
      </w:r>
      <w:r>
        <w:t xml:space="preserve">Cases attributable</w:t>
      </w:r>
      <w:r>
        <w:t xml:space="preserve"> </w:t>
      </w:r>
      <w:r>
        <w:t xml:space="preserve">to EDs per year</w:t>
      </w:r>
      <w:r>
        <w:t xml:space="preserve"> </w:t>
      </w:r>
      <w:r>
        <w:t xml:space="preserve">Cost per year</w:t>
      </w:r>
      <w:r>
        <w:t xml:space="preserve"> </w:t>
      </w:r>
      <w:r>
        <w:t xml:space="preserve">Low</w:t>
      </w:r>
      <w:r>
        <w:t xml:space="preserve"> </w:t>
      </w:r>
      <w:r>
        <w:t xml:space="preserve">birth</w:t>
      </w:r>
      <w:r>
        <w:t xml:space="preserve"> </w:t>
      </w:r>
      <w:r>
        <w:t xml:space="preserve">weight</w:t>
      </w:r>
      <w:r>
        <w:t xml:space="preserve"> </w:t>
      </w:r>
      <w:r>
        <w:t xml:space="preserve">€450,000</w:t>
      </w:r>
      <w:r>
        <w:br/>
      </w:r>
      <w:r>
        <w:t xml:space="preserve">40</w:t>
      </w:r>
      <w:r>
        <w:t xml:space="preserve"> </w:t>
      </w:r>
      <w:r>
        <w:t xml:space="preserve">3</w:t>
      </w:r>
      <w:r>
        <w:t xml:space="preserve"> </w:t>
      </w:r>
      <w:r>
        <w:t xml:space="preserve">€</w:t>
      </w:r>
      <w:r>
        <w:br/>
      </w:r>
      <w:r>
        <w:t xml:space="preserve">19,468.07</w:t>
      </w:r>
      <w:r>
        <w:br/>
      </w:r>
      <w:r>
        <w:t xml:space="preserve">6.60%</w:t>
      </w:r>
      <w:r>
        <w:t xml:space="preserve"> </w:t>
      </w:r>
      <w:r>
        <w:t xml:space="preserve">4,245,710</w:t>
      </w:r>
    </w:p>
    <w:p>
      <w:pPr>
        <w:pStyle w:val="BodyText"/>
      </w:pPr>
      <w:r>
        <w:t xml:space="preserve">280,217</w:t>
      </w:r>
      <w:r>
        <w:br/>
      </w:r>
      <w:r>
        <w:t xml:space="preserve">2.5%</w:t>
      </w:r>
      <w:r>
        <w:t xml:space="preserve"> </w:t>
      </w:r>
      <w:r>
        <w:t xml:space="preserve">7,005</w:t>
      </w:r>
      <w:r>
        <w:br/>
      </w:r>
      <w:r>
        <w:t xml:space="preserve">€ 136,382,036</w:t>
      </w:r>
      <w:r>
        <w:br/>
      </w:r>
      <w:r>
        <w:t xml:space="preserve">Intellectual</w:t>
      </w:r>
      <w:r>
        <w:t xml:space="preserve"> </w:t>
      </w:r>
      <w:r>
        <w:t xml:space="preserve">disabilities</w:t>
      </w:r>
      <w:r>
        <w:t xml:space="preserve"> </w:t>
      </w:r>
      <w:r>
        <w:t xml:space="preserve">€1,690,000</w:t>
      </w:r>
      <w:r>
        <w:br/>
      </w:r>
      <w:r>
        <w:t xml:space="preserve">40</w:t>
      </w:r>
      <w:r>
        <w:t xml:space="preserve"> </w:t>
      </w:r>
      <w:r>
        <w:t xml:space="preserve">3</w:t>
      </w:r>
      <w:r>
        <w:t xml:space="preserve"> </w:t>
      </w:r>
      <w:r>
        <w:t xml:space="preserve">€</w:t>
      </w:r>
      <w:r>
        <w:br/>
      </w:r>
      <w:r>
        <w:t xml:space="preserve">73,113.42</w:t>
      </w:r>
      <w:r>
        <w:br/>
      </w:r>
      <w:r>
        <w:t xml:space="preserve">1%</w:t>
      </w:r>
      <w:r>
        <w:t xml:space="preserve"> </w:t>
      </w:r>
      <w:r>
        <w:t xml:space="preserve">4,000,000</w:t>
      </w:r>
    </w:p>
    <w:p>
      <w:pPr>
        <w:pStyle w:val="BodyText"/>
      </w:pPr>
      <w:r>
        <w:t xml:space="preserve">40,000</w:t>
      </w:r>
      <w:r>
        <w:br/>
      </w:r>
      <w:r>
        <w:t xml:space="preserve">2.5%</w:t>
      </w:r>
      <w:r>
        <w:t xml:space="preserve"> </w:t>
      </w:r>
      <w:r>
        <w:t xml:space="preserve">1,000</w:t>
      </w:r>
      <w:r>
        <w:br/>
      </w:r>
      <w:r>
        <w:t xml:space="preserve">€ 73,113,419</w:t>
      </w:r>
      <w:r>
        <w:br/>
      </w:r>
      <w:r>
        <w:t xml:space="preserve">Childhood</w:t>
      </w:r>
      <w:r>
        <w:t xml:space="preserve"> </w:t>
      </w:r>
      <w:r>
        <w:t xml:space="preserve">obesity</w:t>
      </w:r>
      <w:r>
        <w:t xml:space="preserve"> </w:t>
      </w:r>
      <w:r>
        <w:t xml:space="preserve">€160,000</w:t>
      </w:r>
      <w:r>
        <w:br/>
      </w:r>
      <w:r>
        <w:t xml:space="preserve">40</w:t>
      </w:r>
      <w:r>
        <w:t xml:space="preserve"> </w:t>
      </w:r>
      <w:r>
        <w:t xml:space="preserve">3</w:t>
      </w:r>
      <w:r>
        <w:t xml:space="preserve"> </w:t>
      </w:r>
      <w:r>
        <w:t xml:space="preserve">€</w:t>
      </w:r>
      <w:r>
        <w:br/>
      </w:r>
      <w:r>
        <w:t xml:space="preserve">6,921.98</w:t>
      </w:r>
      <w:r>
        <w:br/>
      </w:r>
      <w:r>
        <w:t xml:space="preserve">12%</w:t>
      </w:r>
      <w:r>
        <w:t xml:space="preserve"> </w:t>
      </w:r>
      <w:r>
        <w:t xml:space="preserve">4,500,000</w:t>
      </w:r>
    </w:p>
    <w:p>
      <w:pPr>
        <w:pStyle w:val="BodyText"/>
      </w:pPr>
      <w:r>
        <w:t xml:space="preserve">540,000</w:t>
      </w:r>
      <w:r>
        <w:br/>
      </w:r>
      <w:r>
        <w:t xml:space="preserve">2.5%</w:t>
      </w:r>
      <w:r>
        <w:t xml:space="preserve"> </w:t>
      </w:r>
      <w:r>
        <w:t xml:space="preserve">13,500</w:t>
      </w:r>
      <w:r>
        <w:br/>
      </w:r>
      <w:r>
        <w:t xml:space="preserve">€ 93,446,736</w:t>
      </w:r>
      <w:r>
        <w:br/>
      </w:r>
      <w:r>
        <w:t xml:space="preserve">Male</w:t>
      </w:r>
      <w:r>
        <w:t xml:space="preserve"> </w:t>
      </w:r>
      <w:r>
        <w:t xml:space="preserve">infertility</w:t>
      </w:r>
      <w:r>
        <w:t xml:space="preserve"> </w:t>
      </w:r>
      <w:r>
        <w:t xml:space="preserve">€42,000</w:t>
      </w:r>
      <w:r>
        <w:br/>
      </w:r>
      <w:r>
        <w:t xml:space="preserve">40</w:t>
      </w:r>
      <w:r>
        <w:t xml:space="preserve"> </w:t>
      </w:r>
      <w:r>
        <w:t xml:space="preserve">3</w:t>
      </w:r>
      <w:r>
        <w:t xml:space="preserve"> </w:t>
      </w:r>
      <w:r>
        <w:t xml:space="preserve">€</w:t>
      </w:r>
      <w:r>
        <w:br/>
      </w:r>
      <w:r>
        <w:t xml:space="preserve">1,817.02</w:t>
      </w:r>
      <w:r>
        <w:br/>
      </w:r>
      <w:r>
        <w:t xml:space="preserve">7.50%</w:t>
      </w:r>
      <w:r>
        <w:t xml:space="preserve"> </w:t>
      </w:r>
      <w:r>
        <w:t xml:space="preserve">2,089,615</w:t>
      </w:r>
    </w:p>
    <w:p>
      <w:pPr>
        <w:pStyle w:val="BodyText"/>
      </w:pPr>
      <w:r>
        <w:t xml:space="preserve">235,804</w:t>
      </w:r>
      <w:r>
        <w:br/>
      </w:r>
      <w:r>
        <w:t xml:space="preserve">2.5%</w:t>
      </w:r>
      <w:r>
        <w:t xml:space="preserve"> </w:t>
      </w:r>
      <w:r>
        <w:t xml:space="preserve">5,895</w:t>
      </w:r>
      <w:r>
        <w:br/>
      </w:r>
      <w:r>
        <w:t xml:space="preserve">€ 10,711,522</w:t>
      </w:r>
      <w:r>
        <w:br/>
      </w:r>
      <w:r>
        <w:t xml:space="preserve">Total</w:t>
      </w:r>
      <w:r>
        <w:t xml:space="preserve"> </w:t>
      </w:r>
      <w:r>
        <w:t xml:space="preserve">€ 313,653,713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Illustrative benefit calculations - PBT/vPvB and PMT/vPvM substances</w:t>
      </w:r>
      <w:r>
        <w:t xml:space="preserve"> </w:t>
      </w:r>
      <w:r>
        <w:t xml:space="preserve">A core methodological difficulty for estimating (and valuing) the benefits of action to curb or</w:t>
      </w:r>
      <w:r>
        <w:t xml:space="preserve"> </w:t>
      </w:r>
      <w:r>
        <w:t xml:space="preserve">cease emissions of PBT/vPvB (or otherwise address risks) is that ‘safe’ concentrations of</w:t>
      </w:r>
      <w:r>
        <w:t xml:space="preserve"> </w:t>
      </w:r>
      <w:r>
        <w:t xml:space="preserve">PBT/vPvB and PMT/vPvM substances in the environment cannot be established with</w:t>
      </w:r>
      <w:r>
        <w:t xml:space="preserve"> </w:t>
      </w:r>
      <w:r>
        <w:t xml:space="preserve">reliability. Target compartments and species at risk cannot be identified with sufficient levels</w:t>
      </w:r>
      <w:r>
        <w:t xml:space="preserve"> </w:t>
      </w:r>
      <w:r>
        <w:t xml:space="preserve">of accuracy and, owing to the long-term presence of these substances in the environment,</w:t>
      </w:r>
      <w:r>
        <w:t xml:space="preserve"> </w:t>
      </w:r>
      <w:r>
        <w:t xml:space="preserve">secondary poisoning and multi-generational effects in wildlife cannot be readily predicted.</w:t>
      </w:r>
      <w:r>
        <w:br/>
      </w:r>
      <w:r>
        <w:t xml:space="preserve">The inability to estimate the monetary benefits of actions to curb emissions from PBT/vPvB is</w:t>
      </w:r>
      <w:r>
        <w:t xml:space="preserve"> </w:t>
      </w:r>
      <w:r>
        <w:t xml:space="preserve">evidenced by the lack of benefit estimations in the EU REACH restriction dossiers for</w:t>
      </w:r>
      <w:r>
        <w:t xml:space="preserve"> </w:t>
      </w:r>
      <w:r>
        <w:t xml:space="preserve">PBT/vPvB regulated thus far under EU REACH. Few stated preference-based studies have</w:t>
      </w:r>
      <w:r>
        <w:t xml:space="preserve"> </w:t>
      </w:r>
      <w:r>
        <w:t xml:space="preserve">been undertaken with the aim of developing monetary estimates of people’s WTP to adopt a</w:t>
      </w:r>
      <w:r>
        <w:t xml:space="preserve"> </w:t>
      </w:r>
      <w:r>
        <w:t xml:space="preserve">precautionary approach with respect to PBT and vPvB. As noted by ECHA (2014), the lack of</w:t>
      </w:r>
      <w:r>
        <w:t xml:space="preserve"> </w:t>
      </w:r>
      <w:r>
        <w:t xml:space="preserve">information on changes in impacts makes it difficult to develop credible change scenarios</w:t>
      </w:r>
      <w:r>
        <w:t xml:space="preserve"> </w:t>
      </w:r>
      <w:r>
        <w:t xml:space="preserve">which could leave survey respondents unclear as to what they are being asked to value.</w:t>
      </w:r>
      <w:r>
        <w:t xml:space="preserve"> </w:t>
      </w:r>
      <w:r>
        <w:t xml:space="preserve">The most relevant ‘off the shelf’ estimates are those associated with restrictions brought into</w:t>
      </w:r>
      <w:r>
        <w:t xml:space="preserve"> </w:t>
      </w:r>
      <w:r>
        <w:t xml:space="preserve">force under EU REACH, expressed as costs per kg/tonne of emissions reduced/to be reduced.</w:t>
      </w:r>
      <w:r>
        <w:t xml:space="preserve"> </w:t>
      </w:r>
      <w:r>
        <w:t xml:space="preserve">These are reported in ECHA’s (2021) report on the “Costs and benefits of REACH restrictions</w:t>
      </w:r>
      <w:r>
        <w:t xml:space="preserve"> </w:t>
      </w:r>
      <w:r>
        <w:t xml:space="preserve">proposed between 2016 to 2020”186 but are often simply costs of switching to alternatives.</w:t>
      </w:r>
      <w:r>
        <w:t xml:space="preserve"> </w:t>
      </w:r>
      <w:r>
        <w:t xml:space="preserve">Rarely, restriction dossiers have costs of clean-up in different countries (e.g. Australia with</w:t>
      </w:r>
      <w:r>
        <w:t xml:space="preserve"> </w:t>
      </w:r>
      <w:r>
        <w:t xml:space="preserve">PFAS). None of the available information, then, explicitly values the impacts.</w:t>
      </w:r>
      <w:r>
        <w:t xml:space="preserve"> </w:t>
      </w:r>
      <w:r>
        <w:t xml:space="preserve">For these reasons, a break-even approach is used to provide an illustration of the quantity of</w:t>
      </w:r>
      <w:r>
        <w:t xml:space="preserve"> </w:t>
      </w:r>
      <w:r>
        <w:t xml:space="preserve">PBT/vPvB and PMT/vPvM substances substituted/withdrawn from the market that policy</w:t>
      </w:r>
      <w:r>
        <w:t xml:space="preserve"> </w:t>
      </w:r>
      <w:r>
        <w:t xml:space="preserve">option 1 would have to contribute to justifying its costs.</w:t>
      </w:r>
      <w:r>
        <w:t xml:space="preserve"> </w:t>
      </w:r>
      <w:r>
        <w:t xml:space="preserve">The illustrative benefits of the inclusion of PBT/vPvB and PMT/vPvM hazard classes in CLP</w:t>
      </w:r>
      <w:r>
        <w:t xml:space="preserve"> </w:t>
      </w:r>
      <w:r>
        <w:t xml:space="preserve">were calculated assuming that the quantity of PBT/vPvB or PMT/vPvM substances substituted</w:t>
      </w:r>
      <w:r>
        <w:t xml:space="preserve"> </w:t>
      </w:r>
      <w:r>
        <w:t xml:space="preserve">or withdrawn from the market due to CLP classification is equal to 345 tonnes on average per</w:t>
      </w:r>
      <w:r>
        <w:t xml:space="preserve"> </w:t>
      </w:r>
      <w:r>
        <w:t xml:space="preserve">substance. This weighted average was calculated by multiplying the tonnage band distribution</w:t>
      </w:r>
      <w:r>
        <w:t xml:space="preserve"> </w:t>
      </w:r>
      <w:r>
        <w:t xml:space="preserve">shares of basket 1 and basket 2 PBT/vPvB and PMT/vPvM substances multiplied for the lower</w:t>
      </w:r>
      <w:r>
        <w:t xml:space="preserve"> </w:t>
      </w:r>
      <w:r>
        <w:t xml:space="preserve">end of the tonnage bands:</w:t>
      </w:r>
    </w:p>
    <w:p>
      <w:pPr>
        <w:pStyle w:val="BodyText"/>
      </w:pPr>
      <w:r>
        <w:t xml:space="preserve">31% of the substances that could be classified for PBT/vPvB or PMT/vPvM properties</w:t>
      </w:r>
      <w:r>
        <w:t xml:space="preserve"> </w:t>
      </w:r>
      <w:r>
        <w:t xml:space="preserve">are currently registered in quantities above 1,000 tonnes per year. This share has been</w:t>
      </w:r>
      <w:r>
        <w:t xml:space="preserve"> </w:t>
      </w:r>
      <w:r>
        <w:t xml:space="preserve">multiplied for 1,000 tonnes;</w:t>
      </w:r>
    </w:p>
    <w:p>
      <w:pPr>
        <w:pStyle w:val="BodyText"/>
      </w:pPr>
      <w:r>
        <w:t xml:space="preserve">36% of the substances are registered in quantities above 100 tonnes per year. This share</w:t>
      </w:r>
      <w:r>
        <w:t xml:space="preserve"> </w:t>
      </w:r>
      <w:r>
        <w:t xml:space="preserve">has been multiplied for 100 tonnes;</w:t>
      </w:r>
    </w:p>
    <w:p>
      <w:pPr>
        <w:pStyle w:val="BodyText"/>
      </w:pPr>
      <w:r>
        <w:t xml:space="preserve">21% of the substances are registered in quantities above 10 tonnes per year. This share</w:t>
      </w:r>
      <w:r>
        <w:t xml:space="preserve"> </w:t>
      </w:r>
      <w:r>
        <w:t xml:space="preserve">has been multiplied for 10 tonnes;</w:t>
      </w:r>
      <w:r>
        <w:t xml:space="preserve"> </w:t>
      </w:r>
      <w:r>
        <w:t xml:space="preserve">12% of the substances are registered in quantities above 1 tonne per year. This share has been</w:t>
      </w:r>
      <w:r>
        <w:t xml:space="preserve"> </w:t>
      </w:r>
      <w:r>
        <w:t xml:space="preserve">multiplied for 1 tonne.</w:t>
      </w:r>
      <w:r>
        <w:t xml:space="preserve"> </w:t>
      </w:r>
      <w:r>
        <w:t xml:space="preserve">The estimate of 345 tonnes per year as the statistical average quantity of each PBT/vPvB and</w:t>
      </w:r>
      <w:r>
        <w:t xml:space="preserve"> </w:t>
      </w:r>
      <w:r>
        <w:t xml:space="preserve">PMT/vPvM substance on the market is very conservative, as it assumes that all substances are</w:t>
      </w:r>
    </w:p>
    <w:p>
      <w:pPr>
        <w:pStyle w:val="BodyText"/>
      </w:pPr>
      <w:r>
        <w:t xml:space="preserve">186 ECHA Costs and benefits of REACH restrictions proposed between 2016-2020 February 2021, available at:</w:t>
      </w:r>
      <w:r>
        <w:t xml:space="preserve"> </w:t>
      </w:r>
      <w:r>
        <w:t xml:space="preserve">https://echa.europa.eu/documents/10162/13630/costs_benefits_reach_restrictions_2020_en.pdf/a96dafc1-42bc-</w:t>
      </w:r>
      <w:r>
        <w:t xml:space="preserve"> </w:t>
      </w:r>
      <w:r>
        <w:t xml:space="preserve">cb8c-8960-60af21808e2e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manufactured or imported at the lowest end of the REACH registration tonnage band and does</w:t>
      </w:r>
      <w:r>
        <w:t xml:space="preserve"> </w:t>
      </w:r>
      <w:r>
        <w:t xml:space="preserve">not account for multiple registrants per substance. The present value of the total cost of</w:t>
      </w:r>
      <w:r>
        <w:t xml:space="preserve"> </w:t>
      </w:r>
      <w:r>
        <w:t xml:space="preserve">including hazard classes for PBT/vPvB and PMT/vPvM properties ranges from €5M to €27M</w:t>
      </w:r>
      <w:r>
        <w:t xml:space="preserve"> </w:t>
      </w:r>
      <w:r>
        <w:t xml:space="preserve">(depending on the assumption on the number of mixtures containing one substance), which</w:t>
      </w:r>
      <w:r>
        <w:t xml:space="preserve"> </w:t>
      </w:r>
      <w:r>
        <w:t xml:space="preserve">equate to €0.2-0.74 per kg of PBT/vPvB or PMT/vPvM substances. If the benefits of</w:t>
      </w:r>
      <w:r>
        <w:t xml:space="preserve"> </w:t>
      </w:r>
      <w:r>
        <w:t xml:space="preserve">withdrawing PBT/vPvB and PMT/vPvM substances are €0.7 or above, then PO1 would be</w:t>
      </w:r>
      <w:r>
        <w:t xml:space="preserve"> </w:t>
      </w:r>
      <w:r>
        <w:t xml:space="preserve">justified.</w:t>
      </w:r>
      <w:r>
        <w:t xml:space="preserve"> </w:t>
      </w:r>
      <w:r>
        <w:t xml:space="preserve">Table 70: Illustrative benefits for PBT/vPvB and PMT/vPvM substances (per year)</w:t>
      </w:r>
      <w:r>
        <w:t xml:space="preserve"> </w:t>
      </w:r>
      <w:r>
        <w:t xml:space="preserve">Statistical average quantity of each PBT/vPvB and PMT/vPvM</w:t>
      </w:r>
      <w:r>
        <w:t xml:space="preserve"> </w:t>
      </w:r>
      <w:r>
        <w:t xml:space="preserve">substance on the market</w:t>
      </w:r>
      <w:r>
        <w:t xml:space="preserve"> </w:t>
      </w:r>
      <w:r>
        <w:t xml:space="preserve">345,000 kg</w:t>
      </w:r>
      <w:r>
        <w:t xml:space="preserve"> </w:t>
      </w:r>
      <w:r>
        <w:t xml:space="preserve">Number of substances withdrawn from the market due to CLP</w:t>
      </w:r>
      <w:r>
        <w:t xml:space="preserve"> </w:t>
      </w:r>
      <w:r>
        <w:t xml:space="preserve">classification – (9% of all classified PBT/vPvB and PMT/vPvM</w:t>
      </w:r>
      <w:r>
        <w:t xml:space="preserve"> </w:t>
      </w:r>
      <w:r>
        <w:t xml:space="preserve">substances)</w:t>
      </w:r>
      <w:r>
        <w:t xml:space="preserve"> </w:t>
      </w:r>
      <w:r>
        <w:t xml:space="preserve">56</w:t>
      </w:r>
      <w:r>
        <w:t xml:space="preserve"> </w:t>
      </w:r>
      <w:r>
        <w:t xml:space="preserve">Number of substances withdrawn from the market due to CLP</w:t>
      </w:r>
      <w:r>
        <w:t xml:space="preserve"> </w:t>
      </w:r>
      <w:r>
        <w:t xml:space="preserve">classification – (25% of all classified PBT/vPvB and PMT/vPvM</w:t>
      </w:r>
      <w:r>
        <w:t xml:space="preserve"> </w:t>
      </w:r>
      <w:r>
        <w:t xml:space="preserve">substances)</w:t>
      </w:r>
      <w:r>
        <w:t xml:space="preserve"> </w:t>
      </w:r>
      <w:r>
        <w:t xml:space="preserve">156</w:t>
      </w:r>
      <w:r>
        <w:t xml:space="preserve"> </w:t>
      </w:r>
      <w:r>
        <w:t xml:space="preserve">Total kg PBT/vPvB and PMT/vPvM withdrawn – 9%</w:t>
      </w:r>
      <w:r>
        <w:t xml:space="preserve"> </w:t>
      </w:r>
      <w:r>
        <w:t xml:space="preserve">19,468,350 kg</w:t>
      </w:r>
      <w:r>
        <w:t xml:space="preserve"> </w:t>
      </w:r>
      <w:r>
        <w:t xml:space="preserve">Total kg PBT/vPvB and PMT/vPvM withdrawn – 25%</w:t>
      </w:r>
      <w:r>
        <w:t xml:space="preserve"> </w:t>
      </w:r>
      <w:r>
        <w:t xml:space="preserve">54,078,750 kg</w:t>
      </w:r>
      <w:r>
        <w:t xml:space="preserve"> </w:t>
      </w:r>
      <w:r>
        <w:t xml:space="preserve">PV total cost of PO1a for PBT/vPvB and PMT/vPvM substances</w:t>
      </w:r>
      <w:r>
        <w:t xml:space="preserve"> </w:t>
      </w:r>
      <w:r>
        <w:t xml:space="preserve">€5,870,000 - €12,200,000 (based on</w:t>
      </w:r>
      <w:r>
        <w:t xml:space="preserve"> </w:t>
      </w:r>
      <w:r>
        <w:t xml:space="preserve">11 mixtures per substance)</w:t>
      </w:r>
      <w:r>
        <w:t xml:space="preserve"> </w:t>
      </w:r>
      <w:r>
        <w:t xml:space="preserve">€13,140,000 - €27,520,000 (based</w:t>
      </w:r>
      <w:r>
        <w:t xml:space="preserve"> </w:t>
      </w:r>
      <w:r>
        <w:t xml:space="preserve">on 25 mixtures per substance)</w:t>
      </w:r>
      <w:r>
        <w:t xml:space="preserve"> </w:t>
      </w:r>
      <w:r>
        <w:t xml:space="preserve">Benefits per kg PBT/vPvB or PMT/vPvM to offset PO1a costs</w:t>
      </w:r>
      <w:r>
        <w:t xml:space="preserve"> </w:t>
      </w:r>
      <w:r>
        <w:t xml:space="preserve">Minimum €0.2 – 0.7</w:t>
      </w:r>
    </w:p>
    <w:p>
      <w:pPr>
        <w:pStyle w:val="BodyText"/>
      </w:pPr>
      <w:r>
        <w:t xml:space="preserve">As noted by SEAC, “data on P, B and T properties does not often allow for quantitative</w:t>
      </w:r>
      <w:r>
        <w:t xml:space="preserve"> </w:t>
      </w:r>
      <w:r>
        <w:t xml:space="preserve">assessment of the human health or environmental impacts. The valuation of benefits via the</w:t>
      </w:r>
      <w:r>
        <w:t xml:space="preserve"> </w:t>
      </w:r>
      <w:r>
        <w:t xml:space="preserve">assessment of the impacts on the environment and human health – the standard ‘impact</w:t>
      </w:r>
      <w:r>
        <w:t xml:space="preserve"> </w:t>
      </w:r>
      <w:r>
        <w:t xml:space="preserve">pathways’ approach to benefits assessment for chemicals – is therefore not possible, and other</w:t>
      </w:r>
      <w:r>
        <w:t xml:space="preserve"> </w:t>
      </w:r>
      <w:r>
        <w:t xml:space="preserve">options for benefits assessment need to be considered”.187 Accordingly, SEAC has pursued the</w:t>
      </w:r>
      <w:r>
        <w:t xml:space="preserve"> </w:t>
      </w:r>
      <w:r>
        <w:t xml:space="preserve">approach of establishing a benchmark for the proportionality/disproportionality of action to</w:t>
      </w:r>
      <w:r>
        <w:t xml:space="preserve"> </w:t>
      </w:r>
      <w:r>
        <w:t xml:space="preserve">reduce emissions of PBTs considering the cost of past action. Oosterhuis and Brouwer (2015)</w:t>
      </w:r>
      <w:r>
        <w:t xml:space="preserve"> </w:t>
      </w:r>
      <w:r>
        <w:t xml:space="preserve">gathered information on the costs of PBT emission reduction or reductions in the use or</w:t>
      </w:r>
      <w:r>
        <w:t xml:space="preserve"> </w:t>
      </w:r>
      <w:r>
        <w:t xml:space="preserve">exposure to PBT/vPvB substances. In addition, they applied a ‘revealed preferences’ approach</w:t>
      </w:r>
      <w:r>
        <w:t xml:space="preserve"> </w:t>
      </w:r>
      <w:r>
        <w:t xml:space="preserve">to value the public willingness to pay for such reduction. The authors found that the maximum</w:t>
      </w:r>
      <w:r>
        <w:t xml:space="preserve"> </w:t>
      </w:r>
      <w:r>
        <w:t xml:space="preserve">willingness to pay is difficult to determine, but the ‘largest minimum’ willingness to pay</w:t>
      </w:r>
      <w:r>
        <w:t xml:space="preserve"> </w:t>
      </w:r>
      <w:r>
        <w:t xml:space="preserve">implied by spent or budgeted investment on PFOS removal is at least €35,000 per kg.</w:t>
      </w:r>
      <w:r>
        <w:t xml:space="preserve"> </w:t>
      </w:r>
      <w:r>
        <w:t xml:space="preserve">Considering potential further investment, this minimum value might increase to between</w:t>
      </w:r>
      <w:r>
        <w:t xml:space="preserve"> </w:t>
      </w:r>
      <w:r>
        <w:t xml:space="preserve">€200,000 and €300,000 per kg. The study identifies values ranging from €1,000 to €50,000 per</w:t>
      </w:r>
      <w:r>
        <w:t xml:space="preserve"> </w:t>
      </w:r>
      <w:r>
        <w:t xml:space="preserve">kg PBT substituted, remediated or emission reduced. The proportionality of these costs</w:t>
      </w:r>
      <w:r>
        <w:t xml:space="preserve"> </w:t>
      </w:r>
      <w:r>
        <w:t xml:space="preserve">depends on the damage potential of the PBT/vPvB substances, which in turn depends on their</w:t>
      </w:r>
      <w:r>
        <w:t xml:space="preserve"> </w:t>
      </w:r>
      <w:r>
        <w:t xml:space="preserve">environmental fate/distribution, characteristics, size and dynamics of the stocks and flows in</w:t>
      </w:r>
      <w:r>
        <w:t xml:space="preserve"> </w:t>
      </w:r>
      <w:r>
        <w:t xml:space="preserve">the environment, the exposure ad hazard potential. Oosterhuis and Brouwer (2015) stress that</w:t>
      </w:r>
      <w:r>
        <w:t xml:space="preserve"> </w:t>
      </w:r>
      <w:r>
        <w:t xml:space="preserve">cost estimates for clean-up / remediation are much higher than cost estimates for substitution,</w:t>
      </w:r>
      <w:r>
        <w:t xml:space="preserve"> </w:t>
      </w:r>
      <w:r>
        <w:t xml:space="preserve">with the values ranging from less than one euro to several millions of euros per kilogramme.</w:t>
      </w:r>
      <w:r>
        <w:t xml:space="preserve"> </w:t>
      </w:r>
      <w:r>
        <w:t xml:space="preserve">Cost estimates for substitution depend on the availability and production costs of suitable</w:t>
      </w:r>
      <w:r>
        <w:t xml:space="preserve"> </w:t>
      </w:r>
      <w:r>
        <w:t xml:space="preserve">alternatives and are specific to the end uses of the substance to be substituted. Moreover, costs</w:t>
      </w:r>
    </w:p>
    <w:p>
      <w:pPr>
        <w:pStyle w:val="BodyText"/>
      </w:pPr>
      <w:r>
        <w:t xml:space="preserve">187 Evaluation of restriction reports and applications for authorisation for PBT and vPvB substances in SEAC.</w:t>
      </w:r>
      <w:r>
        <w:t xml:space="preserve"> </w:t>
      </w:r>
      <w:r>
        <w:t xml:space="preserve">SEAC/31/2016/05 Rev.1 (Agreed at SEAC 31). Helsinki, 9 June 2016.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per kilogrammes vary hugely depending on the total amount or concentration of the PBT/vPvB</w:t>
      </w:r>
      <w:r>
        <w:t xml:space="preserve"> </w:t>
      </w:r>
      <w:r>
        <w:t xml:space="preserve">substance and whether it is contained in a closed/confined space or widely dispersed.</w:t>
      </w:r>
      <w:r>
        <w:t xml:space="preserve"> </w:t>
      </w:r>
      <w:r>
        <w:t xml:space="preserve">Nevertheless, comparing the ‘grey zone’ of proportionality with the cost of €0.2-0.7 per kg of</w:t>
      </w:r>
      <w:r>
        <w:t xml:space="preserve"> </w:t>
      </w:r>
      <w:r>
        <w:t xml:space="preserve">PBT/vPvB or PMT/vPvM substance substituted suggests that the classification of PBT/vPvB</w:t>
      </w:r>
      <w:r>
        <w:t xml:space="preserve"> </w:t>
      </w:r>
      <w:r>
        <w:t xml:space="preserve">and PMT/vPvM substances through CLP is likely to justify the total costs.</w:t>
      </w:r>
      <w:r>
        <w:t xml:space="preserve"> </w:t>
      </w:r>
      <w:r>
        <w:t xml:space="preserve">RPA &amp; ARCHE (2019)188 report several examples of costs of remediating sites where</w:t>
      </w:r>
      <w:r>
        <w:t xml:space="preserve"> </w:t>
      </w:r>
      <w:r>
        <w:t xml:space="preserve">contamination of groundwater and soil has occurred due to past use of PFAS: Weber (2016)189</w:t>
      </w:r>
      <w:r>
        <w:t xml:space="preserve"> </w:t>
      </w:r>
      <w:r>
        <w:t xml:space="preserve">reports costs of upgrading wastewater treatment works to reduce PFAS concentration in</w:t>
      </w:r>
      <w:r>
        <w:t xml:space="preserve"> </w:t>
      </w:r>
      <w:r>
        <w:t xml:space="preserve">drinking water in the Ruhr and its tributaries of around €100 million, with the works taking</w:t>
      </w:r>
      <w:r>
        <w:t xml:space="preserve"> </w:t>
      </w:r>
      <w:r>
        <w:t xml:space="preserve">several years. The costs of remediating the contamination of Dusseldorf airport due to the use</w:t>
      </w:r>
      <w:r>
        <w:t xml:space="preserve"> </w:t>
      </w:r>
      <w:r>
        <w:t xml:space="preserve">of fire-fighting foams containing PFAS during fire-fighting practices were estimated at €100</w:t>
      </w:r>
      <w:r>
        <w:t xml:space="preserve"> </w:t>
      </w:r>
      <w:r>
        <w:t xml:space="preserve">million, and the cost of exchanging soil for a different site estimated between €1 billion to €3</w:t>
      </w:r>
      <w:r>
        <w:t xml:space="preserve"> </w:t>
      </w:r>
      <w:r>
        <w:t xml:space="preserve">billion. Remediation costs for two other PFAS-contaminated airports in Norway were reported</w:t>
      </w:r>
      <w:r>
        <w:t xml:space="preserve"> </w:t>
      </w:r>
      <w:r>
        <w:t xml:space="preserve">at €5.1 million (Evenes airport) and €3.1 million (Oslo Gardermoen airport) (Alling et al. </w:t>
      </w:r>
      <w:r>
        <w:t xml:space="preserve"> </w:t>
      </w:r>
      <w:r>
        <w:t xml:space="preserve">(2017).190</w:t>
      </w:r>
    </w:p>
    <w:p>
      <w:pPr>
        <w:pStyle w:val="BodyText"/>
      </w:pPr>
      <w:r>
        <w:t xml:space="preserve">188 RPA &amp; ARCHE (2019): Socio-Economic Assessment of PFHxS and PFHxS-related substances. Final report</w:t>
      </w:r>
      <w:r>
        <w:t xml:space="preserve"> </w:t>
      </w:r>
      <w:r>
        <w:t xml:space="preserve">for the Norwegian Environment Agency.</w:t>
      </w:r>
      <w:r>
        <w:t xml:space="preserve"> </w:t>
      </w:r>
      <w:r>
        <w:t xml:space="preserve">189 Weber R (2016): Some lessons learned from PFOS/PFAS management in Germany, Sciene and Policy of</w:t>
      </w:r>
      <w:r>
        <w:t xml:space="preserve"> </w:t>
      </w:r>
      <w:r>
        <w:t xml:space="preserve">Organohalogens pre-Dioxin Symposium, 28 August 2016, Firenze, Italy.</w:t>
      </w:r>
      <w:r>
        <w:t xml:space="preserve"> </w:t>
      </w:r>
      <w:r>
        <w:t xml:space="preserve">190 Alling, Vanja, Hartnik, Thomas, &amp; Bjærtnes, Olaug (2017). Two case studies for remediation of PFAS</w:t>
      </w:r>
      <w:r>
        <w:t xml:space="preserve"> </w:t>
      </w:r>
      <w:r>
        <w:t xml:space="preserve">contaminated fire-fighting sites in Norway. Proceedings of the 7th International Contaminated Site Remediation</w:t>
      </w:r>
      <w:r>
        <w:t xml:space="preserve"> </w:t>
      </w:r>
      <w:r>
        <w:t xml:space="preserve">Conference, (p. 633). Australia.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Annex 9 – Harmonised Reference values</w:t>
      </w:r>
    </w:p>
    <w:p>
      <w:pPr>
        <w:pStyle w:val="BodyText"/>
      </w:pPr>
      <w:r>
        <w:t xml:space="preserve">CONTEXT</w:t>
      </w:r>
      <w:r>
        <w:t xml:space="preserve"> </w:t>
      </w:r>
      <w:r>
        <w:t xml:space="preserve">The REFIT evaluation of REACH and Fitness Check of other chemical legislation identified</w:t>
      </w:r>
      <w:r>
        <w:t xml:space="preserve"> </w:t>
      </w:r>
      <w:r>
        <w:t xml:space="preserve">several issues/shortcomings that are related to the components of ‘one substance – one</w:t>
      </w:r>
      <w:r>
        <w:t xml:space="preserve"> </w:t>
      </w:r>
      <w:r>
        <w:t xml:space="preserve">assessment process’ and that affect proper functioning of the chemical legislation as regards its</w:t>
      </w:r>
      <w:r>
        <w:t xml:space="preserve"> </w:t>
      </w:r>
      <w:r>
        <w:t xml:space="preserve">effectiveness, efficiency or coherence. Addressing these shortcomings together with the</w:t>
      </w:r>
      <w:r>
        <w:t xml:space="preserve"> </w:t>
      </w:r>
      <w:r>
        <w:t xml:space="preserve">experience gained by the Commission and Agencies’ staff through past and on-going</w:t>
      </w:r>
      <w:r>
        <w:t xml:space="preserve"> </w:t>
      </w:r>
      <w:r>
        <w:t xml:space="preserve">assessments, while taking into account already on-going activities to improve the assessment</w:t>
      </w:r>
      <w:r>
        <w:t xml:space="preserve"> </w:t>
      </w:r>
      <w:r>
        <w:t xml:space="preserve">processes, will pave the way towards one substance – one assessment process.</w:t>
      </w:r>
      <w:r>
        <w:br/>
      </w:r>
      <w:r>
        <w:t xml:space="preserve">As indicated in the chemical strategy for sustainability “The ‘one substance, one assessment’</w:t>
      </w:r>
      <w:r>
        <w:t xml:space="preserve"> </w:t>
      </w:r>
      <w:r>
        <w:t xml:space="preserve">approach aims to ensure that methodologies are made more coherent and to the extent possible</w:t>
      </w:r>
      <w:r>
        <w:t xml:space="preserve"> </w:t>
      </w:r>
      <w:r>
        <w:t xml:space="preserve">harmonised” and to “promote reuse and harmonisation of human and environmental health-</w:t>
      </w:r>
      <w:r>
        <w:t xml:space="preserve"> </w:t>
      </w:r>
      <w:r>
        <w:t xml:space="preserve">based limit values among EU risk assessors and managers through a centralised and curated</w:t>
      </w:r>
      <w:r>
        <w:t xml:space="preserve"> </w:t>
      </w:r>
      <w:r>
        <w:t xml:space="preserve">EU repository;”.</w:t>
      </w:r>
      <w:r>
        <w:t xml:space="preserve"> </w:t>
      </w:r>
      <w:r>
        <w:t xml:space="preserve">To this extent, the Commission will ensure that the CLP Regulation strengthens its role as the</w:t>
      </w:r>
      <w:r>
        <w:t xml:space="preserve"> </w:t>
      </w:r>
      <w:r>
        <w:t xml:space="preserve">cornerstone for hazard classification. To reach this aim, the Commission will introduce new</w:t>
      </w:r>
      <w:r>
        <w:t xml:space="preserve"> </w:t>
      </w:r>
      <w:r>
        <w:t xml:space="preserve">hazard criteria, for Endocrine Disruptors, PBTs/vPvBs and other potential SVHCs (e.g., PMT,</w:t>
      </w:r>
      <w:r>
        <w:t xml:space="preserve"> </w:t>
      </w:r>
      <w:r>
        <w:t xml:space="preserve">vPvM). In addition, in order to ensure that regulatory hazard characterization methodologies</w:t>
      </w:r>
      <w:r>
        <w:t xml:space="preserve"> </w:t>
      </w:r>
      <w:r>
        <w:t xml:space="preserve">are applied in a coherent and, to the extent possible, harmonised way, the Commission proposes</w:t>
      </w:r>
      <w:r>
        <w:t xml:space="preserve"> </w:t>
      </w:r>
      <w:r>
        <w:t xml:space="preserve">to add a procedure under CLP to derive and publish harmonised human and environmental</w:t>
      </w:r>
      <w:r>
        <w:t xml:space="preserve"> </w:t>
      </w:r>
      <w:r>
        <w:t xml:space="preserve">toxicological reference values.</w:t>
      </w:r>
      <w:r>
        <w:t xml:space="preserve"> </w:t>
      </w:r>
      <w:r>
        <w:t xml:space="preserve">The overall goal in harmonising human and environmental toxicological reference values in</w:t>
      </w:r>
      <w:r>
        <w:t xml:space="preserve"> </w:t>
      </w:r>
      <w:r>
        <w:t xml:space="preserve">CLP is to offer a unique reference value that could be used by downstream legislation, when</w:t>
      </w:r>
      <w:r>
        <w:t xml:space="preserve"> </w:t>
      </w:r>
      <w:r>
        <w:t xml:space="preserve">deemed appropriate. These values should support EU risk assessors and duty holders in their</w:t>
      </w:r>
      <w:r>
        <w:t xml:space="preserve"> </w:t>
      </w:r>
      <w:r>
        <w:t xml:space="preserve">specific regulatory framework. This is intended to be particularly relevant for the SDG #3 Good</w:t>
      </w:r>
      <w:r>
        <w:t xml:space="preserve"> </w:t>
      </w:r>
      <w:r>
        <w:t xml:space="preserve">health and well-being – Target 3.9 ‘By 2030, substantially reduce the number of deaths and</w:t>
      </w:r>
      <w:r>
        <w:t xml:space="preserve"> </w:t>
      </w:r>
      <w:r>
        <w:t xml:space="preserve">illnesses from hazardous chemicals and air, water and soil pollution and contamination’.</w:t>
      </w:r>
    </w:p>
    <w:p>
      <w:pPr>
        <w:pStyle w:val="BodyText"/>
      </w:pPr>
      <w:r>
        <w:t xml:space="preserve">PROBLEMS AND 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The risks to the human health and the environment deriving from the exposure to hazardous</w:t>
      </w:r>
      <w:r>
        <w:t xml:space="preserve"> </w:t>
      </w:r>
      <w:r>
        <w:t xml:space="preserve">chemicals are identified and addressed through the assessment procedures set out in the</w:t>
      </w:r>
      <w:r>
        <w:t xml:space="preserve"> </w:t>
      </w:r>
      <w:r>
        <w:t xml:space="preserve">legislation. The main steps of the chemical risk assessment and management process (Figure</w:t>
      </w:r>
      <w:r>
        <w:t xml:space="preserve"> </w:t>
      </w:r>
      <w:r>
        <w:t xml:space="preserve">66) involve different European agencies and expert committees.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Figure 66: Main steps of the chemical risk assessment and management process – Source: EC (2019e)</w:t>
      </w:r>
      <w:r>
        <w:br/>
      </w:r>
      <w:r>
        <w:t xml:space="preserve">When considering the chemical risk assessment and management process, CLP provides only</w:t>
      </w:r>
      <w:r>
        <w:t xml:space="preserve"> </w:t>
      </w:r>
      <w:r>
        <w:t xml:space="preserve">for the first step: hazard identification and classification. Hazard characterization (or dose-</w:t>
      </w:r>
      <w:r>
        <w:t xml:space="preserve"> </w:t>
      </w:r>
      <w:r>
        <w:t xml:space="preserve">response assessment) involves the setting of human and environmental reference values, which</w:t>
      </w:r>
      <w:r>
        <w:t xml:space="preserve"> </w:t>
      </w:r>
      <w:r>
        <w:t xml:space="preserve">expresses the concentration of a substance below which no adverse effects on human health or</w:t>
      </w:r>
      <w:r>
        <w:t xml:space="preserve"> </w:t>
      </w:r>
      <w:r>
        <w:t xml:space="preserve">the environment are expected in case of threshold-substances or the risks are considered</w:t>
      </w:r>
      <w:r>
        <w:t xml:space="preserve"> </w:t>
      </w:r>
      <w:r>
        <w:t xml:space="preserve">acceptable in case of non-threshold substances. There are toxicity reference values which are</w:t>
      </w:r>
      <w:r>
        <w:t xml:space="preserve"> </w:t>
      </w:r>
      <w:r>
        <w:t xml:space="preserve">derived exclusively based on scientific data and considerations, and values which take into</w:t>
      </w:r>
      <w:r>
        <w:t xml:space="preserve"> </w:t>
      </w:r>
      <w:r>
        <w:t xml:space="preserve">account also socio-economic, technical feasibility and other considerations. These include</w:t>
      </w:r>
      <w:r>
        <w:t xml:space="preserve"> </w:t>
      </w:r>
      <w:r>
        <w:t xml:space="preserve">regulatory limits on the concentration in specific products. Table 69 provides a non-exhaustive</w:t>
      </w:r>
      <w:r>
        <w:t xml:space="preserve"> </w:t>
      </w:r>
      <w:r>
        <w:t xml:space="preserve">list of reference values.</w:t>
      </w:r>
      <w:r>
        <w:t xml:space="preserve"> </w:t>
      </w:r>
      <w:r>
        <w:t xml:space="preserve">Table 70: Non-exhaustive list of toxicity reference values</w:t>
      </w:r>
      <w:r>
        <w:br/>
      </w:r>
      <w:r>
        <w:t xml:space="preserve">Derived No-Effect Level (DNEL)</w:t>
      </w:r>
      <w:r>
        <w:br/>
      </w:r>
      <w:r>
        <w:t xml:space="preserve">Derived Minimal Effect Level (DMEL)</w:t>
      </w:r>
      <w:r>
        <w:t xml:space="preserve"> </w:t>
      </w:r>
      <w:r>
        <w:t xml:space="preserve">Predicted No Effect Concentration (PNEC)</w:t>
      </w:r>
      <w:r>
        <w:t xml:space="preserve"> </w:t>
      </w:r>
      <w:r>
        <w:t xml:space="preserve">Environmental Quality Standard (EQS)</w:t>
      </w:r>
      <w:r>
        <w:t xml:space="preserve"> </w:t>
      </w:r>
      <w:r>
        <w:t xml:space="preserve">Acceptable or Tolerable Daily/Weekly Intake (ADI or TDI/TWI)</w:t>
      </w:r>
      <w:r>
        <w:t xml:space="preserve"> </w:t>
      </w:r>
      <w:r>
        <w:t xml:space="preserve">Tolerable Upper Intake Level (UL)</w:t>
      </w:r>
      <w:r>
        <w:t xml:space="preserve"> </w:t>
      </w:r>
      <w:r>
        <w:t xml:space="preserve">Acute Reference Dose (ARfD)</w:t>
      </w:r>
      <w:r>
        <w:t xml:space="preserve"> </w:t>
      </w:r>
      <w:r>
        <w:t xml:space="preserve">Acceptable Operator Exposure Level (AOEL)</w:t>
      </w:r>
      <w:r>
        <w:br/>
      </w:r>
      <w:r>
        <w:t xml:space="preserve">Acute Acceptable Operator Exposure Level (AAOEL)</w:t>
      </w:r>
      <w:r>
        <w:br/>
      </w:r>
      <w:r>
        <w:t xml:space="preserve">Occupational Exposure Limit (OEL)</w:t>
      </w:r>
      <w:r>
        <w:t xml:space="preserve"> </w:t>
      </w:r>
      <w:r>
        <w:t xml:space="preserve">Indicative Occupational Exposure Limit Value (IOELV)</w:t>
      </w:r>
      <w:r>
        <w:t xml:space="preserve"> </w:t>
      </w:r>
      <w:r>
        <w:t xml:space="preserve">Binding Occupational Exposure Limit Value (BOELV)</w:t>
      </w:r>
      <w:r>
        <w:t xml:space="preserve"> </w:t>
      </w:r>
      <w:r>
        <w:t xml:space="preserve">Maximum Residue Level (MRL)</w:t>
      </w:r>
      <w:r>
        <w:t xml:space="preserve"> </w:t>
      </w:r>
      <w:r>
        <w:t xml:space="preserve">Threshold of Toxicological Concern (TTC)</w:t>
      </w:r>
      <w:r>
        <w:br/>
      </w:r>
      <w:r>
        <w:t xml:space="preserve">Maximum Tolerable Dose (MTD)</w:t>
      </w:r>
      <w:r>
        <w:t xml:space="preserve"> </w:t>
      </w:r>
      <w:r>
        <w:t xml:space="preserve">Average Requirement (AR)</w:t>
      </w:r>
      <w:r>
        <w:t xml:space="preserve"> </w:t>
      </w:r>
      <w:r>
        <w:t xml:space="preserve">Population Reference Intake (PRI)</w:t>
      </w:r>
      <w:r>
        <w:t xml:space="preserve"> </w:t>
      </w:r>
      <w:r>
        <w:t xml:space="preserve">Adequate intake (AI)</w:t>
      </w:r>
      <w:r>
        <w:t xml:space="preserve"> </w:t>
      </w:r>
      <w:r>
        <w:t xml:space="preserve">Maximum Tolerable Daily Intake (MTDI)</w:t>
      </w:r>
      <w:r>
        <w:br/>
      </w:r>
      <w:r>
        <w:t xml:space="preserve">Acceptable Intake</w:t>
      </w:r>
      <w:r>
        <w:t xml:space="preserve"> </w:t>
      </w:r>
      <w:r>
        <w:t xml:space="preserve">Health based exposure limit (HBEL)</w:t>
      </w:r>
      <w:r>
        <w:t xml:space="preserve"> </w:t>
      </w:r>
      <w:r>
        <w:t xml:space="preserve">Permitted Daily Exposure (PDE)</w:t>
      </w:r>
      <w:r>
        <w:br/>
      </w:r>
      <w:r>
        <w:t xml:space="preserve">Source: Call for tenders ENV/2021/OP/0019 - Designing EU repository of health-based limit values and collating</w:t>
      </w:r>
      <w:r>
        <w:t xml:space="preserve"> </w:t>
      </w:r>
      <w:r>
        <w:t xml:space="preserve">information for the first version of the repository</w:t>
      </w:r>
    </w:p>
    <w:p>
      <w:pPr>
        <w:pStyle w:val="BodyText"/>
      </w:pPr>
      <w:r>
        <w:t xml:space="preserve">244</w:t>
      </w:r>
      <w:r>
        <w:t xml:space="preserve"> </w:t>
      </w:r>
      <w:r>
        <w:t xml:space="preserve">These are derived by companies, competent authorities, EU Commission or international</w:t>
      </w:r>
      <w:r>
        <w:t xml:space="preserve"> </w:t>
      </w:r>
      <w:r>
        <w:t xml:space="preserve">organisations under REACH or other pieces of legislation. Table 70 provides a non-exhaustive</w:t>
      </w:r>
      <w:r>
        <w:t xml:space="preserve"> </w:t>
      </w:r>
      <w:r>
        <w:t xml:space="preserve">list of legislation under which toxicity reference values are set.</w:t>
      </w:r>
      <w:r>
        <w:t xml:space="preserve"> </w:t>
      </w:r>
      <w:r>
        <w:t xml:space="preserve">Table 71: Non-exhaustive list of legislation under which HBLVs are set</w:t>
      </w:r>
      <w:r>
        <w:t xml:space="preserve"> </w:t>
      </w:r>
      <w:r>
        <w:t xml:space="preserve">REACH Regulation (EC) 1907/2006</w:t>
      </w:r>
      <w:r>
        <w:t xml:space="preserve"> </w:t>
      </w:r>
      <w:r>
        <w:t xml:space="preserve">Plant Protection Products Regulation (EC) 1107/2009</w:t>
      </w:r>
      <w:r>
        <w:t xml:space="preserve"> </w:t>
      </w:r>
      <w:r>
        <w:t xml:space="preserve">Biocidal Products Regulation (EU) 528/2012</w:t>
      </w:r>
      <w:r>
        <w:t xml:space="preserve"> </w:t>
      </w:r>
      <w:r>
        <w:t xml:space="preserve">Cosmetic Products Regulation (EC) 1223/2009</w:t>
      </w:r>
      <w:r>
        <w:t xml:space="preserve"> </w:t>
      </w:r>
      <w:r>
        <w:t xml:space="preserve">Food Contact Materials Regulation (EC) 1935/2004</w:t>
      </w:r>
      <w:r>
        <w:t xml:space="preserve"> </w:t>
      </w:r>
      <w:r>
        <w:t xml:space="preserve">Regulation on contaminants in food (EEC) 315/93</w:t>
      </w:r>
      <w:r>
        <w:t xml:space="preserve"> </w:t>
      </w:r>
      <w:r>
        <w:t xml:space="preserve">Directive on undesirable substances in animal feed (2002/32/EC)</w:t>
      </w:r>
      <w:r>
        <w:t xml:space="preserve"> </w:t>
      </w:r>
      <w:r>
        <w:t xml:space="preserve">Food improvement agents Regulation (EC) 1331/2008</w:t>
      </w:r>
      <w:r>
        <w:t xml:space="preserve"> </w:t>
      </w:r>
      <w:r>
        <w:t xml:space="preserve">Regulation on food additives (EC) 1333/2008</w:t>
      </w:r>
      <w:r>
        <w:t xml:space="preserve"> </w:t>
      </w:r>
      <w:r>
        <w:t xml:space="preserve">Regulation on food enzymes (EC) 1332/2008,</w:t>
      </w:r>
      <w:r>
        <w:t xml:space="preserve"> </w:t>
      </w:r>
      <w:r>
        <w:t xml:space="preserve">Regulation on flavourings (EC) 1334/2008</w:t>
      </w:r>
      <w:r>
        <w:t xml:space="preserve"> </w:t>
      </w:r>
      <w:r>
        <w:t xml:space="preserve">Regulation 234/2011 implementing Regulation (EC) No 1331/2008</w:t>
      </w:r>
      <w:r>
        <w:t xml:space="preserve"> </w:t>
      </w:r>
      <w:r>
        <w:t xml:space="preserve">Feed additives Regulation (EC) 1831/2003</w:t>
      </w:r>
      <w:r>
        <w:t xml:space="preserve"> </w:t>
      </w:r>
      <w:r>
        <w:t xml:space="preserve">Maximum Residue Levels of pesticides Regulation (EC) 396/2005</w:t>
      </w:r>
      <w:r>
        <w:t xml:space="preserve"> </w:t>
      </w:r>
      <w:r>
        <w:t xml:space="preserve">Water Framework Directive (2000/60/EC)</w:t>
      </w:r>
      <w:r>
        <w:t xml:space="preserve"> </w:t>
      </w:r>
      <w:r>
        <w:t xml:space="preserve">Environmental Quality Standards Directive (2008/105/EC)</w:t>
      </w:r>
      <w:r>
        <w:t xml:space="preserve"> </w:t>
      </w:r>
      <w:r>
        <w:t xml:space="preserve">Groundwater Directive (2006/118/EC)</w:t>
      </w:r>
      <w:r>
        <w:t xml:space="preserve"> </w:t>
      </w:r>
      <w:r>
        <w:t xml:space="preserve">Drinking Water Directive (EU) 2020/2184</w:t>
      </w:r>
      <w:r>
        <w:t xml:space="preserve"> </w:t>
      </w:r>
      <w:r>
        <w:t xml:space="preserve">Marine Strategy Framework Directive (2008/56/EC)</w:t>
      </w:r>
      <w:r>
        <w:t xml:space="preserve"> </w:t>
      </w:r>
      <w:r>
        <w:t xml:space="preserve">Carcinogens and Mutagens Directive (2004/37/EC)</w:t>
      </w:r>
      <w:r>
        <w:t xml:space="preserve"> </w:t>
      </w:r>
      <w:r>
        <w:t xml:space="preserve">Chemicals Agents Directive (98/24/EC)</w:t>
      </w:r>
      <w:r>
        <w:t xml:space="preserve"> </w:t>
      </w:r>
      <w:r>
        <w:t xml:space="preserve">Asbestos at Work Directive (2009/148/EC)</w:t>
      </w:r>
      <w:r>
        <w:t xml:space="preserve"> </w:t>
      </w:r>
      <w:r>
        <w:t xml:space="preserve">Regulation (EU) 37/2010 on pharmacologically active substances and their classification</w:t>
      </w:r>
      <w:r>
        <w:t xml:space="preserve"> </w:t>
      </w:r>
      <w:r>
        <w:t xml:space="preserve">regarding maximum residue limits in foodstuffs of animal origin</w:t>
      </w:r>
      <w:r>
        <w:t xml:space="preserve"> </w:t>
      </w:r>
      <w:r>
        <w:t xml:space="preserve">Source: Call for tenders ENV/2021/OP/0019 - Designing EU repository of health-based limit values and</w:t>
      </w:r>
      <w:r>
        <w:t xml:space="preserve"> </w:t>
      </w:r>
      <w:r>
        <w:t xml:space="preserve">collating information for the first version of the repository</w:t>
      </w:r>
    </w:p>
    <w:p>
      <w:pPr>
        <w:pStyle w:val="BodyText"/>
      </w:pPr>
      <w:r>
        <w:t xml:space="preserve">Differences between DNELs for the same substance</w:t>
      </w:r>
      <w:r>
        <w:t xml:space="preserve"> </w:t>
      </w:r>
      <w:r>
        <w:t xml:space="preserve">With the ECHA Guidance on Information Requirements and Chemical Safety Assessment, R.8</w:t>
      </w:r>
      <w:r>
        <w:t xml:space="preserve"> </w:t>
      </w:r>
      <w:r>
        <w:t xml:space="preserve">(ECHA, 2012) a detailed methodological guidance for deriving DNELs is available.</w:t>
      </w:r>
      <w:r>
        <w:t xml:space="preserve"> </w:t>
      </w:r>
      <w:r>
        <w:t xml:space="preserve">Nevertheless, in a study on behalf of the Dutch RIVM, the authors found substantial differences</w:t>
      </w:r>
      <w:r>
        <w:t xml:space="preserve"> </w:t>
      </w:r>
      <w:r>
        <w:t xml:space="preserve">depending on the body deriving the DNELs (Schenk et al., 2014). Schenk et al. (2015) noticed</w:t>
      </w:r>
      <w:r>
        <w:t xml:space="preserve"> </w:t>
      </w:r>
      <w:r>
        <w:t xml:space="preserve">large differences in DNELs for 20 substances from registration dossiers, when comparing it to</w:t>
      </w:r>
      <w:r>
        <w:t xml:space="preserve"> </w:t>
      </w:r>
      <w:r>
        <w:t xml:space="preserve">Swedish OELs and to DNELs derived for these substances by the authors themselves, based</w:t>
      </w:r>
      <w:r>
        <w:t xml:space="preserve"> </w:t>
      </w:r>
      <w:r>
        <w:t xml:space="preserve">on the R.8 Guidance document. Differences up to several orders of magnitude were observed.</w:t>
      </w:r>
      <w:r>
        <w:t xml:space="preserve"> </w:t>
      </w:r>
      <w:r>
        <w:t xml:space="preserve">In many cases the authors observed differences in the dose descriptor used (i.e. differences in</w:t>
      </w:r>
      <w:r>
        <w:t xml:space="preserve"> </w:t>
      </w:r>
      <w:r>
        <w:t xml:space="preserve">selection of key study and leading effect).</w:t>
      </w:r>
      <w:r>
        <w:br/>
      </w:r>
      <w:r>
        <w:t xml:space="preserve">A statistical approach has been used to further analyse the issue. The DNEL List of the German</w:t>
      </w:r>
      <w:r>
        <w:t xml:space="preserve"> </w:t>
      </w:r>
      <w:r>
        <w:t xml:space="preserve">Social Accident Insurance Association (DGUV)191 was downloaded that contains inhalation</w:t>
      </w:r>
      <w:r>
        <w:t xml:space="preserve"> </w:t>
      </w:r>
      <w:r>
        <w:t xml:space="preserve">DNELs for workers (long-term, local and systemic effects) as of November 2020. This list</w:t>
      </w:r>
    </w:p>
    <w:p>
      <w:pPr>
        <w:pStyle w:val="BodyText"/>
      </w:pPr>
      <w:r>
        <w:t xml:space="preserve">191 GESTIS DNEL List, Hazardous substance information system of the German Social Accident Insurance,</w:t>
      </w:r>
      <w:r>
        <w:t xml:space="preserve"> </w:t>
      </w:r>
      <w:r>
        <w:t xml:space="preserve">available at: https://www.dguv.de/ifa/gestis/gestis-dnel-liste/index-2.jsp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contains 6,611 entries relating to 5,804 unique chemicals. Of these 5,804 unique chemicals,</w:t>
      </w:r>
      <w:r>
        <w:t xml:space="preserve"> </w:t>
      </w:r>
      <w:r>
        <w:t xml:space="preserve">5,390 (93%) only have one entry in the DNEL list. In most cases, this entry relates to a DNEL</w:t>
      </w:r>
      <w:r>
        <w:t xml:space="preserve"> </w:t>
      </w:r>
      <w:r>
        <w:t xml:space="preserve">for system effects only, but there are cases for which only a DNEL for local effects is available</w:t>
      </w:r>
      <w:r>
        <w:t xml:space="preserve"> </w:t>
      </w:r>
      <w:r>
        <w:t xml:space="preserve">or a DNEL for local and systemic effects. Among the remaining 414 unique chemicals, the</w:t>
      </w:r>
      <w:r>
        <w:t xml:space="preserve"> </w:t>
      </w:r>
      <w:r>
        <w:t xml:space="preserve">majority has two entries (N=319, 77%) and 90% have between two and four entries (N=374).</w:t>
      </w:r>
      <w:r>
        <w:t xml:space="preserve"> </w:t>
      </w:r>
      <w:r>
        <w:t xml:space="preserve">Two or more entries may result e.g. from different toxicological summaries provided in</w:t>
      </w:r>
      <w:r>
        <w:t xml:space="preserve"> </w:t>
      </w:r>
      <w:r>
        <w:t xml:space="preserve">IUCLID by the lead registrant and members of a consortium or from different submissions.</w:t>
      </w:r>
      <w:r>
        <w:t xml:space="preserve"> </w:t>
      </w:r>
      <w:r>
        <w:t xml:space="preserve">They may still contain identical DNELs and only differ in other respects. If two entries for a</w:t>
      </w:r>
      <w:r>
        <w:t xml:space="preserve"> </w:t>
      </w:r>
      <w:r>
        <w:t xml:space="preserve">substance exist, up to four DNELs may exist (two for local and systemic effects in both entries),</w:t>
      </w:r>
      <w:r>
        <w:t xml:space="preserve"> </w:t>
      </w:r>
      <w:r>
        <w:t xml:space="preserve">but only a local DNEL may exist in one entry and a systemic DNEL in the other entry (which</w:t>
      </w:r>
      <w:r>
        <w:t xml:space="preserve"> </w:t>
      </w:r>
      <w:r>
        <w:t xml:space="preserve">is in fact the case for a substantial number of substances).</w:t>
      </w:r>
      <w:r>
        <w:br/>
      </w:r>
      <w:r>
        <w:t xml:space="preserve">An evaluation done on unique chemicals with two (identical or different) workers long-term</w:t>
      </w:r>
      <w:r>
        <w:t xml:space="preserve"> </w:t>
      </w:r>
      <w:r>
        <w:t xml:space="preserve">inhalation DNELs for systemic effects has been performed for the impact assessment. This</w:t>
      </w:r>
      <w:r>
        <w:t xml:space="preserve"> </w:t>
      </w:r>
      <w:r>
        <w:t xml:space="preserve">covers most of the chemicals with more than one entry and the exclusion of DNELs for local</w:t>
      </w:r>
      <w:r>
        <w:t xml:space="preserve"> </w:t>
      </w:r>
      <w:r>
        <w:t xml:space="preserve">effects is acceptable.192 In total, 214 comparisons are available, i.e. 214 unique chemicals with</w:t>
      </w:r>
      <w:r>
        <w:t xml:space="preserve"> </w:t>
      </w:r>
      <w:r>
        <w:t xml:space="preserve">two workers long-term inhalation DNELs for systemic effects, for which the higher DNEL can</w:t>
      </w:r>
      <w:r>
        <w:t xml:space="preserve"> </w:t>
      </w:r>
      <w:r>
        <w:t xml:space="preserve">be compared with the lower DNEL. For 12 of these substances (5.6%), the two DNELs are</w:t>
      </w:r>
      <w:r>
        <w:t xml:space="preserve"> </w:t>
      </w:r>
      <w:r>
        <w:t xml:space="preserve">identical. This low number is not surprising, since there is no reason to provide diverging</w:t>
      </w:r>
      <w:r>
        <w:t xml:space="preserve"> </w:t>
      </w:r>
      <w:r>
        <w:t xml:space="preserve">toxicological summaries if the DNELs (and all other information) are identical. Large</w:t>
      </w:r>
      <w:r>
        <w:t xml:space="preserve"> </w:t>
      </w:r>
      <w:r>
        <w:t xml:space="preserve">differences of several orders of magnitude are observed in rare cases and the highest difference</w:t>
      </w:r>
      <w:r>
        <w:t xml:space="preserve"> </w:t>
      </w:r>
      <w:r>
        <w:t xml:space="preserve">between the higher and the lower DNEL is by a factor of almost 40,000.193 This very high value</w:t>
      </w:r>
      <w:r>
        <w:t xml:space="preserve"> </w:t>
      </w:r>
      <w:r>
        <w:t xml:space="preserve">has a large impact on the mean difference between the higher and lower DNEL, as shown in</w:t>
      </w:r>
      <w:r>
        <w:t xml:space="preserve"> </w:t>
      </w:r>
      <w:r>
        <w:t xml:space="preserve">the following table.</w:t>
      </w:r>
      <w:r>
        <w:br/>
      </w:r>
      <w:r>
        <w:t xml:space="preserve">Table 72: Summary statistics for the comparison of the higher and the lower DNEL per substance</w:t>
      </w:r>
      <w:r>
        <w:t xml:space="preserve"> </w:t>
      </w:r>
      <w:r>
        <w:t xml:space="preserve">N</w:t>
      </w:r>
      <w:r>
        <w:t xml:space="preserve"> </w:t>
      </w:r>
      <w:r>
        <w:t xml:space="preserve">214</w:t>
      </w:r>
      <w:r>
        <w:t xml:space="preserve"> </w:t>
      </w:r>
      <w:r>
        <w:t xml:space="preserve">AM</w:t>
      </w:r>
      <w:r>
        <w:t xml:space="preserve"> </w:t>
      </w:r>
      <w:r>
        <w:t xml:space="preserve">204 (18)*</w:t>
      </w:r>
      <w:r>
        <w:t xml:space="preserve"> </w:t>
      </w:r>
      <w:r>
        <w:t xml:space="preserve">MEDIAN</w:t>
      </w:r>
      <w:r>
        <w:t xml:space="preserve"> </w:t>
      </w:r>
      <w:r>
        <w:t xml:space="preserve">3.0</w:t>
      </w:r>
      <w:r>
        <w:t xml:space="preserve"> </w:t>
      </w:r>
      <w:r>
        <w:t xml:space="preserve">GM</w:t>
      </w:r>
      <w:r>
        <w:t xml:space="preserve"> </w:t>
      </w:r>
      <w:r>
        <w:t xml:space="preserve">4.4</w:t>
      </w:r>
      <w:r>
        <w:t xml:space="preserve"> </w:t>
      </w:r>
      <w:r>
        <w:t xml:space="preserve">MIN</w:t>
      </w:r>
      <w:r>
        <w:t xml:space="preserve"> </w:t>
      </w:r>
      <w:r>
        <w:t xml:space="preserve">1.0</w:t>
      </w:r>
      <w:r>
        <w:t xml:space="preserve"> </w:t>
      </w:r>
      <w:r>
        <w:t xml:space="preserve">MAX</w:t>
      </w:r>
      <w:r>
        <w:t xml:space="preserve"> </w:t>
      </w:r>
      <w:r>
        <w:t xml:space="preserve">39,837</w:t>
      </w:r>
      <w:r>
        <w:t xml:space="preserve"> </w:t>
      </w:r>
      <w:r>
        <w:t xml:space="preserve">Higher and lower DNELs within</w:t>
      </w:r>
    </w:p>
    <w:p>
      <w:pPr>
        <w:pStyle w:val="BodyText"/>
      </w:pPr>
      <w:r>
        <w:t xml:space="preserve">a factor of 2</w:t>
      </w:r>
      <w:r>
        <w:t xml:space="preserve"> </w:t>
      </w:r>
      <w:r>
        <w:t xml:space="preserve">80 (37%)**</w:t>
      </w:r>
      <w:r>
        <w:t xml:space="preserve"> </w:t>
      </w:r>
      <w:r>
        <w:t xml:space="preserve">a factor of 5</w:t>
      </w:r>
      <w:r>
        <w:t xml:space="preserve"> </w:t>
      </w:r>
      <w:r>
        <w:t xml:space="preserve">134 (63%)**</w:t>
      </w:r>
      <w:r>
        <w:t xml:space="preserve"> </w:t>
      </w:r>
      <w:r>
        <w:t xml:space="preserve">a factor of 10</w:t>
      </w:r>
      <w:r>
        <w:t xml:space="preserve"> </w:t>
      </w:r>
      <w:r>
        <w:t xml:space="preserve">166 (78%)**</w:t>
      </w:r>
      <w:r>
        <w:t xml:space="preserve"> </w:t>
      </w:r>
      <w:r>
        <w:t xml:space="preserve">Notes: * Value in brackets after exclusion of the maximum value. ** Percentages relate to the total dataset (N=214)</w:t>
      </w:r>
    </w:p>
    <w:p>
      <w:pPr>
        <w:pStyle w:val="BodyText"/>
      </w:pPr>
      <w:r>
        <w:t xml:space="preserve">The data suggest that DNELs in REACH registration documents may differ substantially in a</w:t>
      </w:r>
      <w:r>
        <w:t xml:space="preserve"> </w:t>
      </w:r>
      <w:r>
        <w:t xml:space="preserve">few cases, but that they do not differ by more than one order of magnitude for more than three-</w:t>
      </w:r>
      <w:r>
        <w:t xml:space="preserve"> </w:t>
      </w:r>
      <w:r>
        <w:t xml:space="preserve">fourth (78%) of the cases for which two DNELs are available. As noted above, more than one</w:t>
      </w:r>
      <w:r>
        <w:t xml:space="preserve"> </w:t>
      </w:r>
      <w:r>
        <w:t xml:space="preserve">DNEL entry exists only for 7% of the substances on the DNEL list, indicating that the problem</w:t>
      </w:r>
    </w:p>
    <w:p>
      <w:pPr>
        <w:pStyle w:val="BodyText"/>
      </w:pPr>
      <w:r>
        <w:t xml:space="preserve">192 Note that if a substance has four entries with two relating only to local DNELs and two to systemic DNELs,</w:t>
      </w:r>
      <w:r>
        <w:t xml:space="preserve"> </w:t>
      </w:r>
      <w:r>
        <w:t xml:space="preserve">the substance was included in the evaluation.</w:t>
      </w:r>
      <w:r>
        <w:t xml:space="preserve"> </w:t>
      </w:r>
      <w:r>
        <w:t xml:space="preserve">193 The two DNELs are 0.49 mg/m3 and 12.3 ng/m3, respectively, for ammonium 2-mercaptopropionate (EC no.</w:t>
      </w:r>
      <w:r>
        <w:t xml:space="preserve"> </w:t>
      </w:r>
      <w:r>
        <w:t xml:space="preserve">236-526-4). No reason for these diverging DNELs is apparent from the disseminated registration dossier. The</w:t>
      </w:r>
      <w:r>
        <w:t xml:space="preserve"> </w:t>
      </w:r>
      <w:r>
        <w:t xml:space="preserve">experimental data suggest that the higher DNEL is more adequate. Furthermore, there is only a single registrant,</w:t>
      </w:r>
      <w:r>
        <w:t xml:space="preserve"> </w:t>
      </w:r>
      <w:r>
        <w:t xml:space="preserve">and no specific compositions are identified that could explain the lower values. The lower DNEL therefore likely</w:t>
      </w:r>
      <w:r>
        <w:t xml:space="preserve"> </w:t>
      </w:r>
      <w:r>
        <w:t xml:space="preserve">represents an erroneous entry.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is limited to few substances overall. This evaluation has some limitations. For example, it is</w:t>
      </w:r>
      <w:r>
        <w:t xml:space="preserve"> </w:t>
      </w:r>
      <w:r>
        <w:t xml:space="preserve">based on the DNEL list provided by DGUV (as of November 2020) and may include some</w:t>
      </w:r>
      <w:r>
        <w:t xml:space="preserve"> </w:t>
      </w:r>
      <w:r>
        <w:t xml:space="preserve">outdated information. For example, individual cases were noted where one of the DNELs was</w:t>
      </w:r>
      <w:r>
        <w:t xml:space="preserve"> </w:t>
      </w:r>
      <w:r>
        <w:t xml:space="preserve">provided in the dossier by a registrant who in the meanwhile ceased manufacture. Furthermore,</w:t>
      </w:r>
      <w:r>
        <w:t xml:space="preserve"> </w:t>
      </w:r>
      <w:r>
        <w:t xml:space="preserve">this analysis was limited to substances with only two DNELs and other outcomes may be</w:t>
      </w:r>
      <w:r>
        <w:t xml:space="preserve"> </w:t>
      </w:r>
      <w:r>
        <w:t xml:space="preserve">obtained if all substances are included. Finally, substance-specific evaluations of the</w:t>
      </w:r>
      <w:r>
        <w:t xml:space="preserve"> </w:t>
      </w:r>
      <w:r>
        <w:t xml:space="preserve">differences could not be performed due to time constraints. There may be good reasons for</w:t>
      </w:r>
      <w:r>
        <w:t xml:space="preserve"> </w:t>
      </w:r>
      <w:r>
        <w:t xml:space="preserve">differences in DNELs, such as differences in the composition and/or impurity profile of a</w:t>
      </w:r>
      <w:r>
        <w:t xml:space="preserve"> </w:t>
      </w:r>
      <w:r>
        <w:t xml:space="preserve">substances. Therefore, the differences noted above do not necessarily indicate inconsistencies.</w:t>
      </w:r>
      <w:r>
        <w:t xml:space="preserve"> </w:t>
      </w:r>
      <w:r>
        <w:t xml:space="preserve">Apart from different DNELs in REACH registration dossiers, DNELs derived by registrants</w:t>
      </w:r>
      <w:r>
        <w:t xml:space="preserve"> </w:t>
      </w:r>
      <w:r>
        <w:t xml:space="preserve">may also differ from the ones established by RAC for use in applications for authorisation</w:t>
      </w:r>
      <w:r>
        <w:t xml:space="preserve"> </w:t>
      </w:r>
      <w:r>
        <w:t xml:space="preserve">under REACH. In the following table substances are listed, for which RAC recommended</w:t>
      </w:r>
      <w:r>
        <w:t xml:space="preserve"> </w:t>
      </w:r>
      <w:r>
        <w:t xml:space="preserve">DNELs for use in authorisation dossiers. The DNELs as derived in the respective registration</w:t>
      </w:r>
      <w:r>
        <w:t xml:space="preserve"> </w:t>
      </w:r>
      <w:r>
        <w:t xml:space="preserve">dossiers are listed for comparison. For some of the substances, large differences in the</w:t>
      </w:r>
      <w:r>
        <w:t xml:space="preserve"> </w:t>
      </w:r>
      <w:r>
        <w:t xml:space="preserve">numerical values are obvious.</w:t>
      </w:r>
      <w:r>
        <w:t xml:space="preserve"> </w:t>
      </w:r>
      <w:r>
        <w:t xml:space="preserve">Table 73: RAC reference DNELs194 and DNELs from registration dossiers for substances in Annex XIV</w:t>
      </w:r>
      <w:r>
        <w:t xml:space="preserve"> </w:t>
      </w:r>
      <w:r>
        <w:t xml:space="preserve">Substance</w:t>
      </w:r>
      <w:r>
        <w:t xml:space="preserve"> </w:t>
      </w:r>
      <w:r>
        <w:t xml:space="preserve">EC No. CAS No. DNEL</w:t>
      </w:r>
      <w:r>
        <w:t xml:space="preserve"> </w:t>
      </w:r>
      <w:r>
        <w:t xml:space="preserve">-</w:t>
      </w:r>
      <w:r>
        <w:t xml:space="preserve"> </w:t>
      </w:r>
      <w:r>
        <w:t xml:space="preserve">Workers</w:t>
      </w:r>
      <w:r>
        <w:t xml:space="preserve"> </w:t>
      </w:r>
      <w:r>
        <w:t xml:space="preserve">-</w:t>
      </w:r>
      <w:r>
        <w:t xml:space="preserve"> </w:t>
      </w:r>
      <w:r>
        <w:t xml:space="preserve">inhalation</w:t>
      </w:r>
      <w:r>
        <w:t xml:space="preserve"> </w:t>
      </w:r>
      <w:r>
        <w:t xml:space="preserve">(mg/m3)*</w:t>
      </w:r>
      <w:r>
        <w:t xml:space="preserve"> </w:t>
      </w:r>
      <w:r>
        <w:t xml:space="preserve">DNEL</w:t>
      </w:r>
      <w:r>
        <w:t xml:space="preserve"> </w:t>
      </w:r>
      <w:r>
        <w:t xml:space="preserve">-</w:t>
      </w:r>
      <w:r>
        <w:t xml:space="preserve"> </w:t>
      </w:r>
      <w:r>
        <w:t xml:space="preserve">General</w:t>
      </w:r>
      <w:r>
        <w:t xml:space="preserve"> </w:t>
      </w:r>
      <w:r>
        <w:t xml:space="preserve">population</w:t>
      </w:r>
      <w:r>
        <w:t xml:space="preserve"> </w:t>
      </w:r>
      <w:r>
        <w:t xml:space="preserve">-</w:t>
      </w:r>
      <w:r>
        <w:t xml:space="preserve"> </w:t>
      </w:r>
      <w:r>
        <w:t xml:space="preserve">oral</w:t>
      </w:r>
      <w:r>
        <w:t xml:space="preserve"> </w:t>
      </w:r>
      <w:r>
        <w:t xml:space="preserve">(mg/kg bw/d)*</w:t>
      </w:r>
      <w:r>
        <w:t xml:space="preserve"> </w:t>
      </w:r>
      <w:r>
        <w:t xml:space="preserve">RAC</w:t>
      </w:r>
      <w:r>
        <w:t xml:space="preserve"> </w:t>
      </w:r>
      <w:r>
        <w:t xml:space="preserve">Dossier</w:t>
      </w:r>
      <w:r>
        <w:t xml:space="preserve"> </w:t>
      </w:r>
      <w:r>
        <w:t xml:space="preserve">**</w:t>
      </w:r>
      <w:r>
        <w:t xml:space="preserve"> </w:t>
      </w:r>
      <w:r>
        <w:t xml:space="preserve">RAC</w:t>
      </w:r>
      <w:r>
        <w:t xml:space="preserve"> </w:t>
      </w:r>
      <w:r>
        <w:t xml:space="preserve">Dossier</w:t>
      </w:r>
      <w:r>
        <w:t xml:space="preserve"> </w:t>
      </w:r>
      <w:r>
        <w:t xml:space="preserve">**</w:t>
      </w:r>
      <w:r>
        <w:t xml:space="preserve"> </w:t>
      </w:r>
      <w:r>
        <w:t xml:space="preserve">Trixylyl</w:t>
      </w:r>
      <w:r>
        <w:t xml:space="preserve"> </w:t>
      </w:r>
      <w:r>
        <w:t xml:space="preserve">phosphate</w:t>
      </w:r>
      <w:r>
        <w:t xml:space="preserve"> </w:t>
      </w:r>
      <w:r>
        <w:t xml:space="preserve">(TXP)</w:t>
      </w:r>
      <w:r>
        <w:t xml:space="preserve"> </w:t>
      </w:r>
      <w:r>
        <w:t xml:space="preserve">246-</w:t>
      </w:r>
      <w:r>
        <w:t xml:space="preserve"> </w:t>
      </w:r>
      <w:r>
        <w:t xml:space="preserve">677-8</w:t>
      </w:r>
      <w:r>
        <w:t xml:space="preserve"> </w:t>
      </w:r>
      <w:r>
        <w:t xml:space="preserve">25155-</w:t>
      </w:r>
      <w:r>
        <w:t xml:space="preserve"> </w:t>
      </w:r>
      <w:r>
        <w:t xml:space="preserve">23-1</w:t>
      </w:r>
      <w:r>
        <w:t xml:space="preserve"> </w:t>
      </w:r>
      <w:r>
        <w:t xml:space="preserve">0.08</w:t>
      </w:r>
      <w:r>
        <w:t xml:space="preserve"> </w:t>
      </w:r>
      <w:r>
        <w:t xml:space="preserve">2.96</w:t>
      </w:r>
      <w:r>
        <w:t xml:space="preserve"> </w:t>
      </w:r>
      <w:r>
        <w:t xml:space="preserve">0.008</w:t>
      </w:r>
      <w:r>
        <w:t xml:space="preserve"> </w:t>
      </w:r>
      <w:r>
        <w:t xml:space="preserve">0.15</w:t>
      </w:r>
      <w:r>
        <w:t xml:space="preserve"> </w:t>
      </w:r>
      <w:r>
        <w:t xml:space="preserve">1-bromopropane</w:t>
      </w:r>
      <w:r>
        <w:t xml:space="preserve"> </w:t>
      </w:r>
      <w:r>
        <w:t xml:space="preserve">203-</w:t>
      </w:r>
      <w:r>
        <w:t xml:space="preserve"> </w:t>
      </w:r>
      <w:r>
        <w:t xml:space="preserve">445-0</w:t>
      </w:r>
      <w:r>
        <w:t xml:space="preserve"> </w:t>
      </w:r>
      <w:r>
        <w:t xml:space="preserve">106-94-</w:t>
      </w:r>
      <w:r>
        <w:t xml:space="preserve"> </w:t>
      </w:r>
      <w:r>
        <w:t xml:space="preserve">5</w:t>
      </w:r>
      <w:r>
        <w:t xml:space="preserve"> </w:t>
      </w:r>
      <w:r>
        <w:t xml:space="preserve">6.2</w:t>
      </w:r>
      <w:r>
        <w:t xml:space="preserve"> </w:t>
      </w:r>
      <w:r>
        <w:t xml:space="preserve">0.029</w:t>
      </w:r>
      <w:r>
        <w:rPr>
          <w:b/>
          <w:bCs/>
        </w:rPr>
        <w:t xml:space="preserve"> </w:t>
      </w:r>
      <w:r>
        <w:rPr>
          <w:b/>
          <w:bCs/>
        </w:rPr>
        <w:t xml:space="preserve">*</w:t>
      </w:r>
      <w:r>
        <w:rPr>
          <w:b/>
          <w:bCs/>
        </w:rPr>
        <w:t xml:space="preserve"> </w:t>
      </w:r>
      <w:r>
        <w:rPr>
          <w:b/>
          <w:bCs/>
        </w:rPr>
        <w:t xml:space="preserve">0.32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Diglyme</w:t>
      </w:r>
      <w:r>
        <w:rPr>
          <w:b/>
          <w:bCs/>
        </w:rPr>
        <w:t xml:space="preserve"> </w:t>
      </w:r>
      <w:r>
        <w:rPr>
          <w:b/>
          <w:bCs/>
        </w:rPr>
        <w:t xml:space="preserve">(bis(2-</w:t>
      </w:r>
      <w:r>
        <w:rPr>
          <w:b/>
          <w:bCs/>
        </w:rPr>
        <w:t xml:space="preserve"> </w:t>
      </w:r>
      <w:r>
        <w:rPr>
          <w:b/>
          <w:bCs/>
        </w:rPr>
        <w:t xml:space="preserve">methoxyethyl)ether</w:t>
      </w:r>
      <w:r>
        <w:rPr>
          <w:b/>
          <w:bCs/>
        </w:rPr>
        <w:t xml:space="preserve"> </w:t>
      </w:r>
      <w:r>
        <w:rPr>
          <w:b/>
          <w:bCs/>
        </w:rPr>
        <w:t xml:space="preserve">203-</w:t>
      </w:r>
      <w:r>
        <w:rPr>
          <w:b/>
          <w:bCs/>
        </w:rPr>
        <w:t xml:space="preserve"> </w:t>
      </w:r>
      <w:r>
        <w:rPr>
          <w:b/>
          <w:bCs/>
        </w:rPr>
        <w:t xml:space="preserve">924-4</w:t>
      </w:r>
      <w:r>
        <w:br/>
      </w:r>
      <w:r>
        <w:rPr>
          <w:b/>
          <w:bCs/>
        </w:rPr>
        <w:t xml:space="preserve">111-96-</w:t>
      </w:r>
      <w:r>
        <w:rPr>
          <w:b/>
          <w:bCs/>
        </w:rPr>
        <w:t xml:space="preserve"> </w:t>
      </w:r>
      <w:r>
        <w:rPr>
          <w:b/>
          <w:bCs/>
        </w:rPr>
        <w:t xml:space="preserve">6</w:t>
      </w:r>
      <w:r>
        <w:rPr>
          <w:b/>
          <w:bCs/>
        </w:rPr>
        <w:t xml:space="preserve"> </w:t>
      </w:r>
      <w:r>
        <w:rPr>
          <w:b/>
          <w:bCs/>
        </w:rPr>
        <w:t xml:space="preserve">1.68</w:t>
      </w:r>
      <w:r>
        <w:rPr>
          <w:b/>
          <w:bCs/>
        </w:rPr>
        <w:t xml:space="preserve"> </w:t>
      </w:r>
      <w:r>
        <w:rPr>
          <w:b/>
          <w:bCs/>
        </w:rPr>
        <w:t xml:space="preserve">26.8</w:t>
      </w:r>
      <w:r>
        <w:rPr>
          <w:b/>
          <w:bCs/>
        </w:rPr>
        <w:t xml:space="preserve"> </w:t>
      </w:r>
      <w:r>
        <w:rPr>
          <w:b/>
          <w:bCs/>
        </w:rPr>
        <w:t xml:space="preserve">0.09</w:t>
      </w:r>
      <w:r>
        <w:rPr>
          <w:b/>
          <w:bCs/>
        </w:rPr>
        <w:t xml:space="preserve"> </w:t>
      </w:r>
      <w:r>
        <w:rPr>
          <w:b/>
          <w:bCs/>
        </w:rPr>
        <w:t xml:space="preserve">1.04</w:t>
      </w:r>
      <w:r>
        <w:rPr>
          <w:b/>
          <w:bCs/>
        </w:rPr>
        <w:t xml:space="preserve"> </w:t>
      </w:r>
      <w:r>
        <w:rPr>
          <w:b/>
          <w:bCs/>
        </w:rPr>
        <w:t xml:space="preserve">Benzyl butyl phthalate</w:t>
      </w:r>
      <w:r>
        <w:rPr>
          <w:b/>
          <w:bCs/>
        </w:rPr>
        <w:t xml:space="preserve"> </w:t>
      </w:r>
      <w:r>
        <w:rPr>
          <w:b/>
          <w:bCs/>
        </w:rPr>
        <w:t xml:space="preserve">(BBP)</w:t>
      </w:r>
      <w:r>
        <w:rPr>
          <w:b/>
          <w:bCs/>
        </w:rPr>
        <w:t xml:space="preserve"> </w:t>
      </w:r>
      <w:r>
        <w:rPr>
          <w:b/>
          <w:bCs/>
        </w:rPr>
        <w:t xml:space="preserve">201-</w:t>
      </w:r>
      <w:r>
        <w:rPr>
          <w:b/>
          <w:bCs/>
        </w:rPr>
        <w:t xml:space="preserve"> </w:t>
      </w:r>
      <w:r>
        <w:rPr>
          <w:b/>
          <w:bCs/>
        </w:rPr>
        <w:t xml:space="preserve">622-7</w:t>
      </w:r>
      <w:r>
        <w:rPr>
          <w:b/>
          <w:bCs/>
        </w:rPr>
        <w:t xml:space="preserve"> </w:t>
      </w:r>
      <w:r>
        <w:rPr>
          <w:b/>
          <w:bCs/>
        </w:rPr>
        <w:t xml:space="preserve">85-68-7</w:t>
      </w:r>
      <w:r>
        <w:rPr>
          <w:b/>
          <w:bCs/>
        </w:rPr>
        <w:t xml:space="preserve"> </w:t>
      </w:r>
      <w:r>
        <w:rPr>
          <w:b/>
          <w:bCs/>
        </w:rPr>
        <w:t xml:space="preserve">9.9</w:t>
      </w:r>
      <w:r>
        <w:rPr>
          <w:b/>
          <w:bCs/>
        </w:rPr>
        <w:t xml:space="preserve"> </w:t>
      </w:r>
      <w:r>
        <w:rPr>
          <w:b/>
          <w:bCs/>
        </w:rPr>
        <w:t xml:space="preserve">4.36</w:t>
      </w:r>
      <w:r>
        <w:rPr>
          <w:b/>
          <w:bCs/>
        </w:rPr>
        <w:t xml:space="preserve"> </w:t>
      </w:r>
      <w:r>
        <w:rPr>
          <w:b/>
          <w:bCs/>
        </w:rPr>
        <w:t xml:space="preserve">0.5</w:t>
      </w:r>
      <w:r>
        <w:rPr>
          <w:b/>
          <w:bCs/>
        </w:rPr>
        <w:t xml:space="preserve"> </w:t>
      </w:r>
      <w:r>
        <w:rPr>
          <w:b/>
          <w:bCs/>
        </w:rPr>
        <w:t xml:space="preserve">0.5</w:t>
      </w:r>
      <w:r>
        <w:rPr>
          <w:b/>
          <w:bCs/>
        </w:rPr>
        <w:t xml:space="preserve"> </w:t>
      </w:r>
      <w:r>
        <w:rPr>
          <w:b/>
          <w:bCs/>
        </w:rPr>
        <w:t xml:space="preserve">Dibutyl</w:t>
      </w:r>
      <w:r>
        <w:rPr>
          <w:b/>
          <w:bCs/>
        </w:rPr>
        <w:t xml:space="preserve"> </w:t>
      </w:r>
      <w:r>
        <w:rPr>
          <w:b/>
          <w:bCs/>
        </w:rPr>
        <w:t xml:space="preserve">phthalate</w:t>
      </w:r>
      <w:r>
        <w:rPr>
          <w:b/>
          <w:bCs/>
        </w:rPr>
        <w:t xml:space="preserve"> </w:t>
      </w:r>
      <w:r>
        <w:rPr>
          <w:b/>
          <w:bCs/>
        </w:rPr>
        <w:t xml:space="preserve">(DBP)</w:t>
      </w:r>
      <w:r>
        <w:rPr>
          <w:b/>
          <w:bCs/>
        </w:rPr>
        <w:t xml:space="preserve"> </w:t>
      </w:r>
      <w:r>
        <w:rPr>
          <w:b/>
          <w:bCs/>
        </w:rPr>
        <w:t xml:space="preserve">201-</w:t>
      </w:r>
      <w:r>
        <w:rPr>
          <w:b/>
          <w:bCs/>
        </w:rPr>
        <w:t xml:space="preserve"> </w:t>
      </w:r>
      <w:r>
        <w:rPr>
          <w:b/>
          <w:bCs/>
        </w:rPr>
        <w:t xml:space="preserve">557-4</w:t>
      </w:r>
      <w:r>
        <w:rPr>
          <w:b/>
          <w:bCs/>
        </w:rPr>
        <w:t xml:space="preserve"> </w:t>
      </w:r>
      <w:r>
        <w:rPr>
          <w:b/>
          <w:bCs/>
        </w:rPr>
        <w:t xml:space="preserve">84-74-2</w:t>
      </w:r>
      <w:r>
        <w:rPr>
          <w:b/>
          <w:bCs/>
        </w:rPr>
        <w:t xml:space="preserve"> </w:t>
      </w:r>
      <w:r>
        <w:rPr>
          <w:b/>
          <w:bCs/>
        </w:rPr>
        <w:t xml:space="preserve">0.13</w:t>
      </w:r>
      <w:r>
        <w:rPr>
          <w:b/>
          <w:bCs/>
        </w:rPr>
        <w:t xml:space="preserve"> </w:t>
      </w:r>
      <w:r>
        <w:rPr>
          <w:b/>
          <w:bCs/>
        </w:rPr>
        <w:t xml:space="preserve">0.13</w:t>
      </w:r>
      <w:r>
        <w:rPr>
          <w:b/>
          <w:bCs/>
        </w:rPr>
        <w:t xml:space="preserve"> </w:t>
      </w:r>
      <w:r>
        <w:rPr>
          <w:b/>
          <w:bCs/>
        </w:rPr>
        <w:t xml:space="preserve">0.007</w:t>
      </w:r>
      <w:r>
        <w:rPr>
          <w:b/>
          <w:bCs/>
        </w:rPr>
        <w:t xml:space="preserve"> </w:t>
      </w:r>
      <w:r>
        <w:rPr>
          <w:b/>
          <w:bCs/>
        </w:rPr>
        <w:t xml:space="preserve">0.007</w:t>
      </w:r>
      <w:r>
        <w:rPr>
          <w:b/>
          <w:bCs/>
        </w:rPr>
        <w:t xml:space="preserve"> </w:t>
      </w:r>
      <w:r>
        <w:rPr>
          <w:b/>
          <w:bCs/>
        </w:rPr>
        <w:t xml:space="preserve">Bis(2-ethylhexyl)</w:t>
      </w:r>
      <w:r>
        <w:rPr>
          <w:b/>
          <w:bCs/>
        </w:rPr>
        <w:t xml:space="preserve"> </w:t>
      </w:r>
      <w:r>
        <w:rPr>
          <w:b/>
          <w:bCs/>
        </w:rPr>
        <w:t xml:space="preserve">phthalate (DEHP)</w:t>
      </w:r>
      <w:r>
        <w:rPr>
          <w:b/>
          <w:bCs/>
        </w:rPr>
        <w:t xml:space="preserve"> </w:t>
      </w:r>
      <w:r>
        <w:rPr>
          <w:b/>
          <w:bCs/>
        </w:rPr>
        <w:t xml:space="preserve">204-</w:t>
      </w:r>
      <w:r>
        <w:rPr>
          <w:b/>
          <w:bCs/>
        </w:rPr>
        <w:t xml:space="preserve"> </w:t>
      </w:r>
      <w:r>
        <w:rPr>
          <w:b/>
          <w:bCs/>
        </w:rPr>
        <w:t xml:space="preserve">211-0</w:t>
      </w:r>
      <w:r>
        <w:rPr>
          <w:b/>
          <w:bCs/>
        </w:rPr>
        <w:t xml:space="preserve"> </w:t>
      </w:r>
      <w:r>
        <w:rPr>
          <w:b/>
          <w:bCs/>
        </w:rPr>
        <w:t xml:space="preserve">117-81-</w:t>
      </w:r>
      <w:r>
        <w:rPr>
          <w:b/>
          <w:bCs/>
        </w:rPr>
        <w:t xml:space="preserve"> </w:t>
      </w:r>
      <w:r>
        <w:rPr>
          <w:b/>
          <w:bCs/>
        </w:rPr>
        <w:t xml:space="preserve">7</w:t>
      </w:r>
      <w:r>
        <w:rPr>
          <w:b/>
          <w:bCs/>
        </w:rPr>
        <w:t xml:space="preserve"> </w:t>
      </w:r>
      <w:r>
        <w:rPr>
          <w:b/>
          <w:bCs/>
        </w:rPr>
        <w:t xml:space="preserve">0.88</w:t>
      </w:r>
      <w:r>
        <w:rPr>
          <w:b/>
          <w:bCs/>
        </w:rPr>
        <w:t xml:space="preserve"> </w:t>
      </w:r>
      <w:r>
        <w:rPr>
          <w:b/>
          <w:bCs/>
        </w:rPr>
        <w:t xml:space="preserve">1.6</w:t>
      </w:r>
      <w:r>
        <w:rPr>
          <w:b/>
          <w:bCs/>
        </w:rPr>
        <w:t xml:space="preserve"> </w:t>
      </w:r>
      <w:r>
        <w:rPr>
          <w:b/>
          <w:bCs/>
        </w:rPr>
        <w:t xml:space="preserve">0.034</w:t>
      </w:r>
      <w:r>
        <w:rPr>
          <w:b/>
          <w:bCs/>
        </w:rPr>
        <w:t xml:space="preserve"> </w:t>
      </w:r>
      <w:r>
        <w:rPr>
          <w:b/>
          <w:bCs/>
        </w:rPr>
        <w:t xml:space="preserve">0.036</w:t>
      </w:r>
      <w:r>
        <w:rPr>
          <w:b/>
          <w:bCs/>
        </w:rPr>
        <w:t xml:space="preserve"> </w:t>
      </w:r>
      <w:r>
        <w:rPr>
          <w:b/>
          <w:bCs/>
        </w:rPr>
        <w:t xml:space="preserve">Notes: * DNELs relate to long-term exposure (see text for details).</w:t>
      </w:r>
      <w:r>
        <w:rPr>
          <w:b/>
          <w:bCs/>
        </w:rPr>
        <w:t xml:space="preserve"> </w:t>
      </w:r>
      <w:r>
        <w:t xml:space="preserve"> </w:t>
      </w:r>
      <w:r>
        <w:t xml:space="preserve">REACH Registration dossier. *** DMEL for</w:t>
      </w:r>
      <w:r>
        <w:t xml:space="preserve"> </w:t>
      </w:r>
      <w:r>
        <w:t xml:space="preserve">carcinogenic effects.</w:t>
      </w:r>
    </w:p>
    <w:p>
      <w:pPr>
        <w:pStyle w:val="BodyText"/>
      </w:pPr>
      <w:r>
        <w:t xml:space="preserve">Differences between DNELs and OELs/IOELVs</w:t>
      </w:r>
      <w:r>
        <w:br/>
      </w:r>
      <w:r>
        <w:t xml:space="preserve">The restriction under REACH of the aprotic solvent N,N-dimethylformamide195 to fix a</w:t>
      </w:r>
      <w:r>
        <w:t xml:space="preserve"> </w:t>
      </w:r>
      <w:r>
        <w:t xml:space="preserve">‘harmonised DNEL’ for workers (inhalation and dermal) that shall be used by registrants of</w:t>
      </w:r>
      <w:r>
        <w:t xml:space="preserve"> </w:t>
      </w:r>
      <w:r>
        <w:t xml:space="preserve">this substance in their chemical safety report in order to determine the relevant risk</w:t>
      </w:r>
      <w:r>
        <w:t xml:space="preserve"> </w:t>
      </w:r>
      <w:r>
        <w:t xml:space="preserve">management measures for worker protection. However, harmonisation in this context only</w:t>
      </w:r>
      <w:r>
        <w:t xml:space="preserve"> </w:t>
      </w:r>
      <w:r>
        <w:t xml:space="preserve">relates to the REACH Regulation and other reference values remain in place, such as the</w:t>
      </w:r>
      <w:r>
        <w:t xml:space="preserve"> </w:t>
      </w:r>
      <w:r>
        <w:t xml:space="preserve">IOELV established by Commission Directive 2009/161/EU of 17 December 2009 (15 mg/m3</w:t>
      </w:r>
      <w:r>
        <w:t xml:space="preserve"> </w:t>
      </w:r>
      <w:r>
        <w:t xml:space="preserve">as opposed to the ‘harmonised DNEL’ of 6 mg/m3) that is also legally binding limit value</w:t>
      </w:r>
    </w:p>
    <w:p>
      <w:pPr>
        <w:pStyle w:val="BodyText"/>
      </w:pPr>
      <w:r>
        <w:t xml:space="preserve">194 https://echa.europa.eu/de/applying-for-authorisation/evaluating-applications</w:t>
      </w:r>
      <w:r>
        <w:t xml:space="preserve"> </w:t>
      </w:r>
      <w:r>
        <w:t xml:space="preserve">195 See REACH restriction undefined (europa.eu)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established under OSH legislation in many EU member states. For companies, the different</w:t>
      </w:r>
      <w:r>
        <w:t xml:space="preserve"> </w:t>
      </w:r>
      <w:r>
        <w:t xml:space="preserve">reference or limit values are confusing and the ‘harmonised DNEL’ does not resolve the</w:t>
      </w:r>
      <w:r>
        <w:t xml:space="preserve"> </w:t>
      </w:r>
      <w:r>
        <w:t xml:space="preserve">differences between REACH-DNELs and OELs.) that is also legally binding limit value</w:t>
      </w:r>
      <w:r>
        <w:t xml:space="preserve"> </w:t>
      </w:r>
      <w:r>
        <w:t xml:space="preserve">established under OSH legislation in many EU member states.</w:t>
      </w:r>
      <w:r>
        <w:t xml:space="preserve"> </w:t>
      </w:r>
      <w:r>
        <w:t xml:space="preserve">A large body of work investigating differences between OELs and DNELs is available. As</w:t>
      </w:r>
      <w:r>
        <w:t xml:space="preserve"> </w:t>
      </w:r>
      <w:r>
        <w:t xml:space="preserve">larger assessment factors are suggested to be used for DNELs (see below), DNELs are expected</w:t>
      </w:r>
      <w:r>
        <w:t xml:space="preserve"> </w:t>
      </w:r>
      <w:r>
        <w:t xml:space="preserve">to be lower than OELs for the same substance. This was observed by Schenk and Johanson</w:t>
      </w:r>
      <w:r>
        <w:t xml:space="preserve"> </w:t>
      </w:r>
      <w:r>
        <w:t xml:space="preserve">using the ECHA R.8 Guidance for several substances and comparing the resulting DNELs with</w:t>
      </w:r>
      <w:r>
        <w:t xml:space="preserve"> </w:t>
      </w:r>
      <w:r>
        <w:t xml:space="preserve">existing OELs as derived by the former Committee on Occupational Exposure Limits (SCOEL)</w:t>
      </w:r>
      <w:r>
        <w:t xml:space="preserve"> </w:t>
      </w:r>
      <w:r>
        <w:t xml:space="preserve">(Schenk and Johanson, 2011). For the example of styrene, Kreider and Spencer Williams</w:t>
      </w:r>
      <w:r>
        <w:t xml:space="preserve"> </w:t>
      </w:r>
      <w:r>
        <w:t xml:space="preserve">(2010) also concluded that the worker long-term DNEL according to the REACH Guidance</w:t>
      </w:r>
      <w:r>
        <w:t xml:space="preserve"> </w:t>
      </w:r>
      <w:r>
        <w:t xml:space="preserve">would be lower than OELs. However, when authors compared national OELs with existing</w:t>
      </w:r>
      <w:r>
        <w:t xml:space="preserve"> </w:t>
      </w:r>
      <w:r>
        <w:t xml:space="preserve">DNELs from registration dossiers no such differences were found. Partly, existing OELs were</w:t>
      </w:r>
      <w:r>
        <w:t xml:space="preserve"> </w:t>
      </w:r>
      <w:r>
        <w:t xml:space="preserve">used instead of deriving own DNELs (Nies et al., 2013; Schenk et al., 2015; Schenk et al.,</w:t>
      </w:r>
      <w:r>
        <w:t xml:space="preserve"> </w:t>
      </w:r>
      <w:r>
        <w:t xml:space="preserve">2014; Tynkkynen et al., 2015).</w:t>
      </w:r>
      <w:r>
        <w:br/>
      </w:r>
      <w:r>
        <w:t xml:space="preserve">These analyses are primarily based on comparisons of DNELs with national OELs (from</w:t>
      </w:r>
      <w:r>
        <w:t xml:space="preserve"> </w:t>
      </w:r>
      <w:r>
        <w:t xml:space="preserve">Sweden, Finland and Germany). Therefore, additional analyses were performed by comparing</w:t>
      </w:r>
      <w:r>
        <w:t xml:space="preserve"> </w:t>
      </w:r>
      <w:r>
        <w:t xml:space="preserve">long-term DNELs from REACH registration dossiers (taken from the DGUV list mentioned</w:t>
      </w:r>
      <w:r>
        <w:t xml:space="preserve"> </w:t>
      </w:r>
      <w:r>
        <w:t xml:space="preserve">above) with EU IOELVs. After data curation, 103 substances remained in the analysis. The</w:t>
      </w:r>
      <w:r>
        <w:t xml:space="preserve"> </w:t>
      </w:r>
      <w:r>
        <w:t xml:space="preserve">following table summarises the results of this evaluation and shows similar comparisons of</w:t>
      </w:r>
      <w:r>
        <w:t xml:space="preserve"> </w:t>
      </w:r>
      <w:r>
        <w:t xml:space="preserve">DNELs and IOELVs in two of the studies that also evaluated national OELs.</w:t>
      </w:r>
      <w:r>
        <w:t xml:space="preserve"> </w:t>
      </w:r>
      <w:r>
        <w:t xml:space="preserve">Table 74: Comparison of DNELs from REACH registration dossiers and IOELVs</w:t>
      </w:r>
    </w:p>
    <w:p>
      <w:pPr>
        <w:pStyle w:val="BodyText"/>
      </w:pPr>
      <w:r>
        <w:t xml:space="preserve">This study</w:t>
      </w:r>
      <w:r>
        <w:t xml:space="preserve"> </w:t>
      </w:r>
      <w:r>
        <w:t xml:space="preserve">Tynkkynen et al. </w:t>
      </w:r>
      <w:r>
        <w:t xml:space="preserve"> </w:t>
      </w:r>
      <w:r>
        <w:t xml:space="preserve">(2015)</w:t>
      </w:r>
      <w:r>
        <w:t xml:space="preserve"> </w:t>
      </w:r>
      <w:r>
        <w:t xml:space="preserve">Nies</w:t>
      </w:r>
      <w:r>
        <w:t xml:space="preserve"> </w:t>
      </w:r>
      <w:r>
        <w:t xml:space="preserve">et</w:t>
      </w:r>
      <w:r>
        <w:t xml:space="preserve"> </w:t>
      </w:r>
      <w:r>
        <w:t xml:space="preserve">al. </w:t>
      </w:r>
      <w:r>
        <w:t xml:space="preserve"> </w:t>
      </w:r>
      <w:r>
        <w:t xml:space="preserve">(2013)</w:t>
      </w:r>
      <w:r>
        <w:t xml:space="preserve"> </w:t>
      </w:r>
      <w:r>
        <w:t xml:space="preserve">N (total dataset)</w:t>
      </w:r>
      <w:r>
        <w:t xml:space="preserve"> </w:t>
      </w:r>
      <w:r>
        <w:t xml:space="preserve">103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DNEL = IOELV</w:t>
      </w:r>
      <w:r>
        <w:t xml:space="preserve"> </w:t>
      </w:r>
      <w:r>
        <w:t xml:space="preserve">58</w:t>
      </w:r>
      <w:r>
        <w:t xml:space="preserve"> </w:t>
      </w:r>
      <w:r>
        <w:t xml:space="preserve">56%</w:t>
      </w:r>
      <w:r>
        <w:t xml:space="preserve"> </w:t>
      </w:r>
      <w:r>
        <w:t xml:space="preserve">64</w:t>
      </w:r>
      <w:r>
        <w:t xml:space="preserve"> </w:t>
      </w:r>
      <w:r>
        <w:t xml:space="preserve">74%</w:t>
      </w:r>
      <w:r>
        <w:t xml:space="preserve"> </w:t>
      </w:r>
      <w:r>
        <w:t xml:space="preserve">71</w:t>
      </w:r>
      <w:r>
        <w:t xml:space="preserve"> </w:t>
      </w:r>
      <w:r>
        <w:t xml:space="preserve">75%</w:t>
      </w:r>
      <w:r>
        <w:t xml:space="preserve"> </w:t>
      </w:r>
      <w:r>
        <w:t xml:space="preserve">DNEL ≠ IOELV</w:t>
      </w:r>
      <w:r>
        <w:t xml:space="preserve"> </w:t>
      </w:r>
      <w:r>
        <w:t xml:space="preserve">45</w:t>
      </w:r>
      <w:r>
        <w:t xml:space="preserve"> </w:t>
      </w:r>
      <w:r>
        <w:t xml:space="preserve">44%</w:t>
      </w:r>
      <w:r>
        <w:t xml:space="preserve"> </w:t>
      </w:r>
      <w:r>
        <w:t xml:space="preserve">23</w:t>
      </w:r>
      <w:r>
        <w:t xml:space="preserve"> </w:t>
      </w:r>
      <w:r>
        <w:t xml:space="preserve">26%</w:t>
      </w:r>
      <w:r>
        <w:t xml:space="preserve"> </w:t>
      </w:r>
      <w:r>
        <w:t xml:space="preserve">24</w:t>
      </w:r>
      <w:r>
        <w:t xml:space="preserve"> </w:t>
      </w:r>
      <w:r>
        <w:t xml:space="preserve">25%</w:t>
      </w:r>
      <w:r>
        <w:t xml:space="preserve"> </w:t>
      </w:r>
      <w:r>
        <w:t xml:space="preserve">Of those with different DNELs and IOELVs</w:t>
      </w:r>
    </w:p>
    <w:p>
      <w:pPr>
        <w:pStyle w:val="BodyText"/>
      </w:pPr>
      <w:r>
        <w:t xml:space="preserve">DNEL &lt; IOELV</w:t>
      </w:r>
      <w:r>
        <w:t xml:space="preserve"> </w:t>
      </w:r>
      <w:r>
        <w:t xml:space="preserve">32</w:t>
      </w:r>
      <w:r>
        <w:t xml:space="preserve"> </w:t>
      </w:r>
      <w:r>
        <w:t xml:space="preserve">71%</w:t>
      </w:r>
      <w:r>
        <w:t xml:space="preserve"> </w:t>
      </w:r>
      <w:r>
        <w:t xml:space="preserve">18</w:t>
      </w:r>
      <w:r>
        <w:t xml:space="preserve"> </w:t>
      </w:r>
      <w:r>
        <w:t xml:space="preserve">78%</w:t>
      </w:r>
      <w:r>
        <w:t xml:space="preserve"> </w:t>
      </w:r>
      <w:r>
        <w:t xml:space="preserve">14</w:t>
      </w:r>
      <w:r>
        <w:t xml:space="preserve"> </w:t>
      </w:r>
      <w:r>
        <w:t xml:space="preserve">58%</w:t>
      </w:r>
      <w:r>
        <w:t xml:space="preserve"> </w:t>
      </w:r>
      <w:r>
        <w:t xml:space="preserve">DNEL &gt; IOELV</w:t>
      </w:r>
      <w:r>
        <w:t xml:space="preserve"> </w:t>
      </w:r>
      <w:r>
        <w:t xml:space="preserve">13</w:t>
      </w:r>
      <w:r>
        <w:t xml:space="preserve"> </w:t>
      </w:r>
      <w:r>
        <w:t xml:space="preserve">29%</w:t>
      </w:r>
      <w:r>
        <w:t xml:space="preserve"> </w:t>
      </w:r>
      <w:r>
        <w:t xml:space="preserve">5</w:t>
      </w:r>
      <w:r>
        <w:t xml:space="preserve"> </w:t>
      </w:r>
      <w:r>
        <w:t xml:space="preserve">22%</w:t>
      </w:r>
      <w:r>
        <w:t xml:space="preserve"> </w:t>
      </w:r>
      <w:r>
        <w:t xml:space="preserve">10</w:t>
      </w:r>
      <w:r>
        <w:t xml:space="preserve"> </w:t>
      </w:r>
      <w:r>
        <w:t xml:space="preserve">42%</w:t>
      </w:r>
      <w:r>
        <w:t xml:space="preserve"> </w:t>
      </w:r>
      <w:r>
        <w:t xml:space="preserve">Combined evaluation of total dataset</w:t>
      </w:r>
      <w:r>
        <w:t xml:space="preserve"> </w:t>
      </w:r>
      <w:r>
        <w:t xml:space="preserve">DNEL ≤ IOELV</w:t>
      </w:r>
      <w:r>
        <w:t xml:space="preserve"> </w:t>
      </w:r>
      <w:r>
        <w:t xml:space="preserve">90</w:t>
      </w:r>
      <w:r>
        <w:t xml:space="preserve"> </w:t>
      </w:r>
      <w:r>
        <w:t xml:space="preserve">87%</w:t>
      </w:r>
      <w:r>
        <w:t xml:space="preserve"> </w:t>
      </w:r>
      <w:r>
        <w:t xml:space="preserve">82</w:t>
      </w:r>
      <w:r>
        <w:t xml:space="preserve"> </w:t>
      </w:r>
      <w:r>
        <w:t xml:space="preserve">94%</w:t>
      </w:r>
      <w:r>
        <w:t xml:space="preserve"> </w:t>
      </w:r>
      <w:r>
        <w:t xml:space="preserve">85</w:t>
      </w:r>
      <w:r>
        <w:t xml:space="preserve"> </w:t>
      </w:r>
      <w:r>
        <w:t xml:space="preserve">89%</w:t>
      </w:r>
      <w:r>
        <w:t xml:space="preserve"> </w:t>
      </w:r>
      <w:r>
        <w:t xml:space="preserve">DNELs &lt; IOELV</w:t>
      </w:r>
      <w:r>
        <w:t xml:space="preserve"> </w:t>
      </w:r>
      <w:r>
        <w:t xml:space="preserve">32</w:t>
      </w:r>
      <w:r>
        <w:t xml:space="preserve"> </w:t>
      </w:r>
      <w:r>
        <w:t xml:space="preserve">31%</w:t>
      </w:r>
      <w:r>
        <w:t xml:space="preserve"> </w:t>
      </w:r>
      <w:r>
        <w:t xml:space="preserve">18</w:t>
      </w:r>
      <w:r>
        <w:t xml:space="preserve"> </w:t>
      </w:r>
      <w:r>
        <w:t xml:space="preserve">21%</w:t>
      </w:r>
      <w:r>
        <w:t xml:space="preserve"> </w:t>
      </w:r>
      <w:r>
        <w:t xml:space="preserve">14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This comparison demonstrates that (a) 15-31% of the DNELs are lower than the IOELVs and</w:t>
      </w:r>
      <w:r>
        <w:t xml:space="preserve"> </w:t>
      </w:r>
      <w:r>
        <w:t xml:space="preserve">(b) 87-94% of the DNELs are equal to or lower than the IOELVs. This result contrasts the</w:t>
      </w:r>
      <w:r>
        <w:t xml:space="preserve"> </w:t>
      </w:r>
      <w:r>
        <w:t xml:space="preserve">findings of the studies cited above. The most likely but implicit explanation is that national</w:t>
      </w:r>
      <w:r>
        <w:t xml:space="preserve"> </w:t>
      </w:r>
      <w:r>
        <w:t xml:space="preserve">OELs from Sweden, Finland and Germany are lower than the IOELVs in many cases, but these</w:t>
      </w:r>
      <w:r>
        <w:t xml:space="preserve"> </w:t>
      </w:r>
      <w:r>
        <w:t xml:space="preserve">studies did not compare national OELs with IOELVs.</w:t>
      </w:r>
      <w:r>
        <w:br/>
      </w:r>
      <w:r>
        <w:t xml:space="preserve">The quantitative analysis of non-identical IOELVs and DNELs shows that:</w:t>
      </w:r>
      <w:r>
        <w:t xml:space="preserve"> </w:t>
      </w:r>
      <w:r>
        <w:t xml:space="preserve"> If IOELVs are higher than DNELs (N=32), the difference is substantial (up to a factor</w:t>
      </w:r>
      <w:r>
        <w:t xml:space="preserve"> </w:t>
      </w:r>
      <w:r>
        <w:t xml:space="preserve">96) in several cases. For one third of the substances (11/32, 34%), the IOELV is more</w:t>
      </w:r>
      <w:r>
        <w:t xml:space="preserve"> </w:t>
      </w:r>
      <w:r>
        <w:t xml:space="preserve">than 5-times higher than the DNEL;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 If DNELs are higher than IOELVs (N=13), the difference is only about a factor of two</w:t>
      </w:r>
      <w:r>
        <w:t xml:space="preserve"> </w:t>
      </w:r>
      <w:r>
        <w:t xml:space="preserve">on average and a factor of 5 as a maximum.</w:t>
      </w:r>
      <w:r>
        <w:t xml:space="preserve"> </w:t>
      </w:r>
      <w:r>
        <w:t xml:space="preserve">The following table summarise the results of this evaluation:</w:t>
      </w:r>
      <w:r>
        <w:t xml:space="preserve"> </w:t>
      </w:r>
      <w:r>
        <w:t xml:space="preserve">Table 75: Comparison of DNELs with IOELVs for non-identical values</w:t>
      </w:r>
    </w:p>
    <w:p>
      <w:pPr>
        <w:pStyle w:val="BodyText"/>
      </w:pPr>
      <w:r>
        <w:t xml:space="preserve">IOELV</w:t>
      </w:r>
      <w:r>
        <w:t xml:space="preserve"> </w:t>
      </w:r>
      <w:r>
        <w:t xml:space="preserve">&gt;</w:t>
      </w:r>
      <w:r>
        <w:t xml:space="preserve"> </w:t>
      </w:r>
      <w:r>
        <w:t xml:space="preserve">DNEL</w:t>
      </w:r>
      <w:r>
        <w:t xml:space="preserve"> </w:t>
      </w:r>
      <w:r>
        <w:t xml:space="preserve">DNEL</w:t>
      </w:r>
      <w:r>
        <w:t xml:space="preserve"> </w:t>
      </w:r>
      <w:r>
        <w:t xml:space="preserve">&gt;</w:t>
      </w:r>
      <w:r>
        <w:t xml:space="preserve"> </w:t>
      </w:r>
      <w:r>
        <w:t xml:space="preserve">IOELV</w:t>
      </w:r>
      <w:r>
        <w:t xml:space="preserve"> </w:t>
      </w:r>
      <w:r>
        <w:t xml:space="preserve">N</w:t>
      </w:r>
      <w:r>
        <w:t xml:space="preserve"> </w:t>
      </w:r>
      <w:r>
        <w:t xml:space="preserve">32</w:t>
      </w:r>
      <w:r>
        <w:t xml:space="preserve"> </w:t>
      </w:r>
      <w:r>
        <w:t xml:space="preserve">13</w:t>
      </w:r>
      <w:r>
        <w:t xml:space="preserve"> </w:t>
      </w:r>
      <w:r>
        <w:t xml:space="preserve">AM</w:t>
      </w:r>
      <w:r>
        <w:t xml:space="preserve"> </w:t>
      </w:r>
      <w:r>
        <w:t xml:space="preserve">9.1</w:t>
      </w:r>
      <w:r>
        <w:t xml:space="preserve"> </w:t>
      </w:r>
      <w:r>
        <w:t xml:space="preserve">2.2</w:t>
      </w:r>
      <w:r>
        <w:t xml:space="preserve"> </w:t>
      </w:r>
      <w:r>
        <w:t xml:space="preserve">MEDIAN</w:t>
      </w:r>
      <w:r>
        <w:t xml:space="preserve"> </w:t>
      </w:r>
      <w:r>
        <w:t xml:space="preserve">2.7</w:t>
      </w:r>
      <w:r>
        <w:t xml:space="preserve"> </w:t>
      </w:r>
      <w:r>
        <w:t xml:space="preserve">1.7</w:t>
      </w:r>
      <w:r>
        <w:t xml:space="preserve"> </w:t>
      </w:r>
      <w:r>
        <w:t xml:space="preserve">GM</w:t>
      </w:r>
      <w:r>
        <w:t xml:space="preserve"> </w:t>
      </w:r>
      <w:r>
        <w:t xml:space="preserve">3.7</w:t>
      </w:r>
      <w:r>
        <w:t xml:space="preserve"> </w:t>
      </w:r>
      <w:r>
        <w:t xml:space="preserve">1.9</w:t>
      </w:r>
      <w:r>
        <w:t xml:space="preserve"> </w:t>
      </w:r>
      <w:r>
        <w:t xml:space="preserve">MIN</w:t>
      </w:r>
      <w:r>
        <w:t xml:space="preserve"> </w:t>
      </w:r>
      <w:r>
        <w:t xml:space="preserve">1.0*</w:t>
      </w:r>
      <w:r>
        <w:t xml:space="preserve"> </w:t>
      </w:r>
      <w:r>
        <w:t xml:space="preserve">1.0*</w:t>
      </w:r>
      <w:r>
        <w:t xml:space="preserve"> </w:t>
      </w:r>
      <w:r>
        <w:t xml:space="preserve">MAX</w:t>
      </w:r>
      <w:r>
        <w:t xml:space="preserve"> </w:t>
      </w:r>
      <w:r>
        <w:t xml:space="preserve">96</w:t>
      </w:r>
      <w:r>
        <w:t xml:space="preserve"> </w:t>
      </w:r>
      <w:r>
        <w:t xml:space="preserve">5.0</w:t>
      </w:r>
      <w:r>
        <w:t xml:space="preserve"> </w:t>
      </w:r>
      <w:r>
        <w:t xml:space="preserve">Number of substances with a &gt; 5-times higher value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Notes: * Rounded to two significant figures (exact values are slightly higher than 1)</w:t>
      </w:r>
    </w:p>
    <w:p>
      <w:pPr>
        <w:pStyle w:val="BodyText"/>
      </w:pPr>
      <w:r>
        <w:t xml:space="preserve">These evaluations support the notion that DNELs are generally equal to or lower than IOELVs.</w:t>
      </w:r>
      <w:r>
        <w:t xml:space="preserve"> </w:t>
      </w:r>
      <w:r>
        <w:t xml:space="preserve">The high level of agreement between DNELs and IOELVs may signal the use of IOELVs as</w:t>
      </w:r>
      <w:r>
        <w:t xml:space="preserve"> </w:t>
      </w:r>
      <w:r>
        <w:t xml:space="preserve">DNELs by registrants rather than deriving DNELs based on the REACH methodology (ECHA,</w:t>
      </w:r>
      <w:r>
        <w:t xml:space="preserve"> </w:t>
      </w:r>
      <w:r>
        <w:t xml:space="preserve">2012). Such an approach is in agreement with provisions in ECHA (2012) allowing registrants</w:t>
      </w:r>
      <w:r>
        <w:t xml:space="preserve"> </w:t>
      </w:r>
      <w:r>
        <w:t xml:space="preserve">‘to use an IOEL as a DNEL for the same exposure route and duration, unless new scientific</w:t>
      </w:r>
      <w:r>
        <w:t xml:space="preserve"> </w:t>
      </w:r>
      <w:r>
        <w:t xml:space="preserve">information that he has obtained in fulfilling his obligations under REACH does not support</w:t>
      </w:r>
      <w:r>
        <w:t xml:space="preserve"> </w:t>
      </w:r>
      <w:r>
        <w:t xml:space="preserve">the use of the IOEL for this purpose’ (ECHA, 2012). In such a case, the application of</w:t>
      </w:r>
      <w:r>
        <w:t xml:space="preserve"> </w:t>
      </w:r>
      <w:r>
        <w:t xml:space="preserve">assessment factors as specified in ECHA, 2012. becomes obsolete. As noted by Tynkkynen et</w:t>
      </w:r>
      <w:r>
        <w:t xml:space="preserve"> </w:t>
      </w:r>
      <w:r>
        <w:t xml:space="preserve">al. (2015), ‘registrants have taken advantage of the opportunity to use the IOELV as a DNEL</w:t>
      </w:r>
      <w:r>
        <w:t xml:space="preserve"> </w:t>
      </w:r>
      <w:r>
        <w:t xml:space="preserve">value as such. It can be assumed that at least in some cases, the DNEL would have been</w:t>
      </w:r>
      <w:r>
        <w:t xml:space="preserve"> </w:t>
      </w:r>
      <w:r>
        <w:t xml:space="preserve">significantly lower than the IOELV if the default assessment factors published in the REACH</w:t>
      </w:r>
      <w:r>
        <w:t xml:space="preserve"> </w:t>
      </w:r>
      <w:r>
        <w:t xml:space="preserve">guidance (ECHA, 2012) had been applied.’</w:t>
      </w:r>
      <w:r>
        <w:br/>
      </w:r>
      <w:r>
        <w:t xml:space="preserve">The finding that most of the DNELs differing from an existing IOELV are lower than the</w:t>
      </w:r>
      <w:r>
        <w:t xml:space="preserve"> </w:t>
      </w:r>
      <w:r>
        <w:t xml:space="preserve">IOELV further supports the notion that the application of larger assessment factors will result</w:t>
      </w:r>
      <w:r>
        <w:t xml:space="preserve"> </w:t>
      </w:r>
      <w:r>
        <w:t xml:space="preserve">in DNELs that are lower than IOELVs. However, DNELs derived under REACH may also</w:t>
      </w:r>
      <w:r>
        <w:t xml:space="preserve"> </w:t>
      </w:r>
      <w:r>
        <w:t xml:space="preserve">reflect more recent data that may potentially result in a revision of DNELs (presumably towards</w:t>
      </w:r>
      <w:r>
        <w:t xml:space="preserve"> </w:t>
      </w:r>
      <w:r>
        <w:t xml:space="preserve">lower values in many cases). National OELs may also be lower than IOELVs and a difference</w:t>
      </w:r>
      <w:r>
        <w:t xml:space="preserve"> </w:t>
      </w:r>
      <w:r>
        <w:t xml:space="preserve">between DNELs and national OELs may therefore not be evident statistically.</w:t>
      </w:r>
      <w:r>
        <w:t xml:space="preserve"> </w:t>
      </w:r>
      <w:r>
        <w:t xml:space="preserve">Differences between DNELs and values in other regulatory areas (AELs, AOELs, ADIs/TDIs)</w:t>
      </w:r>
      <w:r>
        <w:br/>
      </w:r>
      <w:r>
        <w:t xml:space="preserve">AOELs (Acceptable Operator Exposure Levels) and AELs (Acceptable Exposure Levels) are</w:t>
      </w:r>
      <w:r>
        <w:t xml:space="preserve"> </w:t>
      </w:r>
      <w:r>
        <w:t xml:space="preserve">derived for workers exposed to pesticides and biocides, respectively, and have similar</w:t>
      </w:r>
      <w:r>
        <w:t xml:space="preserve"> </w:t>
      </w:r>
      <w:r>
        <w:t xml:space="preserve">definitions as DNELs (EC, 2006; ECHA, 2017f)). However, several important differences in</w:t>
      </w:r>
      <w:r>
        <w:t xml:space="preserve"> </w:t>
      </w:r>
      <w:r>
        <w:t xml:space="preserve">their derivation methodology are obvious. For example, no allometric scaling is recommended</w:t>
      </w:r>
      <w:r>
        <w:t xml:space="preserve"> </w:t>
      </w:r>
      <w:r>
        <w:t xml:space="preserve">in the draft guidance for setting AOELs (EC, 2006) and is recommended only as a second tier</w:t>
      </w:r>
      <w:r>
        <w:t xml:space="preserve"> </w:t>
      </w:r>
      <w:r>
        <w:t xml:space="preserve">approach for biocides (ECHA, 2017f). In addition, a higher assessment factor for intraspecies</w:t>
      </w:r>
      <w:r>
        <w:t xml:space="preserve"> </w:t>
      </w:r>
      <w:r>
        <w:t xml:space="preserve">variability (10) is used in these frameworks compared to REACH (5 for workers in ECHA R.8</w:t>
      </w:r>
      <w:r>
        <w:t xml:space="preserve"> </w:t>
      </w:r>
      <w:r>
        <w:t xml:space="preserve">Guidance, lower values in national OEL frameworks and in the ECETOC documentation</w:t>
      </w:r>
      <w:r>
        <w:t xml:space="preserve"> </w:t>
      </w:r>
      <w:r>
        <w:t xml:space="preserve">(ECETOC, 2003; 2010)). Finally, AOELs and AELs for workers are generally derived as a</w:t>
      </w:r>
      <w:r>
        <w:t xml:space="preserve"> </w:t>
      </w:r>
      <w:r>
        <w:t xml:space="preserve">dose (in mg/kg bw/d; exceptions apply e.g. for local effects), while workers DNELs for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inhalation exposure are typically given as a concentration in mg/m3 (Schneider and Dilger,</w:t>
      </w:r>
      <w:r>
        <w:t xml:space="preserve"> </w:t>
      </w:r>
      <w:r>
        <w:t xml:space="preserve">2019). For a detailed assessment of differences, we refer to the results from the BAuA research</w:t>
      </w:r>
      <w:r>
        <w:t xml:space="preserve"> </w:t>
      </w:r>
      <w:r>
        <w:t xml:space="preserve">project F2437.196</w:t>
      </w:r>
      <w:r>
        <w:br/>
      </w:r>
      <w:r>
        <w:t xml:space="preserve">Similarly, also ADI or TDI values derived for substances in food are derived using a 10 times</w:t>
      </w:r>
      <w:r>
        <w:t xml:space="preserve"> </w:t>
      </w:r>
      <w:r>
        <w:t xml:space="preserve">10 assessment factor for inter- and intraspecies variability (100 in total), which is numerically</w:t>
      </w:r>
      <w:r>
        <w:t xml:space="preserve"> </w:t>
      </w:r>
      <w:r>
        <w:t xml:space="preserve">in accordance with the factors recommended by ECHA in the R.8 Guidance for DNELs, oral,</w:t>
      </w:r>
      <w:r>
        <w:t xml:space="preserve"> </w:t>
      </w:r>
      <w:r>
        <w:t xml:space="preserve">long-term for the general population, if the POD comes from a chronic rat study. However, for</w:t>
      </w:r>
      <w:r>
        <w:t xml:space="preserve"> </w:t>
      </w:r>
      <w:r>
        <w:t xml:space="preserve">smaller (e.g. mice) or larger species (e.g. rabbit) different factors would result. Nickel salts are</w:t>
      </w:r>
      <w:r>
        <w:t xml:space="preserve"> </w:t>
      </w:r>
      <w:r>
        <w:t xml:space="preserve">an example for substances, for which values are derived both under REACH and by EFSA</w:t>
      </w:r>
      <w:r>
        <w:t xml:space="preserve"> </w:t>
      </w:r>
      <w:r>
        <w:t xml:space="preserve">regarding their role as food contaminants. Recently, EFSA proposed a long-term TDI value of</w:t>
      </w:r>
      <w:r>
        <w:t xml:space="preserve"> </w:t>
      </w:r>
      <w:r>
        <w:t xml:space="preserve">13 µg Ni/kg bw/day.197 A similar long-term oral DNEL for the general population of 11 µg</w:t>
      </w:r>
      <w:r>
        <w:t xml:space="preserve"> </w:t>
      </w:r>
      <w:r>
        <w:t xml:space="preserve">Ni/kg bw/day was derived in the registration dossier for nickel dichloride.</w:t>
      </w:r>
      <w:r>
        <w:br/>
      </w:r>
      <w:r>
        <w:t xml:space="preserve">To obtained more insight into different reference values in different regulatory areas, worker</w:t>
      </w:r>
      <w:r>
        <w:t xml:space="preserve"> </w:t>
      </w:r>
      <w:r>
        <w:t xml:space="preserve">DNELs derived under REACH were compared with A(O)ELs derived under the BPR for a</w:t>
      </w:r>
      <w:r>
        <w:t xml:space="preserve"> </w:t>
      </w:r>
      <w:r>
        <w:t xml:space="preserve">larger number of substances. Only long-term inhalation reference values were evaluated for</w:t>
      </w:r>
      <w:r>
        <w:t xml:space="preserve"> </w:t>
      </w:r>
      <w:r>
        <w:t xml:space="preserve">this purpose. In addition, the corresponding reference values for the general population were</w:t>
      </w:r>
      <w:r>
        <w:t xml:space="preserve"> </w:t>
      </w:r>
      <w:r>
        <w:t xml:space="preserve">also evaluated as were PNECs for the freshwater (PNECfw) compartment. The following table</w:t>
      </w:r>
      <w:r>
        <w:t xml:space="preserve"> </w:t>
      </w:r>
      <w:r>
        <w:t xml:space="preserve">shows the results of these evaluations. Cells are empty, when no numerical value has been</w:t>
      </w:r>
      <w:r>
        <w:t xml:space="preserve"> </w:t>
      </w:r>
      <w:r>
        <w:t xml:space="preserve">derived. In many cases, a reason is provided in the corresponding documentation.</w:t>
      </w:r>
    </w:p>
    <w:p>
      <w:pPr>
        <w:pStyle w:val="BodyText"/>
      </w:pPr>
      <w:r>
        <w:t xml:space="preserve">196 BAUA, Derivation of occupational exposure limits for airborne chemicals - Comparison of methods and</w:t>
      </w:r>
      <w:r>
        <w:t xml:space="preserve"> </w:t>
      </w:r>
      <w:r>
        <w:t xml:space="preserve">protection levels, available at: https://www.baua.de/EN/Tasks/Research/Research-projects/f2437.html</w:t>
      </w:r>
      <w:r>
        <w:t xml:space="preserve"> </w:t>
      </w:r>
      <w:r>
        <w:t xml:space="preserve">197 EFSA, Scientific Opinion, Update of the risk assessment of nickel in food and drinking water, 2020, available</w:t>
      </w:r>
      <w:r>
        <w:t xml:space="preserve"> </w:t>
      </w:r>
      <w:r>
        <w:t xml:space="preserve">at https://efsa.onlinelibrary.wiley.com/doi/pdf/10.2903/j.efsa.2020.6268</w:t>
      </w:r>
    </w:p>
    <w:p>
      <w:pPr>
        <w:pStyle w:val="BodyText"/>
      </w:pPr>
      <w:r>
        <w:t xml:space="preserve">250</w:t>
      </w:r>
      <w:r>
        <w:t xml:space="preserve"> </w:t>
      </w:r>
      <w:r>
        <w:t xml:space="preserve">Table 76: Comparison of reference values for substances used as industrial chemicals (REACH) and biocides (BPR)</w:t>
      </w:r>
      <w:r>
        <w:t xml:space="preserve"> </w:t>
      </w:r>
      <w:r>
        <w:t xml:space="preserve">Substance name</w:t>
      </w:r>
      <w:r>
        <w:t xml:space="preserve"> </w:t>
      </w:r>
      <w:r>
        <w:t xml:space="preserve">CAS no.</w:t>
      </w:r>
      <w:r>
        <w:t xml:space="preserve"> </w:t>
      </w:r>
      <w:r>
        <w:t xml:space="preserve">Workers (mg/m3)</w:t>
      </w:r>
      <w:r>
        <w:t xml:space="preserve"> </w:t>
      </w:r>
      <w:r>
        <w:t xml:space="preserve">General population (mg/kg x d)</w:t>
      </w:r>
      <w:r>
        <w:t xml:space="preserve"> </w:t>
      </w:r>
      <w:r>
        <w:t xml:space="preserve">PNECfw (mg/L)</w:t>
      </w:r>
      <w:r>
        <w:t xml:space="preserve"> </w:t>
      </w:r>
      <w:r>
        <w:t xml:space="preserve">DNEL</w:t>
      </w:r>
      <w:r>
        <w:t xml:space="preserve"> </w:t>
      </w:r>
      <w:r>
        <w:t xml:space="preserve">A(O)EL</w:t>
      </w:r>
      <w:r>
        <w:t xml:space="preserve"> </w:t>
      </w:r>
      <w:r>
        <w:t xml:space="preserve">DNEL</w:t>
      </w:r>
      <w:r>
        <w:t xml:space="preserve"> </w:t>
      </w:r>
      <w:r>
        <w:t xml:space="preserve">ADI/AEL</w:t>
      </w:r>
      <w:r>
        <w:t xml:space="preserve"> </w:t>
      </w:r>
      <w:r>
        <w:t xml:space="preserve">REACH</w:t>
      </w:r>
      <w:r>
        <w:t xml:space="preserve"> </w:t>
      </w:r>
      <w:r>
        <w:t xml:space="preserve">BPR</w:t>
      </w:r>
      <w:r>
        <w:t xml:space="preserve"> </w:t>
      </w:r>
      <w:r>
        <w:t xml:space="preserve">Acrylaldehyde</w:t>
      </w:r>
      <w:r>
        <w:t xml:space="preserve"> </w:t>
      </w:r>
      <w:r>
        <w:t xml:space="preserve">(acrolein)</w:t>
      </w:r>
      <w:r>
        <w:t xml:space="preserve"> </w:t>
      </w:r>
      <w:r>
        <w:t xml:space="preserve">107-02-8</w:t>
      </w:r>
      <w:r>
        <w:t xml:space="preserve"> </w:t>
      </w:r>
      <w:r>
        <w:t xml:space="preserve">0.2</w:t>
      </w:r>
      <w:r>
        <w:t xml:space="preserve"> </w:t>
      </w:r>
      <w:r>
        <w:t xml:space="preserve">0.019</w:t>
      </w:r>
    </w:p>
    <w:p>
      <w:pPr>
        <w:pStyle w:val="BodyText"/>
      </w:pPr>
      <w:r>
        <w:t xml:space="preserve">7 x 10-5</w:t>
      </w:r>
      <w:r>
        <w:t xml:space="preserve"> </w:t>
      </w:r>
      <w:r>
        <w:t xml:space="preserve">1.02 x 10-4</w:t>
      </w:r>
      <w:r>
        <w:t xml:space="preserve"> </w:t>
      </w:r>
      <w:r>
        <w:t xml:space="preserve">Piperonyl butoxide</w:t>
      </w:r>
      <w:r>
        <w:t xml:space="preserve"> </w:t>
      </w:r>
      <w:r>
        <w:t xml:space="preserve">51-03-6</w:t>
      </w:r>
      <w:r>
        <w:t xml:space="preserve"> </w:t>
      </w:r>
      <w:r>
        <w:t xml:space="preserve">1.6</w:t>
      </w:r>
      <w:r>
        <w:t xml:space="preserve"> </w:t>
      </w:r>
      <w:r>
        <w:t xml:space="preserve">1.4</w:t>
      </w:r>
      <w:r>
        <w:t xml:space="preserve"> </w:t>
      </w:r>
      <w:r>
        <w:t xml:space="preserve">0.221</w:t>
      </w:r>
      <w:r>
        <w:t xml:space="preserve"> </w:t>
      </w:r>
      <w:r>
        <w:t xml:space="preserve">0.2</w:t>
      </w:r>
      <w:r>
        <w:t xml:space="preserve"> </w:t>
      </w:r>
      <w:r>
        <w:t xml:space="preserve">0.001</w:t>
      </w:r>
      <w:r>
        <w:t xml:space="preserve"> </w:t>
      </w:r>
      <w:r>
        <w:t xml:space="preserve">0.00148</w:t>
      </w:r>
      <w:r>
        <w:t xml:space="preserve"> </w:t>
      </w:r>
      <w:r>
        <w:t xml:space="preserve">3-iodo-2-</w:t>
      </w:r>
      <w:r>
        <w:t xml:space="preserve"> </w:t>
      </w:r>
      <w:r>
        <w:t xml:space="preserve">propynylbutylcarbamat</w:t>
      </w:r>
      <w:r>
        <w:t xml:space="preserve"> </w:t>
      </w:r>
      <w:r>
        <w:t xml:space="preserve">e (IPBC)</w:t>
      </w:r>
      <w:r>
        <w:t xml:space="preserve"> </w:t>
      </w:r>
      <w:r>
        <w:t xml:space="preserve">55406-53-6</w:t>
      </w:r>
      <w:r>
        <w:t xml:space="preserve"> </w:t>
      </w:r>
      <w:r>
        <w:t xml:space="preserve">0.023</w:t>
      </w:r>
      <w:r>
        <w:t xml:space="preserve"> </w:t>
      </w:r>
      <w:r>
        <w:t xml:space="preserve">1.4</w:t>
      </w:r>
    </w:p>
    <w:p>
      <w:pPr>
        <w:pStyle w:val="BodyText"/>
      </w:pPr>
      <w:r>
        <w:t xml:space="preserve">0.2</w:t>
      </w:r>
      <w:r>
        <w:t xml:space="preserve"> </w:t>
      </w:r>
      <w:r>
        <w:t xml:space="preserve">0.001</w:t>
      </w:r>
      <w:r>
        <w:t xml:space="preserve"> </w:t>
      </w:r>
      <w:r>
        <w:t xml:space="preserve">0.0005</w:t>
      </w:r>
      <w:r>
        <w:t xml:space="preserve"> </w:t>
      </w:r>
      <w:r>
        <w:t xml:space="preserve">Benzoic acid</w:t>
      </w:r>
      <w:r>
        <w:t xml:space="preserve"> </w:t>
      </w:r>
      <w:r>
        <w:t xml:space="preserve">65-85-0</w:t>
      </w:r>
      <w:r>
        <w:t xml:space="preserve"> </w:t>
      </w:r>
      <w:r>
        <w:t xml:space="preserve">0.1 (LOC), 3</w:t>
      </w:r>
      <w:r>
        <w:t xml:space="preserve"> </w:t>
      </w:r>
      <w:r>
        <w:t xml:space="preserve">(SYS)</w:t>
      </w:r>
      <w:r>
        <w:t xml:space="preserve"> </w:t>
      </w:r>
      <w:r>
        <w:t xml:space="preserve">35§</w:t>
      </w:r>
      <w:r>
        <w:t xml:space="preserve"> </w:t>
      </w:r>
      <w:r>
        <w:t xml:space="preserve">16.6</w:t>
      </w:r>
      <w:r>
        <w:t xml:space="preserve"> </w:t>
      </w:r>
      <w:r>
        <w:t xml:space="preserve">5</w:t>
      </w:r>
      <w:r>
        <w:t xml:space="preserve"> </w:t>
      </w:r>
      <w:r>
        <w:t xml:space="preserve">0.34</w:t>
      </w:r>
      <w:r>
        <w:t xml:space="preserve"> </w:t>
      </w:r>
      <w:r>
        <w:t xml:space="preserve">2.5</w:t>
      </w:r>
      <w:r>
        <w:t xml:space="preserve"> </w:t>
      </w:r>
      <w:r>
        <w:t xml:space="preserve">Biphenyl-2-ol</w:t>
      </w:r>
      <w:r>
        <w:t xml:space="preserve"> </w:t>
      </w:r>
      <w:r>
        <w:t xml:space="preserve">90-43-7</w:t>
      </w:r>
      <w:r>
        <w:t xml:space="preserve"> </w:t>
      </w:r>
      <w:r>
        <w:t xml:space="preserve">19.25</w:t>
      </w:r>
      <w:r>
        <w:t xml:space="preserve"> </w:t>
      </w:r>
      <w:r>
        <w:t xml:space="preserve">2.8</w:t>
      </w:r>
      <w:r>
        <w:t xml:space="preserve"> </w:t>
      </w:r>
      <w:r>
        <w:t xml:space="preserve">0.4</w:t>
      </w:r>
    </w:p>
    <w:p>
      <w:pPr>
        <w:pStyle w:val="BodyText"/>
      </w:pPr>
      <w:r>
        <w:t xml:space="preserve">0.001</w:t>
      </w:r>
      <w:r>
        <w:t xml:space="preserve"> </w:t>
      </w:r>
      <w:r>
        <w:t xml:space="preserve">0.0006</w:t>
      </w:r>
      <w:r>
        <w:t xml:space="preserve"> </w:t>
      </w:r>
      <w:r>
        <w:t xml:space="preserve">Boric acid (as mg B)</w:t>
      </w:r>
      <w:r>
        <w:t xml:space="preserve"> </w:t>
      </w:r>
      <w:r>
        <w:t xml:space="preserve">10043-35-3</w:t>
      </w:r>
      <w:r>
        <w:t xml:space="preserve"> </w:t>
      </w:r>
      <w:r>
        <w:t xml:space="preserve">1.45</w:t>
      </w:r>
      <w:r>
        <w:t xml:space="preserve"> </w:t>
      </w:r>
      <w:r>
        <w:t xml:space="preserve">0.7</w:t>
      </w:r>
      <w:r>
        <w:t xml:space="preserve"> </w:t>
      </w:r>
      <w:r>
        <w:t xml:space="preserve">0.17</w:t>
      </w:r>
    </w:p>
    <w:p>
      <w:pPr>
        <w:pStyle w:val="BodyText"/>
      </w:pPr>
      <w:r>
        <w:t xml:space="preserve">2.9</w:t>
      </w:r>
      <w:r>
        <w:t xml:space="preserve"> </w:t>
      </w:r>
      <w:r>
        <w:t xml:space="preserve">0.18</w:t>
      </w:r>
      <w:r>
        <w:t xml:space="preserve"> </w:t>
      </w:r>
      <w:r>
        <w:t xml:space="preserve">Bromoacetic acid</w:t>
      </w:r>
      <w:r>
        <w:t xml:space="preserve"> </w:t>
      </w:r>
      <w:r>
        <w:t xml:space="preserve">79-08-3</w:t>
      </w:r>
      <w:r>
        <w:t xml:space="preserve"> </w:t>
      </w:r>
      <w:r>
        <w:t xml:space="preserve">2.8</w:t>
      </w:r>
      <w:r>
        <w:t xml:space="preserve"> </w:t>
      </w:r>
      <w:r>
        <w:t xml:space="preserve">0.054</w:t>
      </w:r>
      <w:r>
        <w:t xml:space="preserve"> </w:t>
      </w:r>
      <w:r>
        <w:t xml:space="preserve">0.05</w:t>
      </w:r>
      <w:r>
        <w:t xml:space="preserve"> </w:t>
      </w:r>
      <w:r>
        <w:t xml:space="preserve">0.026</w:t>
      </w:r>
      <w:r>
        <w:t xml:space="preserve"> </w:t>
      </w:r>
      <w:r>
        <w:t xml:space="preserve">0.01</w:t>
      </w:r>
      <w:r>
        <w:t xml:space="preserve"> </w:t>
      </w:r>
      <w:r>
        <w:t xml:space="preserve">0.010</w:t>
      </w:r>
      <w:r>
        <w:t xml:space="preserve"> </w:t>
      </w:r>
      <w:r>
        <w:t xml:space="preserve">Calcium dihydroxide</w:t>
      </w:r>
      <w:r>
        <w:t xml:space="preserve"> </w:t>
      </w:r>
      <w:r>
        <w:t xml:space="preserve">1305-62-0</w:t>
      </w:r>
      <w:r>
        <w:t xml:space="preserve"> </w:t>
      </w:r>
      <w:r>
        <w:t xml:space="preserve">1 (LOC)</w:t>
      </w:r>
    </w:p>
    <w:p>
      <w:pPr>
        <w:pStyle w:val="BodyText"/>
      </w:pPr>
      <w:r>
        <w:t xml:space="preserve">0.49</w:t>
      </w:r>
      <w:r>
        <w:t xml:space="preserve"> </w:t>
      </w:r>
      <w:r>
        <w:t xml:space="preserve">0.491</w:t>
      </w:r>
      <w:r>
        <w:t xml:space="preserve"> </w:t>
      </w:r>
      <w:r>
        <w:t xml:space="preserve">Calcium</w:t>
      </w:r>
      <w:r>
        <w:t xml:space="preserve"> </w:t>
      </w:r>
      <w:r>
        <w:t xml:space="preserve">magnesium</w:t>
      </w:r>
      <w:r>
        <w:t xml:space="preserve"> </w:t>
      </w:r>
      <w:r>
        <w:t xml:space="preserve">oxide</w:t>
      </w:r>
      <w:r>
        <w:t xml:space="preserve"> </w:t>
      </w:r>
      <w:r>
        <w:t xml:space="preserve">37247-91-9</w:t>
      </w:r>
      <w:r>
        <w:t xml:space="preserve"> </w:t>
      </w:r>
      <w:r>
        <w:t xml:space="preserve">1 (LOC)</w:t>
      </w:r>
    </w:p>
    <w:p>
      <w:pPr>
        <w:pStyle w:val="BodyText"/>
      </w:pPr>
      <w:r>
        <w:t xml:space="preserve">0.32</w:t>
      </w:r>
      <w:r>
        <w:t xml:space="preserve"> </w:t>
      </w:r>
      <w:r>
        <w:t xml:space="preserve">0.491</w:t>
      </w:r>
      <w:r>
        <w:t xml:space="preserve"> </w:t>
      </w:r>
      <w:r>
        <w:t xml:space="preserve">Chlorocresol</w:t>
      </w:r>
      <w:r>
        <w:t xml:space="preserve"> </w:t>
      </w:r>
      <w:r>
        <w:t xml:space="preserve">59-50-7</w:t>
      </w:r>
      <w:r>
        <w:t xml:space="preserve"> </w:t>
      </w:r>
      <w:r>
        <w:t xml:space="preserve">6.289</w:t>
      </w:r>
      <w:r>
        <w:t xml:space="preserve"> </w:t>
      </w:r>
      <w:r>
        <w:t xml:space="preserve">2.1§</w:t>
      </w:r>
      <w:r>
        <w:t xml:space="preserve"> </w:t>
      </w:r>
      <w:r>
        <w:t xml:space="preserve">0.892</w:t>
      </w:r>
      <w:r>
        <w:t xml:space="preserve"> </w:t>
      </w:r>
      <w:r>
        <w:t xml:space="preserve">0.3</w:t>
      </w:r>
      <w:r>
        <w:t xml:space="preserve"> </w:t>
      </w:r>
      <w:r>
        <w:t xml:space="preserve">0.015</w:t>
      </w:r>
      <w:r>
        <w:t xml:space="preserve"> </w:t>
      </w:r>
      <w:r>
        <w:t xml:space="preserve">0.015</w:t>
      </w:r>
      <w:r>
        <w:t xml:space="preserve"> </w:t>
      </w:r>
      <w:r>
        <w:t xml:space="preserve">Coco</w:t>
      </w:r>
      <w:r>
        <w:t xml:space="preserve"> </w:t>
      </w:r>
      <w:r>
        <w:t xml:space="preserve">alkyltrimethylammoniu</w:t>
      </w:r>
      <w:r>
        <w:t xml:space="preserve"> </w:t>
      </w:r>
      <w:r>
        <w:t xml:space="preserve">m</w:t>
      </w:r>
      <w:r>
        <w:t xml:space="preserve"> </w:t>
      </w:r>
      <w:r>
        <w:t xml:space="preserve">chloride</w:t>
      </w:r>
      <w:r>
        <w:t xml:space="preserve"> </w:t>
      </w:r>
      <w:r>
        <w:t xml:space="preserve">(ATMAC/TMAC)</w:t>
      </w:r>
      <w:r>
        <w:t xml:space="preserve"> </w:t>
      </w:r>
      <w:r>
        <w:t xml:space="preserve">61789-18-2</w:t>
      </w:r>
      <w:r>
        <w:t xml:space="preserve"> </w:t>
      </w:r>
      <w:r>
        <w:t xml:space="preserve">1 (LOC)</w:t>
      </w:r>
    </w:p>
    <w:p>
      <w:pPr>
        <w:pStyle w:val="BodyText"/>
      </w:pPr>
      <w:r>
        <w:t xml:space="preserve">0.00068</w:t>
      </w:r>
    </w:p>
    <w:p>
      <w:pPr>
        <w:pStyle w:val="BodyText"/>
      </w:pPr>
      <w:r>
        <w:t xml:space="preserve">Formaldehyde</w:t>
      </w:r>
      <w:r>
        <w:t xml:space="preserve"> </w:t>
      </w:r>
      <w:r>
        <w:t xml:space="preserve">50-00-0</w:t>
      </w:r>
      <w:r>
        <w:t xml:space="preserve"> </w:t>
      </w:r>
      <w:r>
        <w:t xml:space="preserve">0.375 (LOC);</w:t>
      </w:r>
      <w:r>
        <w:t xml:space="preserve"> </w:t>
      </w:r>
      <w:r>
        <w:t xml:space="preserve">9 (SYS)</w:t>
      </w:r>
      <w:r>
        <w:t xml:space="preserve"> </w:t>
      </w:r>
      <w:r>
        <w:t xml:space="preserve">0.12</w:t>
      </w:r>
      <w:r>
        <w:t xml:space="preserve"> </w:t>
      </w:r>
      <w:r>
        <w:t xml:space="preserve">(AEC,</w:t>
      </w:r>
      <w:r>
        <w:t xml:space="preserve"> </w:t>
      </w:r>
      <w:r>
        <w:t xml:space="preserve">LOC)</w:t>
      </w:r>
      <w:r>
        <w:t xml:space="preserve"> </w:t>
      </w:r>
      <w:r>
        <w:t xml:space="preserve">4.1</w:t>
      </w:r>
      <w:r>
        <w:t xml:space="preserve"> </w:t>
      </w:r>
      <w:r>
        <w:t xml:space="preserve">No ADI (AEL:</w:t>
      </w:r>
      <w:r>
        <w:t xml:space="preserve"> </w:t>
      </w:r>
      <w:r>
        <w:t xml:space="preserve">0.15)**</w:t>
      </w:r>
      <w:r>
        <w:t xml:space="preserve"> </w:t>
      </w:r>
      <w:r>
        <w:t xml:space="preserve">0.44</w:t>
      </w:r>
      <w:r>
        <w:t xml:space="preserve"> </w:t>
      </w:r>
      <w:r>
        <w:t xml:space="preserve">0.0104</w:t>
      </w:r>
      <w:r>
        <w:t xml:space="preserve"> </w:t>
      </w:r>
      <w:r>
        <w:t xml:space="preserve">Hydrogen cyanide</w:t>
      </w:r>
      <w:r>
        <w:t xml:space="preserve"> </w:t>
      </w:r>
      <w:r>
        <w:t xml:space="preserve">74-90-8</w:t>
      </w:r>
      <w:r>
        <w:t xml:space="preserve"> </w:t>
      </w:r>
      <w:r>
        <w:t xml:space="preserve">0.78</w:t>
      </w:r>
      <w:r>
        <w:t xml:space="preserve"> </w:t>
      </w:r>
      <w:r>
        <w:t xml:space="preserve">0.7</w:t>
      </w:r>
      <w:r>
        <w:t xml:space="preserve"> </w:t>
      </w:r>
      <w:r>
        <w:t xml:space="preserve">0.018</w:t>
      </w:r>
      <w:r>
        <w:t xml:space="preserve"> </w:t>
      </w:r>
      <w:r>
        <w:t xml:space="preserve">No ADI (AEL:</w:t>
      </w:r>
      <w:r>
        <w:t xml:space="preserve"> </w:t>
      </w:r>
      <w:r>
        <w:t xml:space="preserve">0.1)</w:t>
      </w:r>
      <w:r>
        <w:t xml:space="preserve"> </w:t>
      </w:r>
      <w:r>
        <w:t xml:space="preserve">0.005</w:t>
      </w:r>
      <w:r>
        <w:t xml:space="preserve"> </w:t>
      </w:r>
      <w:r>
        <w:t xml:space="preserve">4 x 10-5</w:t>
      </w:r>
      <w:r>
        <w:t xml:space="preserve"> </w:t>
      </w:r>
      <w:r>
        <w:t xml:space="preserve">Hydrogen peroxide</w:t>
      </w:r>
      <w:r>
        <w:t xml:space="preserve"> </w:t>
      </w:r>
      <w:r>
        <w:t xml:space="preserve">7722-84-1</w:t>
      </w:r>
      <w:r>
        <w:t xml:space="preserve"> </w:t>
      </w:r>
      <w:r>
        <w:t xml:space="preserve">1.4 (LOC)</w:t>
      </w:r>
      <w:r>
        <w:t xml:space="preserve"> </w:t>
      </w:r>
      <w:r>
        <w:t xml:space="preserve">1.25 (LOC)</w:t>
      </w:r>
    </w:p>
    <w:p>
      <w:pPr>
        <w:pStyle w:val="BodyText"/>
      </w:pPr>
      <w:r>
        <w:t xml:space="preserve">0.013</w:t>
      </w:r>
      <w:r>
        <w:t xml:space="preserve"> </w:t>
      </w:r>
      <w:r>
        <w:t xml:space="preserve">0.0126</w:t>
      </w:r>
      <w:r>
        <w:t xml:space="preserve"> </w:t>
      </w:r>
      <w:r>
        <w:t xml:space="preserve">Mixture of 5-chloro-2-</w:t>
      </w:r>
      <w:r>
        <w:t xml:space="preserve"> </w:t>
      </w:r>
      <w:r>
        <w:t xml:space="preserve">methyl-2H- isothiazol-</w:t>
      </w:r>
      <w:r>
        <w:t xml:space="preserve"> </w:t>
      </w:r>
      <w:r>
        <w:t xml:space="preserve">3-one and 2-methyl-</w:t>
      </w:r>
      <w:r>
        <w:t xml:space="preserve"> </w:t>
      </w:r>
      <w:r>
        <w:t xml:space="preserve">2H-isothiazol-3-one</w:t>
      </w:r>
      <w:r>
        <w:br/>
      </w:r>
      <w:r>
        <w:t xml:space="preserve">55965-84-9</w:t>
      </w:r>
      <w:r>
        <w:t xml:space="preserve"> </w:t>
      </w:r>
      <w:r>
        <w:t xml:space="preserve">0.02 (LOC)</w:t>
      </w:r>
      <w:r>
        <w:t xml:space="preserve"> </w:t>
      </w:r>
      <w:r>
        <w:t xml:space="preserve">0.02 (AEC)</w:t>
      </w:r>
      <w:r>
        <w:t xml:space="preserve"> </w:t>
      </w:r>
      <w:r>
        <w:t xml:space="preserve">0.09</w:t>
      </w:r>
      <w:r>
        <w:t xml:space="preserve"> </w:t>
      </w:r>
      <w:r>
        <w:t xml:space="preserve">0.004</w:t>
      </w:r>
      <w:r>
        <w:t xml:space="preserve"> </w:t>
      </w:r>
      <w:r>
        <w:t xml:space="preserve">3.39 x 10-3</w:t>
      </w:r>
      <w:r>
        <w:t xml:space="preserve"> </w:t>
      </w:r>
      <w:r>
        <w:t xml:space="preserve">4.9 x 10-5</w:t>
      </w:r>
    </w:p>
    <w:p>
      <w:pPr>
        <w:pStyle w:val="BodyText"/>
      </w:pPr>
      <w:r>
        <w:t xml:space="preserve">251</w:t>
      </w:r>
      <w:r>
        <w:t xml:space="preserve"> </w:t>
      </w:r>
      <w:r>
        <w:t xml:space="preserve">Peracetic acid</w:t>
      </w:r>
      <w:r>
        <w:t xml:space="preserve"> </w:t>
      </w:r>
      <w:r>
        <w:t xml:space="preserve">79-21-0</w:t>
      </w:r>
      <w:r>
        <w:t xml:space="preserve"> </w:t>
      </w:r>
      <w:r>
        <w:t xml:space="preserve">0.56</w:t>
      </w:r>
      <w:r>
        <w:t xml:space="preserve"> </w:t>
      </w:r>
      <w:r>
        <w:t xml:space="preserve">0.5 (AEC)</w:t>
      </w:r>
      <w:r>
        <w:t xml:space="preserve"> </w:t>
      </w:r>
      <w:r>
        <w:t xml:space="preserve">1.25</w:t>
      </w:r>
    </w:p>
    <w:p>
      <w:pPr>
        <w:pStyle w:val="BodyText"/>
      </w:pPr>
      <w:r>
        <w:t xml:space="preserve">0.002</w:t>
      </w:r>
      <w:r>
        <w:t xml:space="preserve"> </w:t>
      </w:r>
      <w:r>
        <w:t xml:space="preserve">(intermittent</w:t>
      </w:r>
      <w:r>
        <w:t xml:space="preserve"> </w:t>
      </w:r>
      <w:r>
        <w:t xml:space="preserve">release)</w:t>
      </w:r>
      <w:r>
        <w:t xml:space="preserve"> </w:t>
      </w:r>
      <w:r>
        <w:t xml:space="preserve">6.9 x 10-5</w:t>
      </w:r>
      <w:r>
        <w:t xml:space="preserve"> </w:t>
      </w:r>
      <w:r>
        <w:t xml:space="preserve">Potassium sorbate</w:t>
      </w:r>
      <w:r>
        <w:t xml:space="preserve"> </w:t>
      </w:r>
      <w:r>
        <w:t xml:space="preserve">24634-61-5</w:t>
      </w:r>
      <w:r>
        <w:t xml:space="preserve"> </w:t>
      </w:r>
      <w:r>
        <w:t xml:space="preserve">17.63</w:t>
      </w:r>
      <w:r>
        <w:t xml:space="preserve"> </w:t>
      </w:r>
      <w:r>
        <w:t xml:space="preserve">93.8§</w:t>
      </w:r>
      <w:r>
        <w:t xml:space="preserve"> </w:t>
      </w:r>
      <w:r>
        <w:t xml:space="preserve">2</w:t>
      </w:r>
      <w:r>
        <w:t xml:space="preserve"> </w:t>
      </w:r>
      <w:r>
        <w:t xml:space="preserve">13.4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Propan-1-ol</w:t>
      </w:r>
      <w:r>
        <w:t xml:space="preserve"> </w:t>
      </w:r>
      <w:r>
        <w:t xml:space="preserve">71-23-8</w:t>
      </w:r>
      <w:r>
        <w:t xml:space="preserve"> </w:t>
      </w:r>
      <w:r>
        <w:t xml:space="preserve">268</w:t>
      </w:r>
      <w:r>
        <w:t xml:space="preserve"> </w:t>
      </w:r>
      <w:r>
        <w:t xml:space="preserve">64.4</w:t>
      </w:r>
      <w:r>
        <w:t xml:space="preserve"> </w:t>
      </w:r>
      <w:r>
        <w:t xml:space="preserve">61</w:t>
      </w:r>
      <w:r>
        <w:t xml:space="preserve"> </w:t>
      </w:r>
      <w:r>
        <w:t xml:space="preserve">9.2</w:t>
      </w:r>
      <w:r>
        <w:t xml:space="preserve"> </w:t>
      </w:r>
      <w:r>
        <w:t xml:space="preserve">6.83</w:t>
      </w:r>
      <w:r>
        <w:t xml:space="preserve"> </w:t>
      </w:r>
      <w:r>
        <w:t xml:space="preserve">2.3</w:t>
      </w:r>
      <w:r>
        <w:t xml:space="preserve"> </w:t>
      </w:r>
      <w:r>
        <w:t xml:space="preserve">Propan-2-ol</w:t>
      </w:r>
      <w:r>
        <w:t xml:space="preserve"> </w:t>
      </w:r>
      <w:r>
        <w:t xml:space="preserve">67-63-0</w:t>
      </w:r>
      <w:r>
        <w:t xml:space="preserve"> </w:t>
      </w:r>
      <w:r>
        <w:t xml:space="preserve">500</w:t>
      </w:r>
      <w:r>
        <w:t xml:space="preserve"> </w:t>
      </w:r>
      <w:r>
        <w:t xml:space="preserve">125</w:t>
      </w:r>
      <w:r>
        <w:t xml:space="preserve"> </w:t>
      </w:r>
      <w:r>
        <w:t xml:space="preserve">26</w:t>
      </w:r>
      <w:r>
        <w:t xml:space="preserve"> </w:t>
      </w:r>
      <w:r>
        <w:t xml:space="preserve">10.7</w:t>
      </w:r>
      <w:r>
        <w:t xml:space="preserve"> </w:t>
      </w:r>
      <w:r>
        <w:t xml:space="preserve">140.9</w:t>
      </w:r>
      <w:r>
        <w:t xml:space="preserve"> </w:t>
      </w:r>
      <w:r>
        <w:t xml:space="preserve">2.82</w:t>
      </w:r>
      <w:r>
        <w:t xml:space="preserve"> </w:t>
      </w:r>
      <w:r>
        <w:t xml:space="preserve">Notes: AEC: Acceptable exposure concentration, LOC: local effects, SYS: systemic effects</w:t>
      </w:r>
      <w:r>
        <w:t xml:space="preserve"> </w:t>
      </w:r>
      <w:r>
        <w:t xml:space="preserve">* AEL in mg/kg x d multiplied by 70 kg and divided by 10 m3/d; rate and extent of absorption via relevant pathways considered as given in assessment report (100% for both pathways assumed,</w:t>
      </w:r>
      <w:r>
        <w:t xml:space="preserve"> </w:t>
      </w:r>
      <w:r>
        <w:t xml:space="preserve">if no specific data given). ** Non-professional primary use excluded. § ADI derived for non-professional user. No AEL derived for workers.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These comparisons of substances assessed both under the BPR and under REACH and</w:t>
      </w:r>
      <w:r>
        <w:t xml:space="preserve"> </w:t>
      </w:r>
      <w:r>
        <w:t xml:space="preserve">biocides can be summarised as follows:</w:t>
      </w:r>
    </w:p>
    <w:p>
      <w:pPr>
        <w:pStyle w:val="BodyText"/>
      </w:pPr>
      <w:r>
        <w:t xml:space="preserve">Reference values derived under REACH (DNELs/PNECs) exist for more substances</w:t>
      </w:r>
      <w:r>
        <w:t xml:space="preserve"> </w:t>
      </w:r>
      <w:r>
        <w:t xml:space="preserve">than reference values under the BPR. This finding is likely due to the fact that such</w:t>
      </w:r>
      <w:r>
        <w:t xml:space="preserve"> </w:t>
      </w:r>
      <w:r>
        <w:t xml:space="preserve">values are derived under the BPR only if they are needed. For example, an ADI is</w:t>
      </w:r>
      <w:r>
        <w:t xml:space="preserve"> </w:t>
      </w:r>
      <w:r>
        <w:t xml:space="preserve">generally derived under the BPR only, if exposure via food or feed is likely.</w:t>
      </w:r>
    </w:p>
    <w:p>
      <w:pPr>
        <w:pStyle w:val="BodyText"/>
      </w:pPr>
      <w:r>
        <w:t xml:space="preserve">While some identical (or very similar) values are derived under the two regulatory</w:t>
      </w:r>
      <w:r>
        <w:t xml:space="preserve"> </w:t>
      </w:r>
      <w:r>
        <w:t xml:space="preserve">frameworks, DNELs and PNECs are generally higher than the corresponding</w:t>
      </w:r>
      <w:r>
        <w:t xml:space="preserve"> </w:t>
      </w:r>
      <w:r>
        <w:t xml:space="preserve">reference values derived under the BPR. This applies to 75% (workers), 80%</w:t>
      </w:r>
      <w:r>
        <w:t xml:space="preserve"> </w:t>
      </w:r>
      <w:r>
        <w:t xml:space="preserve">(general population) and 56% (PNECs) of the cases.</w:t>
      </w:r>
    </w:p>
    <w:p>
      <w:pPr>
        <w:pStyle w:val="BodyText"/>
      </w:pPr>
      <w:r>
        <w:t xml:space="preserve">Larger differences with the reference value derived under REACH being more than</w:t>
      </w:r>
      <w:r>
        <w:t xml:space="preserve"> </w:t>
      </w:r>
      <w:r>
        <w:t xml:space="preserve">10-times higher than the one derived under the BPR occur in 13% (workers), 20%</w:t>
      </w:r>
      <w:r>
        <w:t xml:space="preserve"> </w:t>
      </w:r>
      <w:r>
        <w:t xml:space="preserve">(general population) and 31% (PNECs) of the cases.</w:t>
      </w:r>
      <w:r>
        <w:br/>
      </w:r>
      <w:r>
        <w:t xml:space="preserve">For each substance, a substance-specific assessment would be needed to gain further insight</w:t>
      </w:r>
      <w:r>
        <w:t xml:space="preserve"> </w:t>
      </w:r>
      <w:r>
        <w:t xml:space="preserve">into the reasons for the differences.</w:t>
      </w:r>
      <w:r>
        <w:br/>
      </w:r>
      <w:r>
        <w:t xml:space="preserve">It must be noted that A(O)ELs are derived as body doses in most cases and conversions to</w:t>
      </w:r>
      <w:r>
        <w:t xml:space="preserve"> </w:t>
      </w:r>
      <w:r>
        <w:t xml:space="preserve">inhalation exposure concentrations were necessary for this comparison with respect to</w:t>
      </w:r>
      <w:r>
        <w:t xml:space="preserve"> </w:t>
      </w:r>
      <w:r>
        <w:t xml:space="preserve">workers. This conversion was done in a generic way based on the summary absorption rates</w:t>
      </w:r>
      <w:r>
        <w:t xml:space="preserve"> </w:t>
      </w:r>
      <w:r>
        <w:t xml:space="preserve">given in the BPR assessment reports. A substance-specific assessment may have resulted in</w:t>
      </w:r>
      <w:r>
        <w:t xml:space="preserve"> </w:t>
      </w:r>
      <w:r>
        <w:t xml:space="preserve">different outcomes. Interestingly, for the two substances, for which an AEC was reported in</w:t>
      </w:r>
      <w:r>
        <w:t xml:space="preserve"> </w:t>
      </w:r>
      <w:r>
        <w:t xml:space="preserve">the BPR assessment report, these values are practically identical to the DNELs derived</w:t>
      </w:r>
      <w:r>
        <w:t xml:space="preserve"> </w:t>
      </w:r>
      <w:r>
        <w:t xml:space="preserve">under REACH.</w:t>
      </w:r>
      <w:r>
        <w:t xml:space="preserve"> </w:t>
      </w:r>
      <w:r>
        <w:t xml:space="preserve">Consequences</w:t>
      </w:r>
      <w:r>
        <w:t xml:space="preserve"> </w:t>
      </w:r>
      <w:r>
        <w:t xml:space="preserve">Companies may use various toxicity values or develop their own where EU-reviewed</w:t>
      </w:r>
      <w:r>
        <w:t xml:space="preserve"> </w:t>
      </w:r>
      <w:r>
        <w:t xml:space="preserve">reference values may already be available. Moreover, within the same reference or limit</w:t>
      </w:r>
      <w:r>
        <w:t xml:space="preserve"> </w:t>
      </w:r>
      <w:r>
        <w:t xml:space="preserve">values, there are often various limit values differentiated by factors such as workers and</w:t>
      </w:r>
      <w:r>
        <w:t xml:space="preserve"> </w:t>
      </w:r>
      <w:r>
        <w:t xml:space="preserve">general populations, adults and children, short- and long-term effects, local and systemic</w:t>
      </w:r>
      <w:r>
        <w:t xml:space="preserve"> </w:t>
      </w:r>
      <w:r>
        <w:t xml:space="preserve">effect and different routes of exposure.</w:t>
      </w:r>
      <w:r>
        <w:br/>
      </w:r>
      <w:r>
        <w:t xml:space="preserve">Risk assessment conclusions for the same substance may hence differ depending on the</w:t>
      </w:r>
      <w:r>
        <w:t xml:space="preserve"> </w:t>
      </w:r>
      <w:r>
        <w:t xml:space="preserve">input reference value used and may be perceived as inconsistent even when they are</w:t>
      </w:r>
      <w:r>
        <w:t xml:space="preserve"> </w:t>
      </w:r>
      <w:r>
        <w:t xml:space="preserve">justified. In addition, reference values may be derived using different methodologies, which</w:t>
      </w:r>
      <w:r>
        <w:t xml:space="preserve"> </w:t>
      </w:r>
      <w:r>
        <w:t xml:space="preserve">may lead to incoherent outcomes.</w:t>
      </w:r>
      <w:r>
        <w:t xml:space="preserve"> </w:t>
      </w:r>
      <w:r>
        <w:t xml:space="preserve">Diverging DNELs or PNECs in different REACH registration dossiers for a substance have</w:t>
      </w:r>
      <w:r>
        <w:t xml:space="preserve"> </w:t>
      </w:r>
      <w:r>
        <w:t xml:space="preserve">been identified. Though the evaluations for worker DNELs do not suggest that the problem</w:t>
      </w:r>
      <w:r>
        <w:t xml:space="preserve"> </w:t>
      </w:r>
      <w:r>
        <w:t xml:space="preserve">is widespread, such divergence seems to come from deviations from the relevant ECHA</w:t>
      </w:r>
      <w:r>
        <w:t xml:space="preserve"> </w:t>
      </w:r>
      <w:r>
        <w:t xml:space="preserve">guidance (Schenk et al., 2015; Schenk et al., 2014). This could lead to incoherent outcomes</w:t>
      </w:r>
      <w:r>
        <w:t xml:space="preserve"> </w:t>
      </w:r>
      <w:r>
        <w:t xml:space="preserve">as these end-points are passed on throughout the supply chain and downstream users may</w:t>
      </w:r>
      <w:r>
        <w:t xml:space="preserve"> </w:t>
      </w:r>
      <w:r>
        <w:t xml:space="preserve">be prevented to place their products on the market as wrongly assumed as not safe or place</w:t>
      </w:r>
      <w:r>
        <w:t xml:space="preserve"> </w:t>
      </w:r>
      <w:r>
        <w:t xml:space="preserve">them on the market, where the use of them is eventually not safe.</w:t>
      </w:r>
    </w:p>
    <w:p>
      <w:pPr>
        <w:pStyle w:val="BodyText"/>
      </w:pPr>
      <w:r>
        <w:t xml:space="preserve">253</w:t>
      </w:r>
      <w:r>
        <w:t xml:space="preserve"> </w:t>
      </w:r>
      <w:r>
        <w:t xml:space="preserve">Drivers</w:t>
      </w:r>
      <w:r>
        <w:t xml:space="preserve"> </w:t>
      </w:r>
      <w:r>
        <w:t xml:space="preserve">Different toxicity reference values for the same substances may lead to inconsistencies in</w:t>
      </w:r>
      <w:r>
        <w:t xml:space="preserve"> </w:t>
      </w:r>
      <w:r>
        <w:t xml:space="preserve">the outcomes of risk assessments and to the inefficient use of limited resources. The</w:t>
      </w:r>
      <w:r>
        <w:t xml:space="preserve"> </w:t>
      </w:r>
      <w:r>
        <w:t xml:space="preserve">existence of different values depends on a range of justified and less justified reasons:</w:t>
      </w:r>
    </w:p>
    <w:p>
      <w:pPr>
        <w:pStyle w:val="BodyText"/>
      </w:pPr>
      <w:r>
        <w:t xml:space="preserve">differentiation by workers and general populations, adults and children, short- and</w:t>
      </w:r>
      <w:r>
        <w:t xml:space="preserve"> </w:t>
      </w:r>
      <w:r>
        <w:t xml:space="preserve">long-term effects, local and systemic effect and different routes of exposure;</w:t>
      </w:r>
    </w:p>
    <w:p>
      <w:pPr>
        <w:pStyle w:val="BodyText"/>
      </w:pPr>
      <w:r>
        <w:t xml:space="preserve">use of different methodologies;</w:t>
      </w:r>
    </w:p>
    <w:p>
      <w:pPr>
        <w:pStyle w:val="BodyText"/>
      </w:pPr>
      <w:r>
        <w:t xml:space="preserve">availability, access and use of different studies;</w:t>
      </w:r>
      <w:r>
        <w:t xml:space="preserve"> </w:t>
      </w:r>
      <w:r>
        <w:t xml:space="preserve">visibility of EU-reviewed reference values, which may be ignored by companies and/or</w:t>
      </w:r>
      <w:r>
        <w:t xml:space="preserve"> </w:t>
      </w:r>
      <w:r>
        <w:t xml:space="preserve">authorities deriving their own values.</w:t>
      </w:r>
      <w:r>
        <w:br/>
      </w:r>
      <w:r>
        <w:t xml:space="preserve">How likely is the problem to persist?</w:t>
      </w:r>
      <w:r>
        <w:t xml:space="preserve"> </w:t>
      </w:r>
      <w:r>
        <w:t xml:space="preserve">The CSS highlights the “one substance, one assessment” (OSOA) approach as a possible</w:t>
      </w:r>
      <w:r>
        <w:t xml:space="preserve"> </w:t>
      </w:r>
      <w:r>
        <w:t xml:space="preserve">way to produce more coherent results. The Commission committed to create a repository of</w:t>
      </w:r>
      <w:r>
        <w:t xml:space="preserve"> </w:t>
      </w:r>
      <w:r>
        <w:t xml:space="preserve">toxicity reference values to promote their reuse and harmonisation among EU risk assessors</w:t>
      </w:r>
      <w:r>
        <w:t xml:space="preserve"> </w:t>
      </w:r>
      <w:r>
        <w:t xml:space="preserve">and managers. However, a repository can only be the first step, as the various methodologies</w:t>
      </w:r>
      <w:r>
        <w:t xml:space="preserve"> </w:t>
      </w:r>
      <w:r>
        <w:t xml:space="preserve">for deriving reference values in different regulatory areas have been developed historically</w:t>
      </w:r>
      <w:r>
        <w:t xml:space="preserve"> </w:t>
      </w:r>
      <w:r>
        <w:t xml:space="preserve">and may not be easily harmonised. For example, methodologies for deriving OEL values at</w:t>
      </w:r>
      <w:r>
        <w:t xml:space="preserve"> </w:t>
      </w:r>
      <w:r>
        <w:t xml:space="preserve">the EU and Member State levels differ as do DNELs derived under REACH and OELs.</w:t>
      </w:r>
      <w:r>
        <w:t xml:space="preserve"> </w:t>
      </w:r>
      <w:r>
        <w:t xml:space="preserve">Furthermore, even DNELs or PNECs derived by registrants under REACH may differ,</w:t>
      </w:r>
      <w:r>
        <w:t xml:space="preserve"> </w:t>
      </w:r>
      <w:r>
        <w:t xml:space="preserve">because of different assessment factors or points of departure.</w:t>
      </w:r>
      <w:r>
        <w:t xml:space="preserve"> </w:t>
      </w:r>
      <w:r>
        <w:t xml:space="preserve">EFSA, the Commission and ECHA have already made some efforts to compile and make</w:t>
      </w:r>
      <w:r>
        <w:t xml:space="preserve"> </w:t>
      </w:r>
      <w:r>
        <w:t xml:space="preserve">toxicity reference values available. ECHA has developed and operates the EU Chemicals</w:t>
      </w:r>
      <w:r>
        <w:t xml:space="preserve"> </w:t>
      </w:r>
      <w:r>
        <w:t xml:space="preserve">Legislation Finder (EUCLEF)198, an online service offering the possibility to navigate</w:t>
      </w:r>
      <w:r>
        <w:t xml:space="preserve"> </w:t>
      </w:r>
      <w:r>
        <w:t xml:space="preserve">through the EU chemicals legislative framework, providing substance-based information</w:t>
      </w:r>
      <w:r>
        <w:t xml:space="preserve"> </w:t>
      </w:r>
      <w:r>
        <w:t xml:space="preserve">from 56 pieces of EU chemicals legislation. EUCLEF lists some health-based limit values</w:t>
      </w:r>
      <w:r>
        <w:t xml:space="preserve"> </w:t>
      </w:r>
      <w:r>
        <w:t xml:space="preserve">derived and applicable under these legislative pieces. EFSA maintains the OpenFoodTox</w:t>
      </w:r>
      <w:r>
        <w:t xml:space="preserve"> </w:t>
      </w:r>
      <w:r>
        <w:t xml:space="preserve">database199, which summarises the outcomes of all hazard identification and</w:t>
      </w:r>
      <w:r>
        <w:t xml:space="preserve"> </w:t>
      </w:r>
      <w:r>
        <w:t xml:space="preserve">characterisation performed by EFSA on plant protection products and contaminants, food</w:t>
      </w:r>
      <w:r>
        <w:t xml:space="preserve"> </w:t>
      </w:r>
      <w:r>
        <w:t xml:space="preserve">improvement agents and feed additives for human health, animal health and the</w:t>
      </w:r>
      <w:r>
        <w:t xml:space="preserve"> </w:t>
      </w:r>
      <w:r>
        <w:t xml:space="preserve">environment. The Commission (DG SANTE) maintains the EU pesticides database200,</w:t>
      </w:r>
      <w:r>
        <w:t xml:space="preserve"> </w:t>
      </w:r>
      <w:r>
        <w:t xml:space="preserve">which is the official source for pesticide MRLs in food products. The database also lists</w:t>
      </w:r>
      <w:r>
        <w:t xml:space="preserve"> </w:t>
      </w:r>
      <w:r>
        <w:t xml:space="preserve">AOELs, ARfDs and ADIs.</w:t>
      </w:r>
    </w:p>
    <w:p>
      <w:pPr>
        <w:pStyle w:val="BodyText"/>
      </w:pPr>
      <w:r>
        <w:t xml:space="preserve">POTENTIAL POLICY MEASURES</w:t>
      </w:r>
      <w:r>
        <w:t xml:space="preserve"> </w:t>
      </w:r>
      <w:r>
        <w:t xml:space="preserve">Baseline</w:t>
      </w:r>
      <w:r>
        <w:br/>
      </w:r>
      <w:r>
        <w:t xml:space="preserve">Already some initiatives or measures may be envisaged as developing harmonised toxicity</w:t>
      </w:r>
      <w:r>
        <w:t xml:space="preserve"> </w:t>
      </w:r>
      <w:r>
        <w:t xml:space="preserve">reference values and more may be expected in the future. For example, the restriction under</w:t>
      </w:r>
      <w:r>
        <w:t xml:space="preserve"> </w:t>
      </w:r>
      <w:r>
        <w:t xml:space="preserve">REACH of the aprotic solvent N,N-dimethylformamide201 to fix a ‘harmonised DNEL’ for</w:t>
      </w:r>
    </w:p>
    <w:p>
      <w:pPr>
        <w:pStyle w:val="BodyText"/>
      </w:pPr>
      <w:r>
        <w:t xml:space="preserve">198 https://echa.europa.eu/information-on-chemicals/euclef</w:t>
      </w:r>
      <w:r>
        <w:t xml:space="preserve"> </w:t>
      </w:r>
      <w:r>
        <w:t xml:space="preserve">199 EFSA, Chemical Hazards Database, available at: https://www.efsa.europa.eu/en/data-report/chemical-</w:t>
      </w:r>
      <w:r>
        <w:t xml:space="preserve"> </w:t>
      </w:r>
      <w:r>
        <w:t xml:space="preserve">hazards-database-openfoodtox</w:t>
      </w:r>
      <w:r>
        <w:t xml:space="preserve"> </w:t>
      </w:r>
      <w:r>
        <w:t xml:space="preserve">200 Pesticides Data base, available at https://ec.europa.eu/food/plants/pesticides/eu-pesticides-database_en</w:t>
      </w:r>
      <w:r>
        <w:t xml:space="preserve"> </w:t>
      </w:r>
      <w:r>
        <w:t xml:space="preserve">201 See REACH restriction: undefined (europa.eu)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workers (inhalation and dermal) that shall be used by registrants of this substance in their</w:t>
      </w:r>
      <w:r>
        <w:t xml:space="preserve"> </w:t>
      </w:r>
      <w:r>
        <w:t xml:space="preserve">chemical safety report in order to determine the relevant risk management measures for</w:t>
      </w:r>
      <w:r>
        <w:t xml:space="preserve"> </w:t>
      </w:r>
      <w:r>
        <w:t xml:space="preserve">worker protection.</w:t>
      </w:r>
      <w:r>
        <w:br/>
      </w:r>
      <w:r>
        <w:t xml:space="preserve">The differences between legislations are also evident in other examples. In the case of nonyl-</w:t>
      </w:r>
      <w:r>
        <w:t xml:space="preserve"> </w:t>
      </w:r>
      <w:r>
        <w:t xml:space="preserve">and octylphenols, EQS were derived under the Water Framework Directive. These may be</w:t>
      </w:r>
      <w:r>
        <w:t xml:space="preserve"> </w:t>
      </w:r>
      <w:r>
        <w:t xml:space="preserve">considered ‘harmonised reference values’. However, based on the RAC statement related to</w:t>
      </w:r>
      <w:r>
        <w:t xml:space="preserve"> </w:t>
      </w:r>
      <w:r>
        <w:t xml:space="preserve">the corresponding nonylphenol and octylphenol ethoxylates (ECHA, 2017), it appears</w:t>
      </w:r>
      <w:r>
        <w:t xml:space="preserve"> </w:t>
      </w:r>
      <w:r>
        <w:t xml:space="preserve">questionable that these EQS may be accepted as a threshold in applications for authorisation.</w:t>
      </w:r>
      <w:r>
        <w:t xml:space="preserve"> </w:t>
      </w:r>
      <w:r>
        <w:t xml:space="preserve">The same is true is even true within a single regulatory area. For example, the DNEL derived</w:t>
      </w:r>
      <w:r>
        <w:t xml:space="preserve"> </w:t>
      </w:r>
      <w:r>
        <w:t xml:space="preserve">by RAC for dibutyl phthalate in 2013 may be considered a ‘harmonised DNEL’. With the</w:t>
      </w:r>
      <w:r>
        <w:t xml:space="preserve"> </w:t>
      </w:r>
      <w:r>
        <w:t xml:space="preserve">addition of this substance to REACH Annex XIV for endocrine disrupting properties</w:t>
      </w:r>
      <w:r>
        <w:t xml:space="preserve"> </w:t>
      </w:r>
      <w:r>
        <w:t xml:space="preserve">(human health), the validity of this reference value is unclear and RAC was not in a position</w:t>
      </w:r>
      <w:r>
        <w:t xml:space="preserve"> </w:t>
      </w:r>
      <w:r>
        <w:t xml:space="preserve">to derive a DNEL for these effects (ECHA, 2021). Again, diverging OELs are legally in</w:t>
      </w:r>
      <w:r>
        <w:t xml:space="preserve"> </w:t>
      </w:r>
      <w:r>
        <w:t xml:space="preserve">place in several EU MS.</w:t>
      </w:r>
      <w:r>
        <w:t xml:space="preserve"> </w:t>
      </w:r>
      <w:r>
        <w:t xml:space="preserve">The reference values established by regulatory agencies are not necessarily lower than those</w:t>
      </w:r>
      <w:r>
        <w:t xml:space="preserve"> </w:t>
      </w:r>
      <w:r>
        <w:t xml:space="preserve">derived e.g. by registrants under REACH. For example, different studies were often</w:t>
      </w:r>
      <w:r>
        <w:t xml:space="preserve"> </w:t>
      </w:r>
      <w:r>
        <w:t xml:space="preserve">available to REACH registrants for deriving PNECs compared to the ones available to the</w:t>
      </w:r>
      <w:r>
        <w:t xml:space="preserve"> </w:t>
      </w:r>
      <w:r>
        <w:t xml:space="preserve">competent authority for the same substance under the BPR. In some cases, REACH</w:t>
      </w:r>
      <w:r>
        <w:t xml:space="preserve"> </w:t>
      </w:r>
      <w:r>
        <w:t xml:space="preserve">registrants have derived lower PNECs than authorities under the BPR and it may not be the</w:t>
      </w:r>
      <w:r>
        <w:t xml:space="preserve"> </w:t>
      </w:r>
      <w:r>
        <w:t xml:space="preserve">most meaningful approach to establish the latter as ‘harmonised PNECs’.</w:t>
      </w:r>
      <w:r>
        <w:t xml:space="preserve"> </w:t>
      </w:r>
      <w:r>
        <w:t xml:space="preserve">It is assumed that the Commission would establish the repository of toxicity reference values</w:t>
      </w:r>
      <w:r>
        <w:t xml:space="preserve"> </w:t>
      </w:r>
      <w:r>
        <w:t xml:space="preserve">as for its commitment as part of the OSOA approach in the CSS, with the aim of promoting</w:t>
      </w:r>
      <w:r>
        <w:t xml:space="preserve"> </w:t>
      </w:r>
      <w:r>
        <w:t xml:space="preserve">the reuse of the values among EU risk assessors and managers. It is also assumed that EU</w:t>
      </w:r>
      <w:r>
        <w:t xml:space="preserve"> </w:t>
      </w:r>
      <w:r>
        <w:t xml:space="preserve">agencies would establish a central coordination mechanism, which would ensure better</w:t>
      </w:r>
      <w:r>
        <w:t xml:space="preserve"> </w:t>
      </w:r>
      <w:r>
        <w:t xml:space="preserve">distribution and coordination of tasks and access to all data by all agencies, as advocated by</w:t>
      </w:r>
      <w:r>
        <w:t xml:space="preserve"> </w:t>
      </w:r>
      <w:r>
        <w:t xml:space="preserve">ECHA and EFSA in their joint position paper202.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The purpose of harmonising reference limit values is to support EU risk assessors in their</w:t>
      </w:r>
      <w:r>
        <w:t xml:space="preserve"> </w:t>
      </w:r>
      <w:r>
        <w:t xml:space="preserve">specific regulatory framework. They are based on findings that different reference values</w:t>
      </w:r>
      <w:r>
        <w:t xml:space="preserve"> </w:t>
      </w:r>
      <w:r>
        <w:t xml:space="preserve">may exist for a given substance under different regulatory frameworks (or even within the</w:t>
      </w:r>
      <w:r>
        <w:t xml:space="preserve"> </w:t>
      </w:r>
      <w:r>
        <w:t xml:space="preserve">same as for example of different DNELs in registration dossiers). This situation not only</w:t>
      </w:r>
      <w:r>
        <w:t xml:space="preserve"> </w:t>
      </w:r>
      <w:r>
        <w:t xml:space="preserve">lacks transparency for interested stakeholders but may also indicate inefficiency since</w:t>
      </w:r>
      <w:r>
        <w:t xml:space="preserve"> </w:t>
      </w:r>
      <w:r>
        <w:t xml:space="preserve">reference values for the same purpose (e.g. workers protection) may have been derived by</w:t>
      </w:r>
      <w:r>
        <w:t xml:space="preserve"> </w:t>
      </w:r>
      <w:r>
        <w:t xml:space="preserve">different bodies in parallel. Ultimately, different reference values for the same substance</w:t>
      </w:r>
      <w:r>
        <w:t xml:space="preserve"> </w:t>
      </w:r>
      <w:r>
        <w:t xml:space="preserve">may result in different risk assessment conclusions that may be perceived as inconsistent</w:t>
      </w:r>
      <w:r>
        <w:t xml:space="preserve"> </w:t>
      </w:r>
      <w:r>
        <w:t xml:space="preserve">and are difficult to communicate even if they are justified.</w:t>
      </w:r>
      <w:r>
        <w:br/>
      </w:r>
      <w:r>
        <w:t xml:space="preserve">Against this background, the OSOA approach has been highlighted in the EU chemicals</w:t>
      </w:r>
      <w:r>
        <w:t xml:space="preserve"> </w:t>
      </w:r>
      <w:r>
        <w:t xml:space="preserve">strategy for sustainability as a possible way to produce more coherent results. In this wider</w:t>
      </w:r>
      <w:r>
        <w:t xml:space="preserve"> </w:t>
      </w:r>
      <w:r>
        <w:t xml:space="preserve">context, harmonised reference values may be an element to support an OSOA approach for</w:t>
      </w:r>
      <w:r>
        <w:t xml:space="preserve"> </w:t>
      </w:r>
      <w:r>
        <w:t xml:space="preserve">use by different bodies in different regulatory areas. Such harmonised reference values may</w:t>
      </w:r>
      <w:r>
        <w:t xml:space="preserve"> </w:t>
      </w:r>
      <w:r>
        <w:t xml:space="preserve">reduce inconsistencies and result in more efficient and effective use of resources.</w:t>
      </w:r>
    </w:p>
    <w:p>
      <w:pPr>
        <w:pStyle w:val="BodyText"/>
      </w:pPr>
      <w:r>
        <w:t xml:space="preserve">202 https://www.efsa.europa.eu/en/corporate/pub/osoa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A detailed discussion of the differences in methodologies for deriving DNELs and PNECs</w:t>
      </w:r>
      <w:r>
        <w:t xml:space="preserve"> </w:t>
      </w:r>
      <w:r>
        <w:t xml:space="preserve">(as well as related reference values) is provided above, including evaluations of substance-</w:t>
      </w:r>
      <w:r>
        <w:t xml:space="preserve"> </w:t>
      </w:r>
      <w:r>
        <w:t xml:space="preserve">specific reference values under different regulatory frameworks and statistical evaluations.</w:t>
      </w:r>
      <w:r>
        <w:br/>
      </w:r>
      <w:r>
        <w:t xml:space="preserve">For example, methodologies for deriving OEL values in the EU and in Member States differ.</w:t>
      </w:r>
      <w:r>
        <w:t xml:space="preserve"> </w:t>
      </w:r>
      <w:r>
        <w:t xml:space="preserve">In addition, the methodologies for deriving DNELs under REACH are different from the</w:t>
      </w:r>
      <w:r>
        <w:t xml:space="preserve"> </w:t>
      </w:r>
      <w:r>
        <w:t xml:space="preserve">ones applied in OEL derivation in Member States. Furthermore, even DNELs or PNECs</w:t>
      </w:r>
      <w:r>
        <w:t xml:space="preserve"> </w:t>
      </w:r>
      <w:r>
        <w:t xml:space="preserve">derived by registrants under REACH may differ, e.g. by using different assessment factors</w:t>
      </w:r>
      <w:r>
        <w:t xml:space="preserve"> </w:t>
      </w:r>
      <w:r>
        <w:t xml:space="preserve">or points of departure. It is also noted that it may not be meaningful to harmonise all</w:t>
      </w:r>
      <w:r>
        <w:t xml:space="preserve"> </w:t>
      </w:r>
      <w:r>
        <w:t xml:space="preserve">approaches and the CSS specifically notes that the OSOA approach (emphasis added) ‘aims</w:t>
      </w:r>
      <w:r>
        <w:t xml:space="preserve"> </w:t>
      </w:r>
      <w:r>
        <w:t xml:space="preserve">to ensure that methodologies are made more coherent and to the extent possible</w:t>
      </w:r>
      <w:r>
        <w:t xml:space="preserve"> </w:t>
      </w:r>
      <w:r>
        <w:t xml:space="preserve">harmonised’.</w:t>
      </w:r>
      <w:r>
        <w:br/>
      </w:r>
      <w:r>
        <w:t xml:space="preserve">Since the Commission proposal considers harmonised DNELs and PNECs particularly</w:t>
      </w:r>
      <w:r>
        <w:t xml:space="preserve"> </w:t>
      </w:r>
      <w:r>
        <w:t xml:space="preserve">valuable for substances with widespread uses in different regulatory areas, the</w:t>
      </w:r>
      <w:r>
        <w:t xml:space="preserve"> </w:t>
      </w:r>
      <w:r>
        <w:t xml:space="preserve">considerations above may serve as a critical appraisal of the proposal. It is also noted that</w:t>
      </w:r>
      <w:r>
        <w:t xml:space="preserve"> </w:t>
      </w:r>
      <w:r>
        <w:t xml:space="preserve">the EFSA/ECHA joint position paper on OSOA does not propose any form of harmonised</w:t>
      </w:r>
      <w:r>
        <w:t xml:space="preserve"> </w:t>
      </w:r>
      <w:r>
        <w:t xml:space="preserve">reference values, but rather three organisational pillars for the OSOA approach by EU</w:t>
      </w:r>
      <w:r>
        <w:t xml:space="preserve"> </w:t>
      </w:r>
      <w:r>
        <w:t xml:space="preserve">agencies (central coordination mechanism, better distribution/coordination of tasks and</w:t>
      </w:r>
      <w:r>
        <w:t xml:space="preserve"> </w:t>
      </w:r>
      <w:r>
        <w:t xml:space="preserve">access to all data by all agencies).</w:t>
      </w:r>
      <w:r>
        <w:br/>
      </w:r>
      <w:r>
        <w:t xml:space="preserve">Some CARACAL members suggested to include harmonised NOAELs for toxicological</w:t>
      </w:r>
      <w:r>
        <w:t xml:space="preserve"> </w:t>
      </w:r>
      <w:r>
        <w:t xml:space="preserve">effects and NOECs for ecotoxicological effects in the CLP Regulation rather than DNELs</w:t>
      </w:r>
      <w:r>
        <w:t xml:space="preserve"> </w:t>
      </w:r>
      <w:r>
        <w:t xml:space="preserve">and PNECs. This suggestion is based on the consideration that different assessment factors</w:t>
      </w:r>
      <w:r>
        <w:t xml:space="preserve"> </w:t>
      </w:r>
      <w:r>
        <w:t xml:space="preserve">are used in different regulatory frameworks.</w:t>
      </w:r>
      <w:r>
        <w:br/>
      </w:r>
      <w:r>
        <w:t xml:space="preserve">In most regulatory frameworks, reference values are calculated considering results from</w:t>
      </w:r>
      <w:r>
        <w:t xml:space="preserve"> </w:t>
      </w:r>
      <w:r>
        <w:t xml:space="preserve">different key studies by (a) adjusting the experimental POD (point of departure; e.g. a</w:t>
      </w:r>
      <w:r>
        <w:t xml:space="preserve"> </w:t>
      </w:r>
      <w:r>
        <w:t xml:space="preserve">NOAEL, NOEC) to human/environmental exposure and (b) applying assessment factors.</w:t>
      </w:r>
      <w:r>
        <w:t xml:space="preserve"> </w:t>
      </w:r>
      <w:r>
        <w:t xml:space="preserve">The study resulting in the lowest reference value will ultimately be used for deriving the</w:t>
      </w:r>
      <w:r>
        <w:t xml:space="preserve"> </w:t>
      </w:r>
      <w:r>
        <w:t xml:space="preserve">reference value. This may - depending on the substance and the available data – involve</w:t>
      </w:r>
      <w:r>
        <w:t xml:space="preserve"> </w:t>
      </w:r>
      <w:r>
        <w:t xml:space="preserve">many studies for different endpoints, in some cases also a differentiation of local and</w:t>
      </w:r>
      <w:r>
        <w:t xml:space="preserve"> </w:t>
      </w:r>
      <w:r>
        <w:t xml:space="preserve">systemic toxicological effects. Since the approach involves several steps, the study resulting</w:t>
      </w:r>
      <w:r>
        <w:t xml:space="preserve"> </w:t>
      </w:r>
      <w:r>
        <w:t xml:space="preserve">in the lowest reference value may not have the lowest NOAEL/NOEC.</w:t>
      </w:r>
      <w:r>
        <w:t xml:space="preserve"> </w:t>
      </w:r>
      <w:r>
        <w:t xml:space="preserve">If a harmonised NOAEL is included in the CLP Regulation, different reference values may</w:t>
      </w:r>
      <w:r>
        <w:t xml:space="preserve"> </w:t>
      </w:r>
      <w:r>
        <w:t xml:space="preserve">still be derived under different regulatory frameworks because of non-harmonised</w:t>
      </w:r>
      <w:r>
        <w:t xml:space="preserve"> </w:t>
      </w:r>
      <w:r>
        <w:t xml:space="preserve">methodologies (e.g. different adjustments for human exposure and/or assessment factors</w:t>
      </w:r>
      <w:r>
        <w:t xml:space="preserve"> </w:t>
      </w:r>
      <w:r>
        <w:t xml:space="preserve">being applied). In fact, RAC and SCOEL recognised in their joint report on OEL derivation</w:t>
      </w:r>
      <w:r>
        <w:t xml:space="preserve"> </w:t>
      </w:r>
      <w:r>
        <w:t xml:space="preserve">that in addition to diverging assessment factors ‘the way in which the adjustment of the</w:t>
      </w:r>
      <w:r>
        <w:t xml:space="preserve"> </w:t>
      </w:r>
      <w:r>
        <w:t xml:space="preserve">POD for exposure was carried out could be more critical to the final result than previously</w:t>
      </w:r>
      <w:r>
        <w:t xml:space="preserve"> </w:t>
      </w:r>
      <w:r>
        <w:t xml:space="preserve">thought’ (ECHA/RAC-SCOEL, 2017).</w:t>
      </w:r>
      <w:r>
        <w:br/>
      </w:r>
      <w:r>
        <w:t xml:space="preserve">The most suitable key study and POD may will also depend on the specific reference value</w:t>
      </w:r>
      <w:r>
        <w:t xml:space="preserve"> </w:t>
      </w:r>
      <w:r>
        <w:t xml:space="preserve">it will be used for. If an inhalation reference value is to be derived for a given substance,</w:t>
      </w:r>
      <w:r>
        <w:t xml:space="preserve"> </w:t>
      </w:r>
      <w:r>
        <w:t xml:space="preserve">preference will generally be given to a key study involving inhalation exposure due to the</w:t>
      </w:r>
      <w:r>
        <w:t xml:space="preserve"> </w:t>
      </w:r>
      <w:r>
        <w:t xml:space="preserve">limitations of route-to-route extrapolation (Schneider and Dilger, 2019). If the same</w:t>
      </w:r>
      <w:r>
        <w:t xml:space="preserve"> </w:t>
      </w:r>
      <w:r>
        <w:t xml:space="preserve">substance is used e.g. in food contact materials and a reference value needs to be derived,</w:t>
      </w:r>
      <w:r>
        <w:t xml:space="preserve"> </w:t>
      </w:r>
      <w:r>
        <w:t xml:space="preserve">preference will generally be given to a key study involving oral exposure.</w:t>
      </w:r>
    </w:p>
    <w:p>
      <w:pPr>
        <w:pStyle w:val="BodyText"/>
      </w:pPr>
      <w:r>
        <w:t xml:space="preserve">256</w:t>
      </w:r>
      <w:r>
        <w:t xml:space="preserve"> </w:t>
      </w:r>
      <w:r>
        <w:t xml:space="preserve">Provision of NOAELs or NOECs – in some sense – make matters more complicated than</w:t>
      </w:r>
      <w:r>
        <w:t xml:space="preserve"> </w:t>
      </w:r>
      <w:r>
        <w:t xml:space="preserve">inclusion of reference values. For example, benchmark doses (rather than NOAELs) are</w:t>
      </w:r>
      <w:r>
        <w:t xml:space="preserve"> </w:t>
      </w:r>
      <w:r>
        <w:t xml:space="preserve">increasingly used for toxicological endpoints. Benchmark doses may be derived as a central</w:t>
      </w:r>
      <w:r>
        <w:t xml:space="preserve"> </w:t>
      </w:r>
      <w:r>
        <w:t xml:space="preserve">estimate (BMD) or the lower bound of the confidence interval (BMDL). The extent of using</w:t>
      </w:r>
      <w:r>
        <w:t xml:space="preserve"> </w:t>
      </w:r>
      <w:r>
        <w:t xml:space="preserve">benchmark doses and the specific POD used (BMD, BMDL)203 differ between different</w:t>
      </w:r>
      <w:r>
        <w:t xml:space="preserve"> </w:t>
      </w:r>
      <w:r>
        <w:t xml:space="preserve">regulatory frameworks (Schneider and Dilger, 2019).</w:t>
      </w:r>
      <w:r>
        <w:br/>
      </w:r>
      <w:r>
        <w:t xml:space="preserve">These considerations demonstrate that a POD (e.g. a NOAEL) does not exist in a vacuum</w:t>
      </w:r>
      <w:r>
        <w:t xml:space="preserve"> </w:t>
      </w:r>
      <w:r>
        <w:t xml:space="preserve">but must always be seen in the context of its intended application. In some cases, both an</w:t>
      </w:r>
      <w:r>
        <w:t xml:space="preserve"> </w:t>
      </w:r>
      <w:r>
        <w:t xml:space="preserve">inhalation and an oral POD would be needed, and the underlying key studies may differ</w:t>
      </w:r>
      <w:r>
        <w:t xml:space="preserve"> </w:t>
      </w:r>
      <w:r>
        <w:t xml:space="preserve">substantially (e.g. an epidemiological study for the inhalation POD and a study in</w:t>
      </w:r>
      <w:r>
        <w:t xml:space="preserve"> </w:t>
      </w:r>
      <w:r>
        <w:t xml:space="preserve">experimental animals for an oral OEL). The POD may be given as a NOAEL for some</w:t>
      </w:r>
      <w:r>
        <w:t xml:space="preserve"> </w:t>
      </w:r>
      <w:r>
        <w:t xml:space="preserve">substances and as a benchmark dose for other substances. Consequently, substantial</w:t>
      </w:r>
      <w:r>
        <w:t xml:space="preserve"> </w:t>
      </w:r>
      <w:r>
        <w:t xml:space="preserve">contextual information would need to be provided in addition to the value as such.</w:t>
      </w:r>
      <w:r>
        <w:br/>
      </w:r>
      <w:r>
        <w:t xml:space="preserve">Even if a single NOAEL could be provided for a given substance, different reference values</w:t>
      </w:r>
      <w:r>
        <w:t xml:space="preserve"> </w:t>
      </w:r>
      <w:r>
        <w:t xml:space="preserve">(e.g. a DNEL under REACH and an A(OEL) under the BPR) may still result due to</w:t>
      </w:r>
      <w:r>
        <w:t xml:space="preserve"> </w:t>
      </w:r>
      <w:r>
        <w:t xml:space="preserve">differences in methodology and/or scientific assessment. Therefore, the OSOA principle</w:t>
      </w:r>
      <w:r>
        <w:t xml:space="preserve"> </w:t>
      </w:r>
      <w:r>
        <w:t xml:space="preserve">appears as not being fulfilled. Ultimately, these considerations suggest that the OSOA</w:t>
      </w:r>
      <w:r>
        <w:t xml:space="preserve"> </w:t>
      </w:r>
      <w:r>
        <w:t xml:space="preserve">principle cannot be simply implemented by providing single values (as long as</w:t>
      </w:r>
      <w:r>
        <w:t xml:space="preserve"> </w:t>
      </w:r>
      <w:r>
        <w:t xml:space="preserve">methodologies are not harmonised), which is also suggested by the proposals of the</w:t>
      </w:r>
      <w:r>
        <w:t xml:space="preserve"> </w:t>
      </w:r>
      <w:r>
        <w:t xml:space="preserve">EFSA/ECHA joint position paper on OSOA.</w:t>
      </w:r>
      <w:r>
        <w:t xml:space="preserve"> </w:t>
      </w:r>
      <w:r>
        <w:t xml:space="preserve">On the basis of the problem described above as different agencies and expert committees</w:t>
      </w:r>
      <w:r>
        <w:t xml:space="preserve"> </w:t>
      </w:r>
      <w:r>
        <w:t xml:space="preserve">derive toxicity reference values with different methodologies and using different studies:</w:t>
      </w:r>
      <w:r>
        <w:t xml:space="preserve"> </w:t>
      </w:r>
      <w:r>
        <w:t xml:space="preserve">the following policy measures have been identified:</w:t>
      </w:r>
      <w:r>
        <w:t xml:space="preserve"> </w:t>
      </w:r>
      <w:r>
        <w:t xml:space="preserve"> Provide harmonised toxicity reference values (DNELs/PNECs or N/LOAEC and/or</w:t>
      </w:r>
      <w:r>
        <w:t xml:space="preserve"> </w:t>
      </w:r>
      <w:r>
        <w:t xml:space="preserve">N/LOAEL) in CLP Annex VI (CLH) or new annex;</w:t>
      </w:r>
      <w:r>
        <w:br/>
      </w:r>
      <w:r>
        <w:t xml:space="preserve"> RAC opinions include the derivation of point of departures (NOAEL/NOAEC)</w:t>
      </w:r>
      <w:r>
        <w:t xml:space="preserve"> </w:t>
      </w:r>
      <w:r>
        <w:t xml:space="preserve">when performing the review of CLH dossiers for the hazard classes under the scope</w:t>
      </w:r>
      <w:r>
        <w:t xml:space="preserve"> </w:t>
      </w:r>
      <w:r>
        <w:t xml:space="preserve">of the CLH dossier.</w:t>
      </w:r>
      <w:r>
        <w:br/>
      </w:r>
      <w:r>
        <w:t xml:space="preserve"> Create a repository of toxicity reference values;</w:t>
      </w:r>
      <w:r>
        <w:br/>
      </w:r>
      <w:r>
        <w:t xml:space="preserve"> Create a central coordination mechanism to harmonise toxicity reference values</w:t>
      </w:r>
      <w:r>
        <w:t xml:space="preserve"> </w:t>
      </w:r>
      <w:r>
        <w:t xml:space="preserve">across different chemical regulatory frameworks.</w:t>
      </w:r>
      <w:r>
        <w:t xml:space="preserve"> </w:t>
      </w:r>
      <w:r>
        <w:t xml:space="preserve">Stakeholders’ views</w:t>
      </w:r>
      <w:r>
        <w:t xml:space="preserve"> </w:t>
      </w:r>
      <w:r>
        <w:t xml:space="preserve">With regard to toxicity reference values, the analysis of the Open Public Consultation</w:t>
      </w:r>
      <w:r>
        <w:t xml:space="preserve"> </w:t>
      </w:r>
      <w:r>
        <w:t xml:space="preserve">position papers has shown a very high variation in opinions with some of them clearly out</w:t>
      </w:r>
      <w:r>
        <w:t xml:space="preserve"> </w:t>
      </w:r>
      <w:r>
        <w:t xml:space="preserve">of the scope this issue. For instance, some respondents discussed the issues of hazard</w:t>
      </w:r>
      <w:r>
        <w:t xml:space="preserve"> </w:t>
      </w:r>
      <w:r>
        <w:t xml:space="preserve">identification or animal testing. Such variance demonstrates that the problem is not</w:t>
      </w:r>
      <w:r>
        <w:t xml:space="preserve"> </w:t>
      </w:r>
      <w:r>
        <w:t xml:space="preserve">sufficiently visible, discussed or understood by the stakeholders. In open questions of the</w:t>
      </w:r>
      <w:r>
        <w:t xml:space="preserve"> </w:t>
      </w:r>
      <w:r>
        <w:t xml:space="preserve">TSS, the respondents were focused on toxicity reference values; however, many of them</w:t>
      </w:r>
      <w:r>
        <w:t xml:space="preserve"> </w:t>
      </w:r>
      <w:r>
        <w:t xml:space="preserve">pointed out that the issue of hazard quantification is out of the scope of the CLP Regulation.</w:t>
      </w:r>
      <w:r>
        <w:t xml:space="preserve"> </w:t>
      </w:r>
      <w:r>
        <w:t xml:space="preserve">It should be noted, however, that the views of business entities were mostly represented in</w:t>
      </w:r>
      <w:r>
        <w:t xml:space="preserve"> </w:t>
      </w:r>
      <w:r>
        <w:t xml:space="preserve">the TSS due to a very low participation rates of public authorities and non-governmental</w:t>
      </w:r>
    </w:p>
    <w:p>
      <w:pPr>
        <w:pStyle w:val="BodyText"/>
      </w:pPr>
      <w:r>
        <w:t xml:space="preserve">203 As an additional element, the benchmark response (also called critical effect size) associated with a BMD</w:t>
      </w:r>
      <w:r>
        <w:t xml:space="preserve"> </w:t>
      </w:r>
      <w:r>
        <w:t xml:space="preserve">or BMDL must be provided, but this issue is not discussed here further.</w:t>
      </w:r>
    </w:p>
    <w:p>
      <w:pPr>
        <w:pStyle w:val="BodyText"/>
      </w:pPr>
      <w:r>
        <w:t xml:space="preserve">257</w:t>
      </w:r>
      <w:r>
        <w:t xml:space="preserve"> </w:t>
      </w:r>
      <w:r>
        <w:t xml:space="preserve">organisations. In the interviews, the respondents also indicated that the issue is out of CLP</w:t>
      </w:r>
      <w:r>
        <w:t xml:space="preserve"> </w:t>
      </w:r>
      <w:r>
        <w:t xml:space="preserve">scope. However, the interviewees commented that different toxicity reference values</w:t>
      </w:r>
      <w:r>
        <w:t xml:space="preserve"> </w:t>
      </w:r>
      <w:r>
        <w:t xml:space="preserve">emerge due to various reasons (e.g., data or knowledge available as well as different</w:t>
      </w:r>
      <w:r>
        <w:t xml:space="preserve"> </w:t>
      </w:r>
      <w:r>
        <w:t xml:space="preserve">methodology, different levels of scientific quality, etc.).</w:t>
      </w:r>
      <w:r>
        <w:t xml:space="preserve"> </w:t>
      </w:r>
      <w:r>
        <w:t xml:space="preserve">Similarly, although in general, CARACAL members were supportive to harmonisation of</w:t>
      </w:r>
      <w:r>
        <w:t xml:space="preserve"> </w:t>
      </w:r>
      <w:r>
        <w:t xml:space="preserve">toxicity reference values, they did not see how the issue of diverging toxicity reference</w:t>
      </w:r>
      <w:r>
        <w:t xml:space="preserve"> </w:t>
      </w:r>
      <w:r>
        <w:t xml:space="preserve">values fit the CLP Regulation.</w:t>
      </w:r>
    </w:p>
    <w:p>
      <w:pPr>
        <w:pStyle w:val="BodyText"/>
      </w:pPr>
      <w:r>
        <w:t xml:space="preserve">SCREENING AND ASSESSMENT OF THE POTENTIAL MEASURES</w:t>
      </w:r>
      <w:r>
        <w:t xml:space="preserve"> </w:t>
      </w:r>
      <w:r>
        <w:t xml:space="preserve">Discarded policy options</w:t>
      </w:r>
      <w:r>
        <w:t xml:space="preserve"> </w:t>
      </w:r>
      <w:r>
        <w:t xml:space="preserve">Include in RAC opinions the derivation of point of departures (NOAEL/NOAEC) when</w:t>
      </w:r>
      <w:r>
        <w:t xml:space="preserve"> </w:t>
      </w:r>
      <w:r>
        <w:t xml:space="preserve">performing the review of CLH dossiers for the hazard classes under the scope of the CLH</w:t>
      </w:r>
      <w:r>
        <w:t xml:space="preserve"> </w:t>
      </w:r>
      <w:r>
        <w:t xml:space="preserve">dossier. While this may entail a lower workload due to the limitation to selected endpoints</w:t>
      </w:r>
      <w:r>
        <w:t xml:space="preserve"> </w:t>
      </w:r>
      <w:r>
        <w:t xml:space="preserve">— although falling on RAC rather than dossier submitters — such an approach has several</w:t>
      </w:r>
      <w:r>
        <w:t xml:space="preserve"> </w:t>
      </w:r>
      <w:r>
        <w:t xml:space="preserve">limitations:</w:t>
      </w:r>
      <w:r>
        <w:br/>
      </w:r>
      <w:r>
        <w:t xml:space="preserve">CLH dossiers are usually limited to a consideration of specific endpoints/hazard classes</w:t>
      </w:r>
      <w:r>
        <w:t xml:space="preserve"> </w:t>
      </w:r>
      <w:r>
        <w:t xml:space="preserve">(e.g. CMR properties, respiratory sensitisation and ED properties in the future). The point</w:t>
      </w:r>
      <w:r>
        <w:t xml:space="preserve"> </w:t>
      </w:r>
      <w:r>
        <w:t xml:space="preserve">of departure will only relate to these endpoints. The NOAEL/NOAEC values for other</w:t>
      </w:r>
      <w:r>
        <w:t xml:space="preserve"> </w:t>
      </w:r>
      <w:r>
        <w:t xml:space="preserve">endpoints (i.e. the ones not subject to the CLH dossier) may differ from (and in some cases</w:t>
      </w:r>
      <w:r>
        <w:t xml:space="preserve"> </w:t>
      </w:r>
      <w:r>
        <w:t xml:space="preserve">may be lower than) the one derived under this option. Consequently, the point of departure</w:t>
      </w:r>
      <w:r>
        <w:t xml:space="preserve"> </w:t>
      </w:r>
      <w:r>
        <w:t xml:space="preserve">derived under this option may not be used in the derivation of reference values, which</w:t>
      </w:r>
      <w:r>
        <w:t xml:space="preserve"> </w:t>
      </w:r>
      <w:r>
        <w:t xml:space="preserve">requires a consideration of all endpoints. In essence, providing a point of departure in a CLH</w:t>
      </w:r>
      <w:r>
        <w:t xml:space="preserve"> </w:t>
      </w:r>
      <w:r>
        <w:t xml:space="preserve">dossier will always involve the uncertainty of whether consideration of other endpoints</w:t>
      </w:r>
      <w:r>
        <w:t xml:space="preserve"> </w:t>
      </w:r>
      <w:r>
        <w:t xml:space="preserve">would result in lower points of departure or reference values).</w:t>
      </w:r>
      <w:r>
        <w:br/>
      </w:r>
      <w:r>
        <w:t xml:space="preserve">Since CLH dossiers focus on endpoints that are considered (by RAC and other EU</w:t>
      </w:r>
      <w:r>
        <w:t xml:space="preserve"> </w:t>
      </w:r>
      <w:r>
        <w:t xml:space="preserve">institutions) to reflect non-threshold effects in many/most cases (e.g. carcinogenicity,</w:t>
      </w:r>
      <w:r>
        <w:t xml:space="preserve"> </w:t>
      </w:r>
      <w:r>
        <w:t xml:space="preserve">endocrine disruption), deriving a simple point of departure may not be feasible. In such</w:t>
      </w:r>
      <w:r>
        <w:t xml:space="preserve"> </w:t>
      </w:r>
      <w:r>
        <w:t xml:space="preserve">cases, exposure-risk (or dose-response) relationships will need to be established and it will</w:t>
      </w:r>
      <w:r>
        <w:t xml:space="preserve"> </w:t>
      </w:r>
      <w:r>
        <w:t xml:space="preserve">remain unclear how these relate to points of departures for other endpoints.</w:t>
      </w:r>
      <w:r>
        <w:br/>
      </w:r>
      <w:r>
        <w:t xml:space="preserve">There may be a complex relationship between pathways of exposure, mechanisms of action</w:t>
      </w:r>
      <w:r>
        <w:t xml:space="preserve"> </w:t>
      </w:r>
      <w:r>
        <w:t xml:space="preserve">and the endpoints considered (e.g. non-threshold carcinogenicity following inhalation, but</w:t>
      </w:r>
      <w:r>
        <w:t xml:space="preserve"> </w:t>
      </w:r>
      <w:r>
        <w:t xml:space="preserve">not dermal, exposure and threshold-based reproductive toxicity involving all pathways of</w:t>
      </w:r>
      <w:r>
        <w:t xml:space="preserve"> </w:t>
      </w:r>
      <w:r>
        <w:t xml:space="preserve">exposure in the case of hexavalent chromium).</w:t>
      </w:r>
      <w:r>
        <w:br/>
      </w:r>
      <w:r>
        <w:t xml:space="preserve">Overall, it does not appear meaningful to derive a point of departure without a consideration</w:t>
      </w:r>
      <w:r>
        <w:t xml:space="preserve"> </w:t>
      </w:r>
      <w:r>
        <w:t xml:space="preserve">of the complete toxicological profile of a substance.</w:t>
      </w:r>
      <w:r>
        <w:t xml:space="preserve"> </w:t>
      </w:r>
      <w:r>
        <w:t xml:space="preserve">Create a repository of toxicity reference values: Assumed to be part of the baseline. The</w:t>
      </w:r>
      <w:r>
        <w:t xml:space="preserve"> </w:t>
      </w:r>
      <w:r>
        <w:t xml:space="preserve">Commission has launched a call for tenders for designing the repository and collating</w:t>
      </w:r>
      <w:r>
        <w:t xml:space="preserve"> </w:t>
      </w:r>
      <w:r>
        <w:t xml:space="preserve">information. This belongs to the baseline.</w:t>
      </w:r>
      <w:r>
        <w:t xml:space="preserve"> </w:t>
      </w:r>
      <w:r>
        <w:t xml:space="preserve">Create a central coordination mechanism to harmonise toxicity reference values across</w:t>
      </w:r>
      <w:r>
        <w:t xml:space="preserve"> </w:t>
      </w:r>
      <w:r>
        <w:t xml:space="preserve">different chemical regulatory frameworks: This is to be assessed by a study focusing on the</w:t>
      </w:r>
      <w:r>
        <w:t xml:space="preserve"> </w:t>
      </w:r>
      <w:r>
        <w:t xml:space="preserve">one substance, one assessment approach. Such a central coordination mechanism, proposed</w:t>
      </w:r>
    </w:p>
    <w:p>
      <w:pPr>
        <w:pStyle w:val="BodyText"/>
      </w:pPr>
      <w:r>
        <w:t xml:space="preserve">258</w:t>
      </w:r>
      <w:r>
        <w:t xml:space="preserve"> </w:t>
      </w:r>
      <w:r>
        <w:t xml:space="preserve">in the ECHA and EFSA Joint position paper on one substance - one assessment would</w:t>
      </w:r>
      <w:r>
        <w:t xml:space="preserve"> </w:t>
      </w:r>
      <w:r>
        <w:t xml:space="preserve">include a coordinated problem formulation phase (i.e. identifying the correct scientific</w:t>
      </w:r>
      <w:r>
        <w:t xml:space="preserve"> </w:t>
      </w:r>
      <w:r>
        <w:t xml:space="preserve">question that needs to be answered) which would enhance predictability for industry. This</w:t>
      </w:r>
      <w:r>
        <w:t xml:space="preserve"> </w:t>
      </w:r>
      <w:r>
        <w:t xml:space="preserve">may include a public EU coordination registry, potentially developed from ECHA’s PACT</w:t>
      </w:r>
      <w:r>
        <w:t xml:space="preserve"> </w:t>
      </w:r>
      <w:r>
        <w:t xml:space="preserve">(Public Activities Coordination Tool), to increase transparency and predictability on</w:t>
      </w:r>
      <w:r>
        <w:t xml:space="preserve"> </w:t>
      </w:r>
      <w:r>
        <w:t xml:space="preserve">substance-specific activities by authorities across different chemical regulatory frameworks.</w:t>
      </w:r>
      <w:r>
        <w:br/>
      </w:r>
      <w:r>
        <w:t xml:space="preserve">Retained policy options</w:t>
      </w:r>
      <w:r>
        <w:t xml:space="preserve"> </w:t>
      </w:r>
      <w:r>
        <w:t xml:space="preserve">The harmonisation of methodologies is a difficult endeavour and is outside the scope of the</w:t>
      </w:r>
      <w:r>
        <w:t xml:space="preserve"> </w:t>
      </w:r>
      <w:r>
        <w:t xml:space="preserve">CLP Regulation. However, the measures under consideration propose to add a procedure to</w:t>
      </w:r>
      <w:r>
        <w:t xml:space="preserve"> </w:t>
      </w:r>
      <w:r>
        <w:t xml:space="preserve">the CLP Regulation to derive and publish harmonised human and environmental</w:t>
      </w:r>
      <w:r>
        <w:t xml:space="preserve"> </w:t>
      </w:r>
      <w:r>
        <w:t xml:space="preserve">toxicological reference values along the following lines:</w:t>
      </w:r>
      <w:r>
        <w:br/>
      </w:r>
      <w:r>
        <w:t xml:space="preserve">‘Introduction of the possibility to insert in a CLP CLH dossier or in a stand-alone dossier a</w:t>
      </w:r>
      <w:r>
        <w:t xml:space="preserve"> </w:t>
      </w:r>
      <w:r>
        <w:t xml:space="preserve">proposal for a harmonised value of human and environmental toxicological reference values</w:t>
      </w:r>
      <w:r>
        <w:t xml:space="preserve"> </w:t>
      </w:r>
      <w:r>
        <w:t xml:space="preserve">when considered appropriate by the dossier submitter (e.g. REACH data are available etc.).</w:t>
      </w:r>
      <w:r>
        <w:br/>
      </w:r>
      <w:r>
        <w:t xml:space="preserve">The dossier will be assessed by the Agency in the usual way. Once an opinion is provided</w:t>
      </w:r>
      <w:r>
        <w:t xml:space="preserve"> </w:t>
      </w:r>
      <w:r>
        <w:t xml:space="preserve">including a proposal for a harmonised human and environmental toxicological reference</w:t>
      </w:r>
      <w:r>
        <w:t xml:space="preserve"> </w:t>
      </w:r>
      <w:r>
        <w:t xml:space="preserve">values, the Commission will consider its insertion in Annex VI or in a new Annex.</w:t>
      </w:r>
      <w:r>
        <w:br/>
      </w:r>
      <w:r>
        <w:t xml:space="preserve">Downstream regulation might want to refer to the harmonised CLP human and</w:t>
      </w:r>
      <w:r>
        <w:t xml:space="preserve"> </w:t>
      </w:r>
      <w:r>
        <w:t xml:space="preserve">environmental toxicological reference values in their specific framework. However, it will</w:t>
      </w:r>
      <w:r>
        <w:t xml:space="preserve"> </w:t>
      </w:r>
      <w:r>
        <w:t xml:space="preserve">be left to these legislations to assess any direct link or specific requirement to follow CLP</w:t>
      </w:r>
      <w:r>
        <w:t xml:space="preserve"> </w:t>
      </w:r>
      <w:r>
        <w:t xml:space="preserve">harmonised values’.</w:t>
      </w:r>
      <w:r>
        <w:br/>
      </w:r>
      <w:r>
        <w:t xml:space="preserve">Description of Impacts - Administrative burden on businesses and public authorities</w:t>
      </w:r>
      <w:r>
        <w:br/>
      </w:r>
      <w:r>
        <w:t xml:space="preserve">The harmonisation of reference values would lead to increased administrative costs on</w:t>
      </w:r>
      <w:r>
        <w:t xml:space="preserve"> </w:t>
      </w:r>
      <w:r>
        <w:t xml:space="preserve">dossier submitters, and therefore in particular on public authorities. Based on the experience</w:t>
      </w:r>
      <w:r>
        <w:t xml:space="preserve"> </w:t>
      </w:r>
      <w:r>
        <w:t xml:space="preserve">with CLH, it can be assumed that economic operators would only rarely submit dossiers for</w:t>
      </w:r>
      <w:r>
        <w:t xml:space="preserve"> </w:t>
      </w:r>
      <w:r>
        <w:t xml:space="preserve">harmonised DNELs/PNECs or N/LOAECs and/or N/LOAELs. Moreover, businesses</w:t>
      </w:r>
      <w:r>
        <w:t xml:space="preserve"> </w:t>
      </w:r>
      <w:r>
        <w:t xml:space="preserve">wishing to submit proposals may not have access to the same level of data accessible by</w:t>
      </w:r>
      <w:r>
        <w:t xml:space="preserve"> </w:t>
      </w:r>
      <w:r>
        <w:t xml:space="preserve">public authorities.</w:t>
      </w:r>
      <w:r>
        <w:br/>
      </w:r>
      <w:r>
        <w:t xml:space="preserve">The following table summarise workload estimates for the dossier submitter under the</w:t>
      </w:r>
      <w:r>
        <w:t xml:space="preserve"> </w:t>
      </w:r>
      <w:r>
        <w:t xml:space="preserve">assumption that a stand-alone dossier is submitted. The workload may be lower if a</w:t>
      </w:r>
      <w:r>
        <w:t xml:space="preserve"> </w:t>
      </w:r>
      <w:r>
        <w:t xml:space="preserve">combined CLH/harmonised DNEL/PNEC dossier is submitted, but this can only be judged</w:t>
      </w:r>
      <w:r>
        <w:t xml:space="preserve"> </w:t>
      </w:r>
      <w:r>
        <w:t xml:space="preserve">on a case-by-case basis and most likely only affects human health. The workload estimates</w:t>
      </w:r>
      <w:r>
        <w:t xml:space="preserve"> </w:t>
      </w:r>
      <w:r>
        <w:t xml:space="preserve">do not change if NOAELs and NOECs are derived instead of DNELs and PNECs. The</w:t>
      </w:r>
      <w:r>
        <w:t xml:space="preserve"> </w:t>
      </w:r>
      <w:r>
        <w:t xml:space="preserve">question whether harmonised DNELs are derived in a stand-alone dossier or together with</w:t>
      </w:r>
      <w:r>
        <w:t xml:space="preserve"> </w:t>
      </w:r>
      <w:r>
        <w:t xml:space="preserve">a CLH dossier. In the latter case, the workload for harmonised DNELs (but not PNECs)</w:t>
      </w:r>
      <w:r>
        <w:t xml:space="preserve"> </w:t>
      </w:r>
      <w:r>
        <w:t xml:space="preserve">may be lower depending on the extent to which the relevant studies for classification and</w:t>
      </w:r>
      <w:r>
        <w:t xml:space="preserve"> </w:t>
      </w:r>
      <w:r>
        <w:t xml:space="preserve">DNEL derivation overlap. However, it is estimated that the additional workload for RAC</w:t>
      </w:r>
      <w:r>
        <w:t xml:space="preserve"> </w:t>
      </w:r>
      <w:r>
        <w:t xml:space="preserve">to derive NOAELs and NOECs for the hazard classes under the scope of the CLH dossier</w:t>
      </w:r>
      <w:r>
        <w:t xml:space="preserve"> </w:t>
      </w:r>
      <w:r>
        <w:t xml:space="preserve">under AARAC assessment is low.</w:t>
      </w:r>
    </w:p>
    <w:p>
      <w:pPr>
        <w:pStyle w:val="BodyText"/>
      </w:pPr>
      <w:r>
        <w:t xml:space="preserve">259</w:t>
      </w:r>
      <w:r>
        <w:t xml:space="preserve"> </w:t>
      </w:r>
      <w:r>
        <w:t xml:space="preserve">The impact of the factors mentioned above is far higher than the workload associated with</w:t>
      </w:r>
      <w:r>
        <w:t xml:space="preserve"> </w:t>
      </w:r>
      <w:r>
        <w:t xml:space="preserve">the actual derivation of DNELs and PNECs. Furthermore, resulting reference values need</w:t>
      </w:r>
      <w:r>
        <w:t xml:space="preserve"> </w:t>
      </w:r>
      <w:r>
        <w:t xml:space="preserve">to be calculated anyway for selection of the most adequate NOAEL/NOEC.</w:t>
      </w:r>
      <w:r>
        <w:t xml:space="preserve"> </w:t>
      </w:r>
      <w:r>
        <w:t xml:space="preserve">Table 77: Workload estimates (in person-days) to derive harmonised DNELs and PNECs or NOAELs and</w:t>
      </w:r>
      <w:r>
        <w:t xml:space="preserve"> </w:t>
      </w:r>
      <w:r>
        <w:t xml:space="preserve">NOECs (derivation only)</w:t>
      </w:r>
      <w:r>
        <w:t xml:space="preserve"> </w:t>
      </w:r>
      <w:r>
        <w:t xml:space="preserve">Available</w:t>
      </w:r>
      <w:r>
        <w:t xml:space="preserve"> </w:t>
      </w:r>
      <w:r>
        <w:t xml:space="preserve">dataset</w:t>
      </w:r>
      <w:r>
        <w:t xml:space="preserve"> </w:t>
      </w:r>
      <w:r>
        <w:t xml:space="preserve">Harmonised</w:t>
      </w:r>
      <w:r>
        <w:t xml:space="preserve"> </w:t>
      </w:r>
      <w:r>
        <w:t xml:space="preserve">DNELs*</w:t>
      </w:r>
      <w:r>
        <w:t xml:space="preserve"> </w:t>
      </w:r>
      <w:r>
        <w:t xml:space="preserve">Harmonised</w:t>
      </w:r>
      <w:r>
        <w:t xml:space="preserve"> </w:t>
      </w:r>
      <w:r>
        <w:t xml:space="preserve">PNECs**</w:t>
      </w:r>
      <w:r>
        <w:t xml:space="preserve"> </w:t>
      </w:r>
      <w:r>
        <w:t xml:space="preserve">Total person-days (FTEs)</w:t>
      </w:r>
      <w:r>
        <w:t xml:space="preserve"> </w:t>
      </w:r>
      <w:r>
        <w:t xml:space="preserve">Low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10 (0.045 FTE)</w:t>
      </w:r>
      <w:r>
        <w:t xml:space="preserve"> </w:t>
      </w:r>
      <w:r>
        <w:t xml:space="preserve">Medium</w:t>
      </w:r>
      <w:r>
        <w:t xml:space="preserve"> </w:t>
      </w:r>
      <w:r>
        <w:t xml:space="preserve">15</w:t>
      </w:r>
      <w:r>
        <w:t xml:space="preserve"> </w:t>
      </w:r>
      <w:r>
        <w:t xml:space="preserve">12</w:t>
      </w:r>
      <w:r>
        <w:t xml:space="preserve"> </w:t>
      </w:r>
      <w:r>
        <w:t xml:space="preserve">27 (0.123 FTE)</w:t>
      </w:r>
      <w:r>
        <w:t xml:space="preserve"> </w:t>
      </w:r>
      <w:r>
        <w:t xml:space="preserve">High</w:t>
      </w:r>
      <w:r>
        <w:t xml:space="preserve"> </w:t>
      </w:r>
      <w:r>
        <w:t xml:space="preserve">25</w:t>
      </w:r>
      <w:r>
        <w:t xml:space="preserve"> </w:t>
      </w:r>
      <w:r>
        <w:t xml:space="preserve">20</w:t>
      </w:r>
      <w:r>
        <w:t xml:space="preserve"> </w:t>
      </w:r>
      <w:r>
        <w:t xml:space="preserve">45 (0.205 FTE)</w:t>
      </w:r>
      <w:r>
        <w:t xml:space="preserve"> </w:t>
      </w:r>
      <w:r>
        <w:t xml:space="preserve">Notes: * Workers (inhalation and dermal, long-term, systemic effects) and general population (inhalation, dermal and</w:t>
      </w:r>
      <w:r>
        <w:t xml:space="preserve"> </w:t>
      </w:r>
      <w:r>
        <w:t xml:space="preserve">oral, long-term, systemic effects). ** All compartments envisaged in ECHA (2008).</w:t>
      </w:r>
    </w:p>
    <w:p>
      <w:pPr>
        <w:pStyle w:val="BodyText"/>
      </w:pPr>
      <w:r>
        <w:t xml:space="preserve">Due to the various factors affecting the workload, these figures have a high degree of</w:t>
      </w:r>
      <w:r>
        <w:t xml:space="preserve"> </w:t>
      </w:r>
      <w:r>
        <w:t xml:space="preserve">uncertainty, and the ‘high’ values should not be taken as maximum values. The figures</w:t>
      </w:r>
      <w:r>
        <w:t xml:space="preserve"> </w:t>
      </w:r>
      <w:r>
        <w:t xml:space="preserve">presented in the table above are the estimated additional resources required to derive these</w:t>
      </w:r>
      <w:r>
        <w:t xml:space="preserve"> </w:t>
      </w:r>
      <w:r>
        <w:t xml:space="preserve">reference values by the dossier submitters. Through the analysis of the database of CLHs</w:t>
      </w:r>
      <w:r>
        <w:t xml:space="preserve"> </w:t>
      </w:r>
      <w:r>
        <w:t xml:space="preserve">maintained by ECHA, it is not possible to identify how many CLHs have been submitted</w:t>
      </w:r>
      <w:r>
        <w:t xml:space="preserve"> </w:t>
      </w:r>
      <w:r>
        <w:t xml:space="preserve">by industry and how many by MSCAs. However, a close proxy can be derived through the</w:t>
      </w:r>
      <w:r>
        <w:t xml:space="preserve"> </w:t>
      </w:r>
      <w:r>
        <w:t xml:space="preserve">analysis of the registry of intention for CLHs, which reveals that industry actors submit 2%</w:t>
      </w:r>
      <w:r>
        <w:t xml:space="preserve"> </w:t>
      </w:r>
      <w:r>
        <w:t xml:space="preserve">of CLH dossiers. By considering an average of 55 CLH dossiers being submitted per year,</w:t>
      </w:r>
      <w:r>
        <w:t xml:space="preserve"> </w:t>
      </w:r>
      <w:r>
        <w:t xml:space="preserve">the administrative burden for MSCAs is estimated at 6.8 FTEs per year (or present value of</w:t>
      </w:r>
      <w:r>
        <w:t xml:space="preserve"> </w:t>
      </w:r>
      <w:r>
        <w:t xml:space="preserve">€0.6 million; discount rate: 3%; period: 2023-2043). As noted above, the support services</w:t>
      </w:r>
      <w:r>
        <w:t xml:space="preserve"> </w:t>
      </w:r>
      <w:r>
        <w:t xml:space="preserve">by ECHA and the development of the RAC opinion need to be accounted for. The necessary</w:t>
      </w:r>
      <w:r>
        <w:t xml:space="preserve"> </w:t>
      </w:r>
      <w:r>
        <w:t xml:space="preserve">resources are considered proportional to the time required to derive DNELs and PNECs or</w:t>
      </w:r>
      <w:r>
        <w:t xml:space="preserve"> </w:t>
      </w:r>
      <w:r>
        <w:t xml:space="preserve">NOAELs and NOECs, and are therefore extrapolated from the estimates provided by ECHA</w:t>
      </w:r>
      <w:r>
        <w:t xml:space="preserve"> </w:t>
      </w:r>
      <w:r>
        <w:t xml:space="preserve">on the support and RAC opinion development on CLH dossier.</w:t>
      </w:r>
      <w:r>
        <w:br/>
      </w:r>
      <w:r>
        <w:t xml:space="preserve">Table 78: Workload estimates including ECHA support services and RAC opinion development</w:t>
      </w:r>
      <w:r>
        <w:t xml:space="preserve"> </w:t>
      </w:r>
      <w:r>
        <w:t xml:space="preserve">DNELs/PNECs</w:t>
      </w:r>
      <w:r>
        <w:t xml:space="preserve"> </w:t>
      </w:r>
      <w:r>
        <w:t xml:space="preserve">or</w:t>
      </w:r>
      <w:r>
        <w:t xml:space="preserve"> </w:t>
      </w:r>
      <w:r>
        <w:t xml:space="preserve">NOALEs/NOECs</w:t>
      </w:r>
      <w:r>
        <w:t xml:space="preserve"> </w:t>
      </w:r>
      <w:r>
        <w:t xml:space="preserve">derivation</w:t>
      </w:r>
      <w:r>
        <w:t xml:space="preserve"> </w:t>
      </w:r>
      <w:r>
        <w:t xml:space="preserve">FTEs</w:t>
      </w:r>
      <w:r>
        <w:t xml:space="preserve"> </w:t>
      </w:r>
      <w:r>
        <w:t xml:space="preserve">% of required resources</w:t>
      </w:r>
      <w:r>
        <w:t xml:space="preserve"> </w:t>
      </w:r>
      <w:r>
        <w:t xml:space="preserve">to</w:t>
      </w:r>
      <w:r>
        <w:t xml:space="preserve"> </w:t>
      </w:r>
      <w:r>
        <w:t xml:space="preserve">develop</w:t>
      </w:r>
      <w:r>
        <w:t xml:space="preserve"> </w:t>
      </w:r>
      <w:r>
        <w:t xml:space="preserve">a</w:t>
      </w:r>
      <w:r>
        <w:t xml:space="preserve"> </w:t>
      </w:r>
      <w:r>
        <w:t xml:space="preserve">CLH</w:t>
      </w:r>
      <w:r>
        <w:t xml:space="preserve"> </w:t>
      </w:r>
      <w:r>
        <w:t xml:space="preserve">dossier (0.35 FTE)</w:t>
      </w:r>
      <w:r>
        <w:t xml:space="preserve"> </w:t>
      </w:r>
      <w:r>
        <w:t xml:space="preserve">RAC opinion</w:t>
      </w:r>
      <w:r>
        <w:t xml:space="preserve"> </w:t>
      </w:r>
      <w:r>
        <w:t xml:space="preserve">development</w:t>
      </w:r>
      <w:r>
        <w:t xml:space="preserve"> </w:t>
      </w:r>
      <w:r>
        <w:t xml:space="preserve">ECHA</w:t>
      </w:r>
      <w:r>
        <w:t xml:space="preserve"> </w:t>
      </w:r>
      <w:r>
        <w:t xml:space="preserve">support</w:t>
      </w:r>
      <w:r>
        <w:t xml:space="preserve"> </w:t>
      </w:r>
      <w:r>
        <w:t xml:space="preserve">services</w:t>
      </w:r>
      <w:r>
        <w:t xml:space="preserve"> </w:t>
      </w:r>
      <w:r>
        <w:t xml:space="preserve">Low</w:t>
      </w:r>
      <w:r>
        <w:t xml:space="preserve"> </w:t>
      </w:r>
      <w:r>
        <w:t xml:space="preserve">0.045</w:t>
      </w:r>
      <w:r>
        <w:t xml:space="preserve"> </w:t>
      </w:r>
      <w:r>
        <w:t xml:space="preserve">13%</w:t>
      </w:r>
      <w:r>
        <w:t xml:space="preserve"> </w:t>
      </w:r>
      <w:r>
        <w:t xml:space="preserve">0.013 FTE</w:t>
      </w:r>
      <w:r>
        <w:t xml:space="preserve"> </w:t>
      </w:r>
      <w:r>
        <w:t xml:space="preserve">0.007 FTE</w:t>
      </w:r>
      <w:r>
        <w:t xml:space="preserve"> </w:t>
      </w:r>
      <w:r>
        <w:t xml:space="preserve">Medium</w:t>
      </w:r>
      <w:r>
        <w:t xml:space="preserve"> </w:t>
      </w:r>
      <w:r>
        <w:t xml:space="preserve">0.123</w:t>
      </w:r>
      <w:r>
        <w:t xml:space="preserve"> </w:t>
      </w:r>
      <w:r>
        <w:t xml:space="preserve">35%</w:t>
      </w:r>
      <w:r>
        <w:t xml:space="preserve"> </w:t>
      </w:r>
      <w:r>
        <w:t xml:space="preserve">0.035 FTE</w:t>
      </w:r>
      <w:r>
        <w:t xml:space="preserve"> </w:t>
      </w:r>
      <w:r>
        <w:t xml:space="preserve">0.018 FTE</w:t>
      </w:r>
      <w:r>
        <w:t xml:space="preserve"> </w:t>
      </w:r>
      <w:r>
        <w:t xml:space="preserve">High</w:t>
      </w:r>
      <w:r>
        <w:t xml:space="preserve"> </w:t>
      </w:r>
      <w:r>
        <w:t xml:space="preserve">0.205</w:t>
      </w:r>
      <w:r>
        <w:t xml:space="preserve"> </w:t>
      </w:r>
      <w:r>
        <w:t xml:space="preserve">58%</w:t>
      </w:r>
      <w:r>
        <w:t xml:space="preserve"> </w:t>
      </w:r>
      <w:r>
        <w:t xml:space="preserve">0.058 FTE</w:t>
      </w:r>
      <w:r>
        <w:t xml:space="preserve"> </w:t>
      </w:r>
      <w:r>
        <w:t xml:space="preserve">0.029 FTE</w:t>
      </w:r>
    </w:p>
    <w:p>
      <w:pPr>
        <w:pStyle w:val="BodyText"/>
      </w:pPr>
      <w:r>
        <w:t xml:space="preserve">The additional burdens of 1.9 FTE per year (CI: 0.7 – 3.2 FTEs) for the RAC to develop an</w:t>
      </w:r>
      <w:r>
        <w:t xml:space="preserve"> </w:t>
      </w:r>
      <w:r>
        <w:t xml:space="preserve">opinion on the derived reference values and 1 FTE per year (CI: 0.4 – 1.6 FTE) for ECHA</w:t>
      </w:r>
      <w:r>
        <w:t xml:space="preserve"> </w:t>
      </w:r>
      <w:r>
        <w:t xml:space="preserve">CLP support team to support the process, although low, would impact on the already</w:t>
      </w:r>
      <w:r>
        <w:t xml:space="preserve"> </w:t>
      </w:r>
      <w:r>
        <w:t xml:space="preserve">strained capacity of the RAC and ECHA CLP support team. The present value (discount</w:t>
      </w:r>
      <w:r>
        <w:t xml:space="preserve"> </w:t>
      </w:r>
      <w:r>
        <w:t xml:space="preserve">rate: 3%; 2023-2043) of the costs for RAC opinion development are estimated at €0.4</w:t>
      </w:r>
      <w:r>
        <w:t xml:space="preserve"> </w:t>
      </w:r>
      <w:r>
        <w:t xml:space="preserve">million and for ECHA support services at €0.2 million.</w:t>
      </w:r>
      <w:r>
        <w:br/>
      </w:r>
      <w:r>
        <w:t xml:space="preserve">Harmonised DNELs have the potential of ensuring a more consistent application of the</w:t>
      </w:r>
      <w:r>
        <w:t xml:space="preserve"> </w:t>
      </w:r>
      <w:r>
        <w:t xml:space="preserve">methodology established under REACH. While the derivation of harmonised</w:t>
      </w:r>
      <w:r>
        <w:t xml:space="preserve"> </w:t>
      </w:r>
      <w:r>
        <w:t xml:space="preserve">DNELs/PNECs may reduce the issue of diverging values observed in REACH registration</w:t>
      </w:r>
      <w:r>
        <w:t xml:space="preserve"> </w:t>
      </w:r>
      <w:r>
        <w:t xml:space="preserve">dossiers (Schenk et al., 2015; Schenk et al., 2014), they would need to be accompanied by</w:t>
      </w:r>
    </w:p>
    <w:p>
      <w:pPr>
        <w:pStyle w:val="BodyText"/>
      </w:pPr>
      <w:r>
        <w:t xml:space="preserve">260</w:t>
      </w:r>
      <w:r>
        <w:t xml:space="preserve"> </w:t>
      </w:r>
      <w:r>
        <w:t xml:space="preserve">additional (regulatory and non-regulatory) clarifications to tackle inconsistencies across</w:t>
      </w:r>
      <w:r>
        <w:t xml:space="preserve"> </w:t>
      </w:r>
      <w:r>
        <w:t xml:space="preserve">different legislative frameworks. In particular, there is the risk that legally binding reference</w:t>
      </w:r>
      <w:r>
        <w:t xml:space="preserve"> </w:t>
      </w:r>
      <w:r>
        <w:t xml:space="preserve">values may contradict legally binding national values under other legislation (e.g. DNELs</w:t>
      </w:r>
      <w:r>
        <w:t xml:space="preserve"> </w:t>
      </w:r>
      <w:r>
        <w:t xml:space="preserve">vs. national OELs based on EU IOELVs), and non-legally binding values may cause</w:t>
      </w:r>
      <w:r>
        <w:t xml:space="preserve"> </w:t>
      </w:r>
      <w:r>
        <w:t xml:space="preserve">confusion, as there may be already legally binding values under different legislation.</w:t>
      </w:r>
      <w:r>
        <w:t xml:space="preserve"> </w:t>
      </w:r>
      <w:r>
        <w:t xml:space="preserve">However, it should be noted that having derived POD (NOAEL, PNEC) by RAC could</w:t>
      </w:r>
      <w:r>
        <w:t xml:space="preserve"> </w:t>
      </w:r>
      <w:r>
        <w:t xml:space="preserve">represent a good starting point for both economic operator or competent authorities to derive</w:t>
      </w:r>
      <w:r>
        <w:t xml:space="preserve"> </w:t>
      </w:r>
      <w:r>
        <w:t xml:space="preserve">their reference values.</w:t>
      </w:r>
      <w:r>
        <w:t xml:space="preserve"> </w:t>
      </w:r>
      <w:r>
        <w:t xml:space="preserve">If harmonised DNELs or PNECs are derived for substances relevant under REACH and</w:t>
      </w:r>
      <w:r>
        <w:t xml:space="preserve"> </w:t>
      </w:r>
      <w:r>
        <w:t xml:space="preserve">other several regulatory areas (workplace, biocides, plant protection products, food</w:t>
      </w:r>
      <w:r>
        <w:t xml:space="preserve"> </w:t>
      </w:r>
      <w:r>
        <w:t xml:space="preserve">contaminants etc.), for which legislations and guidelines for assessment are in place, the</w:t>
      </w:r>
      <w:r>
        <w:t xml:space="preserve"> </w:t>
      </w:r>
      <w:r>
        <w:t xml:space="preserve">following relevant issues are identified:</w:t>
      </w:r>
      <w:r>
        <w:br/>
      </w:r>
      <w:r>
        <w:t xml:space="preserve">Regulatory clarification would be required regarding the status and relevance of harmonised</w:t>
      </w:r>
      <w:r>
        <w:t xml:space="preserve"> </w:t>
      </w:r>
      <w:r>
        <w:t xml:space="preserve">DNELs and PNECs for these regulatory areas. Already under the existing legal framework</w:t>
      </w:r>
      <w:r>
        <w:t xml:space="preserve"> </w:t>
      </w:r>
      <w:r>
        <w:t xml:space="preserve">the obligation to derive DNELs when an OEL is established was identified as a problem for</w:t>
      </w:r>
      <w:r>
        <w:t xml:space="preserve"> </w:t>
      </w:r>
      <w:r>
        <w:t xml:space="preserve">companies (RPA et al., 2017). While the Commission proposal suggests that ‘downstream</w:t>
      </w:r>
      <w:r>
        <w:t xml:space="preserve"> </w:t>
      </w:r>
      <w:r>
        <w:t xml:space="preserve">regulation might want to refer‘ to such harmonised DNELs/PNECs, the legal character</w:t>
      </w:r>
      <w:r>
        <w:t xml:space="preserve"> </w:t>
      </w:r>
      <w:r>
        <w:t xml:space="preserve">would need to be clearly defined:</w:t>
      </w:r>
    </w:p>
    <w:p>
      <w:pPr>
        <w:pStyle w:val="BodyText"/>
      </w:pPr>
      <w:r>
        <w:t xml:space="preserve">If e.g. harmonised DNELs are legally binding, it may contradict legally</w:t>
      </w:r>
      <w:r>
        <w:t xml:space="preserve"> </w:t>
      </w:r>
      <w:r>
        <w:t xml:space="preserve">binding national OELs (based e.g. on an EU IOELV);</w:t>
      </w:r>
      <w:r>
        <w:br/>
      </w:r>
      <w:r>
        <w:t xml:space="preserve">If harmonised DNELs/PNECs are not legally binding, it may cause confusion since the</w:t>
      </w:r>
      <w:r>
        <w:t xml:space="preserve"> </w:t>
      </w:r>
      <w:r>
        <w:t xml:space="preserve">classification for the same substance is legally binding.</w:t>
      </w:r>
      <w:r>
        <w:br/>
      </w:r>
      <w:r>
        <w:t xml:space="preserve">Harmonised DNELs and PNECs would automatically gain special importance and attention.</w:t>
      </w:r>
      <w:r>
        <w:t xml:space="preserve"> </w:t>
      </w:r>
      <w:r>
        <w:t xml:space="preserve">Therefore, harmonisation of the methods to derive similar health-based values in the various</w:t>
      </w:r>
      <w:r>
        <w:t xml:space="preserve"> </w:t>
      </w:r>
      <w:r>
        <w:t xml:space="preserve">regulatory areas would become necessary to avoid inconsistencies. Setting harmonised</w:t>
      </w:r>
      <w:r>
        <w:t xml:space="preserve"> </w:t>
      </w:r>
      <w:r>
        <w:t xml:space="preserve">DNELs/PNECs or NOAELs/NOECs may then be seen as an incentive to harmonise</w:t>
      </w:r>
      <w:r>
        <w:t xml:space="preserve"> </w:t>
      </w:r>
      <w:r>
        <w:t xml:space="preserve">methodologies across regulatory frameworks. However, if such a methodological</w:t>
      </w:r>
      <w:r>
        <w:t xml:space="preserve"> </w:t>
      </w:r>
      <w:r>
        <w:t xml:space="preserve">harmonisation is not taking place, different values will continue to exist. It may therefore</w:t>
      </w:r>
      <w:r>
        <w:t xml:space="preserve"> </w:t>
      </w:r>
      <w:r>
        <w:t xml:space="preserve">be argued that harmonisation of methodologies – where meaningful – is a prerequisite to</w:t>
      </w:r>
      <w:r>
        <w:t xml:space="preserve"> </w:t>
      </w:r>
      <w:r>
        <w:t xml:space="preserve">obtain more coherent reference values rather than a consequence of harmonised</w:t>
      </w:r>
      <w:r>
        <w:t xml:space="preserve"> </w:t>
      </w:r>
      <w:r>
        <w:t xml:space="preserve">DNELs/PNECs/ NOAELs/NOECs.</w:t>
      </w:r>
      <w:r>
        <w:t xml:space="preserve"> </w:t>
      </w:r>
      <w:r>
        <w:t xml:space="preserve">The evaluations show that:</w:t>
      </w:r>
      <w:r>
        <w:br/>
      </w:r>
      <w:r>
        <w:t xml:space="preserve">IOELVs cannot be taken directly as a basis for harmonised DNELs, since the methodology</w:t>
      </w:r>
      <w:r>
        <w:t xml:space="preserve"> </w:t>
      </w:r>
      <w:r>
        <w:t xml:space="preserve">for their derivation deviates from the DNEL methodology. Noteworthy, DNELs are equal</w:t>
      </w:r>
      <w:r>
        <w:t xml:space="preserve"> </w:t>
      </w:r>
      <w:r>
        <w:t xml:space="preserve">to or lower than IOELVs in 15-31% of the cases based on evaluations performed in this</w:t>
      </w:r>
      <w:r>
        <w:t xml:space="preserve"> </w:t>
      </w:r>
      <w:r>
        <w:t xml:space="preserve">study and by others (Nies et al., 2013; Tynkkynen et al., 2015)</w:t>
      </w:r>
      <w:r>
        <w:br/>
      </w:r>
      <w:r>
        <w:t xml:space="preserve">AELs and PNECs derived under the BPR – while derived using similar methods as applied</w:t>
      </w:r>
      <w:r>
        <w:t xml:space="preserve"> </w:t>
      </w:r>
      <w:r>
        <w:t xml:space="preserve">under REACH – often differ from DNELs and PNECs derived under REACH. Illustrative</w:t>
      </w:r>
      <w:r>
        <w:t xml:space="preserve"> </w:t>
      </w:r>
      <w:r>
        <w:t xml:space="preserve">cases of PNEC derivation under both regulatory frameworks suggest that differences are</w:t>
      </w:r>
      <w:r>
        <w:t xml:space="preserve"> </w:t>
      </w:r>
      <w:r>
        <w:t xml:space="preserve">not due to differences in methodology (e.g. the application of assessment factors), but rather</w:t>
      </w:r>
      <w:r>
        <w:t xml:space="preserve"> </w:t>
      </w:r>
      <w:r>
        <w:t xml:space="preserve">result from the use of different studies for PNEC derivation. This observation suggests that</w:t>
      </w:r>
      <w:r>
        <w:t xml:space="preserve"> </w:t>
      </w:r>
      <w:r>
        <w:t xml:space="preserve">study/data availability is an element to consider in addition to harmonisation of</w:t>
      </w:r>
      <w:r>
        <w:t xml:space="preserve"> </w:t>
      </w:r>
      <w:r>
        <w:t xml:space="preserve">methodologies as was also noted in the EFSA/ECHA joint position paper on OSOA.</w:t>
      </w:r>
    </w:p>
    <w:p>
      <w:pPr>
        <w:pStyle w:val="BodyText"/>
      </w:pPr>
      <w:r>
        <w:t xml:space="preserve">261</w:t>
      </w:r>
      <w:r>
        <w:t xml:space="preserve"> </w:t>
      </w:r>
      <w:r>
        <w:t xml:space="preserve">Numerical values of DNELs are subject to changes when new data becomes available.</w:t>
      </w:r>
      <w:r>
        <w:t xml:space="preserve"> </w:t>
      </w:r>
      <w:r>
        <w:t xml:space="preserve">Although harmonised classifications may also require updates with new information</w:t>
      </w:r>
      <w:r>
        <w:t xml:space="preserve"> </w:t>
      </w:r>
      <w:r>
        <w:t xml:space="preserve">becoming available, numerical values are expected to be more likely subject to changes than</w:t>
      </w:r>
      <w:r>
        <w:t xml:space="preserve"> </w:t>
      </w:r>
      <w:r>
        <w:t xml:space="preserve">the qualitative evidence on e.g. CMR endpoints. In contrast to qualitative evidence for</w:t>
      </w:r>
      <w:r>
        <w:t xml:space="preserve"> </w:t>
      </w:r>
      <w:r>
        <w:t xml:space="preserve">classification, harmonised DNELs/PNECs would need to be checked for newly available</w:t>
      </w:r>
      <w:r>
        <w:t xml:space="preserve"> </w:t>
      </w:r>
      <w:r>
        <w:t xml:space="preserve">data and for the potential need for updates on a regular basis (e.g. every two years).</w:t>
      </w:r>
      <w:r>
        <w:br/>
      </w:r>
      <w:r>
        <w:t xml:space="preserve">The update of reference values is expected to happen more frequently than updates to CLH</w:t>
      </w:r>
      <w:r>
        <w:t xml:space="preserve"> </w:t>
      </w:r>
      <w:r>
        <w:t xml:space="preserve">dossiers and it would therefore be more difficult. Moreover, their inclusion in Annex VI or</w:t>
      </w:r>
      <w:r>
        <w:t xml:space="preserve"> </w:t>
      </w:r>
      <w:r>
        <w:t xml:space="preserve">separate Annex would not necessarily result in one value for one substance. While it could</w:t>
      </w:r>
      <w:r>
        <w:t xml:space="preserve"> </w:t>
      </w:r>
      <w:r>
        <w:t xml:space="preserve">be an incentive to harmonise methodologies, harmonised methodologies are a pre-requisite</w:t>
      </w:r>
      <w:r>
        <w:t xml:space="preserve"> </w:t>
      </w:r>
      <w:r>
        <w:t xml:space="preserve">to more coherent reference values. In addition, data availability to the dossier submitter</w:t>
      </w:r>
      <w:r>
        <w:t xml:space="preserve"> </w:t>
      </w:r>
      <w:r>
        <w:t xml:space="preserve">needs to be considered.</w:t>
      </w:r>
      <w:r>
        <w:t xml:space="preserve"> </w:t>
      </w:r>
      <w:r>
        <w:t xml:space="preserve">In summary, it is concluded that the inclusion of reference values in CLP would not add</w:t>
      </w:r>
      <w:r>
        <w:t xml:space="preserve"> </w:t>
      </w:r>
      <w:r>
        <w:t xml:space="preserve">sufficient benefits, if considered against the increased effort required by dossier submitters,</w:t>
      </w:r>
      <w:r>
        <w:t xml:space="preserve"> </w:t>
      </w:r>
      <w:r>
        <w:t xml:space="preserve">ECHA and RAC.</w:t>
      </w:r>
    </w:p>
    <w:p>
      <w:pPr>
        <w:pStyle w:val="BodyText"/>
      </w:pPr>
      <w:r>
        <w:t xml:space="preserve">262</w:t>
      </w:r>
      <w:r>
        <w:t xml:space="preserve"> </w:t>
      </w:r>
      <w:r>
        <w:t xml:space="preserve">Annex 10 – Allowing COM to initiate CLH &amp;</w:t>
      </w:r>
      <w:r>
        <w:t xml:space="preserve"> </w:t>
      </w:r>
      <w:r>
        <w:t xml:space="preserve">Improving prioritisation of CLH</w:t>
      </w:r>
    </w:p>
    <w:p>
      <w:pPr>
        <w:pStyle w:val="BodyText"/>
      </w:pPr>
      <w:r>
        <w:t xml:space="preserve">CONTEXT</w:t>
      </w:r>
      <w:r>
        <w:t xml:space="preserve"> </w:t>
      </w:r>
      <w:r>
        <w:t xml:space="preserve">CLP is the primary basis for most chemical hazard assessment and classification in the EU.</w:t>
      </w:r>
      <w:r>
        <w:t xml:space="preserve"> </w:t>
      </w:r>
      <w:r>
        <w:t xml:space="preserve">According to the Chemical Fitness Check, the CLP Regulation is effective and is considered</w:t>
      </w:r>
      <w:r>
        <w:t xml:space="preserve"> </w:t>
      </w:r>
      <w:r>
        <w:t xml:space="preserve">by the majority of stakeholders as an improvement over the earlier Directives that it replaced</w:t>
      </w:r>
      <w:r>
        <w:t xml:space="preserve"> </w:t>
      </w:r>
      <w:r>
        <w:t xml:space="preserve">in 2008. Some issues, however, were identified with respect to the pace and focus of</w:t>
      </w:r>
      <w:r>
        <w:t xml:space="preserve"> </w:t>
      </w:r>
      <w:r>
        <w:t xml:space="preserve">harmonised classifications.</w:t>
      </w:r>
      <w:r>
        <w:t xml:space="preserve"> </w:t>
      </w:r>
      <w:r>
        <w:t xml:space="preserve">The harmonised classification is an important instrument for achieving the safe use and</w:t>
      </w:r>
      <w:r>
        <w:t xml:space="preserve"> </w:t>
      </w:r>
      <w:r>
        <w:t xml:space="preserve">enhancing the substitution of hazardous chemicals204. Such classifications are compulsory</w:t>
      </w:r>
      <w:r>
        <w:t xml:space="preserve"> </w:t>
      </w:r>
      <w:r>
        <w:t xml:space="preserve">throughout the EU to ensure adequate information and risk management. It is also linked</w:t>
      </w:r>
      <w:r>
        <w:t xml:space="preserve"> </w:t>
      </w:r>
      <w:r>
        <w:t xml:space="preserve">with various processes laid down in other sectorial regulations, which need a certain and</w:t>
      </w:r>
      <w:r>
        <w:t xml:space="preserve"> </w:t>
      </w:r>
      <w:r>
        <w:t xml:space="preserve">EU-wide harmonised classification as a basis. As an example, the approval processes for</w:t>
      </w:r>
      <w:r>
        <w:t xml:space="preserve"> </w:t>
      </w:r>
      <w:r>
        <w:t xml:space="preserve">plant protection product (PPP) and biocidal product (BP) active substances require a</w:t>
      </w:r>
      <w:r>
        <w:t xml:space="preserve"> </w:t>
      </w:r>
      <w:r>
        <w:t xml:space="preserve">harmonised classification for all hazard classes under the CLP Regulation.</w:t>
      </w:r>
      <w:r>
        <w:t xml:space="preserve"> </w:t>
      </w:r>
      <w:r>
        <w:t xml:space="preserve">Article 36 of the CLP Regulation requests that substances that fulfil the identification</w:t>
      </w:r>
      <w:r>
        <w:t xml:space="preserve"> </w:t>
      </w:r>
      <w:r>
        <w:t xml:space="preserve">criteria for carcinogenicity, mutagenicity, reproductive toxicity category 1A, 1B or 2 and</w:t>
      </w:r>
      <w:r>
        <w:t xml:space="preserve"> </w:t>
      </w:r>
      <w:r>
        <w:t xml:space="preserve">respiratory sensitisation category 1, substances that are biocidal or plant protection product</w:t>
      </w:r>
      <w:r>
        <w:t xml:space="preserve"> </w:t>
      </w:r>
      <w:r>
        <w:t xml:space="preserve">active substances should be classified and labelled in a harmonised way in the EU. Other</w:t>
      </w:r>
      <w:r>
        <w:t xml:space="preserve"> </w:t>
      </w:r>
      <w:r>
        <w:t xml:space="preserve">substances may also bear a harmonised classification on a case-by-case basis for justified</w:t>
      </w:r>
      <w:r>
        <w:t xml:space="preserve"> </w:t>
      </w:r>
      <w:r>
        <w:t xml:space="preserve">reasons. A harmonised classification (i.e., CLH) dossier may be submitted in order solve</w:t>
      </w:r>
      <w:r>
        <w:t xml:space="preserve"> </w:t>
      </w:r>
      <w:r>
        <w:t xml:space="preserve">diverging self-classifications identified in the Classification and Labelling Inventory (CLI)</w:t>
      </w:r>
      <w:r>
        <w:t xml:space="preserve"> </w:t>
      </w:r>
      <w:r>
        <w:t xml:space="preserve">(see Annex CLI). The procedure for the preparation and submission of CLH proposals is</w:t>
      </w:r>
      <w:r>
        <w:t xml:space="preserve"> </w:t>
      </w:r>
      <w:r>
        <w:t xml:space="preserve">laid out in Article 37 and described below.</w:t>
      </w:r>
      <w:r>
        <w:t xml:space="preserve"> </w:t>
      </w:r>
      <w:r>
        <w:t xml:space="preserve">The CLH process is usually initiated by an MSCA or manufacturer, importer or downstream</w:t>
      </w:r>
      <w:r>
        <w:t xml:space="preserve"> </w:t>
      </w:r>
      <w:r>
        <w:t xml:space="preserve">user, by submitting a CLH intention, although the latter is not a formal requirement. This is</w:t>
      </w:r>
      <w:r>
        <w:t xml:space="preserve"> </w:t>
      </w:r>
      <w:r>
        <w:t xml:space="preserve">followed by the submission of the CLH dossier – a document that contains sufficient</w:t>
      </w:r>
      <w:r>
        <w:t xml:space="preserve"> </w:t>
      </w:r>
      <w:r>
        <w:t xml:space="preserve">information to allow an independent assessment of physical, health and environmental</w:t>
      </w:r>
      <w:r>
        <w:t xml:space="preserve"> </w:t>
      </w:r>
      <w:r>
        <w:t xml:space="preserve">hazards of a substance. The CLH procedure consists of four main steps:</w:t>
      </w:r>
    </w:p>
    <w:p>
      <w:pPr>
        <w:pStyle w:val="BodyText"/>
      </w:pPr>
      <w:r>
        <w:t xml:space="preserve">initiation of the CLH process;</w:t>
      </w:r>
    </w:p>
    <w:p>
      <w:pPr>
        <w:pStyle w:val="BodyText"/>
      </w:pPr>
      <w:r>
        <w:t xml:space="preserve">preparation of a CLH dossier for the RAC;</w:t>
      </w:r>
    </w:p>
    <w:p>
      <w:pPr>
        <w:pStyle w:val="BodyText"/>
      </w:pPr>
      <w:r>
        <w:t xml:space="preserve">development of RAC opinion; and</w:t>
      </w:r>
    </w:p>
    <w:p>
      <w:pPr>
        <w:pStyle w:val="BodyText"/>
      </w:pPr>
      <w:r>
        <w:t xml:space="preserve">Commission’s decision concerning the inclusion of the substance and the CLH in</w:t>
      </w:r>
      <w:r>
        <w:t xml:space="preserve"> </w:t>
      </w:r>
      <w:r>
        <w:t xml:space="preserve">Part 3 of Annex VI to the CLP Regulation.</w:t>
      </w:r>
    </w:p>
    <w:p>
      <w:pPr>
        <w:pStyle w:val="BodyText"/>
      </w:pPr>
      <w:r>
        <w:t xml:space="preserve">These are preceded by preparatory work (screening/grouping, regulatory risk assessment</w:t>
      </w:r>
      <w:r>
        <w:t xml:space="preserve"> </w:t>
      </w:r>
      <w:r>
        <w:t xml:space="preserve">and generation of further information and assessment) to make the CLH process more</w:t>
      </w:r>
      <w:r>
        <w:t xml:space="preserve"> </w:t>
      </w:r>
      <w:r>
        <w:t xml:space="preserve">targeted and to identify relevant substances for CLH (Figure 68). A more detailed overview</w:t>
      </w:r>
      <w:r>
        <w:t xml:space="preserve"> </w:t>
      </w:r>
      <w:r>
        <w:t xml:space="preserve">of the steps and their efficiency is provided in Annex V.</w:t>
      </w:r>
    </w:p>
    <w:p>
      <w:pPr>
        <w:pStyle w:val="BodyText"/>
      </w:pPr>
      <w:r>
        <w:t xml:space="preserve">204 See chemical Fitness Check, SWD(2019) 199.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Figure 68: CLH procedure – Adapted from ECHA</w:t>
      </w:r>
    </w:p>
    <w:p>
      <w:pPr>
        <w:pStyle w:val="BodyText"/>
      </w:pPr>
      <w:r>
        <w:t xml:space="preserve">DESCRIPTION OF THE PROBLEM</w:t>
      </w:r>
      <w:r>
        <w:t xml:space="preserve"> </w:t>
      </w:r>
      <w:r>
        <w:t xml:space="preserve">According to the chemicals Fitness Check197, the number of assessments for harmonised</w:t>
      </w:r>
      <w:r>
        <w:t xml:space="preserve"> </w:t>
      </w:r>
      <w:r>
        <w:t xml:space="preserve">classifications under the CLP Regulation is relatively low compared to the likely number of</w:t>
      </w:r>
      <w:r>
        <w:t xml:space="preserve"> </w:t>
      </w:r>
      <w:r>
        <w:t xml:space="preserve">chemicals which merit a harmonised classification205. The speed of the procedures for CLH</w:t>
      </w:r>
      <w:r>
        <w:t xml:space="preserve"> </w:t>
      </w:r>
      <w:r>
        <w:t xml:space="preserve">was assessed as slightly to mostly satisfactory. All categories of stakeholders agreed that</w:t>
      </w:r>
      <w:r>
        <w:t xml:space="preserve"> </w:t>
      </w:r>
      <w:r>
        <w:t xml:space="preserve">there is still rooms for improvement.</w:t>
      </w:r>
      <w:r>
        <w:br/>
      </w:r>
      <w:r>
        <w:t xml:space="preserve">Considering harmonised classification and labelling, the feedback to the open questions as</w:t>
      </w:r>
      <w:r>
        <w:t xml:space="preserve"> </w:t>
      </w:r>
      <w:r>
        <w:t xml:space="preserve">well as position papers in the OPC have shown that the respondents206 did not have a clear</w:t>
      </w:r>
      <w:r>
        <w:t xml:space="preserve"> </w:t>
      </w:r>
      <w:r>
        <w:t xml:space="preserve">understanding about the nature of problems in this area. Such outcome is due to CLH being</w:t>
      </w:r>
      <w:r>
        <w:t xml:space="preserve"> </w:t>
      </w:r>
      <w:r>
        <w:t xml:space="preserve">a specific process that requires certain knowledge to make judgements on it. In the TSS that</w:t>
      </w:r>
      <w:r>
        <w:t xml:space="preserve"> </w:t>
      </w:r>
      <w:r>
        <w:t xml:space="preserve">mostly represented the views of businesses, the latter disagreed in their conclusions about</w:t>
      </w:r>
      <w:r>
        <w:t xml:space="preserve"> </w:t>
      </w:r>
      <w:r>
        <w:t xml:space="preserve">CLH. Two opposite opinions dominated in open comments to the TSS with some</w:t>
      </w:r>
      <w:r>
        <w:t xml:space="preserve"> </w:t>
      </w:r>
      <w:r>
        <w:t xml:space="preserve">respondents considering CLH an inefficient process (e.g., in terms of time, organisation of</w:t>
      </w:r>
      <w:r>
        <w:t xml:space="preserve"> </w:t>
      </w:r>
      <w:r>
        <w:t xml:space="preserve">procedures, etc.), while others believed that CLH is properly organised and shows a good</w:t>
      </w:r>
      <w:r>
        <w:t xml:space="preserve"> </w:t>
      </w:r>
      <w:r>
        <w:t xml:space="preserve">performance. In interviews, some respondents noted the lack of scientific quality and fair</w:t>
      </w:r>
      <w:r>
        <w:t xml:space="preserve"> </w:t>
      </w:r>
      <w:r>
        <w:t xml:space="preserve">prioritisation of substances for CLH, while others were completely satisfied with the CLH</w:t>
      </w:r>
      <w:r>
        <w:t xml:space="preserve"> </w:t>
      </w:r>
      <w:r>
        <w:t xml:space="preserve">procedure. In their written feedback about CLH, some CARACAL members highlighted</w:t>
      </w:r>
      <w:r>
        <w:t xml:space="preserve"> </w:t>
      </w:r>
      <w:r>
        <w:t xml:space="preserve">that ECHA and RAC work to maximum capacity that may indicate the lack of additional</w:t>
      </w:r>
      <w:r>
        <w:t xml:space="preserve"> </w:t>
      </w:r>
      <w:r>
        <w:t xml:space="preserve">resources for CLH.</w:t>
      </w:r>
      <w:r>
        <w:br/>
      </w:r>
      <w:r>
        <w:t xml:space="preserve">Limited capacity working at full speed</w:t>
      </w:r>
    </w:p>
    <w:p>
      <w:pPr>
        <w:pStyle w:val="BodyText"/>
      </w:pPr>
      <w:r>
        <w:t xml:space="preserve">205 ECHA</w:t>
      </w:r>
      <w:r>
        <w:t xml:space="preserve"> </w:t>
      </w:r>
      <w:r>
        <w:t xml:space="preserve">‘’Authorities to focus on substances of potential concern – Roadmap for SVHC identification and</w:t>
      </w:r>
      <w:r>
        <w:t xml:space="preserve"> </w:t>
      </w:r>
      <w:r>
        <w:t xml:space="preserve">implementation of REACH management measures – Annual report’</w:t>
      </w:r>
      <w:r>
        <w:t xml:space="preserve"> </w:t>
      </w:r>
      <w:r>
        <w:t xml:space="preserve">(2018) p. 13</w:t>
      </w:r>
      <w:r>
        <w:t xml:space="preserve"> </w:t>
      </w:r>
      <w:r>
        <w:t xml:space="preserve">206 It was noted that many Member State Competent Authorities favoured providing input to the ad-hoc</w:t>
      </w:r>
      <w:r>
        <w:t xml:space="preserve"> </w:t>
      </w:r>
      <w:r>
        <w:t xml:space="preserve">CARACAL consultation rather than replying the Open Public Consultation.</w:t>
      </w:r>
      <w:r>
        <w:br/>
      </w:r>
      <w:r>
        <w:t xml:space="preserve">Preparatory work facilitating the</w:t>
      </w:r>
      <w:r>
        <w:t xml:space="preserve"> </w:t>
      </w:r>
      <w:r>
        <w:t xml:space="preserve">development of CLH dossiers</w:t>
      </w:r>
      <w:r>
        <w:br/>
      </w:r>
      <w:r>
        <w:t xml:space="preserve">Generation</w:t>
      </w:r>
      <w:r>
        <w:t xml:space="preserve"> </w:t>
      </w:r>
      <w:r>
        <w:t xml:space="preserve">of new data</w:t>
      </w:r>
      <w:r>
        <w:t xml:space="preserve"> </w:t>
      </w:r>
      <w:r>
        <w:t xml:space="preserve">Regulatory</w:t>
      </w:r>
      <w:r>
        <w:t xml:space="preserve"> </w:t>
      </w:r>
      <w:r>
        <w:t xml:space="preserve">Management</w:t>
      </w:r>
      <w:r>
        <w:t xml:space="preserve"> </w:t>
      </w:r>
      <w:r>
        <w:t xml:space="preserve">Option</w:t>
      </w:r>
      <w:r>
        <w:t xml:space="preserve"> </w:t>
      </w:r>
      <w:r>
        <w:t xml:space="preserve">Analysis</w:t>
      </w:r>
      <w:r>
        <w:t xml:space="preserve"> </w:t>
      </w:r>
      <w:r>
        <w:t xml:space="preserve">Screening</w:t>
      </w:r>
      <w:r>
        <w:t xml:space="preserve"> </w:t>
      </w:r>
      <w:r>
        <w:t xml:space="preserve">/</w:t>
      </w:r>
      <w:r>
        <w:t xml:space="preserve"> </w:t>
      </w:r>
      <w:r>
        <w:t xml:space="preserve">Grouping</w:t>
      </w:r>
    </w:p>
    <w:p>
      <w:pPr>
        <w:pStyle w:val="BodyText"/>
      </w:pPr>
      <w:r>
        <w:t xml:space="preserve">264</w:t>
      </w:r>
      <w:r>
        <w:t xml:space="preserve"> </w:t>
      </w:r>
      <w:r>
        <w:t xml:space="preserve">Firstly, RAC has been processing around 50 to 60 dossiers every year since 2017, close to</w:t>
      </w:r>
      <w:r>
        <w:t xml:space="preserve"> </w:t>
      </w:r>
      <w:r>
        <w:t xml:space="preserve">full capacity. ECHA estimates that 60 dossiers are the maximum the ECHA CLH team and</w:t>
      </w:r>
      <w:r>
        <w:t xml:space="preserve"> </w:t>
      </w:r>
      <w:r>
        <w:t xml:space="preserve">RAC can process with the current capacity of 50 members and 5 co-opted members207. The</w:t>
      </w:r>
      <w:r>
        <w:t xml:space="preserve"> </w:t>
      </w:r>
      <w:r>
        <w:t xml:space="preserve">timeline and regulatory deadlines for the CLH procedure208 are always met by RAC, except</w:t>
      </w:r>
      <w:r>
        <w:t xml:space="preserve"> </w:t>
      </w:r>
      <w:r>
        <w:t xml:space="preserve">for 10 opinions in 2020 which were delayed because of the COVID-19 pandemic. The</w:t>
      </w:r>
      <w:r>
        <w:t xml:space="preserve"> </w:t>
      </w:r>
      <w:r>
        <w:t xml:space="preserve">current speed also reflects the need to ensure that all the relevant opinions, including</w:t>
      </w:r>
      <w:r>
        <w:t xml:space="preserve"> </w:t>
      </w:r>
      <w:r>
        <w:t xml:space="preserve">stakeholder views, are taken into account. The transparency with which RAC opinions are</w:t>
      </w:r>
      <w:r>
        <w:t xml:space="preserve"> </w:t>
      </w:r>
      <w:r>
        <w:t xml:space="preserve">developed was highlighted in the Chemical Fitness Check.</w:t>
      </w:r>
      <w:r>
        <w:br/>
      </w:r>
      <w:r>
        <w:t xml:space="preserve">The availability of limited resources working at full capacity results in a slow increase of</w:t>
      </w:r>
      <w:r>
        <w:t xml:space="preserve"> </w:t>
      </w:r>
      <w:r>
        <w:t xml:space="preserve">the number of harmonised classifications in Annex VI of the CLP Regulation (Table 78).</w:t>
      </w:r>
      <w:r>
        <w:t xml:space="preserve"> </w:t>
      </w:r>
      <w:r>
        <w:t xml:space="preserve">As of 2022, 4,335 entries209 have harmonised classifications. Harmonised classifications</w:t>
      </w:r>
      <w:r>
        <w:t xml:space="preserve"> </w:t>
      </w:r>
      <w:r>
        <w:t xml:space="preserve">and labelling of hazardous substances are introduced and updated through the Adaptations</w:t>
      </w:r>
      <w:r>
        <w:t xml:space="preserve"> </w:t>
      </w:r>
      <w:r>
        <w:t xml:space="preserve">to Technical Progress (ATPs), issued yearly by the European Commission. The adoption of</w:t>
      </w:r>
      <w:r>
        <w:t xml:space="preserve"> </w:t>
      </w:r>
      <w:r>
        <w:t xml:space="preserve">the RAC opinions and the inclusion of CLH in Annex VI by the Commission also requires</w:t>
      </w:r>
      <w:r>
        <w:t xml:space="preserve"> </w:t>
      </w:r>
      <w:r>
        <w:t xml:space="preserve">resources and an increase in CLH may result in bottlenecks also at this final step.</w:t>
      </w:r>
      <w:r>
        <w:t xml:space="preserve"> </w:t>
      </w:r>
      <w:r>
        <w:t xml:space="preserve">Table 79: Number of new substances with CLH (2008-2022)</w:t>
      </w:r>
      <w:r>
        <w:t xml:space="preserve"> </w:t>
      </w:r>
      <w:r>
        <w:t xml:space="preserve">ATP</w:t>
      </w:r>
      <w:r>
        <w:t xml:space="preserve"> </w:t>
      </w:r>
      <w:r>
        <w:t xml:space="preserve">Application date</w:t>
      </w:r>
      <w:r>
        <w:t xml:space="preserve"> </w:t>
      </w:r>
      <w:r>
        <w:t xml:space="preserve">No. of substances</w:t>
      </w:r>
      <w:r>
        <w:t xml:space="preserve"> </w:t>
      </w:r>
      <w:r>
        <w:t xml:space="preserve">CLP00</w:t>
      </w:r>
      <w:r>
        <w:t xml:space="preserve"> </w:t>
      </w:r>
      <w:r>
        <w:t xml:space="preserve">2008</w:t>
      </w:r>
      <w:r>
        <w:t xml:space="preserve"> </w:t>
      </w:r>
      <w:r>
        <w:t xml:space="preserve">3,368*</w:t>
      </w:r>
      <w:r>
        <w:t xml:space="preserve"> </w:t>
      </w:r>
      <w:r>
        <w:t xml:space="preserve">ATP01</w:t>
      </w:r>
      <w:r>
        <w:t xml:space="preserve"> </w:t>
      </w:r>
      <w:r>
        <w:t xml:space="preserve">2010</w:t>
      </w:r>
      <w:r>
        <w:t xml:space="preserve"> </w:t>
      </w:r>
      <w:r>
        <w:t xml:space="preserve">758**</w:t>
      </w:r>
      <w:r>
        <w:t xml:space="preserve"> </w:t>
      </w:r>
      <w:r>
        <w:t xml:space="preserve">ATP03</w:t>
      </w:r>
      <w:r>
        <w:t xml:space="preserve"> </w:t>
      </w:r>
      <w:r>
        <w:t xml:space="preserve">2012</w:t>
      </w:r>
      <w:r>
        <w:t xml:space="preserve"> </w:t>
      </w:r>
      <w:r>
        <w:t xml:space="preserve">11</w:t>
      </w:r>
      <w:r>
        <w:t xml:space="preserve"> </w:t>
      </w:r>
      <w:r>
        <w:t xml:space="preserve">ATP05</w:t>
      </w:r>
      <w:r>
        <w:t xml:space="preserve"> </w:t>
      </w:r>
      <w:r>
        <w:t xml:space="preserve">2012</w:t>
      </w:r>
      <w:r>
        <w:t xml:space="preserve"> </w:t>
      </w:r>
      <w:r>
        <w:t xml:space="preserve">22</w:t>
      </w:r>
      <w:r>
        <w:t xml:space="preserve"> </w:t>
      </w:r>
      <w:r>
        <w:t xml:space="preserve">ATP06</w:t>
      </w:r>
      <w:r>
        <w:t xml:space="preserve"> </w:t>
      </w:r>
      <w:r>
        <w:t xml:space="preserve">2014</w:t>
      </w:r>
      <w:r>
        <w:t xml:space="preserve"> </w:t>
      </w:r>
      <w:r>
        <w:t xml:space="preserve">14</w:t>
      </w:r>
      <w:r>
        <w:t xml:space="preserve"> </w:t>
      </w:r>
      <w:r>
        <w:t xml:space="preserve">ATP07</w:t>
      </w:r>
      <w:r>
        <w:t xml:space="preserve"> </w:t>
      </w:r>
      <w:r>
        <w:t xml:space="preserve">2016</w:t>
      </w:r>
      <w:r>
        <w:t xml:space="preserve"> </w:t>
      </w:r>
      <w:r>
        <w:t xml:space="preserve">19</w:t>
      </w:r>
      <w:r>
        <w:t xml:space="preserve"> </w:t>
      </w:r>
      <w:r>
        <w:t xml:space="preserve">ATP09</w:t>
      </w:r>
      <w:r>
        <w:t xml:space="preserve"> </w:t>
      </w:r>
      <w:r>
        <w:t xml:space="preserve">2018</w:t>
      </w:r>
      <w:r>
        <w:t xml:space="preserve"> </w:t>
      </w:r>
      <w:r>
        <w:t xml:space="preserve">26</w:t>
      </w:r>
      <w:r>
        <w:t xml:space="preserve"> </w:t>
      </w:r>
      <w:r>
        <w:t xml:space="preserve">ATP10</w:t>
      </w:r>
      <w:r>
        <w:t xml:space="preserve"> </w:t>
      </w:r>
      <w:r>
        <w:t xml:space="preserve">2018</w:t>
      </w:r>
      <w:r>
        <w:t xml:space="preserve"> </w:t>
      </w:r>
      <w:r>
        <w:t xml:space="preserve">24</w:t>
      </w:r>
      <w:r>
        <w:t xml:space="preserve"> </w:t>
      </w:r>
      <w:r>
        <w:t xml:space="preserve">ATP13</w:t>
      </w:r>
      <w:r>
        <w:t xml:space="preserve"> </w:t>
      </w:r>
      <w:r>
        <w:t xml:space="preserve">2020</w:t>
      </w:r>
      <w:r>
        <w:t xml:space="preserve"> </w:t>
      </w:r>
      <w:r>
        <w:t xml:space="preserve">16</w:t>
      </w:r>
      <w:r>
        <w:t xml:space="preserve"> </w:t>
      </w:r>
      <w:r>
        <w:t xml:space="preserve">ATP14</w:t>
      </w:r>
      <w:r>
        <w:t xml:space="preserve"> </w:t>
      </w:r>
      <w:r>
        <w:t xml:space="preserve">2021</w:t>
      </w:r>
      <w:r>
        <w:t xml:space="preserve"> </w:t>
      </w:r>
      <w:r>
        <w:t xml:space="preserve">17</w:t>
      </w:r>
      <w:r>
        <w:t xml:space="preserve"> </w:t>
      </w:r>
      <w:r>
        <w:t xml:space="preserve">ATP15</w:t>
      </w:r>
      <w:r>
        <w:t xml:space="preserve"> </w:t>
      </w:r>
      <w:r>
        <w:t xml:space="preserve">2022</w:t>
      </w:r>
      <w:r>
        <w:t xml:space="preserve"> </w:t>
      </w:r>
      <w:r>
        <w:t xml:space="preserve">37</w:t>
      </w:r>
      <w:r>
        <w:t xml:space="preserve"> </w:t>
      </w:r>
      <w:r>
        <w:t xml:space="preserve">Source: Analysis of all CLH from: https://echa.europa.eu/information-on-chemicals/annex-vi-to-clp</w:t>
      </w:r>
      <w:r>
        <w:t xml:space="preserve"> </w:t>
      </w:r>
      <w:r>
        <w:t xml:space="preserve">Notes: *Harmonised classifications implemented under Directive 67/548/EEC; ** ATP01 brought the entries from</w:t>
      </w:r>
      <w:r>
        <w:t xml:space="preserve"> </w:t>
      </w:r>
      <w:r>
        <w:t xml:space="preserve">the 30th ATP &amp; 31st ATP of Directive 67/548/EEC into Annex VI of CLP</w:t>
      </w:r>
    </w:p>
    <w:p>
      <w:pPr>
        <w:pStyle w:val="BodyText"/>
      </w:pPr>
      <w:r>
        <w:t xml:space="preserve">It should be noted that ECHA and RAC have identified the limited resources of RAC as a</w:t>
      </w:r>
      <w:r>
        <w:t xml:space="preserve"> </w:t>
      </w:r>
      <w:r>
        <w:t xml:space="preserve">bottle neck for CLH output200. They have come up with the following improvements that</w:t>
      </w:r>
      <w:r>
        <w:t xml:space="preserve"> </w:t>
      </w:r>
      <w:r>
        <w:t xml:space="preserve">are already in place. In 2018, a fast track procedure was introduced by RAC for identifying</w:t>
      </w:r>
      <w:r>
        <w:t xml:space="preserve"> </w:t>
      </w:r>
      <w:r>
        <w:t xml:space="preserve">non‐controversial endpoints ahead of the plenary, saving time in the plenary to focus on</w:t>
      </w:r>
      <w:r>
        <w:t xml:space="preserve"> </w:t>
      </w:r>
      <w:r>
        <w:t xml:space="preserve">points that are more difficult. ECHA indicated that since this was introduced, 65% of</w:t>
      </w:r>
      <w:r>
        <w:t xml:space="preserve"> </w:t>
      </w:r>
      <w:r>
        <w:t xml:space="preserve">classification proposals for such endpoints went through without a plenary discussion. In</w:t>
      </w:r>
      <w:r>
        <w:t xml:space="preserve"> </w:t>
      </w:r>
      <w:r>
        <w:t xml:space="preserve">2021, ECHA set up a working group to RAC for the assessment of CLH dossiers. This gives</w:t>
      </w:r>
      <w:r>
        <w:t xml:space="preserve"> </w:t>
      </w:r>
      <w:r>
        <w:t xml:space="preserve">more room for detailed discussion. The plenary meeting would then decide on a more</w:t>
      </w:r>
      <w:r>
        <w:t xml:space="preserve"> </w:t>
      </w:r>
      <w:r>
        <w:t xml:space="preserve">mature draft opinion; again saving time.</w:t>
      </w:r>
    </w:p>
    <w:p>
      <w:pPr>
        <w:pStyle w:val="BodyText"/>
      </w:pPr>
      <w:r>
        <w:t xml:space="preserve">207 See presentation by RAC at CARACAL 43. It should be noted that currently RAC operates with ony 44</w:t>
      </w:r>
      <w:r>
        <w:t xml:space="preserve"> </w:t>
      </w:r>
      <w:r>
        <w:t xml:space="preserve">members in total.</w:t>
      </w:r>
      <w:r>
        <w:t xml:space="preserve"> </w:t>
      </w:r>
      <w:r>
        <w:t xml:space="preserve">208 Article 37(4) of the CLP Regulation states that RAC should ‘adopt an opinion on any proposal submitted</w:t>
      </w:r>
      <w:r>
        <w:t xml:space="preserve"> </w:t>
      </w:r>
      <w:r>
        <w:t xml:space="preserve">pursuant to paragraphs 1 or 2 within 18 months of receipt of the proposal, giving the parties concerned the</w:t>
      </w:r>
      <w:r>
        <w:t xml:space="preserve"> </w:t>
      </w:r>
      <w:r>
        <w:t xml:space="preserve">opportunity to comment.’</w:t>
      </w:r>
      <w:r>
        <w:t xml:space="preserve"> </w:t>
      </w:r>
      <w:r>
        <w:t xml:space="preserve">209 Some of the entries of Annex VI are group of substances (e.g. the metal compounds), so the number of</w:t>
      </w:r>
      <w:r>
        <w:t xml:space="preserve"> </w:t>
      </w:r>
      <w:r>
        <w:t xml:space="preserve">substances is higher.</w:t>
      </w:r>
    </w:p>
    <w:p>
      <w:pPr>
        <w:pStyle w:val="BodyText"/>
      </w:pPr>
      <w:r>
        <w:t xml:space="preserve">265</w:t>
      </w:r>
      <w:r>
        <w:t xml:space="preserve"> </w:t>
      </w:r>
      <w:r>
        <w:t xml:space="preserve">Secondly, most of the CLH dossiers submitted are developed by Member State Competent</w:t>
      </w:r>
      <w:r>
        <w:t xml:space="preserve"> </w:t>
      </w:r>
      <w:r>
        <w:t xml:space="preserve">Authorities. When covering plant protection product or biocide active substances, only</w:t>
      </w:r>
      <w:r>
        <w:t xml:space="preserve"> </w:t>
      </w:r>
      <w:r>
        <w:t xml:space="preserve">MSCAs can submit CLH dossiers. There are limited resources of Member States resulting</w:t>
      </w:r>
      <w:r>
        <w:t xml:space="preserve"> </w:t>
      </w:r>
      <w:r>
        <w:t xml:space="preserve">also an uneven and limited contribution to CLH proposal submission (see Figure 69:).</w:t>
      </w:r>
      <w:r>
        <w:t xml:space="preserve"> </w:t>
      </w:r>
      <w:r>
        <w:t xml:space="preserve">(Milieu Consulting, 2020; ECHA, 2021b). The situation reported in 2019 (fitness check) is</w:t>
      </w:r>
      <w:r>
        <w:t xml:space="preserve"> </w:t>
      </w:r>
      <w:r>
        <w:t xml:space="preserve">a reflection of the high resource needs (staff/expert capacity) at Member State level for</w:t>
      </w:r>
      <w:r>
        <w:t xml:space="preserve"> </w:t>
      </w:r>
      <w:r>
        <w:t xml:space="preserve">preparing a CLH dossier, combined with reductions in resources and budgets allocated for</w:t>
      </w:r>
      <w:r>
        <w:t xml:space="preserve"> </w:t>
      </w:r>
      <w:r>
        <w:t xml:space="preserve">this work in many Member States, in particular following the 2008 financial crisis. There is</w:t>
      </w:r>
      <w:r>
        <w:t xml:space="preserve"> </w:t>
      </w:r>
      <w:r>
        <w:t xml:space="preserve">also considerable variation between Member States in their capacity and willingness to</w:t>
      </w:r>
      <w:r>
        <w:t xml:space="preserve"> </w:t>
      </w:r>
      <w:r>
        <w:t xml:space="preserve">initiate CLH dossiers with just a few Member States carrying the majority of the burden</w:t>
      </w:r>
      <w:r>
        <w:t xml:space="preserve"> </w:t>
      </w:r>
      <w:r>
        <w:t xml:space="preserve">(see Figure 69:). It is understood that the situation has not improved during the COVID</w:t>
      </w:r>
      <w:r>
        <w:t xml:space="preserve"> </w:t>
      </w:r>
      <w:r>
        <w:t xml:space="preserve">pandemic.</w:t>
      </w:r>
    </w:p>
    <w:p>
      <w:pPr>
        <w:pStyle w:val="BodyText"/>
      </w:pPr>
      <w:r>
        <w:t xml:space="preserve">Figure 69: Number of dossiers submitted per Member State in 2008-2020. Source: reproduced from ECHA</w:t>
      </w:r>
      <w:r>
        <w:t xml:space="preserve"> </w:t>
      </w:r>
      <w:r>
        <w:t xml:space="preserve">(2021b). Notes: *Member State until 31 January 2020</w:t>
      </w:r>
    </w:p>
    <w:p>
      <w:pPr>
        <w:pStyle w:val="BodyText"/>
      </w:pPr>
      <w:r>
        <w:t xml:space="preserve">Out of 27 Member States, only 22 submitted a CLH since the CLP Regulation was adopted.</w:t>
      </w:r>
      <w:r>
        <w:t xml:space="preserve"> </w:t>
      </w:r>
      <w:r>
        <w:t xml:space="preserve">A smaller subset of 13 submitted CLH dossiers for industrial chemicals indicating that out</w:t>
      </w:r>
      <w:r>
        <w:t xml:space="preserve"> </w:t>
      </w:r>
      <w:r>
        <w:t xml:space="preserve">of 27 Member States, only some have resources to perform this task. Only 11 out of the</w:t>
      </w:r>
      <w:r>
        <w:t xml:space="preserve"> </w:t>
      </w:r>
      <w:r>
        <w:t xml:space="preserve">current 27 Member States submitted more than 1 CLH dossier on average per year and 6 of</w:t>
      </w:r>
      <w:r>
        <w:t xml:space="preserve"> </w:t>
      </w:r>
      <w:r>
        <w:t xml:space="preserve">them managed to submit more than 2 per year.</w:t>
      </w:r>
      <w:r>
        <w:t xml:space="preserve"> </w:t>
      </w:r>
      <w:r>
        <w:t xml:space="preserve">On a more positive note, in 2020, CLH procedures were initiated for a substantial number</w:t>
      </w:r>
      <w:r>
        <w:t xml:space="preserve"> </w:t>
      </w:r>
      <w:r>
        <w:t xml:space="preserve">of substances (100), but even a higher number (125) was pending the initiation of CLH</w:t>
      </w:r>
      <w:r>
        <w:t xml:space="preserve"> </w:t>
      </w:r>
      <w:r>
        <w:t xml:space="preserve">process, which is far more than what RAC can handle if all intentions are transformed into</w:t>
      </w:r>
      <w:r>
        <w:t xml:space="preserve"> </w:t>
      </w:r>
      <w:r>
        <w:t xml:space="preserve">submitted dossiers.</w:t>
      </w:r>
      <w:r>
        <w:t xml:space="preserve"> </w:t>
      </w:r>
      <w:r>
        <w:t xml:space="preserve">A high number of substances which deserve a harmonised classification</w:t>
      </w:r>
    </w:p>
    <w:p>
      <w:pPr>
        <w:pStyle w:val="BodyText"/>
      </w:pPr>
      <w:r>
        <w:t xml:space="preserve">266</w:t>
      </w:r>
      <w:r>
        <w:t xml:space="preserve"> </w:t>
      </w:r>
      <w:r>
        <w:t xml:space="preserve">First, the number of industrial chemicals, which are identified as deserving a harmonised</w:t>
      </w:r>
      <w:r>
        <w:t xml:space="preserve"> </w:t>
      </w:r>
      <w:r>
        <w:t xml:space="preserve">classification according to the current hazard classes in the CLP Regulation, increased every</w:t>
      </w:r>
      <w:r>
        <w:t xml:space="preserve"> </w:t>
      </w:r>
      <w:r>
        <w:t xml:space="preserve">year (see Figure 70). From the figures reported, this development is quicker than what the</w:t>
      </w:r>
      <w:r>
        <w:t xml:space="preserve"> </w:t>
      </w:r>
      <w:r>
        <w:t xml:space="preserve">CLH process can deliver. ECHA’s integrated regulatory strategy (IRS)210 screening and</w:t>
      </w:r>
      <w:r>
        <w:t xml:space="preserve"> </w:t>
      </w:r>
      <w:r>
        <w:t xml:space="preserve">grouping system has resulted in the identification of a long list of substances proposed for</w:t>
      </w:r>
      <w:r>
        <w:t xml:space="preserve"> </w:t>
      </w:r>
      <w:r>
        <w:t xml:space="preserve">regulatory risk management action, including CLH. Significant progress – a ten-fold</w:t>
      </w:r>
      <w:r>
        <w:t xml:space="preserve"> </w:t>
      </w:r>
      <w:r>
        <w:t xml:space="preserve">increase in the number of screened substances per year compared to 2014-2018 – was</w:t>
      </w:r>
      <w:r>
        <w:t xml:space="preserve"> </w:t>
      </w:r>
      <w:r>
        <w:t xml:space="preserve">achieved in 2020 due to the introduction of the grouping approach (ECHA, 2020; ECHA,</w:t>
      </w:r>
      <w:r>
        <w:t xml:space="preserve"> </w:t>
      </w:r>
      <w:r>
        <w:t xml:space="preserve">2021b).</w:t>
      </w:r>
    </w:p>
    <w:p>
      <w:pPr>
        <w:pStyle w:val="BodyText"/>
      </w:pPr>
      <w:r>
        <w:t xml:space="preserve">Figure 70: Number of industrial substances requiring CLH identified through the IRS – Source: data</w:t>
      </w:r>
      <w:r>
        <w:t xml:space="preserve"> </w:t>
      </w:r>
      <w:r>
        <w:t xml:space="preserve">provided by ECHA</w:t>
      </w:r>
      <w:r>
        <w:t xml:space="preserve"> </w:t>
      </w:r>
      <w:r>
        <w:t xml:space="preserve">Red line: 60 RAC opinions per year maximum, grey line: 33 RAC opinions per year maximum for industrial</w:t>
      </w:r>
      <w:r>
        <w:t xml:space="preserve"> </w:t>
      </w:r>
      <w:r>
        <w:t xml:space="preserve">chemicals.</w:t>
      </w:r>
    </w:p>
    <w:p>
      <w:pPr>
        <w:pStyle w:val="BodyText"/>
      </w:pPr>
      <w:r>
        <w:t xml:space="preserve">Second, the number of substances for which a CLH dossier is needed may further increase,</w:t>
      </w:r>
      <w:r>
        <w:t xml:space="preserve"> </w:t>
      </w:r>
      <w:r>
        <w:t xml:space="preserve">following deeper checks of available information by ECHA. The rolling out of the following</w:t>
      </w:r>
      <w:r>
        <w:t xml:space="preserve"> </w:t>
      </w:r>
      <w:r>
        <w:t xml:space="preserve">actions from the Chemicals Strategy for Sustainability211 (CSS) may also increase the</w:t>
      </w:r>
      <w:r>
        <w:t xml:space="preserve"> </w:t>
      </w:r>
      <w:r>
        <w:t xml:space="preserve">number of CLH dossiers. First, more knowledge information may be requested and</w:t>
      </w:r>
      <w:r>
        <w:t xml:space="preserve"> </w:t>
      </w:r>
      <w:r>
        <w:t xml:space="preserve">generated for low-tonnage registered substances. Furthermore, additional hazard classes are</w:t>
      </w:r>
      <w:r>
        <w:t xml:space="preserve"> </w:t>
      </w:r>
      <w:r>
        <w:t xml:space="preserve">proposed to be included in the CLP Regulation. In addition, there is the need of harmonised</w:t>
      </w:r>
      <w:r>
        <w:t xml:space="preserve"> </w:t>
      </w:r>
      <w:r>
        <w:t xml:space="preserve">classifications to apply generic risk management approach under REACH and other</w:t>
      </w:r>
      <w:r>
        <w:t xml:space="preserve"> </w:t>
      </w:r>
      <w:r>
        <w:t xml:space="preserve">sectorial legislation. The consequence is that more suspected substances of concern may</w:t>
      </w:r>
      <w:r>
        <w:t xml:space="preserve"> </w:t>
      </w:r>
      <w:r>
        <w:t xml:space="preserve">receive harmonised classifications with additional delay in the future, resulting in</w:t>
      </w:r>
      <w:r>
        <w:t xml:space="preserve"> </w:t>
      </w:r>
      <w:r>
        <w:t xml:space="preserve">inconsistencies in risk management measures adopted by the actors along the supply chains</w:t>
      </w:r>
      <w:r>
        <w:t xml:space="preserve"> </w:t>
      </w:r>
      <w:r>
        <w:t xml:space="preserve">but also in a further delayed application of the regulatory Risk Management Measures</w:t>
      </w:r>
    </w:p>
    <w:p>
      <w:pPr>
        <w:pStyle w:val="BodyText"/>
      </w:pPr>
      <w:r>
        <w:t xml:space="preserve">210 Integrated Regulatory Strategy (IRS), which ECHA has been implementing since 2016 as a follow-up to</w:t>
      </w:r>
      <w:r>
        <w:t xml:space="preserve"> </w:t>
      </w:r>
      <w:r>
        <w:t xml:space="preserve">the SVHC Roadmap. The IRS aims “to accelerate data generation, identification of groups of substances of</w:t>
      </w:r>
      <w:r>
        <w:t xml:space="preserve"> </w:t>
      </w:r>
      <w:r>
        <w:t xml:space="preserve">concern, and regulatory action”. The goal is “to clarify by 2027 which registered substances are a high priority</w:t>
      </w:r>
      <w:r>
        <w:t xml:space="preserve"> </w:t>
      </w:r>
      <w:r>
        <w:t xml:space="preserve">for regulatory risk management or data generation, and which are currently a low priority for further regulatory</w:t>
      </w:r>
      <w:r>
        <w:t xml:space="preserve"> </w:t>
      </w:r>
      <w:r>
        <w:t xml:space="preserve">action” (ECHA, 2021b).</w:t>
      </w:r>
      <w:r>
        <w:t xml:space="preserve"> </w:t>
      </w:r>
      <w:r>
        <w:t xml:space="preserve">211 COM/2020/667 final</w:t>
      </w:r>
      <w:r>
        <w:t xml:space="preserve"> </w:t>
      </w:r>
      <w:r>
        <w:t xml:space="preserve">25</w:t>
      </w:r>
      <w:r>
        <w:t xml:space="preserve"> </w:t>
      </w:r>
      <w:r>
        <w:t xml:space="preserve">70</w:t>
      </w:r>
      <w:r>
        <w:t xml:space="preserve"> </w:t>
      </w:r>
      <w:r>
        <w:t xml:space="preserve">103</w:t>
      </w:r>
      <w:r>
        <w:t xml:space="preserve"> </w:t>
      </w:r>
      <w:r>
        <w:t xml:space="preserve">178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oct-21</w:t>
      </w:r>
    </w:p>
    <w:p>
      <w:pPr>
        <w:pStyle w:val="BodyText"/>
      </w:pPr>
      <w:r>
        <w:t xml:space="preserve">267</w:t>
      </w:r>
      <w:r>
        <w:t xml:space="preserve"> </w:t>
      </w:r>
      <w:r>
        <w:t xml:space="preserve">(RMMs), because of the failure in triggering RMMs in vertical legislation referring to CLP</w:t>
      </w:r>
      <w:r>
        <w:t xml:space="preserve"> </w:t>
      </w:r>
      <w:r>
        <w:t xml:space="preserve">hazard classification.</w:t>
      </w:r>
      <w:r>
        <w:br/>
      </w:r>
      <w:r>
        <w:t xml:space="preserve">Second, a large part of the CLH dossiers cover active substances used in plant protection</w:t>
      </w:r>
      <w:r>
        <w:t xml:space="preserve"> </w:t>
      </w:r>
      <w:r>
        <w:t xml:space="preserve">and biocidal products (see Figure 71). This explains the fact that relatively few harmonised</w:t>
      </w:r>
      <w:r>
        <w:t xml:space="preserve"> </w:t>
      </w:r>
      <w:r>
        <w:t xml:space="preserve">classifications have been developed for REACH-registered industrial chemicals and almost</w:t>
      </w:r>
      <w:r>
        <w:t xml:space="preserve"> </w:t>
      </w:r>
      <w:r>
        <w:t xml:space="preserve">none for chemicals not registered under REACH. As shown below, CLH dossiers for active</w:t>
      </w:r>
      <w:r>
        <w:t xml:space="preserve"> </w:t>
      </w:r>
      <w:r>
        <w:t xml:space="preserve">substances represent 45 % of the submitted dossiers. Interestingly, the share of submitted</w:t>
      </w:r>
      <w:r>
        <w:t xml:space="preserve"> </w:t>
      </w:r>
      <w:r>
        <w:t xml:space="preserve">dossiers which don’t meet provisions of either Article 36 (1) (CMR or respiratory sensitising</w:t>
      </w:r>
      <w:r>
        <w:t xml:space="preserve"> </w:t>
      </w:r>
      <w:r>
        <w:t xml:space="preserve">substances) or Art 36 (2) (PPP or BP active substances) increased steadily to 16.5 % in</w:t>
      </w:r>
      <w:r>
        <w:t xml:space="preserve"> </w:t>
      </w:r>
      <w:r>
        <w:t xml:space="preserve">2021. So far, no submitted CLH dossier has been rebutted for not meeting the criterion in</w:t>
      </w:r>
      <w:r>
        <w:t xml:space="preserve"> </w:t>
      </w:r>
      <w:r>
        <w:t xml:space="preserve">Article 36 (3), as justification was always assessed as sufficiently relevant by ECHA and</w:t>
      </w:r>
      <w:r>
        <w:t xml:space="preserve"> </w:t>
      </w:r>
      <w:r>
        <w:t xml:space="preserve">RAC.</w:t>
      </w:r>
    </w:p>
    <w:p>
      <w:pPr>
        <w:pStyle w:val="BodyText"/>
      </w:pPr>
      <w:r>
        <w:t xml:space="preserve">Figure 71: Number of CLH intentions according to the justification according to Art. 36 for CLH</w:t>
      </w:r>
      <w:r>
        <w:br/>
      </w:r>
      <w:r>
        <w:t xml:space="preserve">(Note: withdrawn intentions out or CLH dossiers submitted without prior intention) ECHA’s CLH Registry</w:t>
      </w:r>
      <w:r>
        <w:t xml:space="preserve"> </w:t>
      </w:r>
      <w:r>
        <w:t xml:space="preserve">of Intention, consulted on 24/2/2021)</w:t>
      </w:r>
    </w:p>
    <w:p>
      <w:pPr>
        <w:pStyle w:val="BodyText"/>
      </w:pPr>
      <w:r>
        <w:t xml:space="preserve">The main consequence of this ‘slow’ pace is that not all hazardous industrial chemicals are</w:t>
      </w:r>
      <w:r>
        <w:t xml:space="preserve"> </w:t>
      </w:r>
      <w:r>
        <w:t xml:space="preserve">identified and/or identified in an unambiguous way (see section CLI). This hence may</w:t>
      </w:r>
      <w:r>
        <w:t xml:space="preserve"> </w:t>
      </w:r>
      <w:r>
        <w:t xml:space="preserve">prolong exposure of EU citizens and environment to such hazardous chemicals.</w:t>
      </w:r>
      <w:r>
        <w:br/>
      </w:r>
      <w:r>
        <w:t xml:space="preserve">In the period 2016-2020, there has been a steady increase of CLH dossiers for CMR</w:t>
      </w:r>
      <w:r>
        <w:t xml:space="preserve"> </w:t>
      </w:r>
      <w:r>
        <w:t xml:space="preserve">substances (71 in total) (ECHA, 2021c). The IRS has accelerated the screening of registered</w:t>
      </w:r>
      <w:r>
        <w:t xml:space="preserve"> </w:t>
      </w:r>
      <w:r>
        <w:t xml:space="preserve">substances and the identification of those requiring the generation of further data or risk</w:t>
      </w:r>
      <w:r>
        <w:t xml:space="preserve"> </w:t>
      </w:r>
      <w:r>
        <w:t xml:space="preserve">management. Without intervention in the coming years, the rhythm of CLH adoption is</w:t>
      </w:r>
      <w:r>
        <w:t xml:space="preserve"> </w:t>
      </w:r>
      <w:r>
        <w:t xml:space="preserve">assumed to stay constant, as ECHA and RAC work at full capacity and MSCAs’ resources</w:t>
      </w:r>
      <w:r>
        <w:t xml:space="preserve"> </w:t>
      </w:r>
      <w:r>
        <w:t xml:space="preserve">remain limited. Also, the workload is assumed to remain uneven, with just a few MSCAs</w:t>
      </w:r>
      <w:r>
        <w:t xml:space="preserve"> </w:t>
      </w:r>
      <w:r>
        <w:t xml:space="preserve">carrying most of the burden.</w:t>
      </w:r>
      <w:r>
        <w:br/>
      </w:r>
      <w:r>
        <w:t xml:space="preserve">Beyond the question on the too small annual volume of opinions, there is a question whether</w:t>
      </w:r>
      <w:r>
        <w:t xml:space="preserve"> </w:t>
      </w:r>
      <w:r>
        <w:t xml:space="preserve">there are synergies to be identified in the current and/or future CLH process. Recently</w:t>
      </w:r>
      <w:r>
        <w:t xml:space="preserve"> </w:t>
      </w:r>
      <w:r>
        <w:t xml:space="preserve">ECHA has improved their screening process by grouping related substances. Such grouping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2008 2009 2010 2011 2012 2013 2014 2015 2016 2017 2018 2019 2020 2021</w:t>
      </w:r>
      <w:r>
        <w:t xml:space="preserve"> </w:t>
      </w:r>
      <w:r>
        <w:t xml:space="preserve">Active substance</w:t>
      </w:r>
      <w:r>
        <w:t xml:space="preserve"> </w:t>
      </w:r>
      <w:r>
        <w:t xml:space="preserve">CMR</w:t>
      </w:r>
      <w:r>
        <w:t xml:space="preserve"> </w:t>
      </w:r>
      <w:r>
        <w:t xml:space="preserve">Other justification</w:t>
      </w:r>
    </w:p>
    <w:p>
      <w:pPr>
        <w:pStyle w:val="BodyText"/>
      </w:pPr>
      <w:r>
        <w:t xml:space="preserve">268</w:t>
      </w:r>
      <w:r>
        <w:t xml:space="preserve"> </w:t>
      </w:r>
      <w:r>
        <w:t xml:space="preserve">is based on read-across and chemical similarity. The same reasoning could also be applied</w:t>
      </w:r>
      <w:r>
        <w:t xml:space="preserve"> </w:t>
      </w:r>
      <w:r>
        <w:t xml:space="preserve">to CLH dossiers, which could be developed for a group of substances. CLH dossiers take</w:t>
      </w:r>
      <w:r>
        <w:t xml:space="preserve"> </w:t>
      </w:r>
      <w:r>
        <w:t xml:space="preserve">advantage on the approaches mentioned above by using information on similar substances</w:t>
      </w:r>
      <w:r>
        <w:t xml:space="preserve"> </w:t>
      </w:r>
      <w:r>
        <w:t xml:space="preserve">but so far a very limited number of dossiers for grouped substances has been submitted. In</w:t>
      </w:r>
      <w:r>
        <w:t xml:space="preserve"> </w:t>
      </w:r>
      <w:r>
        <w:t xml:space="preserve">2020 and 2021, RAC issued two opinions on small groups of substances, one for 2-</w:t>
      </w:r>
      <w:r>
        <w:t xml:space="preserve"> </w:t>
      </w:r>
      <w:r>
        <w:t xml:space="preserve">ethylhexanoic acid212 and its salts and one for 3 lithium salts213. It should be noted that so</w:t>
      </w:r>
      <w:r>
        <w:t xml:space="preserve"> </w:t>
      </w:r>
      <w:r>
        <w:t xml:space="preserve">far, grouping under CLH process has been limited to substances sharing the same toxic</w:t>
      </w:r>
      <w:r>
        <w:t xml:space="preserve"> </w:t>
      </w:r>
      <w:r>
        <w:t xml:space="preserve">moiety. The European Commission will soon contract the development of a larger CLH</w:t>
      </w:r>
      <w:r>
        <w:t xml:space="preserve"> </w:t>
      </w:r>
      <w:r>
        <w:t xml:space="preserve">dossier for 40 phthalates, called for by the Roadmap214 for restriction. If this grouping</w:t>
      </w:r>
      <w:r>
        <w:t xml:space="preserve"> </w:t>
      </w:r>
      <w:r>
        <w:t xml:space="preserve">approach can be applied to CLH processes, the increased pace of IRS will also be addressed</w:t>
      </w:r>
      <w:r>
        <w:t xml:space="preserve"> </w:t>
      </w:r>
      <w:r>
        <w:t xml:space="preserve">by CLH dossiers submitted for groups of substances.</w:t>
      </w:r>
      <w:r>
        <w:t xml:space="preserve"> </w:t>
      </w:r>
      <w:r>
        <w:t xml:space="preserve">RAC opinions cover both CLH for new substances and revisions of existing CLH. In the</w:t>
      </w:r>
      <w:r>
        <w:t xml:space="preserve"> </w:t>
      </w:r>
      <w:r>
        <w:t xml:space="preserve">last 10 years (2012-2022), 209 new substances have received CLH (median of 20.5 per</w:t>
      </w:r>
      <w:r>
        <w:t xml:space="preserve"> </w:t>
      </w:r>
      <w:r>
        <w:t xml:space="preserve">year). Following the adoption of the opinion on the CLH of a substance by the RAC, the</w:t>
      </w:r>
      <w:r>
        <w:t xml:space="preserve"> </w:t>
      </w:r>
      <w:r>
        <w:t xml:space="preserve">European Commission takes a decision and publishes the updated list in an ATP. Table 79</w:t>
      </w:r>
      <w:r>
        <w:t xml:space="preserve"> </w:t>
      </w:r>
      <w:r>
        <w:t xml:space="preserve">presents the estimate of the number of substances with CLH that could be expected in 2030</w:t>
      </w:r>
      <w:r>
        <w:t xml:space="preserve"> </w:t>
      </w:r>
      <w:r>
        <w:t xml:space="preserve">and 2040, calculated as the linear forecast of the number of substances with CLH based on</w:t>
      </w:r>
      <w:r>
        <w:t xml:space="preserve"> </w:t>
      </w:r>
      <w:r>
        <w:t xml:space="preserve">the values from ATP03 to ATP17 (2012-2022).215</w:t>
      </w:r>
      <w:r>
        <w:t xml:space="preserve"> </w:t>
      </w:r>
      <w:r>
        <w:t xml:space="preserve">Table 80: Estimates of the number of CLH substances in 2030 and 2040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Linear forecast</w:t>
      </w:r>
      <w:r>
        <w:t xml:space="preserve"> </w:t>
      </w:r>
      <w:r>
        <w:t xml:space="preserve">4,385</w:t>
      </w:r>
      <w:r>
        <w:t xml:space="preserve"> </w:t>
      </w:r>
      <w:r>
        <w:t xml:space="preserve">4,450*</w:t>
      </w:r>
      <w:r>
        <w:t xml:space="preserve"> </w:t>
      </w:r>
      <w:r>
        <w:t xml:space="preserve">4,600*</w:t>
      </w:r>
      <w:r>
        <w:t xml:space="preserve"> </w:t>
      </w:r>
      <w:r>
        <w:t xml:space="preserve">Notes: *rounded to the nearest 50s.</w:t>
      </w:r>
    </w:p>
    <w:p>
      <w:pPr>
        <w:pStyle w:val="BodyText"/>
      </w:pPr>
      <w:r>
        <w:t xml:space="preserve">POTENTIAL POLICY MEASURES</w:t>
      </w:r>
      <w:r>
        <w:t xml:space="preserve"> </w:t>
      </w:r>
      <w:r>
        <w:t xml:space="preserve">According to Recital 16 of CLP, harmonised classification should be available for</w:t>
      </w:r>
      <w:r>
        <w:t xml:space="preserve"> </w:t>
      </w:r>
      <w:r>
        <w:t xml:space="preserve">substances of highest concern and for other substances on a case-by-case basis. Harmonised</w:t>
      </w:r>
      <w:r>
        <w:t xml:space="preserve"> </w:t>
      </w:r>
      <w:r>
        <w:t xml:space="preserve">classification should apply to all manufacturers, importers and downstream users. It also</w:t>
      </w:r>
      <w:r>
        <w:t xml:space="preserve"> </w:t>
      </w:r>
      <w:r>
        <w:t xml:space="preserve">initiates specific and additional risk mitigation measures in downstream regulations, such</w:t>
      </w:r>
      <w:r>
        <w:t xml:space="preserve"> </w:t>
      </w:r>
      <w:r>
        <w:t xml:space="preserve">as additional risk assessment, ban from consumer products.</w:t>
      </w:r>
      <w:r>
        <w:t xml:space="preserve"> </w:t>
      </w:r>
      <w:r>
        <w:t xml:space="preserve">The objective is to increase the number of harmonised classification entries, not only of</w:t>
      </w:r>
      <w:r>
        <w:t xml:space="preserve"> </w:t>
      </w:r>
      <w:r>
        <w:t xml:space="preserve">substances which are supposed to meet the existing hazard criteria but also for substances</w:t>
      </w:r>
      <w:r>
        <w:t xml:space="preserve"> </w:t>
      </w:r>
      <w:r>
        <w:t xml:space="preserve">which would meet the criteria of the possible new hazard classes over a reasonable period</w:t>
      </w:r>
      <w:r>
        <w:t xml:space="preserve"> </w:t>
      </w:r>
      <w:r>
        <w:t xml:space="preserve">of time. To also deliver increased benefits, the submitted CLH dossiers should target</w:t>
      </w:r>
      <w:r>
        <w:t xml:space="preserve"> </w:t>
      </w:r>
      <w:r>
        <w:t xml:space="preserve">identified substances where the need of a CLH dossier has been prioritised.</w:t>
      </w:r>
      <w:r>
        <w:t xml:space="preserve"> </w:t>
      </w:r>
      <w:r>
        <w:t xml:space="preserve">It is important to focus the resources of the authorities and therefore prioritise the</w:t>
      </w:r>
      <w:r>
        <w:t xml:space="preserve"> </w:t>
      </w:r>
      <w:r>
        <w:t xml:space="preserve">development of CLH dossiers on ’substances of the highest concern with regard to health</w:t>
      </w:r>
      <w:r>
        <w:t xml:space="preserve"> </w:t>
      </w:r>
      <w:r>
        <w:t xml:space="preserve">and to the environment’, in line with Recital 52 of the CLP Regulation. A first level of</w:t>
      </w:r>
      <w:r>
        <w:t xml:space="preserve"> </w:t>
      </w:r>
      <w:r>
        <w:t xml:space="preserve">prioritisation criteria is established in Article 36 of CLP, but this is not sufficient. They need</w:t>
      </w:r>
      <w:r>
        <w:t xml:space="preserve"> </w:t>
      </w:r>
      <w:r>
        <w:t xml:space="preserve">to be expanded, also in consideration of the hazard endpoints discussed in Annex 8.</w:t>
      </w:r>
    </w:p>
    <w:p>
      <w:pPr>
        <w:pStyle w:val="BodyText"/>
      </w:pPr>
      <w:r>
        <w:t xml:space="preserve">212 RAC opinion on 2-EHA metal salts</w:t>
      </w:r>
      <w:r>
        <w:t xml:space="preserve"> </w:t>
      </w:r>
      <w:r>
        <w:t xml:space="preserve">213 RAC opinion on 3 lithium salts</w:t>
      </w:r>
      <w:r>
        <w:t xml:space="preserve"> </w:t>
      </w:r>
      <w:r>
        <w:t xml:space="preserve">214 Competitiveness Council on 19 February 2013 (europa.eu)</w:t>
      </w:r>
      <w:r>
        <w:t xml:space="preserve"> </w:t>
      </w:r>
      <w:r>
        <w:t xml:space="preserve">215 CLP00 and ATP01 introduced the CLHs that were adopted according to the previous legislation. Not all</w:t>
      </w:r>
      <w:r>
        <w:t xml:space="preserve"> </w:t>
      </w:r>
      <w:r>
        <w:t xml:space="preserve">ATPs introduce or revise CLHs.</w:t>
      </w:r>
    </w:p>
    <w:p>
      <w:pPr>
        <w:pStyle w:val="BodyText"/>
      </w:pPr>
      <w:r>
        <w:t xml:space="preserve">269</w:t>
      </w:r>
      <w:r>
        <w:t xml:space="preserve"> </w:t>
      </w:r>
      <w:r>
        <w:t xml:space="preserve">Additional or refined criteria could also improve the pace at which hazardous substances</w:t>
      </w:r>
      <w:r>
        <w:t xml:space="preserve"> </w:t>
      </w:r>
      <w:r>
        <w:t xml:space="preserve">are identified.</w:t>
      </w:r>
      <w:r>
        <w:br/>
      </w:r>
      <w:r>
        <w:t xml:space="preserve">Two alternative measures are assessed:</w:t>
      </w:r>
    </w:p>
    <w:p>
      <w:pPr>
        <w:pStyle w:val="BodyText"/>
      </w:pPr>
      <w:r>
        <w:t xml:space="preserve">#7 Develop the discussion on prioritisation of candidate substances for CLH dossiers</w:t>
      </w:r>
      <w:r>
        <w:t xml:space="preserve"> </w:t>
      </w:r>
      <w:r>
        <w:t xml:space="preserve">at RIME+;</w:t>
      </w:r>
      <w:r>
        <w:t xml:space="preserve"> </w:t>
      </w:r>
      <w:r>
        <w:t xml:space="preserve">#8 Prioritise intentions of CLH dossiers at CARACAL level.</w:t>
      </w:r>
      <w:r>
        <w:t xml:space="preserve"> </w:t>
      </w:r>
      <w:r>
        <w:t xml:space="preserve">Aside an improved focus on the substances that most deserve a harmonised classification,</w:t>
      </w:r>
      <w:r>
        <w:t xml:space="preserve"> </w:t>
      </w:r>
      <w:r>
        <w:t xml:space="preserve">there may be ways to increase the number of CLH dossiers. This would require either a</w:t>
      </w:r>
      <w:r>
        <w:t xml:space="preserve"> </w:t>
      </w:r>
      <w:r>
        <w:t xml:space="preserve">diversion of resources from other processes or an increase in resources. However, due to</w:t>
      </w:r>
      <w:r>
        <w:t xml:space="preserve"> </w:t>
      </w:r>
      <w:r>
        <w:t xml:space="preserve">various factors (level of expertise and qualifications required for RAC members;216</w:t>
      </w:r>
      <w:r>
        <w:t xml:space="preserve"> </w:t>
      </w:r>
      <w:r>
        <w:t xml:space="preserve">transparency and independence;217 efforts to reach consensus;218 need to give stakeholders</w:t>
      </w:r>
      <w:r>
        <w:t xml:space="preserve"> </w:t>
      </w:r>
      <w:r>
        <w:t xml:space="preserve">the opportunity to provide information and comments), the number of dossiers that can be</w:t>
      </w:r>
      <w:r>
        <w:t xml:space="preserve"> </w:t>
      </w:r>
      <w:r>
        <w:t xml:space="preserve">processed by RAC is inherently limited by the complexity of opinion development, and an</w:t>
      </w:r>
      <w:r>
        <w:t xml:space="preserve"> </w:t>
      </w:r>
      <w:r>
        <w:t xml:space="preserve">increase of resources may not result in a proportional increase of adopted opinions.</w:t>
      </w:r>
      <w:r>
        <w:br/>
      </w:r>
      <w:r>
        <w:t xml:space="preserve">The purpose of providing the Commission with the right of initiative for the submission of</w:t>
      </w:r>
      <w:r>
        <w:t xml:space="preserve"> </w:t>
      </w:r>
      <w:r>
        <w:t xml:space="preserve">CLH proposals is to speed up the CLH process and overcome the limited availability of</w:t>
      </w:r>
      <w:r>
        <w:t xml:space="preserve"> </w:t>
      </w:r>
      <w:r>
        <w:t xml:space="preserve">MSCAs’ capacity to support the process.</w:t>
      </w:r>
      <w:r>
        <w:t xml:space="preserve"> </w:t>
      </w:r>
      <w:r>
        <w:t xml:space="preserve">An additional measure, which is complementary, was considered:</w:t>
      </w:r>
      <w:r>
        <w:t xml:space="preserve"> </w:t>
      </w:r>
      <w:r>
        <w:t xml:space="preserve">#9 Allow the Commission to initiate and fund more CH dossiers, including via a mandate</w:t>
      </w:r>
      <w:r>
        <w:t xml:space="preserve"> </w:t>
      </w:r>
      <w:r>
        <w:t xml:space="preserve">to ECHA;</w:t>
      </w:r>
      <w:r>
        <w:t xml:space="preserve"> </w:t>
      </w:r>
      <w:r>
        <w:t xml:space="preserve">Under policy measure #9, the Commission would identify substances or groups of</w:t>
      </w:r>
      <w:r>
        <w:t xml:space="preserve"> </w:t>
      </w:r>
      <w:r>
        <w:t xml:space="preserve">substances considered as priorities, where MSCAs have no interest. The Commission would</w:t>
      </w:r>
      <w:r>
        <w:t xml:space="preserve"> </w:t>
      </w:r>
      <w:r>
        <w:t xml:space="preserve">either mandate ECHA to develop such CLH dossiers for those substances or contract such</w:t>
      </w:r>
      <w:r>
        <w:t xml:space="preserve"> </w:t>
      </w:r>
      <w:r>
        <w:t xml:space="preserve">tasks to consultancy. The Commission’s right of initiative would not apply to plant</w:t>
      </w:r>
      <w:r>
        <w:t xml:space="preserve"> </w:t>
      </w:r>
      <w:r>
        <w:t xml:space="preserve">protection and biocidal active substances.</w:t>
      </w:r>
    </w:p>
    <w:p>
      <w:pPr>
        <w:pStyle w:val="BodyText"/>
      </w:pPr>
      <w:r>
        <w:t xml:space="preserve">SCREENING AND ASSESSMENT OF THE POTENTIAL MEASURES</w:t>
      </w:r>
      <w:r>
        <w:t xml:space="preserve"> </w:t>
      </w:r>
      <w:r>
        <w:t xml:space="preserve">Again, it is important to stress that the feasibility of the work needs to be seen in the light</w:t>
      </w:r>
      <w:r>
        <w:t xml:space="preserve"> </w:t>
      </w:r>
      <w:r>
        <w:t xml:space="preserve">of resources that will be available to ECHA versus the total amount of activities (in</w:t>
      </w:r>
      <w:r>
        <w:t xml:space="preserve"> </w:t>
      </w:r>
      <w:r>
        <w:t xml:space="preserve">particular, under REACH and CLP) that are foreseen for ECHA to carry out. In addition,</w:t>
      </w:r>
      <w:r>
        <w:t xml:space="preserve"> </w:t>
      </w:r>
      <w:r>
        <w:t xml:space="preserve">these estimates are of limited scalability, meaning that in case of a relatively high demand</w:t>
      </w:r>
      <w:r>
        <w:t xml:space="preserve"> </w:t>
      </w:r>
      <w:r>
        <w:t xml:space="preserve">(e.g. &gt;10 CLH dossiers per year) additional overhead will need to be looked at. One can</w:t>
      </w:r>
    </w:p>
    <w:p>
      <w:pPr>
        <w:pStyle w:val="BodyText"/>
      </w:pPr>
      <w:r>
        <w:t xml:space="preserve">216 ‘Member States shall transmit to the Agency the names of experts with proven experience in the tasks</w:t>
      </w:r>
      <w:r>
        <w:t xml:space="preserve"> </w:t>
      </w:r>
      <w:r>
        <w:t xml:space="preserve">required by Article 77, who would be available to serve on working groups of the Committees, together with</w:t>
      </w:r>
      <w:r>
        <w:t xml:space="preserve"> </w:t>
      </w:r>
      <w:r>
        <w:t xml:space="preserve">an indication of their qualifications and specific areas of expertise’ (Article 87(2) of REACH).</w:t>
      </w:r>
      <w:r>
        <w:t xml:space="preserve"> </w:t>
      </w:r>
      <w:r>
        <w:t xml:space="preserve">217 The members of RAC should declare any conflicts of interest that affect their independence as experts (see</w:t>
      </w:r>
      <w:r>
        <w:t xml:space="preserve"> </w:t>
      </w:r>
      <w:r>
        <w:t xml:space="preserve">Articles 87(1)) and 88(3) of REACH).</w:t>
      </w:r>
      <w:r>
        <w:t xml:space="preserve"> </w:t>
      </w:r>
      <w:r>
        <w:t xml:space="preserve">218 Article 85(8) of REACH emphasises that ‘when preparing an opinion, each Committee [including RAC,</w:t>
      </w:r>
      <w:r>
        <w:t xml:space="preserve"> </w:t>
      </w:r>
      <w:r>
        <w:t xml:space="preserve">NoA] shall use its best endeavours to reach a consensus. If such a consensus cannot be reached, the opinion</w:t>
      </w:r>
      <w:r>
        <w:t xml:space="preserve"> </w:t>
      </w:r>
      <w:r>
        <w:t xml:space="preserve">shall consist of the position of the majority of members, including their grounds. The minority position(s),</w:t>
      </w:r>
      <w:r>
        <w:t xml:space="preserve"> </w:t>
      </w:r>
      <w:r>
        <w:t xml:space="preserve">including their grounds, shall also be published’.</w:t>
      </w:r>
    </w:p>
    <w:p>
      <w:pPr>
        <w:pStyle w:val="BodyText"/>
      </w:pPr>
      <w:r>
        <w:t xml:space="preserve">270</w:t>
      </w:r>
      <w:r>
        <w:t xml:space="preserve"> </w:t>
      </w:r>
      <w:r>
        <w:t xml:space="preserve">also note that the CSS calls for a strengthening of the governance of the European Chemicals</w:t>
      </w:r>
      <w:r>
        <w:t xml:space="preserve"> </w:t>
      </w:r>
      <w:r>
        <w:t xml:space="preserve">Agency and an increase the sustainability of its financing.</w:t>
      </w:r>
      <w:r>
        <w:br/>
      </w:r>
      <w:r>
        <w:t xml:space="preserve">Prioritising substances for which a CLH dossier is submitted</w:t>
      </w:r>
      <w:r>
        <w:t xml:space="preserve"> </w:t>
      </w:r>
      <w:r>
        <w:t xml:space="preserve">On prioritisation, under measure #8 ECHA would be asked to screen the registry of</w:t>
      </w:r>
      <w:r>
        <w:t xml:space="preserve"> </w:t>
      </w:r>
      <w:r>
        <w:t xml:space="preserve">intentions for new CLH proposals and to propose a prioritisation list, based on the agreed</w:t>
      </w:r>
      <w:r>
        <w:t xml:space="preserve"> </w:t>
      </w:r>
      <w:r>
        <w:t xml:space="preserve">criteria, on a regular basis. It is assumed that ECHA staff would be able to screen ten</w:t>
      </w:r>
      <w:r>
        <w:t xml:space="preserve"> </w:t>
      </w:r>
      <w:r>
        <w:t xml:space="preserve">substances per day against the agreed prioritisation criteria (e.g. hazard class, tonnage,</w:t>
      </w:r>
      <w:r>
        <w:t xml:space="preserve"> </w:t>
      </w:r>
      <w:r>
        <w:t xml:space="preserve">widespread use, etc.), including the request for additional information to the dossier</w:t>
      </w:r>
      <w:r>
        <w:t xml:space="preserve"> </w:t>
      </w:r>
      <w:r>
        <w:t xml:space="preserve">submitters and the organisation of a discussion at CARACAL level per year. These tasks</w:t>
      </w:r>
      <w:r>
        <w:t xml:space="preserve"> </w:t>
      </w:r>
      <w:r>
        <w:t xml:space="preserve">would require 0.04 FTE per year at ECHA219. Again, it is important to note that, since the</w:t>
      </w:r>
      <w:r>
        <w:t xml:space="preserve"> </w:t>
      </w:r>
      <w:r>
        <w:t xml:space="preserve">development of the IRS, the proportion of CLH dossiers that were submitted as a follow-up</w:t>
      </w:r>
      <w:r>
        <w:t xml:space="preserve"> </w:t>
      </w:r>
      <w:r>
        <w:t xml:space="preserve">to previous activities has grown, from 23% during 2010-2015 to 68 % in 2020 (see Table</w:t>
      </w:r>
      <w:r>
        <w:t xml:space="preserve"> </w:t>
      </w:r>
      <w:r>
        <w:t xml:space="preserve">81). Therefore, the screening of CLH intentions and the request for further information is</w:t>
      </w:r>
      <w:r>
        <w:t xml:space="preserve"> </w:t>
      </w:r>
      <w:r>
        <w:t xml:space="preserve">not expected to bring significant added value as criteria are already integrated in the IRS</w:t>
      </w:r>
      <w:r>
        <w:t xml:space="preserve"> </w:t>
      </w:r>
      <w:r>
        <w:t xml:space="preserve">screening. Furthermore, the effectiveness of such screening at intention level, where part of</w:t>
      </w:r>
      <w:r>
        <w:t xml:space="preserve"> </w:t>
      </w:r>
      <w:r>
        <w:t xml:space="preserve">the work preparing for a CLH dossier has already been undertaken should be put into</w:t>
      </w:r>
      <w:r>
        <w:t xml:space="preserve"> </w:t>
      </w:r>
      <w:r>
        <w:t xml:space="preserve">question. Finally, some stakeholders, amongst them, a lot of the Member States, voiced that</w:t>
      </w:r>
      <w:r>
        <w:t xml:space="preserve"> </w:t>
      </w:r>
      <w:r>
        <w:t xml:space="preserve">such a measure would undermine the right of initiative of Member States. This would hence</w:t>
      </w:r>
      <w:r>
        <w:t xml:space="preserve"> </w:t>
      </w:r>
      <w:r>
        <w:t xml:space="preserve">not be in line with a balanced subsidiarity between Member States and the 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Table 81. Source of CLH dossiers in 2020</w:t>
      </w:r>
      <w:r>
        <w:t xml:space="preserve"> </w:t>
      </w:r>
      <w:r>
        <w:t xml:space="preserve">Activity</w:t>
      </w:r>
      <w:r>
        <w:t xml:space="preserve"> </w:t>
      </w:r>
      <w:r>
        <w:t xml:space="preserve">Proportion</w:t>
      </w:r>
      <w:r>
        <w:t xml:space="preserve"> </w:t>
      </w:r>
      <w:r>
        <w:t xml:space="preserve">REACH compliance check</w:t>
      </w:r>
      <w:r>
        <w:t xml:space="preserve"> </w:t>
      </w:r>
      <w:r>
        <w:t xml:space="preserve">44%</w:t>
      </w:r>
      <w:r>
        <w:t xml:space="preserve"> </w:t>
      </w:r>
      <w:r>
        <w:t xml:space="preserve">REACH substance evaluation</w:t>
      </w:r>
      <w:r>
        <w:t xml:space="preserve"> </w:t>
      </w:r>
      <w:r>
        <w:t xml:space="preserve">32%</w:t>
      </w:r>
      <w:r>
        <w:t xml:space="preserve"> </w:t>
      </w:r>
      <w:r>
        <w:t xml:space="preserve">RMOA</w:t>
      </w:r>
      <w:r>
        <w:t xml:space="preserve"> </w:t>
      </w:r>
      <w:r>
        <w:t xml:space="preserve">12%</w:t>
      </w:r>
      <w:r>
        <w:t xml:space="preserve"> </w:t>
      </w:r>
      <w:r>
        <w:t xml:space="preserve">Group assessment</w:t>
      </w:r>
      <w:r>
        <w:t xml:space="preserve"> </w:t>
      </w:r>
      <w:r>
        <w:t xml:space="preserve">32%</w:t>
      </w:r>
      <w:r>
        <w:t xml:space="preserve"> </w:t>
      </w:r>
      <w:r>
        <w:t xml:space="preserve">At least one activity</w:t>
      </w:r>
      <w:r>
        <w:t xml:space="preserve"> </w:t>
      </w:r>
      <w:r>
        <w:t xml:space="preserve">68%</w:t>
      </w:r>
      <w:r>
        <w:t xml:space="preserve"> </w:t>
      </w:r>
      <w:r>
        <w:t xml:space="preserve">Source: reproduced from ECHA (2021b)</w:t>
      </w:r>
    </w:p>
    <w:p>
      <w:pPr>
        <w:pStyle w:val="BodyText"/>
      </w:pPr>
      <w:r>
        <w:t xml:space="preserve">Policy measure #7 derives from the same starting basis, i.e. the agreement with the MSCAs</w:t>
      </w:r>
      <w:r>
        <w:t xml:space="preserve"> </w:t>
      </w:r>
      <w:r>
        <w:t xml:space="preserve">on a set of prioritisation criteria, but instead of mandating the prioritisation to the</w:t>
      </w:r>
      <w:r>
        <w:t xml:space="preserve"> </w:t>
      </w:r>
      <w:r>
        <w:t xml:space="preserve">Commission (through ECHA), they provide for the development of guidance on the</w:t>
      </w:r>
      <w:r>
        <w:t xml:space="preserve"> </w:t>
      </w:r>
      <w:r>
        <w:t xml:space="preserve">application of the criteria by the dossier submitters. Policy measure #7 would require dossier</w:t>
      </w:r>
      <w:r>
        <w:t xml:space="preserve"> </w:t>
      </w:r>
      <w:r>
        <w:t xml:space="preserve">submitters to illustrate the application of the criteria in their CLH intentions. It is assumed</w:t>
      </w:r>
      <w:r>
        <w:t xml:space="preserve"> </w:t>
      </w:r>
      <w:r>
        <w:t xml:space="preserve">that, at first, the Commission and ECHA would provide a proposal on the prioritisation</w:t>
      </w:r>
      <w:r>
        <w:t xml:space="preserve"> </w:t>
      </w:r>
      <w:r>
        <w:t xml:space="preserve">criteria, to be discussed and agreed upon during subsequent CARACAL meetings. While</w:t>
      </w:r>
      <w:r>
        <w:t xml:space="preserve"> </w:t>
      </w:r>
      <w:r>
        <w:t xml:space="preserve">this process is not expected to entail significant costs, it may overcome the negative</w:t>
      </w:r>
      <w:r>
        <w:t xml:space="preserve"> </w:t>
      </w:r>
      <w:r>
        <w:t xml:space="preserve">feedback on Policy measure #6. Such criteria, when available, would be used to identify the</w:t>
      </w:r>
      <w:r>
        <w:t xml:space="preserve"> </w:t>
      </w:r>
      <w:r>
        <w:t xml:space="preserve">best Regulatory Management Option Analysis (RMOA) in Risk Management and</w:t>
      </w:r>
      <w:r>
        <w:t xml:space="preserve"> </w:t>
      </w:r>
      <w:r>
        <w:t xml:space="preserve">Evaluation (RIME+220) platform. There is no additional costs entailed with this change of</w:t>
      </w:r>
      <w:r>
        <w:t xml:space="preserve"> </w:t>
      </w:r>
      <w:r>
        <w:t xml:space="preserve">criteria to be used by RIME+.</w:t>
      </w:r>
    </w:p>
    <w:p>
      <w:pPr>
        <w:pStyle w:val="BodyText"/>
      </w:pPr>
      <w:r>
        <w:t xml:space="preserve">219 Six days per year to screen CLH intentions and request additional information and four days to organise a</w:t>
      </w:r>
      <w:r>
        <w:t xml:space="preserve"> </w:t>
      </w:r>
      <w:r>
        <w:t xml:space="preserve">CARACAL discussion (10 days = 0.04 FTE).</w:t>
      </w:r>
      <w:r>
        <w:t xml:space="preserve"> </w:t>
      </w:r>
      <w:r>
        <w:t xml:space="preserve">220 https://echa.europa.eu/fr/rime</w:t>
      </w:r>
    </w:p>
    <w:p>
      <w:pPr>
        <w:pStyle w:val="BodyText"/>
      </w:pPr>
      <w:r>
        <w:t xml:space="preserve">271</w:t>
      </w:r>
      <w:r>
        <w:t xml:space="preserve"> </w:t>
      </w:r>
      <w:r>
        <w:t xml:space="preserve">Most respondents of the OPC and TSS supported the establishment of a prioritisation</w:t>
      </w:r>
      <w:r>
        <w:t xml:space="preserve"> </w:t>
      </w:r>
      <w:r>
        <w:t xml:space="preserve">mechanism for the development of CLH dossiers. Some stakeholders suggested that the</w:t>
      </w:r>
      <w:r>
        <w:t xml:space="preserve"> </w:t>
      </w:r>
      <w:r>
        <w:t xml:space="preserve">publication of a list of substances of concern to be prioritised could be used to stimulate</w:t>
      </w:r>
      <w:r>
        <w:t xml:space="preserve"> </w:t>
      </w:r>
      <w:r>
        <w:t xml:space="preserve">updating of self-classifications with better information. The prioritisation mechanism</w:t>
      </w:r>
      <w:r>
        <w:t xml:space="preserve"> </w:t>
      </w:r>
      <w:r>
        <w:t xml:space="preserve">should be in line with ECHA’s IRS, based on scientific arguments and focus on the hazards</w:t>
      </w:r>
      <w:r>
        <w:t xml:space="preserve"> </w:t>
      </w:r>
      <w:r>
        <w:t xml:space="preserve">that matter the most to ensure high level of protection of human health and environment.</w:t>
      </w:r>
      <w:r>
        <w:t xml:space="preserve"> </w:t>
      </w:r>
      <w:r>
        <w:t xml:space="preserve">The assessment of regulatory needs should be used to identify the best management option</w:t>
      </w:r>
      <w:r>
        <w:t xml:space="preserve"> </w:t>
      </w:r>
      <w:r>
        <w:t xml:space="preserve">prior to the CLH process, when appropriate. The process should consider the various</w:t>
      </w:r>
      <w:r>
        <w:t xml:space="preserve"> </w:t>
      </w:r>
      <w:r>
        <w:t xml:space="preserve">regulatory processes that exist and initiation of multiple, overlapping processes should be</w:t>
      </w:r>
      <w:r>
        <w:t xml:space="preserve"> </w:t>
      </w:r>
      <w:r>
        <w:t xml:space="preserve">avoided.</w:t>
      </w:r>
      <w:r>
        <w:t xml:space="preserve"> </w:t>
      </w:r>
      <w:r>
        <w:t xml:space="preserve">Some MSCAs noted that if the prioritisation mechanism were to conflict with the right of</w:t>
      </w:r>
      <w:r>
        <w:t xml:space="preserve"> </w:t>
      </w:r>
      <w:r>
        <w:t xml:space="preserve">initiative of the Member States, it would not be acceptable.</w:t>
      </w:r>
      <w:r>
        <w:br/>
      </w:r>
      <w:r>
        <w:t xml:space="preserve">ECHA considered that ‘an informal and integrated process (with other prioritisation</w:t>
      </w:r>
      <w:r>
        <w:t xml:space="preserve"> </w:t>
      </w:r>
      <w:r>
        <w:t xml:space="preserve">activities) is very likely not only to be less resource intensive and less costly but will also</w:t>
      </w:r>
      <w:r>
        <w:t xml:space="preserve"> </w:t>
      </w:r>
      <w:r>
        <w:t xml:space="preserve">provide more coherent and consistent outcome of the overall chemicals management system</w:t>
      </w:r>
      <w:r>
        <w:t xml:space="preserve"> </w:t>
      </w:r>
      <w:r>
        <w:t xml:space="preserve">while transparency can still be safeguarded’.</w:t>
      </w:r>
      <w:r>
        <w:t xml:space="preserve"> </w:t>
      </w:r>
      <w:r>
        <w:t xml:space="preserve">Increasing the number of CLH dossiers submitted to ECHA</w:t>
      </w:r>
      <w:r>
        <w:t xml:space="preserve"> </w:t>
      </w:r>
      <w:r>
        <w:t xml:space="preserve">ECHA has estimated the resources required for the development of CLH dossiers, including</w:t>
      </w:r>
      <w:r>
        <w:t xml:space="preserve"> </w:t>
      </w:r>
      <w:r>
        <w:t xml:space="preserve">the average time and other resources required per dossier. A CLH dossier for a REACH-</w:t>
      </w:r>
      <w:r>
        <w:t xml:space="preserve"> </w:t>
      </w:r>
      <w:r>
        <w:t xml:space="preserve">regulated chemical substance can cover a number of different scenarios and dossier types.</w:t>
      </w:r>
      <w:r>
        <w:t xml:space="preserve"> </w:t>
      </w:r>
      <w:r>
        <w:t xml:space="preserve">They vary in the number of hazard classes, the complexity of the hazard classes and whether</w:t>
      </w:r>
      <w:r>
        <w:t xml:space="preserve"> </w:t>
      </w:r>
      <w:r>
        <w:t xml:space="preserve">it is a data rich substance or of a poor quality/data-lacking substance with incomplete or</w:t>
      </w:r>
      <w:r>
        <w:t xml:space="preserve"> </w:t>
      </w:r>
      <w:r>
        <w:t xml:space="preserve">missing studies inside/outside EU and of low quality/reporting with poor robust study</w:t>
      </w:r>
      <w:r>
        <w:t xml:space="preserve"> </w:t>
      </w:r>
      <w:r>
        <w:t xml:space="preserve">summaries (RSS).</w:t>
      </w:r>
      <w:r>
        <w:t xml:space="preserve"> </w:t>
      </w:r>
      <w:r>
        <w:t xml:space="preserve">The number and type of hazard classes and the type/quality of available data will together</w:t>
      </w:r>
      <w:r>
        <w:t xml:space="preserve"> </w:t>
      </w:r>
      <w:r>
        <w:t xml:space="preserve">define the quality and the complexity of the dossier preparation and together will effect the</w:t>
      </w:r>
      <w:r>
        <w:t xml:space="preserve"> </w:t>
      </w:r>
      <w:r>
        <w:t xml:space="preserve">resources required for preparing the dossier.</w:t>
      </w:r>
      <w:r>
        <w:t xml:space="preserve"> </w:t>
      </w:r>
      <w:r>
        <w:t xml:space="preserve">Again, it is important to stress that the feasibility of the work needs to be seen in the light</w:t>
      </w:r>
      <w:r>
        <w:t xml:space="preserve"> </w:t>
      </w:r>
      <w:r>
        <w:t xml:space="preserve">of resources that will be available to ECHA versus the total amount of activities (in</w:t>
      </w:r>
      <w:r>
        <w:t xml:space="preserve"> </w:t>
      </w:r>
      <w:r>
        <w:t xml:space="preserve">particular, under REACH and CLP) that are foreseen for ECHA to carry out (see above).</w:t>
      </w:r>
    </w:p>
    <w:p>
      <w:pPr>
        <w:pStyle w:val="BodyText"/>
      </w:pPr>
      <w:r>
        <w:t xml:space="preserve">272</w:t>
      </w:r>
      <w:r>
        <w:t xml:space="preserve"> </w:t>
      </w:r>
      <w:r>
        <w:t xml:space="preserve">Table 82. ECHA’s estimate of resources for supporting the preparation of a complex CLH dossier</w:t>
      </w:r>
    </w:p>
    <w:p>
      <w:pPr>
        <w:pStyle w:val="BodyText"/>
      </w:pPr>
      <w:r>
        <w:t xml:space="preserve">ECHA estimate for CLH</w:t>
      </w:r>
      <w:r>
        <w:t xml:space="preserve"> </w:t>
      </w:r>
      <w:r>
        <w:t xml:space="preserve">Dossier development</w:t>
      </w:r>
      <w:r>
        <w:t xml:space="preserve"> </w:t>
      </w:r>
      <w:r>
        <w:t xml:space="preserve">0.35 FTE</w:t>
      </w:r>
      <w:r>
        <w:t xml:space="preserve"> </w:t>
      </w:r>
      <w:r>
        <w:t xml:space="preserve">RAC opinion making</w:t>
      </w:r>
      <w:r>
        <w:t xml:space="preserve"> </w:t>
      </w:r>
      <w:r>
        <w:t xml:space="preserve">0.1 FTE</w:t>
      </w:r>
      <w:r>
        <w:t xml:space="preserve"> </w:t>
      </w:r>
      <w:r>
        <w:t xml:space="preserve">Support services</w:t>
      </w:r>
      <w:r>
        <w:t xml:space="preserve"> </w:t>
      </w:r>
      <w:r>
        <w:t xml:space="preserve">0.05 FTE</w:t>
      </w:r>
      <w:r>
        <w:t xml:space="preserve"> </w:t>
      </w:r>
      <w:r>
        <w:t xml:space="preserve">Total FTE</w:t>
      </w:r>
      <w:r>
        <w:t xml:space="preserve"> </w:t>
      </w:r>
      <w:r>
        <w:t xml:space="preserve">0.5</w:t>
      </w:r>
      <w:r>
        <w:t xml:space="preserve"> </w:t>
      </w:r>
      <w:r>
        <w:t xml:space="preserve">1 FTE staff costs including 19% overhead cost and infrastructure (2021</w:t>
      </w:r>
      <w:r>
        <w:t xml:space="preserve"> </w:t>
      </w:r>
      <w:r>
        <w:t xml:space="preserve">value)</w:t>
      </w:r>
      <w:r>
        <w:t xml:space="preserve"> </w:t>
      </w:r>
      <w:r>
        <w:t xml:space="preserve">€170,000</w:t>
      </w:r>
      <w:r>
        <w:t xml:space="preserve"> </w:t>
      </w:r>
      <w:r>
        <w:t xml:space="preserve">Total cost of dossier development, support services and RAC opinion</w:t>
      </w:r>
      <w:r>
        <w:t xml:space="preserve"> </w:t>
      </w:r>
      <w:r>
        <w:t xml:space="preserve">making</w:t>
      </w:r>
      <w:r>
        <w:t xml:space="preserve"> </w:t>
      </w:r>
      <w:r>
        <w:t xml:space="preserve">€85,000</w:t>
      </w:r>
      <w:r>
        <w:t xml:space="preserve"> </w:t>
      </w:r>
      <w:r>
        <w:t xml:space="preserve">Contribution to RAC organisation cost</w:t>
      </w:r>
      <w:r>
        <w:t xml:space="preserve"> </w:t>
      </w:r>
      <w:r>
        <w:t xml:space="preserve">€10,000</w:t>
      </w:r>
      <w:r>
        <w:t xml:space="preserve"> </w:t>
      </w:r>
      <w:r>
        <w:t xml:space="preserve">Total (2021 value)</w:t>
      </w:r>
      <w:r>
        <w:br/>
      </w:r>
      <w:r>
        <w:t xml:space="preserve">€95,000</w:t>
      </w:r>
    </w:p>
    <w:p>
      <w:pPr>
        <w:pStyle w:val="BodyText"/>
      </w:pPr>
      <w:r>
        <w:t xml:space="preserve">The ‘dossier development’ cost component has two key stages:</w:t>
      </w:r>
    </w:p>
    <w:p>
      <w:pPr>
        <w:pStyle w:val="BodyText"/>
      </w:pPr>
      <w:r>
        <w:t xml:space="preserve">the collection, validation and evaluation of data for proposing the hazard classes;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drafting of the dossier.</w:t>
      </w:r>
    </w:p>
    <w:p>
      <w:pPr>
        <w:pStyle w:val="BodyText"/>
      </w:pPr>
      <w:r>
        <w:t xml:space="preserve">ECHA considers that the first stage of collecting and assessing the data will be the most</w:t>
      </w:r>
      <w:r>
        <w:t xml:space="preserve"> </w:t>
      </w:r>
      <w:r>
        <w:t xml:space="preserve">challenging in respect of time management and experience in literature searching and data</w:t>
      </w:r>
      <w:r>
        <w:t xml:space="preserve"> </w:t>
      </w:r>
      <w:r>
        <w:t xml:space="preserve">collection as it will require the need to acquire and access proprietary data, which may</w:t>
      </w:r>
      <w:r>
        <w:t xml:space="preserve"> </w:t>
      </w:r>
      <w:r>
        <w:t xml:space="preserve">require the input of the Legal Affairs Unit regarding confidentiality and use of data. The</w:t>
      </w:r>
      <w:r>
        <w:t xml:space="preserve"> </w:t>
      </w:r>
      <w:r>
        <w:t xml:space="preserve">second stage of drafting the report is identified as being more manageable. To estimate the</w:t>
      </w:r>
      <w:r>
        <w:t xml:space="preserve"> </w:t>
      </w:r>
      <w:r>
        <w:t xml:space="preserve">resources necessary to develop a CLH dossier, ECHA has surveyed MSCAs and contractors</w:t>
      </w:r>
      <w:r>
        <w:t xml:space="preserve"> </w:t>
      </w:r>
      <w:r>
        <w:t xml:space="preserve">about the time and financial resources required for the preparation of three ‘types’ of</w:t>
      </w:r>
      <w:r>
        <w:t xml:space="preserve"> </w:t>
      </w:r>
      <w:r>
        <w:t xml:space="preserve">dossiers:</w:t>
      </w:r>
    </w:p>
    <w:p>
      <w:pPr>
        <w:pStyle w:val="BodyText"/>
      </w:pPr>
      <w:r>
        <w:t xml:space="preserve">Simple: the preparation of a dossier with only one to three hazard classes and the</w:t>
      </w:r>
      <w:r>
        <w:t xml:space="preserve"> </w:t>
      </w:r>
      <w:r>
        <w:t xml:space="preserve">less complex hazard classes, such as physical hazards, irritation, or one aspect of</w:t>
      </w:r>
      <w:r>
        <w:t xml:space="preserve"> </w:t>
      </w:r>
      <w:r>
        <w:t xml:space="preserve">environmental hazards.</w:t>
      </w:r>
    </w:p>
    <w:p>
      <w:pPr>
        <w:pStyle w:val="BodyText"/>
      </w:pPr>
      <w:r>
        <w:t xml:space="preserve">Medium: the preparation of a dossier with three to six hazard classes and more</w:t>
      </w:r>
      <w:r>
        <w:t xml:space="preserve"> </w:t>
      </w:r>
      <w:r>
        <w:t xml:space="preserve">complex such as CMR and Environment.</w:t>
      </w:r>
    </w:p>
    <w:p>
      <w:pPr>
        <w:pStyle w:val="BodyText"/>
      </w:pPr>
      <w:r>
        <w:t xml:space="preserve">Difficult: the preparation of a dossier with seven or more hazard classes including</w:t>
      </w:r>
      <w:r>
        <w:t xml:space="preserve"> </w:t>
      </w:r>
      <w:r>
        <w:t xml:space="preserve">those of a more difficult nature.</w:t>
      </w:r>
    </w:p>
    <w:p>
      <w:pPr>
        <w:pStyle w:val="BodyText"/>
      </w:pPr>
      <w:r>
        <w:t xml:space="preserve">On measure #9, the establishment of a team/unit of five FTEs in charge of preparing CLH</w:t>
      </w:r>
      <w:r>
        <w:t xml:space="preserve"> </w:t>
      </w:r>
      <w:r>
        <w:t xml:space="preserve">dossiers at ECHA could be able to develop around 225 dossiers (both simple and complex</w:t>
      </w:r>
      <w:r>
        <w:t xml:space="preserve"> </w:t>
      </w:r>
      <w:r>
        <w:t xml:space="preserve">ones) over the period 2023 – 2040 (see Table 82). This can be summed up as on average 2.5</w:t>
      </w:r>
      <w:r>
        <w:t xml:space="preserve"> </w:t>
      </w:r>
      <w:r>
        <w:t xml:space="preserve">dossiers per FTE per year.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Table 83: Estimated number of CLH dossiers over a period of 1-5 years and 1-10 years</w:t>
      </w:r>
      <w:r>
        <w:t xml:space="preserve"> </w:t>
      </w:r>
      <w:r>
        <w:t xml:space="preserve">Work years</w:t>
      </w:r>
      <w:r>
        <w:t xml:space="preserve"> </w:t>
      </w:r>
      <w:r>
        <w:t xml:space="preserve">FTE</w:t>
      </w:r>
      <w:r>
        <w:t xml:space="preserve"> </w:t>
      </w:r>
      <w:r>
        <w:t xml:space="preserve">Dossiers /yr</w:t>
      </w:r>
      <w:r>
        <w:t xml:space="preserve"> </w:t>
      </w:r>
      <w:r>
        <w:t xml:space="preserve">Total dossiers</w:t>
      </w:r>
      <w:r>
        <w:t xml:space="preserve"> </w:t>
      </w: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the period</w:t>
      </w:r>
      <w:r>
        <w:t xml:space="preserve"> </w:t>
      </w:r>
      <w:r>
        <w:t xml:space="preserve">Cumulative</w:t>
      </w:r>
      <w:r>
        <w:t xml:space="preserve"> </w:t>
      </w:r>
      <w:r>
        <w:t xml:space="preserve">Total of dossiers</w:t>
      </w:r>
      <w:r>
        <w:t xml:space="preserve"> </w:t>
      </w:r>
      <w:r>
        <w:t xml:space="preserve">prepared in</w:t>
      </w:r>
      <w:r>
        <w:t xml:space="preserve"> </w:t>
      </w:r>
      <w:r>
        <w:t xml:space="preserve">1- 10 yrs</w:t>
      </w:r>
      <w:r>
        <w:t xml:space="preserve"> </w:t>
      </w:r>
      <w:r>
        <w:t xml:space="preserve">Cumulative total</w:t>
      </w:r>
      <w:r>
        <w:t xml:space="preserve"> </w:t>
      </w:r>
      <w:r>
        <w:t xml:space="preserve">if an increase in</w:t>
      </w:r>
      <w:r>
        <w:t xml:space="preserve"> </w:t>
      </w:r>
      <w:r>
        <w:t xml:space="preserve">complex/</w:t>
      </w:r>
      <w:r>
        <w:t xml:space="preserve"> </w:t>
      </w:r>
      <w:r>
        <w:t xml:space="preserve">difficult dossiers</w:t>
      </w:r>
      <w:r>
        <w:t xml:space="preserve"> </w:t>
      </w:r>
      <w:r>
        <w:t xml:space="preserve">2023-2028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45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15</w:t>
      </w:r>
      <w:r>
        <w:t xml:space="preserve"> </w:t>
      </w:r>
      <w:r>
        <w:t xml:space="preserve">75</w:t>
      </w:r>
    </w:p>
    <w:p>
      <w:pPr>
        <w:pStyle w:val="BodyText"/>
      </w:pPr>
      <w:r>
        <w:t xml:space="preserve">2029-2034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20</w:t>
      </w:r>
      <w:r>
        <w:t xml:space="preserve"> </w:t>
      </w:r>
      <w:r>
        <w:t xml:space="preserve">35</w:t>
      </w:r>
      <w:r>
        <w:t xml:space="preserve"> </w:t>
      </w:r>
      <w:r>
        <w:t xml:space="preserve">20-27</w:t>
      </w:r>
      <w:r>
        <w:t xml:space="preserve"> </w:t>
      </w: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60</w:t>
      </w:r>
      <w:r>
        <w:t xml:space="preserve"> </w:t>
      </w:r>
      <w:r>
        <w:t xml:space="preserve">105</w:t>
      </w:r>
      <w:r>
        <w:t xml:space="preserve"> </w:t>
      </w:r>
      <w:r>
        <w:t xml:space="preserve">60-80</w:t>
      </w:r>
      <w:r>
        <w:t xml:space="preserve"> </w:t>
      </w:r>
      <w:r>
        <w:t xml:space="preserve">5</w:t>
      </w:r>
      <w:r>
        <w:t xml:space="preserve"> </w:t>
      </w:r>
      <w:r>
        <w:t xml:space="preserve">20</w:t>
      </w:r>
      <w:r>
        <w:t xml:space="preserve"> </w:t>
      </w:r>
      <w:r>
        <w:t xml:space="preserve">100</w:t>
      </w:r>
      <w:r>
        <w:t xml:space="preserve"> </w:t>
      </w:r>
      <w:r>
        <w:t xml:space="preserve">175</w:t>
      </w:r>
      <w:r>
        <w:t xml:space="preserve"> </w:t>
      </w:r>
      <w:r>
        <w:t xml:space="preserve">100-140</w:t>
      </w:r>
      <w:r>
        <w:t xml:space="preserve"> </w:t>
      </w:r>
      <w:r>
        <w:t xml:space="preserve">2035-2040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28</w:t>
      </w:r>
      <w:r>
        <w:t xml:space="preserve"> </w:t>
      </w:r>
      <w:r>
        <w:t xml:space="preserve">67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84</w:t>
      </w:r>
      <w:r>
        <w:t xml:space="preserve"> </w:t>
      </w:r>
      <w:r>
        <w:t xml:space="preserve">189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20</w:t>
      </w:r>
      <w:r>
        <w:t xml:space="preserve"> </w:t>
      </w:r>
      <w:r>
        <w:t xml:space="preserve">140</w:t>
      </w:r>
      <w:r>
        <w:t xml:space="preserve"> </w:t>
      </w:r>
      <w:r>
        <w:t xml:space="preserve">315</w:t>
      </w:r>
    </w:p>
    <w:p>
      <w:pPr>
        <w:pStyle w:val="BodyText"/>
      </w:pPr>
      <w:r>
        <w:t xml:space="preserve">Weighted grand total (2023-2042)</w:t>
      </w:r>
      <w:r>
        <w:t xml:space="preserve"> </w:t>
      </w:r>
      <w:r>
        <w:t xml:space="preserve">250</w:t>
      </w:r>
      <w:r>
        <w:t xml:space="preserve"> </w:t>
      </w:r>
      <w:r>
        <w:t xml:space="preserve">Source: ECHA</w:t>
      </w:r>
    </w:p>
    <w:p>
      <w:pPr>
        <w:pStyle w:val="BodyText"/>
      </w:pPr>
      <w:r>
        <w:t xml:space="preserve">The present value of the cost of such a team is €1.1 million. ECHA expects that over time</w:t>
      </w:r>
      <w:r>
        <w:t xml:space="preserve"> </w:t>
      </w:r>
      <w:r>
        <w:t xml:space="preserve">— e.g. three to five years — its resources would acquire experience and would therefore be</w:t>
      </w:r>
      <w:r>
        <w:t xml:space="preserve"> </w:t>
      </w:r>
      <w:r>
        <w:t xml:space="preserve">able to prepare more dossiers. However, if the new hazard classes were to be introduced in</w:t>
      </w:r>
      <w:r>
        <w:t xml:space="preserve"> </w:t>
      </w:r>
      <w:r>
        <w:t xml:space="preserve">CLP, ECHA staff may have to prepare CLH dossiers which are considered to require more</w:t>
      </w:r>
      <w:r>
        <w:t xml:space="preserve"> </w:t>
      </w:r>
      <w:r>
        <w:t xml:space="preserve">time because of their complexity, cancelling out any gain in capacity.</w:t>
      </w:r>
      <w:r>
        <w:t xml:space="preserve"> </w:t>
      </w:r>
      <w:r>
        <w:t xml:space="preserve">The development of additional CLH dossiers by ECHA would also have an impact on RAC</w:t>
      </w:r>
      <w:r>
        <w:t xml:space="preserve"> </w:t>
      </w:r>
      <w:r>
        <w:t xml:space="preserve">and its secretariat in terms of additional work. The additional burden would be lower in case</w:t>
      </w:r>
      <w:r>
        <w:t xml:space="preserve"> </w:t>
      </w:r>
      <w:r>
        <w:t xml:space="preserve">of CLH developed outside of ECHA. As RAC is currently already running at maximum</w:t>
      </w:r>
      <w:r>
        <w:t xml:space="preserve"> </w:t>
      </w:r>
      <w:r>
        <w:t xml:space="preserve">capacity, any increase of workload would have to be accompanied by a reform of RAC and</w:t>
      </w:r>
      <w:r>
        <w:t xml:space="preserve"> </w:t>
      </w:r>
      <w:r>
        <w:t xml:space="preserve">its membership to cope with additional work. For CLH dossiers, rapporteurs are RAC</w:t>
      </w:r>
      <w:r>
        <w:t xml:space="preserve"> </w:t>
      </w:r>
      <w:r>
        <w:t xml:space="preserve">members and employed as officials by a Member State. Their work is not reimbursed,</w:t>
      </w:r>
      <w:r>
        <w:t xml:space="preserve"> </w:t>
      </w:r>
      <w:r>
        <w:t xml:space="preserve">contrary to other tasks performed by RAC, such as restrictions, applications for</w:t>
      </w:r>
      <w:r>
        <w:t xml:space="preserve"> </w:t>
      </w:r>
      <w:r>
        <w:t xml:space="preserve">authorisation and Occupational exposure limits (OEL) work. Therefore, the financial costs</w:t>
      </w:r>
      <w:r>
        <w:t xml:space="preserve"> </w:t>
      </w:r>
      <w:r>
        <w:t xml:space="preserve">are almost limited to the organisation of the meetings. As another consequence, no co-opted</w:t>
      </w:r>
      <w:r>
        <w:t xml:space="preserve"> </w:t>
      </w:r>
      <w:r>
        <w:t xml:space="preserve">members can be deployed to CLH work as a consequence of the lack of reimbursement.</w:t>
      </w:r>
      <w:r>
        <w:br/>
      </w:r>
      <w:r>
        <w:t xml:space="preserve">In addition to the resources needed to develop the CLH proposals and RAC opinion making,</w:t>
      </w:r>
      <w:r>
        <w:t xml:space="preserve"> </w:t>
      </w:r>
      <w:r>
        <w:t xml:space="preserve">there are other ECHA resources that support this work, such as the RAC secretariat, the</w:t>
      </w:r>
      <w:r>
        <w:t xml:space="preserve"> </w:t>
      </w:r>
      <w:r>
        <w:t xml:space="preserve">legal affairs unit, the library services for literature searching, HR, finance, etc. Any</w:t>
      </w:r>
      <w:r>
        <w:t xml:space="preserve"> </w:t>
      </w:r>
      <w:r>
        <w:t xml:space="preserve">additional activity also needs to make a proportionate contribution to the overall</w:t>
      </w:r>
      <w:r>
        <w:t xml:space="preserve"> </w:t>
      </w:r>
      <w:r>
        <w:t xml:space="preserve">administrative costs of running the Agency (building rent, heating, IT infrastructure, etc.).</w:t>
      </w:r>
      <w:r>
        <w:t xml:space="preserve"> </w:t>
      </w:r>
      <w:r>
        <w:t xml:space="preserve">To account for these, ECHA added 19% overhead cost, obtaining a figure of 0.15 FTE per</w:t>
      </w:r>
      <w:r>
        <w:t xml:space="preserve"> </w:t>
      </w:r>
      <w:r>
        <w:t xml:space="preserve">dossier to support the RAC opinion making and administrative overhead (ca. 0.04 FTEs for</w:t>
      </w:r>
      <w:r>
        <w:t xml:space="preserve"> </w:t>
      </w:r>
      <w:r>
        <w:t xml:space="preserve">meeting organisation, 0.06 FTEs for supporting rapporteurs in opinion drafting and 0.05 for</w:t>
      </w:r>
      <w:r>
        <w:t xml:space="preserve"> </w:t>
      </w:r>
      <w:r>
        <w:t xml:space="preserve">other support activities like HR, finance, legal support and library services for literature</w:t>
      </w:r>
      <w:r>
        <w:t xml:space="preserve"> </w:t>
      </w:r>
      <w:r>
        <w:t xml:space="preserve">searching), for a cost of €25,000 (including the 19% overhead cost) plus €10,000 in</w:t>
      </w:r>
      <w:r>
        <w:t xml:space="preserve"> </w:t>
      </w:r>
      <w:r>
        <w:t xml:space="preserve">operational costs to organise the committee meetings (assuming around 50% are remote</w:t>
      </w:r>
      <w:r>
        <w:t xml:space="preserve"> </w:t>
      </w:r>
      <w:r>
        <w:t xml:space="preserve">meetings). Assuming an average of 12.5 CLH dossiers per year (prepared by a team of five</w:t>
      </w:r>
    </w:p>
    <w:p>
      <w:pPr>
        <w:pStyle w:val="BodyText"/>
      </w:pPr>
      <w:r>
        <w:t xml:space="preserve">274</w:t>
      </w:r>
      <w:r>
        <w:t xml:space="preserve"> </w:t>
      </w:r>
      <w:r>
        <w:t xml:space="preserve">FTEs), over the considered period the present value of these additional costs amounts to</w:t>
      </w:r>
      <w:r>
        <w:t xml:space="preserve"> </w:t>
      </w:r>
      <w:r>
        <w:t xml:space="preserve">€0.3 million.</w:t>
      </w:r>
      <w:r>
        <w:t xml:space="preserve"> </w:t>
      </w:r>
      <w:r>
        <w:t xml:space="preserve">The Commission could provide additional funding for the preparation of CLH dossiers to</w:t>
      </w:r>
      <w:r>
        <w:t xml:space="preserve"> </w:t>
      </w:r>
      <w:r>
        <w:t xml:space="preserve">contractors, or directly to MSCAs. As noted, also for MSCAs the time to develop one CLH</w:t>
      </w:r>
      <w:r>
        <w:t xml:space="preserve"> </w:t>
      </w:r>
      <w:r>
        <w:t xml:space="preserve">dossier may vary significantly depending on the complexity of the substance (e.g. </w:t>
      </w:r>
      <w:r>
        <w:t xml:space="preserve"> </w:t>
      </w:r>
      <w:r>
        <w:t xml:space="preserve">grouping/read-across), how many hazard classes are evaluated (targeted vs. full), but also</w:t>
      </w:r>
      <w:r>
        <w:t xml:space="preserve"> </w:t>
      </w:r>
      <w:r>
        <w:t xml:space="preserve">on the experience of the staff working on the dossier. The EU27 average labour cost for</w:t>
      </w:r>
      <w:r>
        <w:t xml:space="preserve"> </w:t>
      </w:r>
      <w:r>
        <w:t xml:space="preserve">employees in professional, scientific and technical activities is €71,300. Therefore, the cost</w:t>
      </w:r>
      <w:r>
        <w:t xml:space="preserve"> </w:t>
      </w:r>
      <w:r>
        <w:t xml:space="preserve">of one CLH dossier developed by MSCAs’ staff is approximately €28,500. Considering</w:t>
      </w:r>
      <w:r>
        <w:t xml:space="preserve"> </w:t>
      </w:r>
      <w:r>
        <w:t xml:space="preserve">additional 0.15 FTE required for literature searching, HR, finance, etc., the total cost of one</w:t>
      </w:r>
      <w:r>
        <w:t xml:space="preserve"> </w:t>
      </w:r>
      <w:r>
        <w:t xml:space="preserve">CLH dossier developed by MSCAs is approximately €40,000.</w:t>
      </w:r>
      <w:r>
        <w:t xml:space="preserve"> </w:t>
      </w:r>
      <w:r>
        <w:t xml:space="preserve">External contractors have supported the preparation of CLH proposals for a number of</w:t>
      </w:r>
      <w:r>
        <w:t xml:space="preserve"> </w:t>
      </w:r>
      <w:r>
        <w:t xml:space="preserve">years, typically for CMR endpoints, but also for other hazard classes, such as acute toxicity</w:t>
      </w:r>
      <w:r>
        <w:t xml:space="preserve"> </w:t>
      </w:r>
      <w:r>
        <w:t xml:space="preserve">and STOT RE. Contractors or ECHA’s new team are usually asked to carry out the</w:t>
      </w:r>
      <w:r>
        <w:t xml:space="preserve"> </w:t>
      </w:r>
      <w:r>
        <w:t xml:space="preserve">following tasks:</w:t>
      </w:r>
      <w:r>
        <w:t xml:space="preserve"> </w:t>
      </w:r>
      <w:r>
        <w:t xml:space="preserve"> Literature search;</w:t>
      </w:r>
      <w:r>
        <w:t xml:space="preserve"> </w:t>
      </w:r>
      <w:r>
        <w:t xml:space="preserve"> Evaluation of information and drafting the CLH dossier;</w:t>
      </w:r>
      <w:r>
        <w:t xml:space="preserve"> </w:t>
      </w:r>
      <w:r>
        <w:t xml:space="preserve"> CLH dossier update after accordance check;</w:t>
      </w:r>
      <w:r>
        <w:t xml:space="preserve"> </w:t>
      </w:r>
      <w:r>
        <w:t xml:space="preserve"> Preparation and possible update of RCOM after consultation;</w:t>
      </w:r>
      <w:r>
        <w:t xml:space="preserve"> </w:t>
      </w:r>
      <w:r>
        <w:t xml:space="preserve"> Support following RAC rapporteur requests/RAC process.</w:t>
      </w:r>
      <w:r>
        <w:t xml:space="preserve"> </w:t>
      </w:r>
      <w:r>
        <w:t xml:space="preserve">The last task is mostly carried out by the dossier submitter (the supporting MS), although</w:t>
      </w:r>
      <w:r>
        <w:t xml:space="preserve"> </w:t>
      </w:r>
      <w:r>
        <w:t xml:space="preserve">contractors may be asked for some input. Usually, for CMR hazard classes, CLH dossiers</w:t>
      </w:r>
      <w:r>
        <w:t xml:space="preserve"> </w:t>
      </w:r>
      <w:r>
        <w:t xml:space="preserve">require comprehensive summaries of the available information and detailed study</w:t>
      </w:r>
      <w:r>
        <w:t xml:space="preserve"> </w:t>
      </w:r>
      <w:r>
        <w:t xml:space="preserve">descriptions of the key studies and a discussion of all relevant mechanistic, toxicokinetic or</w:t>
      </w:r>
      <w:r>
        <w:t xml:space="preserve"> </w:t>
      </w:r>
      <w:r>
        <w:t xml:space="preserve">other information crucial for the evaluation process. A detailed comparison of the data with</w:t>
      </w:r>
      <w:r>
        <w:t xml:space="preserve"> </w:t>
      </w:r>
      <w:r>
        <w:t xml:space="preserve">the CLP criteria including all arguments pro and con the proposed classification leads to</w:t>
      </w:r>
      <w:r>
        <w:t xml:space="preserve"> </w:t>
      </w:r>
      <w:r>
        <w:t xml:space="preserve">conclusions on the proposed hazard category. One of the main problems faced by</w:t>
      </w:r>
      <w:r>
        <w:t xml:space="preserve"> </w:t>
      </w:r>
      <w:r>
        <w:t xml:space="preserve">contractors is the accessibility of all relevant information from the key studies. Study</w:t>
      </w:r>
      <w:r>
        <w:t xml:space="preserve"> </w:t>
      </w:r>
      <w:r>
        <w:t xml:space="preserve">summaries in the registration dossiers are often not detailed enough to prepare sufficiently</w:t>
      </w:r>
      <w:r>
        <w:t xml:space="preserve"> </w:t>
      </w:r>
      <w:r>
        <w:t xml:space="preserve">robust study summaries for the CLH dossiers and requesting the study reports from the</w:t>
      </w:r>
      <w:r>
        <w:t xml:space="preserve"> </w:t>
      </w:r>
      <w:r>
        <w:t xml:space="preserve">registrant(s) may be time-consuming. In some cases, a separate read-across justification</w:t>
      </w:r>
      <w:r>
        <w:t xml:space="preserve"> </w:t>
      </w:r>
      <w:r>
        <w:t xml:space="preserve">document may need to be prepared as part of the CLH dossier. The average cost of</w:t>
      </w:r>
      <w:r>
        <w:t xml:space="preserve"> </w:t>
      </w:r>
      <w:r>
        <w:t xml:space="preserve">outsourcing the preparation of one CLH dossier is €33,600 (based on the 2020 contracts),</w:t>
      </w:r>
      <w:r>
        <w:t xml:space="preserve"> </w:t>
      </w:r>
      <w:r>
        <w:t xml:space="preserve">although for complex dossiers may arrive to €61,700.</w:t>
      </w:r>
      <w:r>
        <w:t xml:space="preserve"> </w:t>
      </w:r>
      <w:r>
        <w:t xml:space="preserve">In addition, ECHA and the sponsoring MSCA spend around 0.05 FTE per dossier to</w:t>
      </w:r>
      <w:r>
        <w:t xml:space="preserve"> </w:t>
      </w:r>
      <w:r>
        <w:t xml:space="preserve">organise meetings with the contractors, to contact industry about the full studies, to check</w:t>
      </w:r>
      <w:r>
        <w:t xml:space="preserve"> </w:t>
      </w:r>
      <w:r>
        <w:t xml:space="preserve">the studies, to search data available to ECHA but not to the contractors, to support the public</w:t>
      </w:r>
      <w:r>
        <w:t xml:space="preserve"> </w:t>
      </w:r>
      <w:r>
        <w:t xml:space="preserve">consultation and as a general follow-up and project management. The total cost of</w:t>
      </w:r>
      <w:r>
        <w:t xml:space="preserve"> </w:t>
      </w:r>
      <w:r>
        <w:t xml:space="preserve">outsourcing the preparation of one CLH dossier is therefore approximately €40,000 (33,600</w:t>
      </w:r>
      <w:r>
        <w:t xml:space="preserve"> </w:t>
      </w:r>
      <w:r>
        <w:t xml:space="preserve">+ 6,300 for 2x 0.05 FTE).</w:t>
      </w:r>
      <w:r>
        <w:t xml:space="preserve"> </w:t>
      </w:r>
      <w:r>
        <w:t xml:space="preserve">As noted, any increase of workload would have to be accompanied by a reform of RAC and</w:t>
      </w:r>
      <w:r>
        <w:t xml:space="preserve"> </w:t>
      </w:r>
      <w:r>
        <w:t xml:space="preserve">its membership to cope with additional work, as a mere provision of additional resources</w:t>
      </w:r>
      <w:r>
        <w:t xml:space="preserve"> </w:t>
      </w:r>
      <w:r>
        <w:t xml:space="preserve">may not take advantage of the synergies of the current setting. Such a reform needs to take</w:t>
      </w:r>
    </w:p>
    <w:p>
      <w:pPr>
        <w:pStyle w:val="BodyText"/>
      </w:pPr>
      <w:r>
        <w:t xml:space="preserve">275</w:t>
      </w:r>
      <w:r>
        <w:t xml:space="preserve"> </w:t>
      </w:r>
      <w:r>
        <w:t xml:space="preserve">onboard the ongoing revision of REACH, and in particular of the authorisation and</w:t>
      </w:r>
      <w:r>
        <w:t xml:space="preserve"> </w:t>
      </w:r>
      <w:r>
        <w:t xml:space="preserve">restriction mechanisms as well as the organisation and financing of ECHA foreseen in the</w:t>
      </w:r>
      <w:r>
        <w:t xml:space="preserve"> </w:t>
      </w:r>
      <w:r>
        <w:t xml:space="preserve">CSS. Since March 2021, the RAC established a Working Group to handle CLH dossiers. Its</w:t>
      </w:r>
      <w:r>
        <w:t xml:space="preserve"> </w:t>
      </w:r>
      <w:r>
        <w:t xml:space="preserve">mandate is to support the work of the rapporteurs in discussing the CLH proposals and</w:t>
      </w:r>
      <w:r>
        <w:t xml:space="preserve"> </w:t>
      </w:r>
      <w:r>
        <w:t xml:space="preserve">review opinions for efficient agreements by the plenary meetings of the RAC. The same</w:t>
      </w:r>
      <w:r>
        <w:t xml:space="preserve"> </w:t>
      </w:r>
      <w:r>
        <w:t xml:space="preserve">approach for new hazard classes or specific issues could support RAC.</w:t>
      </w:r>
      <w:r>
        <w:t xml:space="preserve"> </w:t>
      </w:r>
      <w:r>
        <w:t xml:space="preserve">Summary of the economic impacts</w:t>
      </w:r>
      <w:r>
        <w:t xml:space="preserve"> </w:t>
      </w:r>
      <w:r>
        <w:t xml:space="preserve">Administrative burden for public authorities:</w:t>
      </w:r>
      <w:r>
        <w:br/>
      </w:r>
      <w:r>
        <w:t xml:space="preserve">Mandating the Commission to initiate CLH dossiers entails increased administrative</w:t>
      </w:r>
      <w:r>
        <w:t xml:space="preserve"> </w:t>
      </w:r>
      <w:r>
        <w:t xml:space="preserve">costs for ECHA. The present value of the cost of establishing and maintaining a team/unit</w:t>
      </w:r>
      <w:r>
        <w:t xml:space="preserve"> </w:t>
      </w:r>
      <w:r>
        <w:t xml:space="preserve">of five FTEs in charge of preparing CLH dossiers — which could be able to develop around</w:t>
      </w:r>
      <w:r>
        <w:t xml:space="preserve"> </w:t>
      </w:r>
      <w:r>
        <w:t xml:space="preserve">250 dossiers over the period 2023 – 2042 (2.5 dossiers per FTE per year) is €1.1 million</w:t>
      </w:r>
      <w:r>
        <w:t xml:space="preserve"> </w:t>
      </w:r>
      <w:r>
        <w:t xml:space="preserve">(discount rate: 3%). Considering that an ECHA staff FTE costs 170,000€, including 19%</w:t>
      </w:r>
      <w:r>
        <w:t xml:space="preserve"> </w:t>
      </w:r>
      <w:r>
        <w:t xml:space="preserve">overhead cost and infrastructure, such ECHA developed CLH dossier would cost 68,000€.</w:t>
      </w:r>
      <w:r>
        <w:t xml:space="preserve"> </w:t>
      </w:r>
      <w:r>
        <w:t xml:space="preserve">Alternatively, the Commission could provide additional funding for the preparation of CLH</w:t>
      </w:r>
      <w:r>
        <w:t xml:space="preserve"> </w:t>
      </w:r>
      <w:r>
        <w:t xml:space="preserve">dossiers to contractors, or directly to MSCAs following calls of interest. The total cost of</w:t>
      </w:r>
      <w:r>
        <w:t xml:space="preserve"> </w:t>
      </w:r>
      <w:r>
        <w:t xml:space="preserve">outsourcing to external contractors or for funding MSCAs is approximately €40,000 per</w:t>
      </w:r>
      <w:r>
        <w:t xml:space="preserve"> </w:t>
      </w:r>
      <w:r>
        <w:t xml:space="preserve">CLH dossier.</w:t>
      </w:r>
      <w:r>
        <w:br/>
      </w:r>
      <w:r>
        <w:t xml:space="preserve">The development of additional CLH dossiers would also have an impact on RAC and its</w:t>
      </w:r>
      <w:r>
        <w:t xml:space="preserve"> </w:t>
      </w:r>
      <w:r>
        <w:t xml:space="preserve">secretariat. As RAC is currently already running at maximum capacity, any increase of</w:t>
      </w:r>
      <w:r>
        <w:t xml:space="preserve"> </w:t>
      </w:r>
      <w:r>
        <w:t xml:space="preserve">workload would have to be accompanied by a reform of RAC and its membership to cope</w:t>
      </w:r>
      <w:r>
        <w:t xml:space="preserve"> </w:t>
      </w:r>
      <w:r>
        <w:t xml:space="preserve">with additional work. Such a reform needs to be thought in the context of the ongoing</w:t>
      </w:r>
      <w:r>
        <w:t xml:space="preserve"> </w:t>
      </w:r>
      <w:r>
        <w:t xml:space="preserve">revision of REACH, and in particular of the authorisation and restriction mechanisms or the</w:t>
      </w:r>
      <w:r>
        <w:t xml:space="preserve"> </w:t>
      </w:r>
      <w:r>
        <w:t xml:space="preserve">identification of Substances of Very High Concern (SVHCs) on the ground of PBT</w:t>
      </w:r>
      <w:r>
        <w:t xml:space="preserve"> </w:t>
      </w:r>
      <w:r>
        <w:t xml:space="preserve">properties or equivalent level of concern (ED properties or PMT properties). The recently</w:t>
      </w:r>
      <w:r>
        <w:t xml:space="preserve"> </w:t>
      </w:r>
      <w:r>
        <w:t xml:space="preserve">set up Working Group for CLH has already improved the flow of CLH assessments.</w:t>
      </w:r>
      <w:r>
        <w:t xml:space="preserve"> </w:t>
      </w:r>
      <w:r>
        <w:t xml:space="preserve">Transforming the existing ECHA WGs on EDs and PBTs into WGs attached to RAC for</w:t>
      </w:r>
      <w:r>
        <w:t xml:space="preserve"> </w:t>
      </w:r>
      <w:r>
        <w:t xml:space="preserve">those properties may also help the development of RAC opinions covering those new hazard</w:t>
      </w:r>
      <w:r>
        <w:t xml:space="preserve"> </w:t>
      </w:r>
      <w:r>
        <w:t xml:space="preserve">classes.</w:t>
      </w:r>
      <w:r>
        <w:t xml:space="preserve"> </w:t>
      </w:r>
      <w:r>
        <w:t xml:space="preserve">In addition to the resources needed to develop the CLH proposals and RAC opinion making,</w:t>
      </w:r>
      <w:r>
        <w:t xml:space="preserve"> </w:t>
      </w:r>
      <w:r>
        <w:t xml:space="preserve">there are other ECHA resources that support this work, such as the RAC secretariat, the</w:t>
      </w:r>
      <w:r>
        <w:t xml:space="preserve"> </w:t>
      </w:r>
      <w:r>
        <w:t xml:space="preserve">legal affairs unit, the library services for literature searching, HR, finance, etc. These have</w:t>
      </w:r>
      <w:r>
        <w:t xml:space="preserve"> </w:t>
      </w:r>
      <w:r>
        <w:t xml:space="preserve">been estimated in 0.15 FTE per dossier, for a cost of €25,000 plus €10,000 in operational</w:t>
      </w:r>
      <w:r>
        <w:t xml:space="preserve"> </w:t>
      </w:r>
      <w:r>
        <w:t xml:space="preserve">costs. Assuming an average of 12.5 CLH dossiers per year, over the period 2023 – 2042,</w:t>
      </w:r>
      <w:r>
        <w:t xml:space="preserve"> </w:t>
      </w:r>
      <w:r>
        <w:t xml:space="preserve">the present value of these additional costs amounts to €0.3 million (discount rate: 3%).</w:t>
      </w:r>
      <w:r>
        <w:br/>
      </w:r>
      <w:r>
        <w:t xml:space="preserve">The costs for the action of the Commission to transform the RAC opinions into a delegated</w:t>
      </w:r>
      <w:r>
        <w:t xml:space="preserve"> </w:t>
      </w:r>
      <w:r>
        <w:t xml:space="preserve">act ATP are supposed to remain equal to the baseline, for as long as the volume of RAC</w:t>
      </w:r>
      <w:r>
        <w:t xml:space="preserve"> </w:t>
      </w:r>
      <w:r>
        <w:t xml:space="preserve">opinions per year is manageable with one annual ATP. Increased consultations with</w:t>
      </w:r>
      <w:r>
        <w:t xml:space="preserve"> </w:t>
      </w:r>
      <w:r>
        <w:t xml:space="preserve">stakeholders or REACH registrants are rather small compared to the CLH development</w:t>
      </w:r>
      <w:r>
        <w:t xml:space="preserve"> </w:t>
      </w:r>
      <w:r>
        <w:t xml:space="preserve">costs.</w:t>
      </w:r>
      <w:r>
        <w:t xml:space="preserve"> </w:t>
      </w:r>
      <w:r>
        <w:t xml:space="preserve">Table 84: Costs and effectiveness of various options to develop 12.5 CLH dossiers per year (discount rate: 3%)</w:t>
      </w:r>
    </w:p>
    <w:p>
      <w:pPr>
        <w:pStyle w:val="BodyText"/>
      </w:pPr>
      <w:r>
        <w:t xml:space="preserve">276</w:t>
      </w:r>
      <w:r>
        <w:t xml:space="preserve"> </w:t>
      </w:r>
      <w:r>
        <w:t xml:space="preserve">Who</w:t>
      </w:r>
      <w:r>
        <w:t xml:space="preserve"> </w:t>
      </w:r>
      <w:r>
        <w:t xml:space="preserve">develops</w:t>
      </w:r>
      <w:r>
        <w:t xml:space="preserve"> </w:t>
      </w:r>
      <w:r>
        <w:t xml:space="preserve">CLH dossiers</w:t>
      </w:r>
      <w:r>
        <w:t xml:space="preserve"> </w:t>
      </w:r>
      <w:r>
        <w:t xml:space="preserve">ECHA</w:t>
      </w:r>
      <w:r>
        <w:t xml:space="preserve"> </w:t>
      </w:r>
      <w:r>
        <w:t xml:space="preserve">with</w:t>
      </w:r>
      <w:r>
        <w:t xml:space="preserve"> </w:t>
      </w:r>
      <w:r>
        <w:t xml:space="preserve">COM mandate</w:t>
      </w:r>
      <w:r>
        <w:t xml:space="preserve"> </w:t>
      </w:r>
      <w:r>
        <w:t xml:space="preserve">MSCAs</w:t>
      </w:r>
      <w:r>
        <w:t xml:space="preserve"> </w:t>
      </w:r>
      <w:r>
        <w:t xml:space="preserve">with</w:t>
      </w:r>
      <w:r>
        <w:t xml:space="preserve"> </w:t>
      </w:r>
      <w:r>
        <w:t xml:space="preserve">COM funding</w:t>
      </w:r>
      <w:r>
        <w:t xml:space="preserve"> </w:t>
      </w:r>
      <w:r>
        <w:t xml:space="preserve">Contractors with</w:t>
      </w:r>
      <w:r>
        <w:t xml:space="preserve"> </w:t>
      </w:r>
      <w:r>
        <w:t xml:space="preserve">COM budget</w:t>
      </w:r>
      <w:r>
        <w:t xml:space="preserve"> </w:t>
      </w:r>
      <w:r>
        <w:t xml:space="preserve">Contractors</w:t>
      </w:r>
      <w:r>
        <w:t xml:space="preserve"> </w:t>
      </w:r>
      <w:r>
        <w:t xml:space="preserve">with</w:t>
      </w:r>
      <w:r>
        <w:t xml:space="preserve"> </w:t>
      </w:r>
      <w:r>
        <w:t xml:space="preserve">COM</w:t>
      </w:r>
      <w:r>
        <w:t xml:space="preserve"> </w:t>
      </w:r>
      <w:r>
        <w:t xml:space="preserve">mandate</w:t>
      </w:r>
      <w:r>
        <w:t xml:space="preserve"> </w:t>
      </w:r>
      <w:r>
        <w:t xml:space="preserve">Cost per dossier</w:t>
      </w:r>
      <w:r>
        <w:t xml:space="preserve"> </w:t>
      </w:r>
      <w:r>
        <w:t xml:space="preserve">(in thousand €)</w:t>
      </w:r>
      <w:r>
        <w:t xml:space="preserve"> </w:t>
      </w:r>
      <w:r>
        <w:t xml:space="preserve">68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33.6 (up to 61.7)</w:t>
      </w:r>
      <w:r>
        <w:t xml:space="preserve"> </w:t>
      </w:r>
      <w:r>
        <w:t xml:space="preserve">33.6 (up to</w:t>
      </w:r>
      <w:r>
        <w:t xml:space="preserve"> </w:t>
      </w:r>
      <w:r>
        <w:t xml:space="preserve">61.7)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(coordination</w:t>
      </w:r>
      <w:r>
        <w:t xml:space="preserve"> </w:t>
      </w:r>
      <w:r>
        <w:t xml:space="preserve">meetings, support</w:t>
      </w:r>
      <w:r>
        <w:t xml:space="preserve"> </w:t>
      </w:r>
      <w:r>
        <w:t xml:space="preserve">provided,</w:t>
      </w:r>
      <w:r>
        <w:t xml:space="preserve"> </w:t>
      </w:r>
      <w:r>
        <w:t xml:space="preserve">contracting)**</w:t>
      </w:r>
      <w:r>
        <w:t xml:space="preserve"> </w:t>
      </w:r>
      <w:r>
        <w:t xml:space="preserve">0*</w:t>
      </w:r>
      <w:r>
        <w:t xml:space="preserve"> </w:t>
      </w:r>
      <w:r>
        <w:t xml:space="preserve">0.025 FTE MSCA</w:t>
      </w:r>
      <w:r>
        <w:t xml:space="preserve"> </w:t>
      </w:r>
      <w:r>
        <w:t xml:space="preserve">0.025 FTE ECHA</w:t>
      </w:r>
      <w:r>
        <w:t xml:space="preserve"> </w:t>
      </w:r>
      <w:r>
        <w:t xml:space="preserve">0.025</w:t>
      </w:r>
      <w:r>
        <w:t xml:space="preserve"> </w:t>
      </w:r>
      <w:r>
        <w:t xml:space="preserve">FTE</w:t>
      </w:r>
      <w:r>
        <w:t xml:space="preserve"> </w:t>
      </w:r>
      <w:r>
        <w:t xml:space="preserve">ECHA</w:t>
      </w:r>
      <w:r>
        <w:t xml:space="preserve"> </w:t>
      </w:r>
      <w:r>
        <w:t xml:space="preserve">Present value of</w:t>
      </w:r>
      <w:r>
        <w:t xml:space="preserve"> </w:t>
      </w:r>
      <w:r>
        <w:t xml:space="preserve">the costs for 250</w:t>
      </w:r>
      <w:r>
        <w:t xml:space="preserve"> </w:t>
      </w:r>
      <w:r>
        <w:t xml:space="preserve">dossiers</w:t>
      </w:r>
      <w:r>
        <w:t xml:space="preserve"> </w:t>
      </w:r>
      <w:r>
        <w:t xml:space="preserve">1.1m€</w:t>
      </w:r>
      <w:r>
        <w:t xml:space="preserve"> </w:t>
      </w:r>
      <w:r>
        <w:t xml:space="preserve">0.7m€</w:t>
      </w:r>
      <w:r>
        <w:t xml:space="preserve"> </w:t>
      </w:r>
      <w:r>
        <w:t xml:space="preserve">0.7m€</w:t>
      </w:r>
      <w:r>
        <w:t xml:space="preserve"> </w:t>
      </w:r>
      <w:r>
        <w:t xml:space="preserve">0.6m€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(timing, quality)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Note: * No additional cost foreseen for ECHA as ECHA would work independently. Reports may take place during CARACAL</w:t>
      </w:r>
      <w:r>
        <w:t xml:space="preserve"> </w:t>
      </w:r>
      <w:r>
        <w:t xml:space="preserve">meetings, with no additional cost.</w:t>
      </w:r>
      <w:r>
        <w:t xml:space="preserve"> </w:t>
      </w:r>
      <w:r>
        <w:t xml:space="preserve">** Additional costs to the Commission are not reported as the measures do not create any new tasks or trigger such additional</w:t>
      </w:r>
      <w:r>
        <w:t xml:space="preserve"> </w:t>
      </w:r>
      <w:r>
        <w:t xml:space="preserve">workload that new staff should be hired.</w:t>
      </w:r>
    </w:p>
    <w:p>
      <w:pPr>
        <w:pStyle w:val="BodyText"/>
      </w:pPr>
      <w:r>
        <w:t xml:space="preserve">The introduction of a mandatory prioritisation mechanism or the improvement of the</w:t>
      </w:r>
      <w:r>
        <w:t xml:space="preserve"> </w:t>
      </w:r>
      <w:r>
        <w:t xml:space="preserve">current one under CLP for the assessment of CLH dossiers intends to increase effectiveness</w:t>
      </w:r>
      <w:r>
        <w:t xml:space="preserve"> </w:t>
      </w:r>
      <w:r>
        <w:t xml:space="preserve">and ensure the allocation of the limited resources in line with the priorities. The mechanism</w:t>
      </w:r>
      <w:r>
        <w:t xml:space="preserve"> </w:t>
      </w:r>
      <w:r>
        <w:t xml:space="preserve">would complement the prioritisation criteria listed in Article 36 of CLP. Indicatively, the</w:t>
      </w:r>
      <w:r>
        <w:t xml:space="preserve"> </w:t>
      </w:r>
      <w:r>
        <w:t xml:space="preserve">additional prioritisation criteria could be:</w:t>
      </w:r>
    </w:p>
    <w:p>
      <w:pPr>
        <w:pStyle w:val="BodyText"/>
      </w:pPr>
      <w:r>
        <w:t xml:space="preserve">Hazard class and category;</w:t>
      </w:r>
    </w:p>
    <w:p>
      <w:pPr>
        <w:pStyle w:val="BodyText"/>
      </w:pPr>
      <w:r>
        <w:t xml:space="preserve">Groups of substances vs single substances.</w:t>
      </w:r>
    </w:p>
    <w:p>
      <w:pPr>
        <w:pStyle w:val="BodyText"/>
      </w:pPr>
      <w:r>
        <w:t xml:space="preserve">Tonnage;</w:t>
      </w:r>
    </w:p>
    <w:p>
      <w:pPr>
        <w:pStyle w:val="BodyText"/>
      </w:pPr>
      <w:r>
        <w:t xml:space="preserve">Exposure (e.g. consumer exposure, widespread dispersive uses);</w:t>
      </w:r>
      <w:r>
        <w:t xml:space="preserve"> </w:t>
      </w:r>
      <w:r>
        <w:t xml:space="preserve">Divergence in self-classifications.</w:t>
      </w:r>
      <w:r>
        <w:t xml:space="preserve"> </w:t>
      </w:r>
      <w:r>
        <w:t xml:space="preserve">It should be noted that, currently, ECHA and MSCAs already prioritise substances and</w:t>
      </w:r>
      <w:r>
        <w:t xml:space="preserve"> </w:t>
      </w:r>
      <w:r>
        <w:t xml:space="preserve">groups of substances after the IRS screening stage in the informal meetings RIME+. The</w:t>
      </w:r>
      <w:r>
        <w:t xml:space="preserve"> </w:t>
      </w:r>
      <w:r>
        <w:t xml:space="preserve">prioritisation mechanism would be additional to the IRS step and would act on the CLH</w:t>
      </w:r>
      <w:r>
        <w:t xml:space="preserve"> </w:t>
      </w:r>
      <w:r>
        <w:t xml:space="preserve">intentions as expressed to the registry by the dossier submitters (MSCAs or industry). The</w:t>
      </w:r>
      <w:r>
        <w:t xml:space="preserve"> </w:t>
      </w:r>
      <w:r>
        <w:t xml:space="preserve">indication of the intention to submit a CLH dossier in ECHA’s registry of intentions could</w:t>
      </w:r>
      <w:r>
        <w:t xml:space="preserve"> </w:t>
      </w:r>
      <w:r>
        <w:t xml:space="preserve">be made obligatory (at the moment it is voluntary). This additional cost is not significant</w:t>
      </w:r>
      <w:r>
        <w:t xml:space="preserve"> </w:t>
      </w:r>
      <w:r>
        <w:t xml:space="preserve">compared to other costs and hence not reported here.</w:t>
      </w:r>
      <w:r>
        <w:t xml:space="preserve"> </w:t>
      </w:r>
      <w:r>
        <w:t xml:space="preserve">The prioritisation mechanism would consider, under measure #9, RAC capacity to process</w:t>
      </w:r>
      <w:r>
        <w:t xml:space="preserve"> </w:t>
      </w:r>
      <w:r>
        <w:t xml:space="preserve">CLH dossiers and would result in a list of prioritised CLH intentions to be discussed and</w:t>
      </w:r>
      <w:r>
        <w:t xml:space="preserve"> </w:t>
      </w:r>
      <w:r>
        <w:t xml:space="preserve">confirmed in CARACAL. Those CLH intentions not included in the prioritisation</w:t>
      </w:r>
      <w:r>
        <w:t xml:space="preserve"> </w:t>
      </w:r>
      <w:r>
        <w:t xml:space="preserve">programme would be considered of low priority and placed in a list for further consideration.</w:t>
      </w:r>
      <w:r>
        <w:t xml:space="preserve"> </w:t>
      </w:r>
      <w:r>
        <w:t xml:space="preserve">Additional costs triggered by such additional discussions in CARACAL are expected as</w:t>
      </w:r>
      <w:r>
        <w:t xml:space="preserve"> </w:t>
      </w:r>
      <w:r>
        <w:t xml:space="preserve">Member States have voiced concerns about the limitations to their right of initiative such a</w:t>
      </w:r>
      <w:r>
        <w:t xml:space="preserve"> </w:t>
      </w:r>
      <w:r>
        <w:t xml:space="preserve">measure would bring.</w:t>
      </w:r>
    </w:p>
    <w:p>
      <w:pPr>
        <w:pStyle w:val="BodyText"/>
      </w:pPr>
      <w:r>
        <w:t xml:space="preserve">277</w:t>
      </w:r>
      <w:r>
        <w:t xml:space="preserve"> </w:t>
      </w:r>
      <w:r>
        <w:t xml:space="preserve">ECHA would be asked to screen the registry of intentions for new CLH proposals and to</w:t>
      </w:r>
      <w:r>
        <w:t xml:space="preserve"> </w:t>
      </w:r>
      <w:r>
        <w:t xml:space="preserve">propose a prioritisation list, based on the agreed criteria, on a regular basis. It is assumed</w:t>
      </w:r>
      <w:r>
        <w:t xml:space="preserve"> </w:t>
      </w:r>
      <w:r>
        <w:t xml:space="preserve">that ECHA staff would be able to screen ten substances per day against the agreed</w:t>
      </w:r>
      <w:r>
        <w:t xml:space="preserve"> </w:t>
      </w:r>
      <w:r>
        <w:t xml:space="preserve">prioritisation criteria (e.g. hazard class, tonnage, widespread use, etc.), including the request</w:t>
      </w:r>
      <w:r>
        <w:t xml:space="preserve"> </w:t>
      </w:r>
      <w:r>
        <w:t xml:space="preserve">for additional information to the dossier submitters and the organisation of one ad-hoc</w:t>
      </w:r>
      <w:r>
        <w:t xml:space="preserve"> </w:t>
      </w:r>
      <w:r>
        <w:t xml:space="preserve">CARACAL meeting per year. These tasks would require 0.04 FTE per year.221 Again, it is</w:t>
      </w:r>
      <w:r>
        <w:t xml:space="preserve"> </w:t>
      </w:r>
      <w:r>
        <w:t xml:space="preserve">important to note that, since the development of the IRS, the proportion of CLH dossiers</w:t>
      </w:r>
      <w:r>
        <w:t xml:space="preserve"> </w:t>
      </w:r>
      <w:r>
        <w:t xml:space="preserve">that were submitted as a follow-up to previous activities has grown, from 23% during 2010-</w:t>
      </w:r>
      <w:r>
        <w:t xml:space="preserve"> </w:t>
      </w:r>
      <w:r>
        <w:t xml:space="preserve">2015 to 2016-2020. Therefore, the screening of CLH intentions and the request for further</w:t>
      </w:r>
      <w:r>
        <w:t xml:space="preserve"> </w:t>
      </w:r>
      <w:r>
        <w:t xml:space="preserve">information is not expected to require a significant amount of time.</w:t>
      </w:r>
      <w:r>
        <w:t xml:space="preserve"> </w:t>
      </w:r>
      <w:r>
        <w:t xml:space="preserve">Table 85: Source of CLH dossiers in 2020</w:t>
      </w:r>
      <w:r>
        <w:t xml:space="preserve"> </w:t>
      </w:r>
      <w:r>
        <w:t xml:space="preserve">Activity</w:t>
      </w:r>
      <w:r>
        <w:t xml:space="preserve"> </w:t>
      </w:r>
      <w:r>
        <w:t xml:space="preserve">Proportion</w:t>
      </w:r>
      <w:r>
        <w:t xml:space="preserve"> </w:t>
      </w:r>
      <w:r>
        <w:t xml:space="preserve">Compliance check</w:t>
      </w:r>
      <w:r>
        <w:t xml:space="preserve"> </w:t>
      </w:r>
      <w:r>
        <w:t xml:space="preserve">44%</w:t>
      </w:r>
      <w:r>
        <w:t xml:space="preserve"> </w:t>
      </w:r>
      <w:r>
        <w:t xml:space="preserve">Substance evaluation</w:t>
      </w:r>
      <w:r>
        <w:t xml:space="preserve"> </w:t>
      </w:r>
      <w:r>
        <w:t xml:space="preserve">32%</w:t>
      </w:r>
      <w:r>
        <w:t xml:space="preserve"> </w:t>
      </w:r>
      <w:r>
        <w:t xml:space="preserve">RMOA</w:t>
      </w:r>
      <w:r>
        <w:t xml:space="preserve"> </w:t>
      </w:r>
      <w:r>
        <w:t xml:space="preserve">12%</w:t>
      </w:r>
      <w:r>
        <w:t xml:space="preserve"> </w:t>
      </w:r>
      <w:r>
        <w:t xml:space="preserve">Group assessment</w:t>
      </w:r>
      <w:r>
        <w:t xml:space="preserve"> </w:t>
      </w:r>
      <w:r>
        <w:t xml:space="preserve">32%</w:t>
      </w:r>
      <w:r>
        <w:t xml:space="preserve"> </w:t>
      </w:r>
      <w:r>
        <w:t xml:space="preserve">At least one activity</w:t>
      </w:r>
      <w:r>
        <w:t xml:space="preserve"> </w:t>
      </w:r>
      <w:r>
        <w:t xml:space="preserve">68%</w:t>
      </w:r>
      <w:r>
        <w:t xml:space="preserve"> </w:t>
      </w:r>
      <w:r>
        <w:t xml:space="preserve">Source: reproduced from ECHA (2021b)</w:t>
      </w:r>
    </w:p>
    <w:p>
      <w:pPr>
        <w:pStyle w:val="BodyText"/>
      </w:pPr>
      <w:r>
        <w:t xml:space="preserve">Policy measure #8 moves from the same starting basis, i.e. the agreement with the MSCAs</w:t>
      </w:r>
      <w:r>
        <w:t xml:space="preserve"> </w:t>
      </w:r>
      <w:r>
        <w:t xml:space="preserve">on a set of prioritisation criteria, but instead of mandating the prioritisation to the</w:t>
      </w:r>
      <w:r>
        <w:t xml:space="preserve"> </w:t>
      </w:r>
      <w:r>
        <w:t xml:space="preserve">Commission (through ECHA), they provide for the development of guidance on the</w:t>
      </w:r>
      <w:r>
        <w:t xml:space="preserve"> </w:t>
      </w:r>
      <w:r>
        <w:t xml:space="preserve">application of the criteria by the dossier submitters. Dossier submitters should illustrate the</w:t>
      </w:r>
      <w:r>
        <w:t xml:space="preserve"> </w:t>
      </w:r>
      <w:r>
        <w:t xml:space="preserve">application of the criteria in their CLH intentions. It is assumed that, at first, the Commission</w:t>
      </w:r>
      <w:r>
        <w:t xml:space="preserve"> </w:t>
      </w:r>
      <w:r>
        <w:t xml:space="preserve">and ECHA would provide a proposal on the prioritisation criteria, to be discussed and agreed</w:t>
      </w:r>
      <w:r>
        <w:t xml:space="preserve"> </w:t>
      </w:r>
      <w:r>
        <w:t xml:space="preserve">upon during subsequent CARACAL meetings. While this process is not expected to entail</w:t>
      </w:r>
      <w:r>
        <w:t xml:space="preserve"> </w:t>
      </w:r>
      <w:r>
        <w:t xml:space="preserve">significant costs, it may overcome the resistance of some MSCAs, which during past</w:t>
      </w:r>
      <w:r>
        <w:t xml:space="preserve"> </w:t>
      </w:r>
      <w:r>
        <w:t xml:space="preserve">CARACAL meetings have voiced their concern over a possible conflict between the</w:t>
      </w:r>
      <w:r>
        <w:t xml:space="preserve"> </w:t>
      </w:r>
      <w:r>
        <w:t xml:space="preserve">Commission’s mandate to prioritise CLH intentions and the right of MS to initiate CLH</w:t>
      </w:r>
      <w:r>
        <w:t xml:space="preserve"> </w:t>
      </w:r>
      <w:r>
        <w:t xml:space="preserve">dossiers. ECHA considered that ‘an informal and integrated process (with other</w:t>
      </w:r>
      <w:r>
        <w:t xml:space="preserve"> </w:t>
      </w:r>
      <w:r>
        <w:t xml:space="preserve">prioritisation activities) is very likely not only to be less resource intensive and less costly</w:t>
      </w:r>
      <w:r>
        <w:t xml:space="preserve"> </w:t>
      </w:r>
      <w:r>
        <w:t xml:space="preserve">but will also provide more coherent and consistent outcome of the overall chemicals</w:t>
      </w:r>
      <w:r>
        <w:t xml:space="preserve"> </w:t>
      </w:r>
      <w:r>
        <w:t xml:space="preserve">management system while transparency can still be safeguarded’.</w:t>
      </w:r>
      <w:r>
        <w:t xml:space="preserve"> </w:t>
      </w:r>
      <w:r>
        <w:t xml:space="preserve">There are also some expected benefits from harmonising classification and providing a</w:t>
      </w:r>
      <w:r>
        <w:t xml:space="preserve"> </w:t>
      </w:r>
      <w:r>
        <w:t xml:space="preserve">level-playing field amongst manufacturers of the substances with harmonised classification</w:t>
      </w:r>
      <w:r>
        <w:t xml:space="preserve"> </w:t>
      </w:r>
      <w:r>
        <w:t xml:space="preserve">and mixtures containing such substances.</w:t>
      </w:r>
    </w:p>
    <w:p>
      <w:pPr>
        <w:pStyle w:val="BodyText"/>
      </w:pPr>
      <w:r>
        <w:t xml:space="preserve">221 Six days per year to screen CLH intentions and request additional information and four days to organise</w:t>
      </w:r>
      <w:r>
        <w:t xml:space="preserve"> </w:t>
      </w:r>
      <w:r>
        <w:t xml:space="preserve">one ad-hoc CARACAL meeting (10 days = 0.04 FTE).</w:t>
      </w:r>
    </w:p>
    <w:p>
      <w:pPr>
        <w:pStyle w:val="BodyText"/>
      </w:pPr>
      <w:r>
        <w:t xml:space="preserve">278</w:t>
      </w:r>
      <w:r>
        <w:t xml:space="preserve"> </w:t>
      </w:r>
      <w:r>
        <w:t xml:space="preserve">Summary of the health and environmental benefits</w:t>
      </w:r>
      <w:r>
        <w:t xml:space="preserve"> </w:t>
      </w:r>
      <w:r>
        <w:t xml:space="preserve">Article 1 of CLP identifies the establishment of a list of substances with harmonised</w:t>
      </w:r>
      <w:r>
        <w:t xml:space="preserve"> </w:t>
      </w:r>
      <w:r>
        <w:t xml:space="preserve">classifications and labelling elements at the Community level as being one of the key actions</w:t>
      </w:r>
      <w:r>
        <w:t xml:space="preserve"> </w:t>
      </w:r>
      <w:r>
        <w:t xml:space="preserve">that help ensuring a high level of protection of human health and the environment.</w:t>
      </w:r>
      <w:r>
        <w:t xml:space="preserve"> </w:t>
      </w:r>
      <w:r>
        <w:t xml:space="preserve">Harmonised classifications and labelling are the triggers for risk management in much of</w:t>
      </w:r>
      <w:r>
        <w:t xml:space="preserve"> </w:t>
      </w:r>
      <w:r>
        <w:t xml:space="preserve">the downstream legislation and act therefore as one of the key cornerstones of the EU</w:t>
      </w:r>
      <w:r>
        <w:t xml:space="preserve"> </w:t>
      </w:r>
      <w:r>
        <w:t xml:space="preserve">chemicals legislative framework. As an example, harmonised classification for CMR</w:t>
      </w:r>
      <w:r>
        <w:t xml:space="preserve"> </w:t>
      </w:r>
      <w:r>
        <w:t xml:space="preserve">substances of categories 1A or 1B trigger a REACH-based ban in consumer products,</w:t>
      </w:r>
      <w:r>
        <w:t xml:space="preserve"> </w:t>
      </w:r>
      <w:r>
        <w:t xml:space="preserve">preventing exposure of those consumers to CMR substances.</w:t>
      </w:r>
      <w:r>
        <w:br/>
      </w:r>
      <w:r>
        <w:t xml:space="preserve">There is also a positive direct impact of harmonised classification for CMR substances,</w:t>
      </w:r>
      <w:r>
        <w:t xml:space="preserve"> </w:t>
      </w:r>
      <w:r>
        <w:t xml:space="preserve">hence replacing possible less critical self-classifications. This would trigger relabelling and</w:t>
      </w:r>
      <w:r>
        <w:t xml:space="preserve"> </w:t>
      </w:r>
      <w:r>
        <w:t xml:space="preserve">possible reformulation to replace the substances at stake, further reducing the exposure of</w:t>
      </w:r>
      <w:r>
        <w:t xml:space="preserve"> </w:t>
      </w:r>
      <w:r>
        <w:t xml:space="preserve">consumers and professional users to hazardous substances. However, quantification or</w:t>
      </w:r>
      <w:r>
        <w:t xml:space="preserve"> </w:t>
      </w:r>
      <w:r>
        <w:t xml:space="preserve">qualification of this positive impact is difficult and uncertain.</w:t>
      </w:r>
      <w:r>
        <w:br/>
      </w:r>
      <w:r>
        <w:t xml:space="preserve">Allowing the Commission to initiate CLH dossiers may speed up the process and ensure</w:t>
      </w:r>
      <w:r>
        <w:t xml:space="preserve"> </w:t>
      </w:r>
      <w:r>
        <w:t xml:space="preserve">that the substances of the highest concern are addressed in a timely manner, bringing</w:t>
      </w:r>
      <w:r>
        <w:t xml:space="preserve"> </w:t>
      </w:r>
      <w:r>
        <w:t xml:space="preserve">forward the expected benefits.</w:t>
      </w:r>
    </w:p>
    <w:p>
      <w:pPr>
        <w:pStyle w:val="BodyText"/>
      </w:pPr>
      <w:r>
        <w:t xml:space="preserve">279</w:t>
      </w:r>
      <w:r>
        <w:t xml:space="preserve"> </w:t>
      </w:r>
      <w:r>
        <w:t xml:space="preserve">Annex 11 - Convergence of Self-Classification</w:t>
      </w:r>
    </w:p>
    <w:p>
      <w:pPr>
        <w:pStyle w:val="BodyText"/>
      </w:pPr>
      <w:r>
        <w:t xml:space="preserve">CONTEXT</w:t>
      </w:r>
      <w:r>
        <w:t xml:space="preserve"> </w:t>
      </w:r>
      <w:r>
        <w:t xml:space="preserve">The improvement of the Classification and Labelling inventory as an important tool for</w:t>
      </w:r>
      <w:r>
        <w:t xml:space="preserve"> </w:t>
      </w:r>
      <w:r>
        <w:t xml:space="preserve">notification of self-classifications is linked to other actions in the Chemicals Strategy in so</w:t>
      </w:r>
      <w:r>
        <w:t xml:space="preserve"> </w:t>
      </w:r>
      <w:r>
        <w:t xml:space="preserve">far as more accurate and reliable hazard information on chemical substances would allow</w:t>
      </w:r>
      <w:r>
        <w:t xml:space="preserve"> </w:t>
      </w:r>
      <w:r>
        <w:t xml:space="preserve">better risk management.</w:t>
      </w:r>
      <w:r>
        <w:br/>
      </w:r>
      <w:r>
        <w:t xml:space="preserve">As to other objectives of the European Green Deal, the initiative is expected to contribute</w:t>
      </w:r>
      <w:r>
        <w:t xml:space="preserve"> </w:t>
      </w:r>
      <w:r>
        <w:t xml:space="preserve">to the zero pollution objective and to a certain extent also the circular economy. Indeed,</w:t>
      </w:r>
      <w:r>
        <w:t xml:space="preserve"> </w:t>
      </w:r>
      <w:r>
        <w:t xml:space="preserve">better knowledge of environmental hazards, if followed by risk management measures, will</w:t>
      </w:r>
      <w:r>
        <w:t xml:space="preserve"> </w:t>
      </w:r>
      <w:r>
        <w:t xml:space="preserve">allow better protection of the environment, whether at the production, use or recycling stage.</w:t>
      </w:r>
      <w:r>
        <w:t xml:space="preserve"> </w:t>
      </w:r>
      <w:r>
        <w:t xml:space="preserve">At the same time, better classification of substances is expected to trigger more appropriate</w:t>
      </w:r>
      <w:r>
        <w:t xml:space="preserve"> </w:t>
      </w:r>
      <w:r>
        <w:t xml:space="preserve">labelling, as both obligations are linked under CLP. As an example, a substance that is</w:t>
      </w:r>
      <w:r>
        <w:t xml:space="preserve"> </w:t>
      </w:r>
      <w:r>
        <w:t xml:space="preserve">classified as acutely hazardous to the aquatic environment should be labelled as ‘very toxic</w:t>
      </w:r>
      <w:r>
        <w:t xml:space="preserve"> </w:t>
      </w:r>
      <w:r>
        <w:t xml:space="preserve">to aquatic life’. It should also bear the precautionary statements ‘Avoid release to the</w:t>
      </w:r>
      <w:r>
        <w:t xml:space="preserve"> </w:t>
      </w:r>
      <w:r>
        <w:t xml:space="preserve">environment’, as well as ‘Dispose of contents to/container to…’</w:t>
      </w:r>
      <w:r>
        <w:t xml:space="preserve"> </w:t>
      </w:r>
      <w:r>
        <w:t xml:space="preserve">In terms of SDG, the envisaged measures are expected to address SDG 9 as well as,</w:t>
      </w:r>
      <w:r>
        <w:t xml:space="preserve"> </w:t>
      </w:r>
      <w:r>
        <w:t xml:space="preserve">indirectly SDG 3, 6 and 12. In general, it must be admitted that the link with these objectives</w:t>
      </w:r>
      <w:r>
        <w:t xml:space="preserve"> </w:t>
      </w:r>
      <w:r>
        <w:t xml:space="preserve">is expected to be mainly indirect, as, to grasp all potential benefits they will require</w:t>
      </w:r>
      <w:r>
        <w:t xml:space="preserve"> </w:t>
      </w:r>
      <w:r>
        <w:t xml:space="preserve">additional actions as e.g. risk management measures, labelling etc. To conclude, these</w:t>
      </w:r>
      <w:r>
        <w:t xml:space="preserve"> </w:t>
      </w:r>
      <w:r>
        <w:t xml:space="preserve">measures will be a necessary, but not a sufficient condition to meet the above mentioned</w:t>
      </w:r>
      <w:r>
        <w:t xml:space="preserve"> </w:t>
      </w:r>
      <w:r>
        <w:t xml:space="preserve">objectives.</w:t>
      </w:r>
    </w:p>
    <w:p>
      <w:pPr>
        <w:pStyle w:val="BodyText"/>
      </w:pPr>
      <w:r>
        <w:t xml:space="preserve">PROBLEMS</w:t>
      </w:r>
      <w:r>
        <w:br/>
      </w:r>
      <w:r>
        <w:t xml:space="preserve">Article 4 of CLP requires manufacturers, importers and downstream users to classify</w:t>
      </w:r>
      <w:r>
        <w:t xml:space="preserve"> </w:t>
      </w:r>
      <w:r>
        <w:t xml:space="preserve">hazardous substances or mixtures (self-classification) before placing them on the EU</w:t>
      </w:r>
      <w:r>
        <w:t xml:space="preserve"> </w:t>
      </w:r>
      <w:r>
        <w:t xml:space="preserve">market. Self-classification applies only if there is no harmonised classification and labelling,</w:t>
      </w:r>
      <w:r>
        <w:t xml:space="preserve"> </w:t>
      </w:r>
      <w:r>
        <w:t xml:space="preserve">i.e. for those hazard classes or differentiations (i.e. distinction within hazard classes</w:t>
      </w:r>
      <w:r>
        <w:t xml:space="preserve"> </w:t>
      </w:r>
      <w:r>
        <w:t xml:space="preserve">depending on the route of exposure or the nature of the effects) which are outside the scope</w:t>
      </w:r>
      <w:r>
        <w:t xml:space="preserve"> </w:t>
      </w:r>
      <w:r>
        <w:t xml:space="preserve">of that harmonisation. Duty-holders must consider all available information and evaluate</w:t>
      </w:r>
      <w:r>
        <w:t xml:space="preserve"> </w:t>
      </w:r>
      <w:r>
        <w:t xml:space="preserve">the reliability and applicability against the classification criteria for physical, human health</w:t>
      </w:r>
      <w:r>
        <w:t xml:space="preserve"> </w:t>
      </w:r>
      <w:r>
        <w:t xml:space="preserve">and environmental endpoints. They also have to review the classification of substances and</w:t>
      </w:r>
      <w:r>
        <w:t xml:space="preserve"> </w:t>
      </w:r>
      <w:r>
        <w:t xml:space="preserve">mixtures where new scientific or technical developments exist (article 15).</w:t>
      </w:r>
      <w:r>
        <w:br/>
      </w:r>
      <w:r>
        <w:t xml:space="preserve">Article 40 of CLP requires duty-holders to notify ECHA a number of classification and</w:t>
      </w:r>
      <w:r>
        <w:t xml:space="preserve"> </w:t>
      </w:r>
      <w:r>
        <w:t xml:space="preserve">labelling data regarding their hazardous substance as well as their identity, to be included</w:t>
      </w:r>
      <w:r>
        <w:t xml:space="preserve"> </w:t>
      </w:r>
      <w:r>
        <w:t xml:space="preserve">in the Classification and Labelling Inventory. The Classification and Labelling Inventory is</w:t>
      </w:r>
      <w:r>
        <w:t xml:space="preserve"> </w:t>
      </w:r>
      <w:r>
        <w:t xml:space="preserve">maintained by ECHA and contains classification and labelling information, whether</w:t>
      </w:r>
      <w:r>
        <w:t xml:space="preserve"> </w:t>
      </w:r>
      <w:r>
        <w:t xml:space="preserve">provided directly by manufacturers or importers, or indirectly via the REACH registration</w:t>
      </w:r>
      <w:r>
        <w:t xml:space="preserve"> </w:t>
      </w:r>
      <w:r>
        <w:t xml:space="preserve">dossiers. In December 2021, the inventory contained ca. 206.000 substances, 4,500 of which</w:t>
      </w:r>
      <w:r>
        <w:t xml:space="preserve"> </w:t>
      </w:r>
      <w:r>
        <w:t xml:space="preserve">had a harmonised classification and the rest being self-classified. The Classification and</w:t>
      </w:r>
      <w:r>
        <w:t xml:space="preserve"> </w:t>
      </w:r>
      <w:r>
        <w:t xml:space="preserve">Labelling Inventory is a publicly available database that receives an average of 16,000 views</w:t>
      </w:r>
      <w:r>
        <w:t xml:space="preserve"> </w:t>
      </w:r>
      <w:r>
        <w:t xml:space="preserve">daily and supports downstream users who otherwise would depend solely on substance</w:t>
      </w:r>
      <w:r>
        <w:t xml:space="preserve"> </w:t>
      </w:r>
      <w:r>
        <w:t xml:space="preserve">safety data sheets (a sheet which is required under REACH and which contains information</w:t>
      </w:r>
    </w:p>
    <w:p>
      <w:pPr>
        <w:pStyle w:val="BodyText"/>
      </w:pPr>
      <w:r>
        <w:t xml:space="preserve">280</w:t>
      </w:r>
      <w:r>
        <w:t xml:space="preserve"> </w:t>
      </w:r>
      <w:r>
        <w:t xml:space="preserve">on the substance, amongst others on its classification and labelling. It has to be transmitted</w:t>
      </w:r>
      <w:r>
        <w:t xml:space="preserve"> </w:t>
      </w:r>
      <w:r>
        <w:t xml:space="preserve">throughout the supply chain to recipients, being downstream users and distributors).</w:t>
      </w:r>
      <w:r>
        <w:t xml:space="preserve"> </w:t>
      </w:r>
      <w:r>
        <w:t xml:space="preserve">Table 85 provides an overview of the information that must be notified to ECHA (Article</w:t>
      </w:r>
      <w:r>
        <w:t xml:space="preserve"> </w:t>
      </w:r>
      <w:r>
        <w:t xml:space="preserve">40) and the information that is publicly available on the Classification and Labelling</w:t>
      </w:r>
      <w:r>
        <w:t xml:space="preserve"> </w:t>
      </w:r>
      <w:r>
        <w:t xml:space="preserve">Inventory (Article 42). </w:t>
      </w:r>
      <w:r>
        <w:t xml:space="preserve"> </w:t>
      </w:r>
      <w:r>
        <w:t xml:space="preserve">Table 86. Differences between Article 40 (notified information( and Article 42 (publicly available information)</w:t>
      </w:r>
      <w:r>
        <w:br/>
      </w:r>
      <w:r>
        <w:t xml:space="preserve">Information to be notified</w:t>
      </w:r>
      <w:r>
        <w:br/>
      </w:r>
      <w:r>
        <w:t xml:space="preserve">to ECHA under Article 40 C&amp;L Notification</w:t>
      </w:r>
      <w:r>
        <w:br/>
      </w:r>
      <w:r>
        <w:t xml:space="preserve">Information published</w:t>
      </w:r>
      <w:r>
        <w:br/>
      </w:r>
      <w:r>
        <w:t xml:space="preserve">in the Classification and Labelling Inventory</w:t>
      </w:r>
      <w:r>
        <w:t xml:space="preserve"> </w:t>
      </w:r>
      <w:r>
        <w:t xml:space="preserve">according to Article 42</w:t>
      </w:r>
      <w:r>
        <w:br/>
      </w:r>
      <w:r>
        <w:t xml:space="preserve">Identity of notifier </w:t>
      </w:r>
      <w:r>
        <w:br/>
      </w:r>
      <w:r>
        <w:t xml:space="preserve">Not included</w:t>
      </w:r>
      <w:r>
        <w:br/>
      </w:r>
      <w:r>
        <w:t xml:space="preserve">Identity of substance(s) </w:t>
      </w:r>
      <w:r>
        <w:br/>
      </w:r>
      <w:r>
        <w:t xml:space="preserve">EINECS name, where applicable</w:t>
      </w:r>
      <w:r>
        <w:br/>
      </w:r>
      <w:r>
        <w:t xml:space="preserve">IUPAC name set out in Article 119(1)(a) of</w:t>
      </w:r>
      <w:r>
        <w:t xml:space="preserve"> </w:t>
      </w:r>
      <w:r>
        <w:t xml:space="preserve">REACH</w:t>
      </w:r>
      <w:r>
        <w:br/>
      </w:r>
      <w:r>
        <w:t xml:space="preserve">Other numerical identifiers where appropriate</w:t>
      </w:r>
      <w:r>
        <w:t xml:space="preserve"> </w:t>
      </w:r>
      <w:r>
        <w:t xml:space="preserve">and available</w:t>
      </w:r>
      <w:r>
        <w:br/>
      </w:r>
      <w:r>
        <w:t xml:space="preserve">Classification of substance(s) in accordance</w:t>
      </w:r>
      <w:r>
        <w:t xml:space="preserve"> </w:t>
      </w:r>
      <w:r>
        <w:t xml:space="preserve">with Article 13 </w:t>
      </w:r>
      <w:r>
        <w:br/>
      </w:r>
      <w:r>
        <w:t xml:space="preserve">Classification of substance(s) in accordance</w:t>
      </w:r>
      <w:r>
        <w:t xml:space="preserve"> </w:t>
      </w:r>
      <w:r>
        <w:t xml:space="preserve">with Article 13</w:t>
      </w:r>
    </w:p>
    <w:p>
      <w:pPr>
        <w:pStyle w:val="BodyText"/>
      </w:pPr>
      <w:r>
        <w:t xml:space="preserve">Labelling elements specified in Article</w:t>
      </w:r>
      <w:r>
        <w:t xml:space="preserve"> </w:t>
      </w:r>
      <w:r>
        <w:t xml:space="preserve">(17)(1) points (d)-(f)  </w:t>
      </w:r>
      <w:r>
        <w:br/>
      </w:r>
      <w:r>
        <w:t xml:space="preserve">Labelling elements specified in Article (17)(1)</w:t>
      </w:r>
      <w:r>
        <w:t xml:space="preserve"> </w:t>
      </w:r>
      <w:r>
        <w:t xml:space="preserve">points (d)-(f)</w:t>
      </w:r>
      <w:r>
        <w:br/>
      </w:r>
      <w:r>
        <w:t xml:space="preserve">Specific Concentration Limits (SCL) or M-</w:t>
      </w:r>
      <w:r>
        <w:t xml:space="preserve"> </w:t>
      </w:r>
      <w:r>
        <w:t xml:space="preserve">Factors </w:t>
      </w:r>
      <w:r>
        <w:br/>
      </w:r>
      <w:r>
        <w:t xml:space="preserve">Not included</w:t>
      </w:r>
      <w:r>
        <w:br/>
      </w:r>
      <w:r>
        <w:t xml:space="preserve">Where a substance has been classified in</w:t>
      </w:r>
      <w:r>
        <w:t xml:space="preserve"> </w:t>
      </w:r>
      <w:r>
        <w:t xml:space="preserve">some but not all hazard classes or</w:t>
      </w:r>
      <w:r>
        <w:t xml:space="preserve"> </w:t>
      </w:r>
      <w:r>
        <w:t xml:space="preserve">differentiations, an indication of whether this</w:t>
      </w:r>
      <w:r>
        <w:t xml:space="preserve"> </w:t>
      </w:r>
      <w:r>
        <w:t xml:space="preserve">is due to lack of data, inconclusive data, or</w:t>
      </w:r>
      <w:r>
        <w:t xml:space="preserve"> </w:t>
      </w:r>
      <w:r>
        <w:t xml:space="preserve">data which are conclusive but insufficient for</w:t>
      </w:r>
      <w:r>
        <w:t xml:space="preserve"> </w:t>
      </w:r>
      <w:r>
        <w:t xml:space="preserve">classification </w:t>
      </w:r>
      <w:r>
        <w:br/>
      </w:r>
      <w:r>
        <w:t xml:space="preserve">Not included</w:t>
      </w:r>
    </w:p>
    <w:p>
      <w:pPr>
        <w:pStyle w:val="BodyText"/>
      </w:pPr>
      <w:r>
        <w:t xml:space="preserve">The notified information is not subject to review or verification, although the information</w:t>
      </w:r>
      <w:r>
        <w:t xml:space="preserve"> </w:t>
      </w:r>
      <w:r>
        <w:t xml:space="preserve">provided via REACH, which is subject to review and verification, has been used to revise</w:t>
      </w:r>
      <w:r>
        <w:t xml:space="preserve"> </w:t>
      </w:r>
      <w:r>
        <w:t xml:space="preserve">classifications and enhance the reliability of the Inventory. In addition, Article 41 provides</w:t>
      </w:r>
      <w:r>
        <w:t xml:space="preserve"> </w:t>
      </w:r>
      <w:r>
        <w:t xml:space="preserve">that when notifications for the same substance differ, the notifiers or registrants must work</w:t>
      </w:r>
      <w:r>
        <w:t xml:space="preserve"> </w:t>
      </w:r>
      <w:r>
        <w:t xml:space="preserve">together to come to an agreed entry. Article 16 acknowledges that a substance may be</w:t>
      </w:r>
      <w:r>
        <w:t xml:space="preserve"> </w:t>
      </w:r>
      <w:r>
        <w:t xml:space="preserve">classified differently than previously submitted classifications and, if so, the reasoning for</w:t>
      </w:r>
      <w:r>
        <w:t xml:space="preserve"> </w:t>
      </w:r>
      <w:r>
        <w:t xml:space="preserve">this difference must be submitted with the notification. However, this justification does not</w:t>
      </w:r>
      <w:r>
        <w:t xml:space="preserve"> </w:t>
      </w:r>
      <w:r>
        <w:t xml:space="preserve">need to be published according to Article 42 and is not publicly available.</w:t>
      </w:r>
      <w:r>
        <w:br/>
      </w:r>
      <w:r>
        <w:t xml:space="preserve">The problem and its scale</w:t>
      </w:r>
      <w:r>
        <w:br/>
      </w:r>
      <w:r>
        <w:t xml:space="preserve">In terms of intervention logic, the specific problems described below fall under the more</w:t>
      </w:r>
      <w:r>
        <w:t xml:space="preserve"> </w:t>
      </w:r>
      <w:r>
        <w:t xml:space="preserve">general problem of ‘Hazardous chemicals are not comprehensively identified and</w:t>
      </w:r>
      <w:r>
        <w:t xml:space="preserve"> </w:t>
      </w:r>
      <w:r>
        <w:t xml:space="preserve">classified’. This Annex covers only the inefficiencies linked to self-classification, which are</w:t>
      </w:r>
      <w:r>
        <w:t xml:space="preserve"> </w:t>
      </w:r>
      <w:r>
        <w:t xml:space="preserve">all linked to the Classification and Labelling Inventory. Annex 10 covers the harmonised</w:t>
      </w:r>
      <w:r>
        <w:t xml:space="preserve"> </w:t>
      </w:r>
      <w:r>
        <w:t xml:space="preserve">classification process. One of the aims of the Chemicals Strategy for Sustainability is to</w:t>
      </w:r>
      <w:r>
        <w:t xml:space="preserve"> </w:t>
      </w:r>
      <w:r>
        <w:t xml:space="preserve">coordinate and simplify actions across EU chemicals legislation. This requires a review of</w:t>
      </w:r>
    </w:p>
    <w:p>
      <w:pPr>
        <w:pStyle w:val="BodyText"/>
      </w:pPr>
      <w:r>
        <w:t xml:space="preserve">281</w:t>
      </w:r>
      <w:r>
        <w:t xml:space="preserve"> </w:t>
      </w:r>
      <w:r>
        <w:t xml:space="preserve">the interoperability and accessibility of chemical data, including the self-classification</w:t>
      </w:r>
      <w:r>
        <w:t xml:space="preserve"> </w:t>
      </w:r>
      <w:r>
        <w:t xml:space="preserve">process and the Classification and Labelling Inventory which have been highlighted as areas</w:t>
      </w:r>
      <w:r>
        <w:t xml:space="preserve"> </w:t>
      </w:r>
      <w:r>
        <w:t xml:space="preserve">for improvement.</w:t>
      </w:r>
      <w:r>
        <w:t xml:space="preserve"> </w:t>
      </w:r>
      <w:r>
        <w:t xml:space="preserve">The Staff working document drafted in the framework of the Fitness Check of the most</w:t>
      </w:r>
      <w:r>
        <w:t xml:space="preserve"> </w:t>
      </w:r>
      <w:r>
        <w:t xml:space="preserve">relevant chemicals legislation (excluding REACH)222 highlighted the following key issues</w:t>
      </w:r>
      <w:r>
        <w:t xml:space="preserve"> </w:t>
      </w:r>
      <w:r>
        <w:t xml:space="preserve">relating to the quality of data held in the Classification and Labelling Inventory:</w:t>
      </w:r>
      <w:r>
        <w:t xml:space="preserve"> </w:t>
      </w:r>
      <w:r>
        <w:t xml:space="preserve">As self-classifications are made by the duty holders themselves, there is a possibility of</w:t>
      </w:r>
      <w:r>
        <w:t xml:space="preserve"> </w:t>
      </w:r>
      <w:r>
        <w:t xml:space="preserve">divergence in classifications across actors. In some cases, such divergence may be justified,</w:t>
      </w:r>
      <w:r>
        <w:t xml:space="preserve"> </w:t>
      </w:r>
      <w:r>
        <w:t xml:space="preserve">such as those related to differences in self-classification as a result of impurities, physical</w:t>
      </w:r>
      <w:r>
        <w:t xml:space="preserve"> </w:t>
      </w:r>
      <w:r>
        <w:t xml:space="preserve">state or differentiations. Some divergences are, however, due to differences in data used for</w:t>
      </w:r>
      <w:r>
        <w:t xml:space="preserve"> </w:t>
      </w:r>
      <w:r>
        <w:t xml:space="preserve">classification or lack of agreement between duty-holders on self-classification.</w:t>
      </w:r>
      <w:r>
        <w:t xml:space="preserve"> </w:t>
      </w:r>
      <w:r>
        <w:t xml:space="preserve">The absence of a tonnage threshold for data requirements for classification can lead to duty</w:t>
      </w:r>
      <w:r>
        <w:t xml:space="preserve"> </w:t>
      </w:r>
      <w:r>
        <w:t xml:space="preserve">holders basing their classification on different levels of toxicological data, particularly in</w:t>
      </w:r>
      <w:r>
        <w:t xml:space="preserve"> </w:t>
      </w:r>
      <w:r>
        <w:t xml:space="preserve">the absence of testing requirements. As there is no quality check, the robustness of</w:t>
      </w:r>
      <w:r>
        <w:t xml:space="preserve"> </w:t>
      </w:r>
      <w:r>
        <w:t xml:space="preserve">information provided is questionable.  </w:t>
      </w:r>
      <w:r>
        <w:br/>
      </w:r>
      <w:r>
        <w:t xml:space="preserve">As ECHA is not entitled to correct or delete self-classifications that may be incorrect or, in</w:t>
      </w:r>
      <w:r>
        <w:t xml:space="preserve"> </w:t>
      </w:r>
      <w:r>
        <w:t xml:space="preserve">the case of substances which are no longer placed on the market, obsolete, the CLI may end</w:t>
      </w:r>
      <w:r>
        <w:t xml:space="preserve"> </w:t>
      </w:r>
      <w:r>
        <w:t xml:space="preserve">up containing incorrect or irrelevant self-classifications.  </w:t>
      </w:r>
      <w:r>
        <w:br/>
      </w:r>
      <w:r>
        <w:t xml:space="preserve">Data provided by ECHA found that 78% of substances in the Classification and Labelling</w:t>
      </w:r>
      <w:r>
        <w:t xml:space="preserve"> </w:t>
      </w:r>
      <w:r>
        <w:t xml:space="preserve">Inventory have a single classification, which highlights the potential scale of the issue but</w:t>
      </w:r>
      <w:r>
        <w:t xml:space="preserve"> </w:t>
      </w:r>
      <w:r>
        <w:t xml:space="preserve">further examination of the CLI is needed to determine how many of the remaining</w:t>
      </w:r>
      <w:r>
        <w:t xml:space="preserve"> </w:t>
      </w:r>
      <w:r>
        <w:t xml:space="preserve">substances have incorrect or diverging classifications (see also Figure 72 below).</w:t>
      </w:r>
      <w:r>
        <w:br/>
      </w:r>
      <w:r>
        <w:t xml:space="preserve">Furthermore, Amec Foster Wheeler et al.223, investigated the divergence of classifications</w:t>
      </w:r>
      <w:r>
        <w:t xml:space="preserve"> </w:t>
      </w:r>
      <w:r>
        <w:t xml:space="preserve">of the same substance in the Classification and Labelling Inventory. Based on the responses</w:t>
      </w:r>
      <w:r>
        <w:t xml:space="preserve"> </w:t>
      </w:r>
      <w:r>
        <w:t xml:space="preserve">of companies to a stakeholder consultation questionnaire, the study found multiple reasons</w:t>
      </w:r>
      <w:r>
        <w:t xml:space="preserve"> </w:t>
      </w:r>
      <w:r>
        <w:t xml:space="preserve">for divergence. These include difficulty in interpreting study results, conflicting study</w:t>
      </w:r>
      <w:r>
        <w:t xml:space="preserve"> </w:t>
      </w:r>
      <w:r>
        <w:t xml:space="preserve">results, a lack of agreement amongst companies over how to correctly apply the</w:t>
      </w:r>
      <w:r>
        <w:t xml:space="preserve"> </w:t>
      </w:r>
      <w:r>
        <w:t xml:space="preserve">classification criteria, a need for companies to harmonise classifications based on product</w:t>
      </w:r>
      <w:r>
        <w:t xml:space="preserve"> </w:t>
      </w:r>
      <w:r>
        <w:t xml:space="preserve">ranges with similar substances, and difficulty in consistently filling in the hazard classes in</w:t>
      </w:r>
      <w:r>
        <w:t xml:space="preserve"> </w:t>
      </w:r>
      <w:r>
        <w:t xml:space="preserve">the IUCLID database.</w:t>
      </w:r>
    </w:p>
    <w:p>
      <w:pPr>
        <w:pStyle w:val="BodyText"/>
      </w:pPr>
      <w:r>
        <w:t xml:space="preserve">222Commission Staff Working Document. Fitness Check of the most relevant chemicals legislation (excluding</w:t>
      </w:r>
      <w:r>
        <w:t xml:space="preserve"> </w:t>
      </w:r>
      <w:r>
        <w:t xml:space="preserve">REACH), as well as related aspects of legislation applied to downstream industries, accompanying the</w:t>
      </w:r>
      <w:r>
        <w:t xml:space="preserve"> </w:t>
      </w:r>
      <w:r>
        <w:t xml:space="preserve">document “Report from the Commission to the European Parliament, the Council, the European Economic</w:t>
      </w:r>
      <w:r>
        <w:t xml:space="preserve"> </w:t>
      </w:r>
      <w:r>
        <w:t xml:space="preserve">and Social Committee and the Committee of the Regions. Findings of the Fitness Check of the most relevant</w:t>
      </w:r>
      <w:r>
        <w:t xml:space="preserve"> </w:t>
      </w:r>
      <w:r>
        <w:t xml:space="preserve">chemicals legislation (excluding REACH) and identified challenges, gaps and weaknesses”. SWD(2019) 199</w:t>
      </w:r>
      <w:r>
        <w:t xml:space="preserve"> </w:t>
      </w:r>
      <w:r>
        <w:t xml:space="preserve">final/2. Brussels, 18.7.2019.</w:t>
      </w:r>
      <w:r>
        <w:t xml:space="preserve"> </w:t>
      </w:r>
      <w:r>
        <w:t xml:space="preserve">223 Amec Foster Wheeler et al. (2017): A Study to gather insights on the drivers, barriers, costs and benefits</w:t>
      </w:r>
      <w:r>
        <w:t xml:space="preserve"> </w:t>
      </w:r>
      <w:r>
        <w:t xml:space="preserve">for</w:t>
      </w:r>
      <w:r>
        <w:t xml:space="preserve"> </w:t>
      </w:r>
      <w:r>
        <w:t xml:space="preserve">updating</w:t>
      </w:r>
      <w:r>
        <w:t xml:space="preserve"> </w:t>
      </w:r>
      <w:r>
        <w:t xml:space="preserve">REACH</w:t>
      </w:r>
      <w:r>
        <w:t xml:space="preserve"> </w:t>
      </w:r>
      <w:r>
        <w:t xml:space="preserve">registration</w:t>
      </w:r>
      <w:r>
        <w:t xml:space="preserve"> </w:t>
      </w:r>
      <w:r>
        <w:t xml:space="preserve">and</w:t>
      </w:r>
      <w:r>
        <w:t xml:space="preserve"> </w:t>
      </w:r>
      <w:r>
        <w:t xml:space="preserve">CLP</w:t>
      </w:r>
      <w:r>
        <w:t xml:space="preserve"> </w:t>
      </w:r>
      <w:r>
        <w:t xml:space="preserve">notification</w:t>
      </w:r>
      <w:r>
        <w:t xml:space="preserve"> </w:t>
      </w:r>
      <w:r>
        <w:t xml:space="preserve">dossiers.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https://echa.europa.eu/documents/10162/22931011/study_drivers_and_obstacles_reach_clp_updates_en.pdf/</w:t>
      </w:r>
      <w:r>
        <w:t xml:space="preserve"> </w:t>
      </w:r>
      <w:r>
        <w:t xml:space="preserve">7b21b25e-9a11-ef05-30ce-e09a60aa204f</w:t>
      </w:r>
    </w:p>
    <w:p>
      <w:pPr>
        <w:pStyle w:val="BodyText"/>
      </w:pPr>
      <w:r>
        <w:t xml:space="preserve">282</w:t>
      </w:r>
      <w:r>
        <w:t xml:space="preserve"> </w:t>
      </w:r>
      <w:r>
        <w:t xml:space="preserve">The information available from previous studies combined with the analysis of 2021</w:t>
      </w:r>
      <w:r>
        <w:t xml:space="preserve"> </w:t>
      </w:r>
      <w:r>
        <w:t xml:space="preserve">Classification and Labelling Inventory data can help determine the scale of incorrect,</w:t>
      </w:r>
      <w:r>
        <w:t xml:space="preserve"> </w:t>
      </w:r>
      <w:r>
        <w:t xml:space="preserve">diverging or obsolete self-classifications in the Classification and Labelling Inventory.</w:t>
      </w:r>
      <w:r>
        <w:br/>
      </w:r>
      <w:r>
        <w:t xml:space="preserve">The stakeholder consultation conducted for the Amec Foster Wheeler et al. study224 found</w:t>
      </w:r>
      <w:r>
        <w:t xml:space="preserve"> </w:t>
      </w:r>
      <w:r>
        <w:t xml:space="preserve">that 59% of companies using the Classification and Labelling Inventory had seen multiple</w:t>
      </w:r>
      <w:r>
        <w:t xml:space="preserve"> </w:t>
      </w:r>
      <w:r>
        <w:t xml:space="preserve">classifications for a single substance. The main reason for these differences was the lack of</w:t>
      </w:r>
      <w:r>
        <w:t xml:space="preserve"> </w:t>
      </w:r>
      <w:r>
        <w:t xml:space="preserve">agreement between companies (28%), with the existence of impurities seen as the second</w:t>
      </w:r>
      <w:r>
        <w:t xml:space="preserve"> </w:t>
      </w:r>
      <w:r>
        <w:t xml:space="preserve">most influential factor.</w:t>
      </w:r>
      <w:r>
        <w:t xml:space="preserve"> </w:t>
      </w:r>
      <w:r>
        <w:t xml:space="preserve">Most respondents to the targeted stakeholder consultation believe that the obligation of</w:t>
      </w:r>
      <w:r>
        <w:t xml:space="preserve"> </w:t>
      </w:r>
      <w:r>
        <w:t xml:space="preserve">duty-holders to come to an agreed entry in the Classification and Labelling Inventory should</w:t>
      </w:r>
      <w:r>
        <w:t xml:space="preserve"> </w:t>
      </w:r>
      <w:r>
        <w:t xml:space="preserve">be strengthened. Furthermore, there was consensus that diverging and/or erroneous self-</w:t>
      </w:r>
      <w:r>
        <w:t xml:space="preserve"> </w:t>
      </w:r>
      <w:r>
        <w:t xml:space="preserve">classifications and obsolete information in the Classification and Labelling Inventory may</w:t>
      </w:r>
      <w:r>
        <w:t xml:space="preserve"> </w:t>
      </w:r>
      <w:r>
        <w:t xml:space="preserve">hinder the ability of the CLP Regulation to protect human health and the environment.</w:t>
      </w:r>
      <w:r>
        <w:br/>
      </w:r>
      <w:r>
        <w:t xml:space="preserve">According to the 2021 data on the Classification and Labelling Inventory provided ECHA</w:t>
      </w:r>
      <w:r>
        <w:t xml:space="preserve"> </w:t>
      </w:r>
      <w:r>
        <w:t xml:space="preserve">provided to the study team of the study underlying this Staff Working Document, 78.39%</w:t>
      </w:r>
      <w:r>
        <w:t xml:space="preserve"> </w:t>
      </w:r>
      <w:r>
        <w:t xml:space="preserve">of substances in the Classification and Labelling Inventory had a single classification and</w:t>
      </w:r>
      <w:r>
        <w:t xml:space="preserve"> </w:t>
      </w:r>
      <w:r>
        <w:t xml:space="preserve">97.64% have five or fewer classifications (Figure 72). It should be noted that a substance</w:t>
      </w:r>
      <w:r>
        <w:t xml:space="preserve"> </w:t>
      </w:r>
      <w:r>
        <w:t xml:space="preserve">can have multiple classifications for legitimate reasons, such as differences in composition</w:t>
      </w:r>
      <w:r>
        <w:t xml:space="preserve"> </w:t>
      </w:r>
      <w:r>
        <w:t xml:space="preserve">or physical form of the substance. ECHA225 lists the following justifiable reasons for</w:t>
      </w:r>
      <w:r>
        <w:t xml:space="preserve"> </w:t>
      </w:r>
      <w:r>
        <w:t xml:space="preserve">classifications in the Classification and Labelling Inventory to vary:</w:t>
      </w:r>
    </w:p>
    <w:p>
      <w:pPr>
        <w:pStyle w:val="BodyText"/>
      </w:pPr>
      <w:r>
        <w:t xml:space="preserve">Different hazardous impurities, additives or ingredients might be present;</w:t>
      </w:r>
    </w:p>
    <w:p>
      <w:pPr>
        <w:pStyle w:val="BodyText"/>
      </w:pPr>
      <w:r>
        <w:t xml:space="preserve">Properties such as the physical form, the pH, the flash point might be different;</w:t>
      </w:r>
      <w:r>
        <w:t xml:space="preserve"> </w:t>
      </w:r>
      <w:r>
        <w:t xml:space="preserve">Suppliers need to interpret scientific studies when they classify a chemical, and different</w:t>
      </w:r>
      <w:r>
        <w:t xml:space="preserve"> </w:t>
      </w:r>
      <w:r>
        <w:t xml:space="preserve">suppliers might reach a different conclusion, which is sometimes justifiable.</w:t>
      </w:r>
    </w:p>
    <w:p>
      <w:pPr>
        <w:pStyle w:val="BodyText"/>
      </w:pPr>
      <w:r>
        <w:t xml:space="preserve">Figure 72. Percentages of substances and notifications with multiple classifications - Source: ECHA data</w:t>
      </w:r>
    </w:p>
    <w:p>
      <w:pPr>
        <w:pStyle w:val="BodyText"/>
      </w:pPr>
      <w:r>
        <w:t xml:space="preserve">The divergence can be analysed further to understand the possible implications, according</w:t>
      </w:r>
      <w:r>
        <w:t xml:space="preserve"> </w:t>
      </w:r>
      <w:r>
        <w:t xml:space="preserve">to the hazards associated with substances holding more than one classification. Figure 73</w:t>
      </w:r>
      <w:r>
        <w:t xml:space="preserve"> </w:t>
      </w:r>
      <w:r>
        <w:t xml:space="preserve">points to the fact that the majority of the differences in classifications relate to health hazards</w:t>
      </w:r>
    </w:p>
    <w:p>
      <w:pPr>
        <w:pStyle w:val="BodyText"/>
      </w:pPr>
      <w:r>
        <w:t xml:space="preserve">224 See footnote 3.</w:t>
      </w:r>
      <w:r>
        <w:t xml:space="preserve"> </w:t>
      </w:r>
      <w:r>
        <w:t xml:space="preserve">225 ECHA, Tips for users of Chemicals in the workplace, A short guide for users of chemicals in the workplace</w:t>
      </w:r>
      <w:r>
        <w:t xml:space="preserve"> </w:t>
      </w:r>
      <w:r>
        <w:t xml:space="preserve">on how to get the most from the classification and labelling information you receive, 2016.</w:t>
      </w:r>
    </w:p>
    <w:p>
      <w:pPr>
        <w:pStyle w:val="BodyText"/>
      </w:pPr>
      <w:r>
        <w:t xml:space="preserve">283</w:t>
      </w:r>
      <w:r>
        <w:t xml:space="preserve"> </w:t>
      </w:r>
      <w:r>
        <w:t xml:space="preserve">(over 80%). This suggests that the divergence in classifications in the CLI has the greatest</w:t>
      </w:r>
      <w:r>
        <w:t xml:space="preserve"> </w:t>
      </w:r>
      <w:r>
        <w:t xml:space="preserve">impact on the (mis)communication of hazards relating to human health.</w:t>
      </w:r>
    </w:p>
    <w:p>
      <w:pPr>
        <w:pStyle w:val="BodyText"/>
      </w:pPr>
      <w:r>
        <w:t xml:space="preserve">Figure 73. Estimated percentage of substances with multiple classifications due to variation in the hazards</w:t>
      </w:r>
      <w:r>
        <w:t xml:space="preserve"> </w:t>
      </w:r>
      <w:r>
        <w:t xml:space="preserve">listed, in the CLI as of 30th November 2021 - Source: ECHA data</w:t>
      </w:r>
    </w:p>
    <w:p>
      <w:pPr>
        <w:pStyle w:val="BodyText"/>
      </w:pPr>
      <w:r>
        <w:t xml:space="preserve">ECHA has recognised the issue of incorrect, diverging or obsolete information in the</w:t>
      </w:r>
      <w:r>
        <w:t xml:space="preserve"> </w:t>
      </w:r>
      <w:r>
        <w:t xml:space="preserve">Classification and Labelling Inventory for some time. Notifiers have been encouraged to</w:t>
      </w:r>
      <w:r>
        <w:t xml:space="preserve"> </w:t>
      </w:r>
      <w:r>
        <w:t xml:space="preserve">communicate with one another to discuss varying self-classification and labelling entries</w:t>
      </w:r>
      <w:r>
        <w:t xml:space="preserve"> </w:t>
      </w:r>
      <w:r>
        <w:t xml:space="preserve">for the same substance, in an effort to obtain consensus on the applicable self-classification</w:t>
      </w:r>
      <w:r>
        <w:t xml:space="preserve"> </w:t>
      </w:r>
      <w:r>
        <w:t xml:space="preserve">(Article 41). Furthermore, ECHA has previously attempted to facilitate these discussions</w:t>
      </w:r>
      <w:r>
        <w:t xml:space="preserve"> </w:t>
      </w:r>
      <w:r>
        <w:t xml:space="preserve">through the introduction of a Classification and Labelling platform. In 2015 ECHA</w:t>
      </w:r>
      <w:r>
        <w:t xml:space="preserve"> </w:t>
      </w:r>
      <w:r>
        <w:t xml:space="preserve">undertook a pilot project on that platform with support from a pilot project team.</w:t>
      </w:r>
      <w:r>
        <w:t xml:space="preserve"> </w:t>
      </w:r>
      <w:r>
        <w:t xml:space="preserve">Approximately 3,985 companies, that had notified 97 substances, were individually</w:t>
      </w:r>
      <w:r>
        <w:t xml:space="preserve"> </w:t>
      </w:r>
      <w:r>
        <w:t xml:space="preserve">contacted and invited to start a discussion using the C&amp;L platform. Prior to the pilot, 25%</w:t>
      </w:r>
      <w:r>
        <w:t xml:space="preserve"> </w:t>
      </w:r>
      <w:r>
        <w:t xml:space="preserve">of all self-classified substances were found to have diverging classifications and the</w:t>
      </w:r>
      <w:r>
        <w:br/>
      </w:r>
      <w:r>
        <w:t xml:space="preserve">platform was not actively used. It was found that although the number of notifications</w:t>
      </w:r>
      <w:r>
        <w:t xml:space="preserve"> </w:t>
      </w:r>
      <w:r>
        <w:t xml:space="preserve">decreased by close to 1,000 during the pilot, the overall aim to get duty holders to agree on</w:t>
      </w:r>
      <w:r>
        <w:t xml:space="preserve"> </w:t>
      </w:r>
      <w:r>
        <w:t xml:space="preserve">a single self-classification for a certain hazard was not achieved because the number of</w:t>
      </w:r>
      <w:r>
        <w:t xml:space="preserve"> </w:t>
      </w:r>
      <w:r>
        <w:t xml:space="preserve">classifications did not decrease. Less than five percent (5%) of the notifiers contacted used</w:t>
      </w:r>
      <w:r>
        <w:t xml:space="preserve"> </w:t>
      </w:r>
      <w:r>
        <w:t xml:space="preserve">the platform, and the number of classifications did not decrease. The platform was</w:t>
      </w:r>
      <w:r>
        <w:t xml:space="preserve"> </w:t>
      </w:r>
      <w:r>
        <w:t xml:space="preserve">discontinued as a result of lack of use and the pilot was discontinued.</w:t>
      </w:r>
      <w:r>
        <w:br/>
      </w:r>
      <w:r>
        <w:t xml:space="preserve">The number of incorrect, diverging or obsolete self-classifications have been identified</w:t>
      </w:r>
      <w:r>
        <w:t xml:space="preserve"> </w:t>
      </w:r>
      <w:r>
        <w:t xml:space="preserve">as a key problem of the Classification and Labelling Inventory.</w:t>
      </w:r>
      <w:r>
        <w:br/>
      </w:r>
      <w:r>
        <w:t xml:space="preserve">These classifications have a negative impact on the reliability and usefulness of information</w:t>
      </w:r>
      <w:r>
        <w:t xml:space="preserve"> </w:t>
      </w:r>
      <w:r>
        <w:t xml:space="preserve">in the Classification and Labelling Inventory and limit the effectiveness of the inventory as</w:t>
      </w:r>
      <w:r>
        <w:t xml:space="preserve"> </w:t>
      </w:r>
      <w:r>
        <w:t xml:space="preserve">a hazard communication tool. Self-classifications determine the labelling of the substances</w:t>
      </w:r>
      <w:r>
        <w:t xml:space="preserve"> </w:t>
      </w:r>
      <w:r>
        <w:t xml:space="preserve">in the supply chain and the labelling of products (which when under the scope of under CLP</w:t>
      </w:r>
      <w:r>
        <w:t xml:space="preserve"> </w:t>
      </w:r>
      <w:r>
        <w:t xml:space="preserve">are mainly mixtures) containing the substances when placed on the market. The hazard</w:t>
      </w:r>
      <w:r>
        <w:t xml:space="preserve"> </w:t>
      </w:r>
      <w:r>
        <w:t xml:space="preserve">classification of a substance also determines the appropriate risk management measures that</w:t>
      </w:r>
      <w:r>
        <w:t xml:space="preserve"> </w:t>
      </w:r>
      <w:r>
        <w:t xml:space="preserve">should be applied when using the substance, which aim to control risk by preventing, and</w:t>
      </w:r>
      <w:r>
        <w:t xml:space="preserve"> </w:t>
      </w:r>
      <w:r>
        <w:t xml:space="preserve">protecting against, harmful exposure.</w:t>
      </w:r>
    </w:p>
    <w:p>
      <w:pPr>
        <w:pStyle w:val="BodyText"/>
      </w:pPr>
      <w:r>
        <w:t xml:space="preserve">284</w:t>
      </w:r>
      <w:r>
        <w:t xml:space="preserve"> </w:t>
      </w:r>
      <w:r>
        <w:t xml:space="preserve">Consequently, the inclusion of incorrect, diverging (if not justified) or obsolete self-</w:t>
      </w:r>
      <w:r>
        <w:t xml:space="preserve"> </w:t>
      </w:r>
      <w:r>
        <w:t xml:space="preserve">classifications in the Classification and Labelling Inventory can lead to negative human</w:t>
      </w:r>
      <w:r>
        <w:t xml:space="preserve"> </w:t>
      </w:r>
      <w:r>
        <w:t xml:space="preserve">health and environmental impacts and a biased internal market for chemicals, because of:</w:t>
      </w:r>
      <w:r>
        <w:br/>
      </w:r>
      <w:r>
        <w:t xml:space="preserve"> Decreased value of the Classification and Labelling Inventory as a hazard collection</w:t>
      </w:r>
      <w:r>
        <w:t xml:space="preserve"> </w:t>
      </w:r>
      <w:r>
        <w:t xml:space="preserve">and communication tool; and</w:t>
      </w:r>
      <w:r>
        <w:br/>
      </w:r>
      <w:r>
        <w:t xml:space="preserve"> Insufficient risk management measures applied as a result of incorrect</w:t>
      </w:r>
      <w:r>
        <w:t xml:space="preserve"> </w:t>
      </w:r>
      <w:r>
        <w:t xml:space="preserve">classifications.</w:t>
      </w:r>
      <w:r>
        <w:br/>
      </w:r>
      <w:r>
        <w:t xml:space="preserve">The problem drivers</w:t>
      </w:r>
      <w:r>
        <w:br/>
      </w:r>
      <w:r>
        <w:t xml:space="preserve">The identified problem is a result of four underlying drivers, which represent regulatory</w:t>
      </w:r>
      <w:r>
        <w:t xml:space="preserve"> </w:t>
      </w:r>
      <w:r>
        <w:t xml:space="preserve">and/or technical failures:</w:t>
      </w:r>
      <w:r>
        <w:t xml:space="preserve"> </w:t>
      </w:r>
      <w:r>
        <w:t xml:space="preserve">No legal basis for ECHA to remove or de-emphasise inactive notifications or correct /</w:t>
      </w:r>
      <w:r>
        <w:t xml:space="preserve"> </w:t>
      </w:r>
      <w:r>
        <w:t xml:space="preserve">delete erroneous notifications and inability for notifiers to remove obsolete</w:t>
      </w:r>
      <w:r>
        <w:t xml:space="preserve"> </w:t>
      </w:r>
      <w:r>
        <w:t xml:space="preserve">Classification and Labelling entries. This driver relates to the lack of a process to remove</w:t>
      </w:r>
      <w:r>
        <w:t xml:space="preserve"> </w:t>
      </w:r>
      <w:r>
        <w:t xml:space="preserve">incorrect or inactive notifications, but they differ with respect to the party involved. Articles</w:t>
      </w:r>
      <w:r>
        <w:t xml:space="preserve"> </w:t>
      </w:r>
      <w:r>
        <w:t xml:space="preserve">15 and 40 of the CLP Regulation place legal obligations on notifiers to update their</w:t>
      </w:r>
      <w:r>
        <w:t xml:space="preserve"> </w:t>
      </w:r>
      <w:r>
        <w:t xml:space="preserve">notification(s) whenever they become aware of new and reliable information which changes</w:t>
      </w:r>
      <w:r>
        <w:t xml:space="preserve"> </w:t>
      </w:r>
      <w:r>
        <w:t xml:space="preserve">the classification and labelling of their substance(s). Notifiers can inform ECHA if the</w:t>
      </w:r>
      <w:r>
        <w:t xml:space="preserve"> </w:t>
      </w:r>
      <w:r>
        <w:t xml:space="preserve">manufacture or import of the substance has ceased. This will change the notification to</w:t>
      </w:r>
      <w:r>
        <w:t xml:space="preserve"> </w:t>
      </w:r>
      <w:r>
        <w:t xml:space="preserve">“Inactive” but notifiers are not entitled to themselves modify/remove their notification from</w:t>
      </w:r>
      <w:r>
        <w:t xml:space="preserve"> </w:t>
      </w:r>
      <w:r>
        <w:t xml:space="preserve">the inventory as it is ECHA which maintains the Classification and Labelling Inventory.</w:t>
      </w:r>
      <w:r>
        <w:t xml:space="preserve"> </w:t>
      </w:r>
      <w:r>
        <w:t xml:space="preserve">The inventory is automatically updated when a notifier submits data to ECHA. There is no</w:t>
      </w:r>
      <w:r>
        <w:t xml:space="preserve"> </w:t>
      </w:r>
      <w:r>
        <w:t xml:space="preserve">legal basis for ECHA to correct or delete obvious mistakes as it is not expected from ECHA</w:t>
      </w:r>
      <w:r>
        <w:t xml:space="preserve"> </w:t>
      </w:r>
      <w:r>
        <w:t xml:space="preserve">to know the exact classification of each substance under self-classification. There is also no</w:t>
      </w:r>
      <w:r>
        <w:t xml:space="preserve"> </w:t>
      </w:r>
      <w:r>
        <w:t xml:space="preserve">legal basis for ECHA to remove entries by companies which no longer exist or for</w:t>
      </w:r>
      <w:r>
        <w:t xml:space="preserve"> </w:t>
      </w:r>
      <w:r>
        <w:t xml:space="preserve">substances which are no longer placed on the market (especially below 1t/y), or to contact</w:t>
      </w:r>
      <w:r>
        <w:t xml:space="preserve"> </w:t>
      </w:r>
      <w:r>
        <w:t xml:space="preserve">notifiers/registrants to initiate these corrections. Finally there is also no obligation for the</w:t>
      </w:r>
      <w:r>
        <w:t xml:space="preserve"> </w:t>
      </w:r>
      <w:r>
        <w:t xml:space="preserve">manufacturer/importer to check the quality of the information being notified. Feedback</w:t>
      </w:r>
      <w:r>
        <w:t xml:space="preserve"> </w:t>
      </w:r>
      <w:r>
        <w:t xml:space="preserve">received on CARACAL Document CA/77/2020 on the improvement and re-design of the</w:t>
      </w:r>
      <w:r>
        <w:t xml:space="preserve"> </w:t>
      </w:r>
      <w:r>
        <w:t xml:space="preserve">CLP inventory suggested that multiple classifications for the same substances are to a</w:t>
      </w:r>
      <w:r>
        <w:t xml:space="preserve"> </w:t>
      </w:r>
      <w:r>
        <w:t xml:space="preserve">significant extent caused by the inability to remove classification and labelling entries for</w:t>
      </w:r>
      <w:r>
        <w:t xml:space="preserve"> </w:t>
      </w:r>
      <w:r>
        <w:t xml:space="preserve">substances that are no longer of interest to a notifier.  However, when a notifier indicates to</w:t>
      </w:r>
      <w:r>
        <w:t xml:space="preserve"> </w:t>
      </w:r>
      <w:r>
        <w:t xml:space="preserve">cease manufacture/import, the C&amp;L is removed from the public inventory (so in effect it</w:t>
      </w:r>
      <w:r>
        <w:t xml:space="preserve"> </w:t>
      </w:r>
      <w:r>
        <w:t xml:space="preserve">appears as removed).</w:t>
      </w:r>
      <w:r>
        <w:t xml:space="preserve"> </w:t>
      </w:r>
      <w:r>
        <w:t xml:space="preserve">Shortcomings in ECHA’s IT tools for Classification and Labelling notifications,</w:t>
      </w:r>
      <w:r>
        <w:t xml:space="preserve"> </w:t>
      </w:r>
      <w:r>
        <w:t xml:space="preserve">leading to high administrative costs and burden for companies. Notifications to the</w:t>
      </w:r>
      <w:r>
        <w:t xml:space="preserve"> </w:t>
      </w:r>
      <w:r>
        <w:t xml:space="preserve">Classification and Labelling Inventory must be submitted electronically, either through the</w:t>
      </w:r>
      <w:r>
        <w:t xml:space="preserve"> </w:t>
      </w:r>
      <w:r>
        <w:t xml:space="preserve">REACH-IT portal or IUCLID. Previously, the bulk notification tool (Bulk XML) could be</w:t>
      </w:r>
      <w:r>
        <w:t xml:space="preserve"> </w:t>
      </w:r>
      <w:r>
        <w:t xml:space="preserve">used to submit bulk notifications, but this method has recently been replaced with IUCLID</w:t>
      </w:r>
      <w:r>
        <w:t xml:space="preserve"> </w:t>
      </w:r>
      <w:r>
        <w:t xml:space="preserve">cloud and a soon to be released system-to-system platform. The choice of which tool is used</w:t>
      </w:r>
      <w:r>
        <w:t xml:space="preserve"> </w:t>
      </w:r>
      <w:r>
        <w:t xml:space="preserve">to submit a notification to the Classification and Labelling Inventory depends on whether</w:t>
      </w:r>
      <w:r>
        <w:t xml:space="preserve"> </w:t>
      </w:r>
      <w:r>
        <w:t xml:space="preserve">you have a substance with multiple constituents, if a notifier wants to keep the IUPAC226</w:t>
      </w:r>
      <w:r>
        <w:t xml:space="preserve"> </w:t>
      </w:r>
      <w:r>
        <w:t xml:space="preserve">name confidential when submitting the notification, or the number of substances to be</w:t>
      </w:r>
    </w:p>
    <w:p>
      <w:pPr>
        <w:pStyle w:val="BodyText"/>
      </w:pPr>
      <w:r>
        <w:t xml:space="preserve">226 IUPAC: International Union of Pure and Applied Chemistry.</w:t>
      </w:r>
    </w:p>
    <w:p>
      <w:pPr>
        <w:pStyle w:val="BodyText"/>
      </w:pPr>
      <w:r>
        <w:t xml:space="preserve">285</w:t>
      </w:r>
      <w:r>
        <w:t xml:space="preserve"> </w:t>
      </w:r>
      <w:r>
        <w:t xml:space="preserve">notified. A report on the review of ECHA found shortcomings with ECHA’s IT tools (Amec</w:t>
      </w:r>
      <w:r>
        <w:t xml:space="preserve"> </w:t>
      </w:r>
      <w:r>
        <w:t xml:space="preserve">Foster Wheeler et al., 2017227), which may act as a deterrent for companies when it comes</w:t>
      </w:r>
      <w:r>
        <w:t xml:space="preserve"> </w:t>
      </w:r>
      <w:r>
        <w:t xml:space="preserve">to updating their Classification and Labelling Inventory notifications, particularly for SMEs.</w:t>
      </w:r>
      <w:r>
        <w:t xml:space="preserve"> </w:t>
      </w:r>
      <w:r>
        <w:t xml:space="preserve">These included:</w:t>
      </w:r>
    </w:p>
    <w:p>
      <w:pPr>
        <w:pStyle w:val="BodyText"/>
      </w:pPr>
      <w:r>
        <w:t xml:space="preserve">Frequent IUCLID updates, leading to adaptation costs primarily due to</w:t>
      </w:r>
      <w:r>
        <w:t xml:space="preserve"> </w:t>
      </w:r>
      <w:r>
        <w:t xml:space="preserve">training and increased administrative burdens for companies;</w:t>
      </w:r>
    </w:p>
    <w:p>
      <w:pPr>
        <w:pStyle w:val="BodyText"/>
      </w:pPr>
      <w:r>
        <w:t xml:space="preserve">Lengthy and sometimes too complex guidance for IUCLID;</w:t>
      </w:r>
    </w:p>
    <w:p>
      <w:pPr>
        <w:pStyle w:val="BodyText"/>
      </w:pPr>
      <w:r>
        <w:t xml:space="preserve">REACH-IT not being accessible on weekends and Finnish public holidays;</w:t>
      </w:r>
    </w:p>
    <w:p>
      <w:pPr>
        <w:pStyle w:val="BodyText"/>
      </w:pPr>
      <w:r>
        <w:t xml:space="preserve">IT tools not translated into every EU language; and</w:t>
      </w:r>
      <w:r>
        <w:t xml:space="preserve"> </w:t>
      </w:r>
      <w:r>
        <w:t xml:space="preserve">Complexity and lack of user-friendliness of the software, particularly IUCLID, leading to</w:t>
      </w:r>
      <w:r>
        <w:t xml:space="preserve"> </w:t>
      </w:r>
      <w:r>
        <w:t xml:space="preserve">time consuming processes and the need for SMEs to use external consultants.</w:t>
      </w:r>
      <w:r>
        <w:t xml:space="preserve"> </w:t>
      </w:r>
      <w:r>
        <w:t xml:space="preserve">However, it needs to be noted that the three first shortcomings listed above have meanwhile</w:t>
      </w:r>
      <w:r>
        <w:t xml:space="preserve"> </w:t>
      </w:r>
      <w:r>
        <w:t xml:space="preserve">been addressed by ECHA’s IUCLID cloud.</w:t>
      </w:r>
      <w:r>
        <w:t xml:space="preserve"> </w:t>
      </w:r>
      <w:r>
        <w:t xml:space="preserve">Lack of transparency in the Classification and Labelling Inventory regarding the</w:t>
      </w:r>
      <w:r>
        <w:t xml:space="preserve"> </w:t>
      </w:r>
      <w:r>
        <w:t xml:space="preserve">identity of notifiers preventing communication between notifiers of the same</w:t>
      </w:r>
      <w:r>
        <w:t xml:space="preserve"> </w:t>
      </w:r>
      <w:r>
        <w:t xml:space="preserve">substance. The public Classification and Labelling Inventory does not publish the identity</w:t>
      </w:r>
      <w:r>
        <w:t xml:space="preserve"> </w:t>
      </w:r>
      <w:r>
        <w:t xml:space="preserve">of notifiers, and therefore notifiers are unable to identify who has submitted classifications</w:t>
      </w:r>
      <w:r>
        <w:t xml:space="preserve"> </w:t>
      </w:r>
      <w:r>
        <w:t xml:space="preserve">and why they are possibly differing from their own. This lack of transparency regarding the</w:t>
      </w:r>
      <w:r>
        <w:t xml:space="preserve"> </w:t>
      </w:r>
      <w:r>
        <w:t xml:space="preserve">notifier identity acts as a barrier for discussions amongst notifiers. However, ECHA figures</w:t>
      </w:r>
      <w:r>
        <w:t xml:space="preserve"> </w:t>
      </w:r>
      <w:r>
        <w:t xml:space="preserve">(see above) show that the problem is not as huge as originally suspected, especially as many</w:t>
      </w:r>
      <w:r>
        <w:t xml:space="preserve"> </w:t>
      </w:r>
      <w:r>
        <w:t xml:space="preserve">notifiers are part of a ‘group’ (see next para.) and hence they know the group members’</w:t>
      </w:r>
      <w:r>
        <w:t xml:space="preserve"> </w:t>
      </w:r>
      <w:r>
        <w:t xml:space="preserve">identity. The notifier that submits a notification with a group of companies has to upload a</w:t>
      </w:r>
      <w:r>
        <w:t xml:space="preserve"> </w:t>
      </w:r>
      <w:r>
        <w:t xml:space="preserve">file with the names of the companies, meaning it knows the name of the companies in that</w:t>
      </w:r>
      <w:r>
        <w:t xml:space="preserve"> </w:t>
      </w:r>
      <w:r>
        <w:t xml:space="preserve">group.</w:t>
      </w:r>
      <w:r>
        <w:t xml:space="preserve"> </w:t>
      </w:r>
      <w:r>
        <w:t xml:space="preserve">No compulsory legal requirement for notifiers to come to an agreement on self-</w:t>
      </w:r>
      <w:r>
        <w:t xml:space="preserve"> </w:t>
      </w:r>
      <w:r>
        <w:t xml:space="preserve">classifications. Article 41 of CLP states that for notifications for the same substances “the</w:t>
      </w:r>
      <w:r>
        <w:t xml:space="preserve"> </w:t>
      </w:r>
      <w:r>
        <w:t xml:space="preserve">notifiers and registrants shall make every effort to come to an agreed entry to be included</w:t>
      </w:r>
      <w:r>
        <w:t xml:space="preserve"> </w:t>
      </w:r>
      <w:r>
        <w:t xml:space="preserve">in the inventory”. However, there is no legal obligation for notifiers and registrants to come</w:t>
      </w:r>
      <w:r>
        <w:t xml:space="preserve"> </w:t>
      </w:r>
      <w:r>
        <w:t xml:space="preserve">to an agreement. Data provided by ECHA on the Classification and Labelling Inventory</w:t>
      </w:r>
      <w:r>
        <w:t xml:space="preserve"> </w:t>
      </w:r>
      <w:r>
        <w:t xml:space="preserve">highlighted that collaboration is already happening to a certain extent. Around one third of</w:t>
      </w:r>
      <w:r>
        <w:t xml:space="preserve"> </w:t>
      </w:r>
      <w:r>
        <w:t xml:space="preserve">notifications are coming from groups of manufacturers and importers, with an average of</w:t>
      </w:r>
      <w:r>
        <w:t xml:space="preserve"> </w:t>
      </w:r>
      <w:r>
        <w:t xml:space="preserve">44 manufacturers/importers per group. This leaves around two thirds of notifications</w:t>
      </w:r>
      <w:r>
        <w:t xml:space="preserve"> </w:t>
      </w:r>
      <w:r>
        <w:t xml:space="preserve">coming from individuals who are likely to be self-classifying their substances in isolation.</w:t>
      </w:r>
      <w:r>
        <w:t xml:space="preserve"> </w:t>
      </w:r>
      <w:r>
        <w:t xml:space="preserve">However, based on the high usage of the Classification and Labelling Inventory, many are</w:t>
      </w:r>
      <w:r>
        <w:t xml:space="preserve"> </w:t>
      </w:r>
      <w:r>
        <w:t xml:space="preserve">likely to be classifying similarly to already existing notifiers, even if not actively discussing</w:t>
      </w:r>
      <w:r>
        <w:t xml:space="preserve"> </w:t>
      </w:r>
      <w:r>
        <w:t xml:space="preserve">with them. So while the Classification and Labelling Inventory is unlikely to bring existing</w:t>
      </w:r>
      <w:r>
        <w:t xml:space="preserve"> </w:t>
      </w:r>
      <w:r>
        <w:t xml:space="preserve">notifiers to change what they already notified, it is likely to serve as a source for new</w:t>
      </w:r>
      <w:r>
        <w:t xml:space="preserve"> </w:t>
      </w:r>
      <w:r>
        <w:t xml:space="preserve">notifiers. Moreover, some of ECHA’s submission tools (online dossier tool, subsequently</w:t>
      </w:r>
      <w:r>
        <w:t xml:space="preserve"> </w:t>
      </w:r>
      <w:r>
        <w:t xml:space="preserve">IUCLID cloud) suggest existing classifications when submitting a notification for a</w:t>
      </w:r>
      <w:r>
        <w:t xml:space="preserve"> </w:t>
      </w:r>
      <w:r>
        <w:t xml:space="preserve">substance already in the Classification and Labelling Inventory.</w:t>
      </w:r>
    </w:p>
    <w:p>
      <w:pPr>
        <w:pStyle w:val="BodyText"/>
      </w:pPr>
      <w:r>
        <w:t xml:space="preserve">227 Amec Foster Wheeler et al., A Study to gather insights on the drivers, barriers, costs and benefits for</w:t>
      </w:r>
      <w:r>
        <w:t xml:space="preserve"> </w:t>
      </w:r>
      <w:r>
        <w:t xml:space="preserve">updating</w:t>
      </w:r>
      <w:r>
        <w:t xml:space="preserve"> </w:t>
      </w:r>
      <w:r>
        <w:t xml:space="preserve">REACH</w:t>
      </w:r>
      <w:r>
        <w:t xml:space="preserve"> </w:t>
      </w:r>
      <w:r>
        <w:t xml:space="preserve">registration</w:t>
      </w:r>
      <w:r>
        <w:t xml:space="preserve"> </w:t>
      </w:r>
      <w:r>
        <w:t xml:space="preserve">and</w:t>
      </w:r>
      <w:r>
        <w:t xml:space="preserve"> </w:t>
      </w:r>
      <w:r>
        <w:t xml:space="preserve">CLP</w:t>
      </w:r>
      <w:r>
        <w:t xml:space="preserve"> </w:t>
      </w:r>
      <w:r>
        <w:t xml:space="preserve">notification</w:t>
      </w:r>
      <w:r>
        <w:t xml:space="preserve"> </w:t>
      </w:r>
      <w:r>
        <w:t xml:space="preserve">dossiers,</w:t>
      </w:r>
      <w:r>
        <w:t xml:space="preserve"> </w:t>
      </w:r>
      <w:r>
        <w:t xml:space="preserve">2017,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https://echa.europa.eu/documents/10162/22931011/study_drivers_and_obstacles_reach_clp_updates_en.pdf/</w:t>
      </w:r>
      <w:r>
        <w:t xml:space="preserve"> </w:t>
      </w:r>
      <w:r>
        <w:t xml:space="preserve">7b21b25e-9a11-ef05-30ce-e09a60aa204f .</w:t>
      </w:r>
    </w:p>
    <w:p>
      <w:pPr>
        <w:pStyle w:val="BodyText"/>
      </w:pPr>
      <w:r>
        <w:t xml:space="preserve">286</w:t>
      </w:r>
      <w:r>
        <w:t xml:space="preserve"> </w:t>
      </w:r>
      <w:r>
        <w:t xml:space="preserve">It has been noted by ECHA that the Classification and Labelling Inventory primarily</w:t>
      </w:r>
      <w:r>
        <w:t xml:space="preserve"> </w:t>
      </w:r>
      <w:r>
        <w:t xml:space="preserve">provides transparency on how substances on the EU market have been self-classified by</w:t>
      </w:r>
      <w:r>
        <w:t xml:space="preserve"> </w:t>
      </w:r>
      <w:r>
        <w:t xml:space="preserve">companies and it is not a tool that creates harmonisation after companies have notified their</w:t>
      </w:r>
      <w:r>
        <w:t xml:space="preserve"> </w:t>
      </w:r>
      <w:r>
        <w:t xml:space="preserve">classifications to the inventory. There is no incentive for agreeing on classifications after</w:t>
      </w:r>
      <w:r>
        <w:t xml:space="preserve"> </w:t>
      </w:r>
      <w:r>
        <w:t xml:space="preserve">notifications are submitted to the inventory.</w:t>
      </w:r>
      <w:r>
        <w:br/>
      </w:r>
      <w:r>
        <w:t xml:space="preserve">Stakeholders’ views228</w:t>
      </w:r>
      <w:r>
        <w:br/>
      </w:r>
      <w:r>
        <w:t xml:space="preserve">Stakeholder mostly approached the problems from the perspective of actions or measures</w:t>
      </w:r>
      <w:r>
        <w:t xml:space="preserve"> </w:t>
      </w:r>
      <w:r>
        <w:t xml:space="preserve">that could be taken to tackle them. Therefore, most responses were not descriptions of the</w:t>
      </w:r>
      <w:r>
        <w:t xml:space="preserve"> </w:t>
      </w:r>
      <w:r>
        <w:t xml:space="preserve">problems as perceived by the respondents, but rather reactions to potential actions or</w:t>
      </w:r>
      <w:r>
        <w:t xml:space="preserve"> </w:t>
      </w:r>
      <w:r>
        <w:t xml:space="preserve">measures.</w:t>
      </w:r>
      <w:r>
        <w:br/>
      </w:r>
      <w:r>
        <w:t xml:space="preserve">With regards to Classification and Labelling Inventory, few reactions were received in</w:t>
      </w:r>
      <w:r>
        <w:t xml:space="preserve"> </w:t>
      </w:r>
      <w:r>
        <w:t xml:space="preserve">position papers and open text responses both in the OPC and Targeted Stakeholders Survey</w:t>
      </w:r>
      <w:r>
        <w:t xml:space="preserve"> </w:t>
      </w:r>
      <w:r>
        <w:t xml:space="preserve">that may indicate less interest of the respondents in this problem. Furthermore, the Targeted</w:t>
      </w:r>
      <w:r>
        <w:t xml:space="preserve"> </w:t>
      </w:r>
      <w:r>
        <w:t xml:space="preserve">Stakeholders Survey respondents (who mostly represented business entities) explicitly</w:t>
      </w:r>
      <w:r>
        <w:t xml:space="preserve"> </w:t>
      </w:r>
      <w:r>
        <w:t xml:space="preserve">stated in their open text comments that they do not see any significant problems in</w:t>
      </w:r>
      <w:r>
        <w:t xml:space="preserve"> </w:t>
      </w:r>
      <w:r>
        <w:t xml:space="preserve">Classification and Labelling Inventory, although acknowledged that the Inventory contains</w:t>
      </w:r>
      <w:r>
        <w:t xml:space="preserve"> </w:t>
      </w:r>
      <w:r>
        <w:t xml:space="preserve">obsolete information and errors and self-classification of the same substance/mixture may</w:t>
      </w:r>
      <w:r>
        <w:t xml:space="preserve"> </w:t>
      </w:r>
      <w:r>
        <w:t xml:space="preserve">diverge. However, the latter could be often justified. Similarly, the interview respondents</w:t>
      </w:r>
      <w:r>
        <w:t xml:space="preserve"> </w:t>
      </w:r>
      <w:r>
        <w:t xml:space="preserve">pointed to the quality of CLI Classification and Labelling Inventory information as well as</w:t>
      </w:r>
      <w:r>
        <w:t xml:space="preserve"> </w:t>
      </w:r>
      <w:r>
        <w:t xml:space="preserve">diverging self-classifications as problems, although as reported such problems did not have</w:t>
      </w:r>
      <w:r>
        <w:t xml:space="preserve"> </w:t>
      </w:r>
      <w:r>
        <w:t xml:space="preserve">any significant effect on stakeholders.</w:t>
      </w:r>
      <w:r>
        <w:br/>
      </w:r>
      <w:r>
        <w:t xml:space="preserve">Very few instances of written feedback following the CARACAL meeting on self-</w:t>
      </w:r>
      <w:r>
        <w:t xml:space="preserve"> </w:t>
      </w:r>
      <w:r>
        <w:t xml:space="preserve">classification has been available mostly from the observers.</w:t>
      </w:r>
      <w:r>
        <w:br/>
      </w:r>
      <w:r>
        <w:t xml:space="preserve">The baseline</w:t>
      </w:r>
      <w:r>
        <w:t xml:space="preserve"> </w:t>
      </w:r>
      <w:r>
        <w:t xml:space="preserve">As of 30th November 2021, 751,436 notifications have been submitted to the Classification</w:t>
      </w:r>
      <w:r>
        <w:t xml:space="preserve"> </w:t>
      </w:r>
      <w:r>
        <w:t xml:space="preserve">and Labelling Inventory on 205,903 substances, the majority coming from C&amp;L</w:t>
      </w:r>
      <w:r>
        <w:t xml:space="preserve"> </w:t>
      </w:r>
      <w:r>
        <w:t xml:space="preserve">notifications (656,741) and the remainder coming from REACH Registrations (94,695).</w:t>
      </w:r>
      <w:r>
        <w:t xml:space="preserve"> </w:t>
      </w:r>
      <w:r>
        <w:t xml:space="preserve">Most substances (89%) notified to the Classification and Labelling Inventory originate</w:t>
      </w:r>
      <w:r>
        <w:t xml:space="preserve"> </w:t>
      </w:r>
      <w:r>
        <w:t xml:space="preserve">exclusively from CLP notifications – e.g. due to tonnage thresholds or exemptions -, with</w:t>
      </w:r>
      <w:r>
        <w:t xml:space="preserve"> </w:t>
      </w:r>
      <w:r>
        <w:t xml:space="preserve">11%229 originating from REACH registrations.</w:t>
      </w:r>
      <w:r>
        <w:br/>
      </w:r>
      <w:r>
        <w:t xml:space="preserve">Actual notification submitters (excluding group members) amount to 22,745 legal entities,</w:t>
      </w:r>
      <w:r>
        <w:t xml:space="preserve"> </w:t>
      </w:r>
      <w:r>
        <w:t xml:space="preserve">of which 14,888 from REACH Registrations and 12,244 from CLP notifications. Around</w:t>
      </w:r>
      <w:r>
        <w:t xml:space="preserve"> </w:t>
      </w:r>
      <w:r>
        <w:t xml:space="preserve">11,055 actual notification submitters are SMEs (48.6% of the total).</w:t>
      </w:r>
      <w:r>
        <w:br/>
      </w:r>
      <w:r>
        <w:t xml:space="preserve">A single Classification and Labelling notification, described as a granular C&amp;L notification,</w:t>
      </w:r>
      <w:r>
        <w:t xml:space="preserve"> </w:t>
      </w:r>
      <w:r>
        <w:t xml:space="preserve">contains a combination of the following:</w:t>
      </w:r>
      <w:r>
        <w:br/>
      </w:r>
      <w:r>
        <w:t xml:space="preserve"> Substance;</w:t>
      </w:r>
    </w:p>
    <w:p>
      <w:pPr>
        <w:pStyle w:val="BodyText"/>
      </w:pPr>
      <w:r>
        <w:t xml:space="preserve">228 See also Annex IV.</w:t>
      </w:r>
      <w:r>
        <w:t xml:space="preserve"> </w:t>
      </w:r>
      <w:r>
        <w:t xml:space="preserve">229 According to ECHA, 2% of substances in the CLI get their data from REACH registrations only. 9% of</w:t>
      </w:r>
      <w:r>
        <w:t xml:space="preserve"> </w:t>
      </w:r>
      <w:r>
        <w:t xml:space="preserve">substances get their data both from C&amp;L notifications and REACH registrations (the logical explanation is</w:t>
      </w:r>
      <w:r>
        <w:t xml:space="preserve"> </w:t>
      </w:r>
      <w:r>
        <w:t xml:space="preserve">that some companies are below 1 tonne).</w:t>
      </w:r>
    </w:p>
    <w:p>
      <w:pPr>
        <w:pStyle w:val="BodyText"/>
      </w:pPr>
      <w:r>
        <w:t xml:space="preserve">287</w:t>
      </w:r>
      <w:r>
        <w:t xml:space="preserve"> </w:t>
      </w:r>
      <w:r>
        <w:t xml:space="preserve"> Substance variant (e.g. physical state / form; chemical hydration; composition with</w:t>
      </w:r>
      <w:r>
        <w:t xml:space="preserve"> </w:t>
      </w:r>
      <w:r>
        <w:t xml:space="preserve">an impurity / additive etc);</w:t>
      </w:r>
      <w:r>
        <w:t xml:space="preserve"> </w:t>
      </w:r>
      <w:r>
        <w:t xml:space="preserve"> Classification;</w:t>
      </w:r>
      <w:r>
        <w:t xml:space="preserve"> </w:t>
      </w:r>
      <w:r>
        <w:t xml:space="preserve"> Labelling;</w:t>
      </w:r>
      <w:r>
        <w:t xml:space="preserve"> </w:t>
      </w:r>
      <w:r>
        <w:t xml:space="preserve"> Legal entity.</w:t>
      </w:r>
      <w:r>
        <w:t xml:space="preserve"> </w:t>
      </w:r>
      <w:r>
        <w:t xml:space="preserve">Classification and Labelling notifications can be submitted by one legal entity on behalf of</w:t>
      </w:r>
      <w:r>
        <w:t xml:space="preserve"> </w:t>
      </w:r>
      <w:r>
        <w:t xml:space="preserve">a group of manufacturers and importers. For example, the notification submitted on behalf</w:t>
      </w:r>
      <w:r>
        <w:t xml:space="preserve"> </w:t>
      </w:r>
      <w:r>
        <w:t xml:space="preserve">of 50 group members would resolve into 50 granular Classification and Labelling</w:t>
      </w:r>
      <w:r>
        <w:t xml:space="preserve"> </w:t>
      </w:r>
      <w:r>
        <w:t xml:space="preserve">notifications, and if the group notification contained two substance variants, it would resolve</w:t>
      </w:r>
      <w:r>
        <w:t xml:space="preserve"> </w:t>
      </w:r>
      <w:r>
        <w:t xml:space="preserve">into 100 granular notifications. When the number of granular notifications is taken into</w:t>
      </w:r>
      <w:r>
        <w:t xml:space="preserve"> </w:t>
      </w:r>
      <w:r>
        <w:t xml:space="preserve">account, over 10 million unique notifications have been submitted to the Classification and</w:t>
      </w:r>
      <w:r>
        <w:t xml:space="preserve"> </w:t>
      </w:r>
      <w:r>
        <w:t xml:space="preserve">Labelling Inventory, which come mainly from expanding the group notifications into their</w:t>
      </w:r>
      <w:r>
        <w:t xml:space="preserve"> </w:t>
      </w:r>
      <w:r>
        <w:t xml:space="preserve">constituent Classification and Labelling notifications from the different group members.</w:t>
      </w:r>
      <w:r>
        <w:t xml:space="preserve"> </w:t>
      </w:r>
      <w:r>
        <w:t xml:space="preserve">Data provided by ECHA to the study team of the study underlying this Staff Working</w:t>
      </w:r>
      <w:r>
        <w:t xml:space="preserve"> </w:t>
      </w:r>
      <w:r>
        <w:t xml:space="preserve">Document shows that on average a group notification contains 44 group members.</w:t>
      </w:r>
      <w:r>
        <w:br/>
      </w:r>
      <w:r>
        <w:t xml:space="preserve">The large number of granular Classification and Labelling notifications that come from</w:t>
      </w:r>
      <w:r>
        <w:t xml:space="preserve"> </w:t>
      </w:r>
      <w:r>
        <w:t xml:space="preserve">group notifications demonstrates that a significant amount of collaboration between duty-</w:t>
      </w:r>
      <w:r>
        <w:t xml:space="preserve"> </w:t>
      </w:r>
      <w:r>
        <w:t xml:space="preserve">holders is already taking place to agree on a single classification, which is illustrated in the</w:t>
      </w:r>
      <w:r>
        <w:t xml:space="preserve"> </w:t>
      </w:r>
      <w:r>
        <w:t xml:space="preserve">graphics below. Figure 75 shows the level of agreement for different classifications and</w:t>
      </w:r>
      <w:r>
        <w:t xml:space="preserve"> </w:t>
      </w:r>
      <w:r>
        <w:t xml:space="preserve">labelling combination for substances in the Classification and Labelling Inventory that have</w:t>
      </w:r>
      <w:r>
        <w:t xml:space="preserve"> </w:t>
      </w:r>
      <w:r>
        <w:t xml:space="preserve">5 or fewer distinct classifications and labelling combinations.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Figure 75: Level of consensus based on submissions by individual notifiers and notifiers representing group</w:t>
      </w:r>
      <w:r>
        <w:t xml:space="preserve"> </w:t>
      </w:r>
      <w:r>
        <w:t xml:space="preserve">notifications - Source: ECHA data</w:t>
      </w:r>
    </w:p>
    <w:p>
      <w:pPr>
        <w:pStyle w:val="BodyText"/>
      </w:pPr>
      <w:r>
        <w:t xml:space="preserve">Figure 76 shows that if the agreement within group notifications is taken into account there</w:t>
      </w:r>
      <w:r>
        <w:t xml:space="preserve"> </w:t>
      </w:r>
      <w:r>
        <w:t xml:space="preserve">is a much higher level of consensus. It shows divergence caused by differences in</w:t>
      </w:r>
      <w:r>
        <w:t xml:space="preserve"> </w:t>
      </w:r>
      <w:r>
        <w:t xml:space="preserve">classification only, rather than divergence caused by different combinations of classification</w:t>
      </w:r>
      <w:r>
        <w:t xml:space="preserve"> </w:t>
      </w:r>
      <w:r>
        <w:t xml:space="preserve">and labelling, as substances with the same classification can have two distinct labelling</w:t>
      </w:r>
      <w:r>
        <w:t xml:space="preserve"> </w:t>
      </w:r>
      <w:r>
        <w:t xml:space="preserve">blocks.</w:t>
      </w:r>
    </w:p>
    <w:p>
      <w:pPr>
        <w:pStyle w:val="BodyText"/>
      </w:pPr>
      <w:r>
        <w:t xml:space="preserve">Figure 76: Level of consensus factoring in manufactturers/importers groups - Source: ECHA data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However, the level of convergence within group notifications is not currently displayed in</w:t>
      </w:r>
      <w:r>
        <w:t xml:space="preserve"> </w:t>
      </w:r>
      <w:r>
        <w:t xml:space="preserve">the existing data structure of the Classification and Labelling Inventory. The summaries of</w:t>
      </w:r>
      <w:r>
        <w:t xml:space="preserve"> </w:t>
      </w:r>
      <w:r>
        <w:t xml:space="preserve">notified classification and labelling entries are ordered by number of notifiers, but this only</w:t>
      </w:r>
      <w:r>
        <w:t xml:space="preserve"> </w:t>
      </w:r>
      <w:r>
        <w:t xml:space="preserve">counts M/I groups as one notifier.</w:t>
      </w:r>
      <w:r>
        <w:br/>
      </w:r>
      <w:r>
        <w:t xml:space="preserve">As highlighted above 78% of substances and 31% of notifications are aligned with a single</w:t>
      </w:r>
      <w:r>
        <w:t xml:space="preserve"> </w:t>
      </w:r>
      <w:r>
        <w:t xml:space="preserve">classification and divergence amongst the remaining 22% of substances and 69% of</w:t>
      </w:r>
      <w:r>
        <w:t xml:space="preserve"> </w:t>
      </w:r>
      <w:r>
        <w:t xml:space="preserve">notifications can be due to legitimate reasons, such as differences in physical form, presence</w:t>
      </w:r>
      <w:r>
        <w:t xml:space="preserve"> </w:t>
      </w:r>
      <w:r>
        <w:t xml:space="preserve">of impurities etc. Moreover, although sixty-nine percent (69%) of notifications diverge, this</w:t>
      </w:r>
      <w:r>
        <w:t xml:space="preserve"> </w:t>
      </w:r>
      <w:r>
        <w:t xml:space="preserve">figure is reduced to 23% once the agreement within group notifications is taken into account</w:t>
      </w:r>
      <w:r>
        <w:t xml:space="preserve"> </w:t>
      </w:r>
      <w:r>
        <w:t xml:space="preserve">- although this is not visible in the Classification and Labelling Inventory public portal.</w:t>
      </w:r>
      <w:r>
        <w:t xml:space="preserve"> </w:t>
      </w:r>
      <w:r>
        <w:t xml:space="preserve">This means that, when looking at the level of alignment in granular Classification and</w:t>
      </w:r>
      <w:r>
        <w:t xml:space="preserve"> </w:t>
      </w:r>
      <w:r>
        <w:t xml:space="preserve">Labelling notifications, which considers agreement within manufacturers/importers groups,</w:t>
      </w:r>
      <w:r>
        <w:t xml:space="preserve"> </w:t>
      </w:r>
      <w:r>
        <w:t xml:space="preserve">77% of the 10 million granular C&amp;L notifications agree on a classification.</w:t>
      </w:r>
      <w:r>
        <w:br/>
      </w:r>
      <w:r>
        <w:t xml:space="preserve">The data shows that classification divergence affects around 22% of notified substances.</w:t>
      </w:r>
      <w:r>
        <w:t xml:space="preserve"> </w:t>
      </w:r>
      <w:r>
        <w:t xml:space="preserve">ECHA and the European Commission initiated a redesign of the Classification and</w:t>
      </w:r>
      <w:r>
        <w:t xml:space="preserve"> </w:t>
      </w:r>
      <w:r>
        <w:t xml:space="preserve">Labelling Inventory in 2019. The aim is to improve how data are displayed, structured and</w:t>
      </w:r>
      <w:r>
        <w:t xml:space="preserve"> </w:t>
      </w:r>
      <w:r>
        <w:t xml:space="preserve">made available in the Inventory, in order to bring additional value and improve its ease of</w:t>
      </w:r>
      <w:r>
        <w:t xml:space="preserve"> </w:t>
      </w:r>
      <w:r>
        <w:t xml:space="preserve">use. Discussions held during CARACAL meetings highlighted the difficulties around</w:t>
      </w:r>
      <w:r>
        <w:t xml:space="preserve"> </w:t>
      </w:r>
      <w:r>
        <w:t xml:space="preserve">locating the relevant data from the inventory when small discrepancies lead to multiple</w:t>
      </w:r>
      <w:r>
        <w:t xml:space="preserve"> </w:t>
      </w:r>
      <w:r>
        <w:t xml:space="preserve">entries. CARACAL members noted that the current format highlights the differences and</w:t>
      </w:r>
      <w:r>
        <w:t xml:space="preserve"> </w:t>
      </w:r>
      <w:r>
        <w:t xml:space="preserve">does not focus on the similarities. The redesign of the Inventory is expected to streamline</w:t>
      </w:r>
      <w:r>
        <w:t xml:space="preserve"> </w:t>
      </w:r>
      <w:r>
        <w:t xml:space="preserve">the data set, enhance the data available and provide tools to tailor the results.</w:t>
      </w:r>
      <w:r>
        <w:br/>
      </w:r>
      <w:r>
        <w:t xml:space="preserve">The suggested improvements are based on years of operational feedback from MSCAs,</w:t>
      </w:r>
      <w:r>
        <w:t xml:space="preserve"> </w:t>
      </w:r>
      <w:r>
        <w:t xml:space="preserve">users, and Classification and Labelling experts, and work done on other disseminated</w:t>
      </w:r>
      <w:r>
        <w:t xml:space="preserve"> </w:t>
      </w:r>
      <w:r>
        <w:t xml:space="preserve">datasets. The improvements would focus on:</w:t>
      </w:r>
      <w:r>
        <w:br/>
      </w:r>
      <w:r>
        <w:t xml:space="preserve"> Improving structure and display of data to make consensus Classification and</w:t>
      </w:r>
      <w:r>
        <w:t xml:space="preserve"> </w:t>
      </w:r>
      <w:r>
        <w:t xml:space="preserve">Labelling data more prominent – the ability to use filtering logic is envisaged to</w:t>
      </w:r>
      <w:r>
        <w:t xml:space="preserve"> </w:t>
      </w:r>
      <w:r>
        <w:t xml:space="preserve">assist with removing erroneous entries and corrupt data230 regularly associated with</w:t>
      </w:r>
      <w:r>
        <w:t xml:space="preserve"> </w:t>
      </w:r>
      <w:r>
        <w:t xml:space="preserve">group self-classifications;</w:t>
      </w:r>
      <w:r>
        <w:br/>
      </w:r>
      <w:r>
        <w:t xml:space="preserve"> Clarifying the source of divergence – this would involve processing and</w:t>
      </w:r>
      <w:r>
        <w:t xml:space="preserve"> </w:t>
      </w:r>
      <w:r>
        <w:t xml:space="preserve">publishing data on the physical form of a substance and the existence of impurities.</w:t>
      </w:r>
      <w:r>
        <w:t xml:space="preserve"> </w:t>
      </w:r>
      <w:r>
        <w:t xml:space="preserve">This granularity could help users understand why classifications legitimately differ</w:t>
      </w:r>
      <w:r>
        <w:t xml:space="preserve"> </w:t>
      </w:r>
      <w:r>
        <w:t xml:space="preserve">from one another;</w:t>
      </w:r>
      <w:r>
        <w:br/>
      </w:r>
      <w:r>
        <w:t xml:space="preserve"> Publication of notifier names to encourage convergence; and</w:t>
      </w:r>
      <w:r>
        <w:br/>
      </w:r>
      <w:r>
        <w:t xml:space="preserve"> Revising data access formats (download, Application Programming Interface).</w:t>
      </w:r>
    </w:p>
    <w:p>
      <w:pPr>
        <w:pStyle w:val="BodyText"/>
      </w:pPr>
      <w:r>
        <w:t xml:space="preserve">230 According to ECHA the data corruptions mostly came from the now discontinued Bulk XML tool, and are</w:t>
      </w:r>
      <w:r>
        <w:t xml:space="preserve"> </w:t>
      </w:r>
      <w:r>
        <w:t xml:space="preserve">not related with the groups (even if also groups have notified with this tool). ECHA is undertaking a project</w:t>
      </w:r>
      <w:r>
        <w:t xml:space="preserve"> </w:t>
      </w:r>
      <w:r>
        <w:t xml:space="preserve">to resolve the corruptions as far as possible; results will be available in the new platform.</w:t>
      </w:r>
    </w:p>
    <w:p>
      <w:pPr>
        <w:pStyle w:val="BodyText"/>
      </w:pPr>
      <w:r>
        <w:t xml:space="preserve">290</w:t>
      </w:r>
      <w:r>
        <w:t xml:space="preserve"> </w:t>
      </w:r>
      <w:r>
        <w:t xml:space="preserve">It has also been proposed to add the functionality of a “notifiers dashboard” for companies</w:t>
      </w:r>
      <w:r>
        <w:t xml:space="preserve"> </w:t>
      </w:r>
      <w:r>
        <w:t xml:space="preserve">to have an overview of their notifications, the possibility to access them, do modifications</w:t>
      </w:r>
      <w:r>
        <w:t xml:space="preserve"> </w:t>
      </w:r>
      <w:r>
        <w:t xml:space="preserve">in bulk and update when necessary. Another proposal was to eliminate a notification once</w:t>
      </w:r>
      <w:r>
        <w:t xml:space="preserve"> </w:t>
      </w:r>
      <w:r>
        <w:t xml:space="preserve">the notifier has submitted a REACH dossier, as the C&amp;L of the dossier must always have</w:t>
      </w:r>
      <w:r>
        <w:t xml:space="preserve"> </w:t>
      </w:r>
      <w:r>
        <w:t xml:space="preserve">precedence. The latter measure is already in place in the meantime.</w:t>
      </w:r>
      <w:r>
        <w:t xml:space="preserve"> </w:t>
      </w:r>
      <w:r>
        <w:t xml:space="preserve">The redesigned inventory was initially planned to become operational in 2022. However,</w:t>
      </w:r>
      <w:r>
        <w:t xml:space="preserve"> </w:t>
      </w:r>
      <w:r>
        <w:t xml:space="preserve">ECHA experienced a number of problems with the current dissemination platform, which</w:t>
      </w:r>
      <w:r>
        <w:t xml:space="preserve"> </w:t>
      </w:r>
      <w:r>
        <w:t xml:space="preserve">impacted on the data within the CLI, with instances of some of the publicly available data</w:t>
      </w:r>
      <w:r>
        <w:t xml:space="preserve"> </w:t>
      </w:r>
      <w:r>
        <w:t xml:space="preserve">disappearing. This meant that ECHA has had to delay its roadmap for improving the CLI to</w:t>
      </w:r>
      <w:r>
        <w:t xml:space="preserve"> </w:t>
      </w:r>
      <w:r>
        <w:t xml:space="preserve">focus its resources on “life support” of the current platform to keep it operational. ECHA is</w:t>
      </w:r>
      <w:r>
        <w:t xml:space="preserve"> </w:t>
      </w:r>
      <w:r>
        <w:t xml:space="preserve">currently looking to develop a new data availability solution to host future dissemination</w:t>
      </w:r>
      <w:r>
        <w:t xml:space="preserve"> </w:t>
      </w:r>
      <w:r>
        <w:t xml:space="preserve">activities. Work has begun to scope out the construction of this solution, as an architecture</w:t>
      </w:r>
      <w:r>
        <w:t xml:space="preserve"> </w:t>
      </w:r>
      <w:r>
        <w:t xml:space="preserve">study is currently underway to determine how the new dissemination platform that will be</w:t>
      </w:r>
      <w:r>
        <w:t xml:space="preserve"> </w:t>
      </w:r>
      <w:r>
        <w:t xml:space="preserve">used to host the redesigned CLI will be built. According to ECHA the cost of the redesign</w:t>
      </w:r>
      <w:r>
        <w:t xml:space="preserve"> </w:t>
      </w:r>
      <w:r>
        <w:t xml:space="preserve">is dependent on the findings of this study, which is due for completion in Q3 2022. The</w:t>
      </w:r>
      <w:r>
        <w:t xml:space="preserve"> </w:t>
      </w:r>
      <w:r>
        <w:t xml:space="preserve">resources for the redesign are currently coming out of the ECHA budget. The first version</w:t>
      </w:r>
      <w:r>
        <w:t xml:space="preserve"> </w:t>
      </w:r>
      <w:r>
        <w:t xml:space="preserve">of the new dissemination platform aiming to be made available in 2023, therefore, the</w:t>
      </w:r>
      <w:r>
        <w:t xml:space="preserve"> </w:t>
      </w:r>
      <w:r>
        <w:t xml:space="preserve">redesign of the CLI is expected to be delayed until at least 2023.</w:t>
      </w:r>
      <w:r>
        <w:br/>
      </w:r>
      <w:r>
        <w:t xml:space="preserve">In general, it is expected that the new platform will be more stable, more easily maintained</w:t>
      </w:r>
      <w:r>
        <w:t xml:space="preserve"> </w:t>
      </w:r>
      <w:r>
        <w:t xml:space="preserve">(e.g. towards changes in data formats), have improved data access methods (not only visual,</w:t>
      </w:r>
      <w:r>
        <w:t xml:space="preserve"> </w:t>
      </w:r>
      <w:r>
        <w:t xml:space="preserve">but also computer methods). Data flows in the new platform will also be more generic. E.g.</w:t>
      </w:r>
      <w:r>
        <w:t xml:space="preserve"> </w:t>
      </w:r>
      <w:r>
        <w:t xml:space="preserve">identity of submitters will be a standard information element for any type of dossier. Hence,</w:t>
      </w:r>
      <w:r>
        <w:t xml:space="preserve"> </w:t>
      </w:r>
      <w:r>
        <w:t xml:space="preserve">the decision to publish it (for any type of dossier, but also C&amp;L) should not require</w:t>
      </w:r>
      <w:r>
        <w:t xml:space="preserve"> </w:t>
      </w:r>
      <w:r>
        <w:t xml:space="preserve">significant new development in the future platform, as it would have required in the current</w:t>
      </w:r>
      <w:r>
        <w:t xml:space="preserve"> </w:t>
      </w:r>
      <w:r>
        <w:t xml:space="preserve">one.</w:t>
      </w:r>
      <w:r>
        <w:t xml:space="preserve"> </w:t>
      </w:r>
      <w:r>
        <w:t xml:space="preserve">Specific requirements for C&amp;L data need to be identified, but for example, the following</w:t>
      </w:r>
      <w:r>
        <w:t xml:space="preserve"> </w:t>
      </w:r>
      <w:r>
        <w:t xml:space="preserve">idea exists beyond visually promoting the most common C&amp;L and explaining reasons for</w:t>
      </w:r>
      <w:r>
        <w:t xml:space="preserve"> </w:t>
      </w:r>
      <w:r>
        <w:t xml:space="preserve">divergence:</w:t>
      </w:r>
      <w:r>
        <w:t xml:space="preserve"> </w:t>
      </w:r>
      <w:r>
        <w:t xml:space="preserve">Making available the most common Classification and Labelling to new/existing submitters</w:t>
      </w:r>
      <w:r>
        <w:t xml:space="preserve"> </w:t>
      </w:r>
      <w:r>
        <w:t xml:space="preserve">preparing dossiers in the various submission tools, in the final data format. This promotes</w:t>
      </w:r>
      <w:r>
        <w:t xml:space="preserve"> </w:t>
      </w:r>
      <w:r>
        <w:t xml:space="preserve">harmonisation, reduces burden of submission, reduces mistakes by avoiding retyping.</w:t>
      </w:r>
      <w:r>
        <w:t xml:space="preserve"> </w:t>
      </w:r>
      <w:r>
        <w:t xml:space="preserve">Although that initiative will not directly address the drivers of diverging classifications in</w:t>
      </w:r>
      <w:r>
        <w:t xml:space="preserve"> </w:t>
      </w:r>
      <w:r>
        <w:t xml:space="preserve">the CLI, it aims to provide transparency on the reasons for divergence and aims to make</w:t>
      </w:r>
      <w:r>
        <w:t xml:space="preserve"> </w:t>
      </w:r>
      <w:r>
        <w:t xml:space="preserve">consensus classifications more prominent, which is expected to allow users to find the most</w:t>
      </w:r>
      <w:r>
        <w:t xml:space="preserve"> </w:t>
      </w:r>
      <w:r>
        <w:t xml:space="preserve">relevant and accurate data with ease. The redesign is also expected to display agreement</w:t>
      </w:r>
      <w:r>
        <w:t xml:space="preserve"> </w:t>
      </w:r>
      <w:r>
        <w:t xml:space="preserve">within group notifications. When considering the outcome of the changes in the redesign, if</w:t>
      </w:r>
      <w:r>
        <w:t xml:space="preserve"> </w:t>
      </w:r>
      <w:r>
        <w:t xml:space="preserve">the changes are made as described, it is expected that the additional information and the</w:t>
      </w:r>
      <w:r>
        <w:t xml:space="preserve"> </w:t>
      </w:r>
      <w:r>
        <w:t xml:space="preserve">prioritising of consensus classifications will reduce the impacts of the problem. These</w:t>
      </w:r>
      <w:r>
        <w:t xml:space="preserve"> </w:t>
      </w:r>
      <w:r>
        <w:t xml:space="preserve">changes will not necessarily address the source of the divergence. However, the changes, if</w:t>
      </w:r>
      <w:r>
        <w:t xml:space="preserve"> </w:t>
      </w:r>
      <w:r>
        <w:t xml:space="preserve">implemented as described, could help users prioritise the information in the CLI and</w:t>
      </w:r>
      <w:r>
        <w:t xml:space="preserve"> </w:t>
      </w:r>
      <w:r>
        <w:t xml:space="preserve">subsequently find the most relevant data reducing the impact of the incorrect classifications.</w:t>
      </w:r>
      <w:r>
        <w:t xml:space="preserve"> </w:t>
      </w:r>
      <w:r>
        <w:t xml:space="preserve">The outcome of the redesign cannot be fully assessed currently, as, based on discussion at</w:t>
      </w:r>
      <w:r>
        <w:t xml:space="preserve"> </w:t>
      </w:r>
      <w:r>
        <w:t xml:space="preserve">CARACAL, the redesigned Inventory is expected to be launched in 2023.</w:t>
      </w:r>
      <w:r>
        <w:br/>
      </w:r>
      <w:r>
        <w:t xml:space="preserve">While incorrect or diverging self-classifications may still be notified in the coming years,</w:t>
      </w:r>
      <w:r>
        <w:t xml:space="preserve"> </w:t>
      </w:r>
      <w:r>
        <w:t xml:space="preserve">the redesign of the Classification and Labelling Inventory is expected to emphasise</w:t>
      </w:r>
    </w:p>
    <w:p>
      <w:pPr>
        <w:pStyle w:val="BodyText"/>
      </w:pPr>
      <w:r>
        <w:t xml:space="preserve">291</w:t>
      </w:r>
      <w:r>
        <w:t xml:space="preserve"> </w:t>
      </w:r>
      <w:r>
        <w:t xml:space="preserve">converging self-classifications as described above and classifications derived from REACH</w:t>
      </w:r>
      <w:r>
        <w:t xml:space="preserve"> </w:t>
      </w:r>
      <w:r>
        <w:t xml:space="preserve">registration dossiers. It will highlight the justifications provided for diverging</w:t>
      </w:r>
      <w:r>
        <w:t xml:space="preserve"> </w:t>
      </w:r>
      <w:r>
        <w:t xml:space="preserve">classifications, promote convergence and ease access to the inventory by revising the IT</w:t>
      </w:r>
      <w:r>
        <w:t xml:space="preserve"> </w:t>
      </w:r>
      <w:r>
        <w:t xml:space="preserve">features. All of these improvements are expected to positively address some of the issues</w:t>
      </w:r>
      <w:r>
        <w:t xml:space="preserve"> </w:t>
      </w:r>
      <w:r>
        <w:t xml:space="preserve">discussed so far, although this is dependent on notifier’s engagement with the platform231.</w:t>
      </w:r>
      <w:r>
        <w:t xml:space="preserve"> </w:t>
      </w:r>
      <w:r>
        <w:t xml:space="preserve">If notifiers make use of the new features it can be predicted that these changes will aid the</w:t>
      </w:r>
      <w:r>
        <w:t xml:space="preserve"> </w:t>
      </w:r>
      <w:r>
        <w:t xml:space="preserve">improvement of the CLI data. The redesign will not address the lack of legal basis for ECHA</w:t>
      </w:r>
      <w:r>
        <w:t xml:space="preserve"> </w:t>
      </w:r>
      <w:r>
        <w:t xml:space="preserve">to remove incorrect or obsolete notifications so this issue will remain, even though the</w:t>
      </w:r>
      <w:r>
        <w:t xml:space="preserve"> </w:t>
      </w:r>
      <w:r>
        <w:t xml:space="preserve">redesign will de-emphasise these notifications. In addition, without stricter enforcement of</w:t>
      </w:r>
      <w:r>
        <w:t xml:space="preserve"> </w:t>
      </w:r>
      <w:r>
        <w:t xml:space="preserve">the requirement for notifiers to come to an agreement on self-classifications of the same</w:t>
      </w:r>
      <w:r>
        <w:t xml:space="preserve"> </w:t>
      </w:r>
      <w:r>
        <w:t xml:space="preserve">substance it is unlikely the increased usability of the CLI will reduce this issue of</w:t>
      </w:r>
      <w:r>
        <w:t xml:space="preserve"> </w:t>
      </w:r>
      <w:r>
        <w:t xml:space="preserve">divergence. Although the convergence will be promoted by the need to provide details and</w:t>
      </w:r>
      <w:r>
        <w:t xml:space="preserve"> </w:t>
      </w:r>
      <w:r>
        <w:t xml:space="preserve">justifications, further encouragement – e.g. enforcement actions - may be required.</w:t>
      </w:r>
      <w:r>
        <w:br/>
      </w:r>
      <w:r>
        <w:t xml:space="preserve">In addition the EU platform which the Commission plans to develop is expected to contain</w:t>
      </w:r>
      <w:r>
        <w:t xml:space="preserve"> </w:t>
      </w:r>
      <w:r>
        <w:t xml:space="preserve">different inventories, such as the CLI. It is expected that further adaptation of the CLI will</w:t>
      </w:r>
      <w:r>
        <w:t xml:space="preserve"> </w:t>
      </w:r>
      <w:r>
        <w:t xml:space="preserve">be needed to ensure its optimal integration in the EU platform.</w:t>
      </w:r>
    </w:p>
    <w:p>
      <w:pPr>
        <w:pStyle w:val="BodyText"/>
      </w:pPr>
      <w:r>
        <w:t xml:space="preserve">POSSIBLE POLICY MEASURES</w:t>
      </w:r>
      <w:r>
        <w:t xml:space="preserve"> </w:t>
      </w:r>
      <w:r>
        <w:t xml:space="preserve">Figure 77 below is an excerpt from a study performed for ECHA in 2017232 showing which</w:t>
      </w:r>
      <w:r>
        <w:t xml:space="preserve"> </w:t>
      </w:r>
      <w:r>
        <w:t xml:space="preserve">were the respondents’ preferred ways to solve the issue of diverging classifications.</w:t>
      </w:r>
      <w:r>
        <w:t xml:space="preserve"> </w:t>
      </w:r>
      <w:r>
        <w:t xml:space="preserve">Measures # 3 (Require notifiers with classifications that diverge from the entry agreed by</w:t>
      </w:r>
      <w:r>
        <w:t xml:space="preserve"> </w:t>
      </w:r>
      <w:r>
        <w:t xml:space="preserve">most notifiers to update their notifications with a justification for any divergence) and</w:t>
      </w:r>
      <w:r>
        <w:t xml:space="preserve"> </w:t>
      </w:r>
      <w:r>
        <w:t xml:space="preserve">measure #4 (make notifiers name public) try to address the most frequently suggested way</w:t>
      </w:r>
      <w:r>
        <w:t xml:space="preserve"> </w:t>
      </w:r>
      <w:r>
        <w:t xml:space="preserve">forward. Indeed, measure #4 aims to increase transparency and #3 increases the clarity of</w:t>
      </w:r>
      <w:r>
        <w:t xml:space="preserve"> </w:t>
      </w:r>
      <w:r>
        <w:t xml:space="preserve">how the information is displayed.</w:t>
      </w:r>
    </w:p>
    <w:p>
      <w:pPr>
        <w:pStyle w:val="BodyText"/>
      </w:pPr>
      <w:r>
        <w:t xml:space="preserve">231 If some notifiers do not use the new CLI when preparing their notifications or notification updates, but</w:t>
      </w:r>
      <w:r>
        <w:t xml:space="preserve"> </w:t>
      </w:r>
      <w:r>
        <w:t xml:space="preserve">derive their information from other sources, then for their notifications it will not matter however much ECHA</w:t>
      </w:r>
      <w:r>
        <w:t xml:space="preserve"> </w:t>
      </w:r>
      <w:r>
        <w:t xml:space="preserve">improves the prominence of most common C&amp;L, or make available the data in a ready-to-use format etc.</w:t>
      </w:r>
      <w:r>
        <w:t xml:space="preserve"> </w:t>
      </w:r>
      <w:r>
        <w:t xml:space="preserve">232 Amec, Foster, Wheeler, 2017, “A study to gather insights on the drivers, barriers, costs and benefits for</w:t>
      </w:r>
      <w:r>
        <w:t xml:space="preserve"> </w:t>
      </w:r>
      <w:r>
        <w:t xml:space="preserve">updating REACH registration dossiers and CLP notification dossiers”, p.46.</w:t>
      </w:r>
    </w:p>
    <w:p>
      <w:pPr>
        <w:pStyle w:val="BodyText"/>
      </w:pPr>
      <w:r>
        <w:t xml:space="preserve">292</w:t>
      </w:r>
      <w:r>
        <w:t xml:space="preserve"> </w:t>
      </w:r>
      <w:r>
        <w:t xml:space="preserve">Figure 77: Feedback from stakeholders on the best options to solve the issue of diverging classification</w:t>
      </w:r>
    </w:p>
    <w:p>
      <w:pPr>
        <w:pStyle w:val="BodyText"/>
      </w:pPr>
      <w:r>
        <w:t xml:space="preserve">ECHA has implemented a number of measures to modernise submission systems, make</w:t>
      </w:r>
      <w:r>
        <w:t xml:space="preserve"> </w:t>
      </w:r>
      <w:r>
        <w:t xml:space="preserve">inventory data easier to understand and facilitate the re-use of data both by IT</w:t>
      </w:r>
      <w:r>
        <w:t xml:space="preserve"> </w:t>
      </w:r>
      <w:r>
        <w:t xml:space="preserve">improvements. The simplified submission systems should benefit especially less</w:t>
      </w:r>
      <w:r>
        <w:t xml:space="preserve"> </w:t>
      </w:r>
      <w:r>
        <w:t xml:space="preserve">experienced notifiers. Further improvements will be done, especially to display more</w:t>
      </w:r>
      <w:r>
        <w:t xml:space="preserve"> </w:t>
      </w:r>
      <w:r>
        <w:t xml:space="preserve">prominently certain classifications (e.g. those that have a harmonised classification and</w:t>
      </w:r>
      <w:r>
        <w:t xml:space="preserve"> </w:t>
      </w:r>
      <w:r>
        <w:t xml:space="preserve">labelling, those which are supported by a group or that have been updated in REACH</w:t>
      </w:r>
      <w:r>
        <w:t xml:space="preserve"> </w:t>
      </w:r>
      <w:r>
        <w:t xml:space="preserve">registration dossiers). Ongoing or planned improvements also relate to mentioning elements</w:t>
      </w:r>
      <w:r>
        <w:t xml:space="preserve"> </w:t>
      </w:r>
      <w:r>
        <w:t xml:space="preserve">allowing to better understand the reason for divergence (e.g. data sources REACH/CLP,</w:t>
      </w:r>
      <w:r>
        <w:t xml:space="preserve"> </w:t>
      </w:r>
      <w:r>
        <w:t xml:space="preserve">differences related impurity, grade, form). Some of these improvements are mentioned in</w:t>
      </w:r>
      <w:r>
        <w:t xml:space="preserve"> </w:t>
      </w:r>
      <w:r>
        <w:t xml:space="preserve">Table 86 below (without bold) but they are not subject to this impact assessment as they</w:t>
      </w:r>
      <w:r>
        <w:t xml:space="preserve"> </w:t>
      </w:r>
      <w:r>
        <w:t xml:space="preserve">belong to the dynamic baseline.</w:t>
      </w:r>
    </w:p>
    <w:p>
      <w:pPr>
        <w:pStyle w:val="BodyText"/>
      </w:pPr>
      <w:r>
        <w:t xml:space="preserve">293</w:t>
      </w:r>
      <w:r>
        <w:t xml:space="preserve"> </w:t>
      </w:r>
      <w:r>
        <w:t xml:space="preserve">Table 87: Overview of possible measures (the measures not in bold belong to the baseline)</w:t>
      </w:r>
      <w:r>
        <w:t xml:space="preserve"> </w:t>
      </w:r>
      <w:r>
        <w:t xml:space="preserve">The C&amp;L</w:t>
      </w:r>
      <w:r>
        <w:t xml:space="preserve"> </w:t>
      </w:r>
      <w:r>
        <w:t xml:space="preserve">Inventory</w:t>
      </w:r>
      <w:r>
        <w:t xml:space="preserve"> </w:t>
      </w:r>
      <w:r>
        <w:t xml:space="preserve">contains</w:t>
      </w:r>
      <w:r>
        <w:t xml:space="preserve"> </w:t>
      </w:r>
      <w:r>
        <w:t xml:space="preserve">incorrect,</w:t>
      </w:r>
      <w:r>
        <w:t xml:space="preserve"> </w:t>
      </w:r>
      <w:r>
        <w:t xml:space="preserve">diverging or</w:t>
      </w:r>
      <w:r>
        <w:t xml:space="preserve"> </w:t>
      </w:r>
      <w:r>
        <w:t xml:space="preserve">obsolete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self-</w:t>
      </w:r>
      <w:r>
        <w:t xml:space="preserve"> </w:t>
      </w:r>
      <w:r>
        <w:t xml:space="preserve">classification,</w:t>
      </w:r>
      <w:r>
        <w:t xml:space="preserve"> </w:t>
      </w:r>
      <w:r>
        <w:t xml:space="preserve">that cannot be</w:t>
      </w:r>
      <w:r>
        <w:t xml:space="preserve"> </w:t>
      </w:r>
      <w:r>
        <w:t xml:space="preserve">removed by</w:t>
      </w:r>
      <w:r>
        <w:t xml:space="preserve"> </w:t>
      </w:r>
      <w:r>
        <w:t xml:space="preserve">ECHA,</w:t>
      </w:r>
      <w:r>
        <w:t xml:space="preserve"> </w:t>
      </w:r>
      <w:r>
        <w:t xml:space="preserve">impacting the</w:t>
      </w:r>
      <w:r>
        <w:t xml:space="preserve"> </w:t>
      </w:r>
      <w:r>
        <w:t xml:space="preserve">reliability and</w:t>
      </w:r>
      <w:r>
        <w:t xml:space="preserve"> </w:t>
      </w:r>
      <w:r>
        <w:t xml:space="preserve">usefulness of</w:t>
      </w:r>
      <w:r>
        <w:t xml:space="preserve"> </w:t>
      </w:r>
      <w:r>
        <w:t xml:space="preserve">information in</w:t>
      </w:r>
      <w:r>
        <w:t xml:space="preserve"> </w:t>
      </w:r>
      <w:r>
        <w:t xml:space="preserve">the C&amp;L</w:t>
      </w:r>
      <w:r>
        <w:t xml:space="preserve"> </w:t>
      </w:r>
      <w:r>
        <w:t xml:space="preserve">Inventory</w:t>
      </w:r>
      <w:r>
        <w:br/>
      </w:r>
      <w:r>
        <w:t xml:space="preserve">ECHA has no legal</w:t>
      </w:r>
      <w:r>
        <w:t xml:space="preserve"> </w:t>
      </w:r>
      <w:r>
        <w:t xml:space="preserve">mandate to remove</w:t>
      </w:r>
      <w:r>
        <w:t xml:space="preserve"> </w:t>
      </w:r>
      <w:r>
        <w:t xml:space="preserve">inactive</w:t>
      </w:r>
      <w:r>
        <w:t xml:space="preserve"> </w:t>
      </w:r>
      <w:r>
        <w:t xml:space="preserve">notifications or</w:t>
      </w:r>
      <w:r>
        <w:t xml:space="preserve"> </w:t>
      </w:r>
      <w:r>
        <w:t xml:space="preserve">correct / delete</w:t>
      </w:r>
      <w:r>
        <w:t xml:space="preserve"> </w:t>
      </w:r>
      <w:r>
        <w:t xml:space="preserve">erroneous</w:t>
      </w:r>
      <w:r>
        <w:t xml:space="preserve"> </w:t>
      </w:r>
      <w:r>
        <w:t xml:space="preserve">notifications</w:t>
      </w:r>
      <w:r>
        <w:br/>
      </w:r>
      <w:r>
        <w:t xml:space="preserve">#6 Require notifiers to</w:t>
      </w:r>
      <w:r>
        <w:t xml:space="preserve"> </w:t>
      </w:r>
      <w:r>
        <w:t xml:space="preserve">validate/update entries in the C&amp;L</w:t>
      </w:r>
      <w:r>
        <w:t xml:space="preserve"> </w:t>
      </w:r>
      <w:r>
        <w:t xml:space="preserve">Inventory every 2 year(s)</w:t>
      </w:r>
      <w:r>
        <w:br/>
      </w:r>
      <w:r>
        <w:t xml:space="preserve">PO1-b</w:t>
      </w:r>
      <w:r>
        <w:t xml:space="preserve"> </w:t>
      </w:r>
      <w:r>
        <w:t xml:space="preserve">Improving the</w:t>
      </w:r>
      <w:r>
        <w:t xml:space="preserve"> </w:t>
      </w:r>
      <w:r>
        <w:t xml:space="preserve">CLI and</w:t>
      </w:r>
      <w:r>
        <w:t xml:space="preserve"> </w:t>
      </w:r>
      <w:r>
        <w:t xml:space="preserve">promoting</w:t>
      </w:r>
      <w:r>
        <w:t xml:space="preserve"> </w:t>
      </w:r>
      <w:r>
        <w:t xml:space="preserve">convergence of</w:t>
      </w:r>
      <w:r>
        <w:t xml:space="preserve"> </w:t>
      </w:r>
      <w:r>
        <w:t xml:space="preserve">self-</w:t>
      </w:r>
      <w:r>
        <w:t xml:space="preserve"> </w:t>
      </w:r>
      <w:r>
        <w:t xml:space="preserve">classifications</w:t>
      </w:r>
      <w:r>
        <w:br/>
      </w:r>
      <w:r>
        <w:t xml:space="preserve">Redesign the CLI to emphasise up to</w:t>
      </w:r>
      <w:r>
        <w:t xml:space="preserve"> </w:t>
      </w:r>
      <w:r>
        <w:t xml:space="preserve">date C&amp;L notifications and aligned</w:t>
      </w:r>
      <w:r>
        <w:t xml:space="preserve"> </w:t>
      </w:r>
      <w:r>
        <w:t xml:space="preserve">classifications</w:t>
      </w:r>
      <w:r>
        <w:br/>
      </w:r>
      <w:r>
        <w:t xml:space="preserve">#5 Swift notification updates</w:t>
      </w:r>
      <w:r>
        <w:t xml:space="preserve"> </w:t>
      </w:r>
      <w:r>
        <w:t xml:space="preserve">Require notification of updated</w:t>
      </w:r>
      <w:r>
        <w:t xml:space="preserve"> </w:t>
      </w:r>
      <w:r>
        <w:t xml:space="preserve">self-classifications within a certain</w:t>
      </w:r>
      <w:r>
        <w:t xml:space="preserve"> </w:t>
      </w:r>
      <w:r>
        <w:t xml:space="preserve">deadline after new pieces of</w:t>
      </w:r>
      <w:r>
        <w:t xml:space="preserve"> </w:t>
      </w:r>
      <w:r>
        <w:t xml:space="preserve">evidence are available</w:t>
      </w:r>
      <w:r>
        <w:t xml:space="preserve"> </w:t>
      </w:r>
      <w:r>
        <w:t xml:space="preserve">Shortcomings in</w:t>
      </w:r>
      <w:r>
        <w:t xml:space="preserve"> </w:t>
      </w:r>
      <w:r>
        <w:t xml:space="preserve">ECHA’s IT tools for</w:t>
      </w:r>
      <w:r>
        <w:t xml:space="preserve"> </w:t>
      </w:r>
      <w:r>
        <w:t xml:space="preserve">C&amp;L notifications</w:t>
      </w:r>
      <w:r>
        <w:br/>
      </w:r>
      <w:r>
        <w:t xml:space="preserve">Add a notifier dashboard to give</w:t>
      </w:r>
      <w:r>
        <w:t xml:space="preserve"> </w:t>
      </w:r>
      <w:r>
        <w:t xml:space="preserve">companies an overview of their</w:t>
      </w:r>
      <w:r>
        <w:t xml:space="preserve"> </w:t>
      </w:r>
      <w:r>
        <w:t xml:space="preserve">notifications and allow ease of access</w:t>
      </w:r>
      <w:r>
        <w:t xml:space="preserve"> </w:t>
      </w:r>
      <w:r>
        <w:t xml:space="preserve">and update. Extend the ‘cease of</w:t>
      </w:r>
      <w:r>
        <w:t xml:space="preserve"> </w:t>
      </w:r>
      <w:r>
        <w:t xml:space="preserve">manufacture and import’ functionality</w:t>
      </w:r>
      <w:r>
        <w:t xml:space="preserve"> </w:t>
      </w:r>
      <w:r>
        <w:t xml:space="preserve">for registrants in REACH-IT to C&amp;L</w:t>
      </w:r>
      <w:r>
        <w:t xml:space="preserve"> </w:t>
      </w:r>
      <w:r>
        <w:t xml:space="preserve">notifiers</w:t>
      </w:r>
      <w:r>
        <w:br/>
      </w:r>
      <w:r>
        <w:t xml:space="preserve">Ensure that when a C&amp;L notifier</w:t>
      </w:r>
      <w:r>
        <w:t xml:space="preserve"> </w:t>
      </w:r>
      <w:r>
        <w:t xml:space="preserve">submits a registration dossier, the</w:t>
      </w:r>
      <w:r>
        <w:t xml:space="preserve"> </w:t>
      </w:r>
      <w:r>
        <w:t xml:space="preserve">C&amp;L data provided in the registration</w:t>
      </w:r>
      <w:r>
        <w:t xml:space="preserve"> </w:t>
      </w:r>
      <w:r>
        <w:t xml:space="preserve">dossier replaces any earlier data</w:t>
      </w:r>
      <w:r>
        <w:t xml:space="preserve"> </w:t>
      </w:r>
      <w:r>
        <w:t xml:space="preserve">provided in a C&amp;L notification</w:t>
      </w:r>
      <w:r>
        <w:br/>
      </w:r>
      <w:r>
        <w:t xml:space="preserve">Notifiers’ identities</w:t>
      </w:r>
      <w:r>
        <w:t xml:space="preserve"> </w:t>
      </w:r>
      <w:r>
        <w:t xml:space="preserve">are not published</w:t>
      </w:r>
      <w:r>
        <w:br/>
      </w:r>
      <w:r>
        <w:t xml:space="preserve">#4 Publish contact information for</w:t>
      </w:r>
      <w:r>
        <w:t xml:space="preserve"> </w:t>
      </w:r>
      <w:r>
        <w:t xml:space="preserve">submitted classifications so that</w:t>
      </w:r>
      <w:r>
        <w:t xml:space="preserve"> </w:t>
      </w:r>
      <w:r>
        <w:t xml:space="preserve">notifiers can contact the notifiers of</w:t>
      </w:r>
      <w:r>
        <w:t xml:space="preserve"> </w:t>
      </w:r>
      <w:r>
        <w:t xml:space="preserve">the same substances</w:t>
      </w:r>
      <w:r>
        <w:br/>
      </w:r>
      <w:r>
        <w:t xml:space="preserve">Notifiers are not</w:t>
      </w:r>
      <w:r>
        <w:t xml:space="preserve"> </w:t>
      </w:r>
      <w:r>
        <w:t xml:space="preserve">required to come to</w:t>
      </w:r>
      <w:r>
        <w:t xml:space="preserve"> </w:t>
      </w:r>
      <w:r>
        <w:t xml:space="preserve">an agreement on</w:t>
      </w:r>
      <w:r>
        <w:t xml:space="preserve"> </w:t>
      </w:r>
      <w:r>
        <w:t xml:space="preserve">self-classifications</w:t>
      </w:r>
      <w:r>
        <w:br/>
      </w:r>
      <w:r>
        <w:t xml:space="preserve">#3 Require notifiers with</w:t>
      </w:r>
      <w:r>
        <w:t xml:space="preserve"> </w:t>
      </w:r>
      <w:r>
        <w:t xml:space="preserve">classifications that diverge from the</w:t>
      </w:r>
      <w:r>
        <w:t xml:space="preserve"> </w:t>
      </w:r>
      <w:r>
        <w:t xml:space="preserve">entry agreed by most notifiers to</w:t>
      </w:r>
      <w:r>
        <w:t xml:space="preserve"> </w:t>
      </w:r>
      <w:r>
        <w:t xml:space="preserve">update their notifications with a</w:t>
      </w:r>
      <w:r>
        <w:t xml:space="preserve"> </w:t>
      </w:r>
      <w:r>
        <w:t xml:space="preserve">justification for any divergence</w:t>
      </w:r>
    </w:p>
    <w:p>
      <w:pPr>
        <w:pStyle w:val="BodyText"/>
      </w:pPr>
      <w:r>
        <w:t xml:space="preserve">294</w:t>
      </w:r>
      <w:r>
        <w:t xml:space="preserve"> </w:t>
      </w:r>
      <w:r>
        <w:t xml:space="preserve">Table 88: Impact assessed measures</w:t>
      </w:r>
      <w:r>
        <w:t xml:space="preserve"> </w:t>
      </w:r>
      <w:r>
        <w:t xml:space="preserve">#6 Require notifiers to</w:t>
      </w:r>
      <w:r>
        <w:t xml:space="preserve"> </w:t>
      </w:r>
      <w:r>
        <w:t xml:space="preserve">validate/update entries in</w:t>
      </w:r>
      <w:r>
        <w:t xml:space="preserve"> </w:t>
      </w:r>
      <w:r>
        <w:t xml:space="preserve">the C&amp;L Inventory every 2</w:t>
      </w:r>
      <w:r>
        <w:t xml:space="preserve"> </w:t>
      </w:r>
      <w:r>
        <w:t xml:space="preserve">year(s)</w:t>
      </w:r>
      <w:r>
        <w:br/>
      </w:r>
      <w:r>
        <w:t xml:space="preserve">Hard,</w:t>
      </w:r>
      <w:r>
        <w:t xml:space="preserve"> </w:t>
      </w:r>
      <w:r>
        <w:t xml:space="preserve">legally</w:t>
      </w:r>
      <w:r>
        <w:t xml:space="preserve"> </w:t>
      </w:r>
      <w:r>
        <w:t xml:space="preserve">binding</w:t>
      </w:r>
      <w:r>
        <w:t xml:space="preserve"> </w:t>
      </w:r>
      <w:r>
        <w:t xml:space="preserve">rules</w:t>
      </w:r>
      <w:r>
        <w:br/>
      </w:r>
      <w:r>
        <w:t xml:space="preserve">The Commission to amend Article 40 of CLP to</w:t>
      </w:r>
      <w:r>
        <w:t xml:space="preserve"> </w:t>
      </w:r>
      <w:r>
        <w:t xml:space="preserve">introduce the requirement for notification update.</w:t>
      </w:r>
      <w:r>
        <w:t xml:space="preserve"> </w:t>
      </w:r>
      <w:r>
        <w:t xml:space="preserve">Notifiers are the only actors that can guarantee</w:t>
      </w:r>
      <w:r>
        <w:t xml:space="preserve"> </w:t>
      </w:r>
      <w:r>
        <w:t xml:space="preserve">their notifications stay up to date. The requirement</w:t>
      </w:r>
      <w:r>
        <w:t xml:space="preserve"> </w:t>
      </w:r>
      <w:r>
        <w:t xml:space="preserve">should come into force with the launching of the</w:t>
      </w:r>
      <w:r>
        <w:t xml:space="preserve"> </w:t>
      </w:r>
      <w:r>
        <w:t xml:space="preserve">redesigned CLI platform.</w:t>
      </w:r>
      <w:r>
        <w:br/>
      </w:r>
      <w:r>
        <w:t xml:space="preserve">#4 Publish contact</w:t>
      </w:r>
      <w:r>
        <w:t xml:space="preserve"> </w:t>
      </w:r>
      <w:r>
        <w:t xml:space="preserve">information for submitted</w:t>
      </w:r>
      <w:r>
        <w:t xml:space="preserve"> </w:t>
      </w:r>
      <w:r>
        <w:t xml:space="preserve">classifications so that</w:t>
      </w:r>
      <w:r>
        <w:t xml:space="preserve"> </w:t>
      </w:r>
      <w:r>
        <w:t xml:space="preserve">notifiers can contact the</w:t>
      </w:r>
      <w:r>
        <w:t xml:space="preserve"> </w:t>
      </w:r>
      <w:r>
        <w:t xml:space="preserve">notifiers of the same</w:t>
      </w:r>
      <w:r>
        <w:t xml:space="preserve"> </w:t>
      </w:r>
      <w:r>
        <w:t xml:space="preserve">substances</w:t>
      </w:r>
      <w:r>
        <w:br/>
      </w:r>
      <w:r>
        <w:t xml:space="preserve">Hard,</w:t>
      </w:r>
      <w:r>
        <w:t xml:space="preserve"> </w:t>
      </w:r>
      <w:r>
        <w:t xml:space="preserve">legally</w:t>
      </w:r>
      <w:r>
        <w:t xml:space="preserve"> </w:t>
      </w:r>
      <w:r>
        <w:t xml:space="preserve">binding</w:t>
      </w:r>
      <w:r>
        <w:t xml:space="preserve"> </w:t>
      </w:r>
      <w:r>
        <w:t xml:space="preserve">rules</w:t>
      </w:r>
      <w:r>
        <w:br/>
      </w:r>
      <w:r>
        <w:t xml:space="preserve">The Commission to amend Article 42 of CLP.</w:t>
      </w:r>
      <w:r>
        <w:br/>
      </w:r>
      <w:r>
        <w:t xml:space="preserve">#3 Require notifiers with</w:t>
      </w:r>
      <w:r>
        <w:t xml:space="preserve"> </w:t>
      </w:r>
      <w:r>
        <w:t xml:space="preserve">classifications that diverge</w:t>
      </w:r>
      <w:r>
        <w:t xml:space="preserve"> </w:t>
      </w:r>
      <w:r>
        <w:t xml:space="preserve">from the entry agreed by</w:t>
      </w:r>
      <w:r>
        <w:t xml:space="preserve"> </w:t>
      </w:r>
      <w:r>
        <w:t xml:space="preserve">most notifiers to update</w:t>
      </w:r>
      <w:r>
        <w:t xml:space="preserve"> </w:t>
      </w:r>
      <w:r>
        <w:t xml:space="preserve">their notifications with a</w:t>
      </w:r>
      <w:r>
        <w:t xml:space="preserve"> </w:t>
      </w:r>
      <w:r>
        <w:t xml:space="preserve">justification for any</w:t>
      </w:r>
      <w:r>
        <w:t xml:space="preserve"> </w:t>
      </w:r>
      <w:r>
        <w:t xml:space="preserve">divergence</w:t>
      </w:r>
      <w:r>
        <w:br/>
      </w:r>
      <w:r>
        <w:t xml:space="preserve">Hard,</w:t>
      </w:r>
      <w:r>
        <w:t xml:space="preserve"> </w:t>
      </w:r>
      <w:r>
        <w:t xml:space="preserve">legally</w:t>
      </w:r>
      <w:r>
        <w:t xml:space="preserve"> </w:t>
      </w:r>
      <w:r>
        <w:t xml:space="preserve">binding</w:t>
      </w:r>
      <w:r>
        <w:t xml:space="preserve"> </w:t>
      </w:r>
      <w:r>
        <w:t xml:space="preserve">rules</w:t>
      </w:r>
      <w:r>
        <w:br/>
      </w:r>
      <w:r>
        <w:t xml:space="preserve">The Commission to amend Article 41 of CLP to</w:t>
      </w:r>
      <w:r>
        <w:t xml:space="preserve"> </w:t>
      </w:r>
      <w:r>
        <w:t xml:space="preserve">require justification of diverging classifications</w:t>
      </w:r>
      <w:r>
        <w:t xml:space="preserve"> </w:t>
      </w:r>
      <w:r>
        <w:t xml:space="preserve">from classifications backed up by REACH</w:t>
      </w:r>
      <w:r>
        <w:t xml:space="preserve"> </w:t>
      </w:r>
      <w:r>
        <w:t xml:space="preserve">registration dossiers or from classifications</w:t>
      </w:r>
      <w:r>
        <w:t xml:space="preserve"> </w:t>
      </w:r>
      <w:r>
        <w:t xml:space="preserve">notified the most. The requirement should come</w:t>
      </w:r>
      <w:r>
        <w:t xml:space="preserve"> </w:t>
      </w:r>
      <w:r>
        <w:t xml:space="preserve">into force with the launching of the redesigned</w:t>
      </w:r>
      <w:r>
        <w:t xml:space="preserve"> </w:t>
      </w:r>
      <w:r>
        <w:t xml:space="preserve">CLI platform.</w:t>
      </w:r>
      <w:r>
        <w:br/>
      </w:r>
      <w:r>
        <w:t xml:space="preserve">#5 Swift notification</w:t>
      </w:r>
      <w:r>
        <w:t xml:space="preserve"> </w:t>
      </w:r>
      <w:r>
        <w:t xml:space="preserve">updates Require notification</w:t>
      </w:r>
      <w:r>
        <w:t xml:space="preserve"> </w:t>
      </w:r>
      <w:r>
        <w:t xml:space="preserve">of updated self-</w:t>
      </w:r>
      <w:r>
        <w:t xml:space="preserve"> </w:t>
      </w:r>
      <w:r>
        <w:t xml:space="preserve">classifications within a</w:t>
      </w:r>
      <w:r>
        <w:t xml:space="preserve"> </w:t>
      </w:r>
      <w:r>
        <w:t xml:space="preserve">certain deadline after new</w:t>
      </w:r>
      <w:r>
        <w:t xml:space="preserve"> </w:t>
      </w:r>
      <w:r>
        <w:t xml:space="preserve">pieces of evidence are</w:t>
      </w:r>
      <w:r>
        <w:t xml:space="preserve"> </w:t>
      </w:r>
      <w:r>
        <w:t xml:space="preserve">available</w:t>
      </w:r>
      <w:r>
        <w:t xml:space="preserve"> </w:t>
      </w:r>
      <w:r>
        <w:t xml:space="preserve">Hard,</w:t>
      </w:r>
      <w:r>
        <w:t xml:space="preserve"> </w:t>
      </w:r>
      <w:r>
        <w:t xml:space="preserve">legally</w:t>
      </w:r>
      <w:r>
        <w:t xml:space="preserve"> </w:t>
      </w:r>
      <w:r>
        <w:t xml:space="preserve">binding</w:t>
      </w:r>
      <w:r>
        <w:t xml:space="preserve"> </w:t>
      </w:r>
      <w:r>
        <w:t xml:space="preserve">rules</w:t>
      </w:r>
      <w:r>
        <w:t xml:space="preserve"> </w:t>
      </w:r>
      <w:r>
        <w:t xml:space="preserve">The Commission to amend Article 40(2) to add a</w:t>
      </w:r>
      <w:r>
        <w:t xml:space="preserve"> </w:t>
      </w:r>
      <w:r>
        <w:t xml:space="preserve">deadline after which an update is required (from</w:t>
      </w:r>
      <w:r>
        <w:t xml:space="preserve"> </w:t>
      </w:r>
      <w:r>
        <w:t xml:space="preserve">the moment</w:t>
      </w:r>
    </w:p>
    <w:p>
      <w:pPr>
        <w:pStyle w:val="BodyText"/>
      </w:pPr>
      <w:r>
        <w:t xml:space="preserve">ECHA has implemented a number of measures to modernise submission systems, make</w:t>
      </w:r>
      <w:r>
        <w:t xml:space="preserve"> </w:t>
      </w:r>
      <w:r>
        <w:t xml:space="preserve">inventory data easier to understand and facilitate the re-use of data both by IT</w:t>
      </w:r>
      <w:r>
        <w:t xml:space="preserve"> </w:t>
      </w:r>
      <w:r>
        <w:t xml:space="preserve">improvements. The simplified submission systems should benefit especially less</w:t>
      </w:r>
      <w:r>
        <w:t xml:space="preserve"> </w:t>
      </w:r>
      <w:r>
        <w:t xml:space="preserve">experienced notifiers. Further improvements will be done, especially to display more</w:t>
      </w:r>
      <w:r>
        <w:t xml:space="preserve"> </w:t>
      </w:r>
      <w:r>
        <w:t xml:space="preserve">prominently certain classifications (e.g. those that have a harmonised classification and</w:t>
      </w:r>
      <w:r>
        <w:t xml:space="preserve"> </w:t>
      </w:r>
      <w:r>
        <w:t xml:space="preserve">labelling, those which are supported by a group or that have been updated in REACH</w:t>
      </w:r>
      <w:r>
        <w:t xml:space="preserve"> </w:t>
      </w:r>
      <w:r>
        <w:t xml:space="preserve">registration dossiers). Ongoing or planned improvements also relate to mentioning elements</w:t>
      </w:r>
      <w:r>
        <w:t xml:space="preserve"> </w:t>
      </w:r>
      <w:r>
        <w:t xml:space="preserve">allowing to better understand the reason for divergence (e.g. data sources REACH/CLP,</w:t>
      </w:r>
      <w:r>
        <w:t xml:space="preserve"> </w:t>
      </w:r>
      <w:r>
        <w:t xml:space="preserve">differences related impurity, grade, form). Some of these improvements are mentioned in</w:t>
      </w:r>
      <w:r>
        <w:t xml:space="preserve"> </w:t>
      </w:r>
      <w:r>
        <w:t xml:space="preserve">Table 86 above (without bold) but they are not subject to this impact assessment as they</w:t>
      </w:r>
      <w:r>
        <w:t xml:space="preserve"> </w:t>
      </w:r>
      <w:r>
        <w:t xml:space="preserve">belong to the dynamic baseline.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SCREENING AND ASSESSMENT OF THE POTENTIAL MEASURES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#4 Publication of the identity of notifiers (i.e. company names and contact details) in the</w:t>
      </w:r>
      <w:r>
        <w:t xml:space="preserve"> </w:t>
      </w:r>
      <w:r>
        <w:t xml:space="preserve">CLI.</w:t>
      </w:r>
      <w:r>
        <w:br/>
      </w:r>
      <w:r>
        <w:t xml:space="preserve">One of the policy options to address the lack of convergence of self-classifications analysed</w:t>
      </w:r>
      <w:r>
        <w:t xml:space="preserve"> </w:t>
      </w:r>
      <w:r>
        <w:t xml:space="preserve">below belongs to the measures initially envisaged by the Commission. The Commission at</w:t>
      </w:r>
      <w:r>
        <w:t xml:space="preserve"> </w:t>
      </w:r>
      <w:r>
        <w:t xml:space="preserve">the time, had proposed to systematically publicise the identity of notifiers and make them</w:t>
      </w:r>
      <w:r>
        <w:t xml:space="preserve"> </w:t>
      </w:r>
      <w:r>
        <w:t xml:space="preserve">visible to anyone consulting the C&amp;L inventory. However, before implementing such</w:t>
      </w:r>
      <w:r>
        <w:t xml:space="preserve"> </w:t>
      </w:r>
      <w:r>
        <w:t xml:space="preserve">measure, it was decided to assess its potential impacts in order to check whether it would</w:t>
      </w:r>
      <w:r>
        <w:t xml:space="preserve"> </w:t>
      </w:r>
      <w:r>
        <w:t xml:space="preserve">be relevant to maintain the measure as planned or to modify it and if a change in the legal</w:t>
      </w:r>
      <w:r>
        <w:t xml:space="preserve"> </w:t>
      </w:r>
      <w:r>
        <w:t xml:space="preserve">provisions was necessary – inter alia as ECHA was not planning to implement that measure</w:t>
      </w:r>
      <w:r>
        <w:t xml:space="preserve"> </w:t>
      </w:r>
      <w:r>
        <w:t xml:space="preserve">any more. Hence, though strictly speaking one could argue that this measure belongs to the</w:t>
      </w:r>
      <w:r>
        <w:t xml:space="preserve"> </w:t>
      </w:r>
      <w:r>
        <w:t xml:space="preserve">baseline, it is analysed to check whether this is the best option to address the problem, also</w:t>
      </w:r>
      <w:r>
        <w:t xml:space="preserve"> </w:t>
      </w:r>
      <w:r>
        <w:t xml:space="preserve">in view of other planned new developments in ECHA’s tasks.</w:t>
      </w:r>
      <w:r>
        <w:t xml:space="preserve"> </w:t>
      </w:r>
      <w:r>
        <w:t xml:space="preserve">Table 88 below provides an overview of the costs linked to the measure.</w:t>
      </w:r>
      <w:r>
        <w:t xml:space="preserve"> </w:t>
      </w:r>
      <w:r>
        <w:t xml:space="preserve">Table 89: Policy measure #4 Publication of the identity of notifiers (i.e. company names and</w:t>
      </w:r>
      <w:r>
        <w:t xml:space="preserve"> </w:t>
      </w:r>
      <w:r>
        <w:t xml:space="preserve">contact details) in the CLI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 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 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impacts</w:t>
      </w:r>
      <w:r>
        <w:br/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PV</w:t>
      </w:r>
      <w:r>
        <w:t xml:space="preserve"> </w:t>
      </w:r>
      <w:r>
        <w:t xml:space="preserve">Annualised</w:t>
      </w:r>
      <w:r>
        <w:t xml:space="preserve"> </w:t>
      </w:r>
      <w:r>
        <w:t xml:space="preserve">impacts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burdens on</w:t>
      </w:r>
      <w:r>
        <w:t xml:space="preserve"> </w:t>
      </w:r>
      <w:r>
        <w:t xml:space="preserve">business</w:t>
      </w:r>
      <w:r>
        <w:t xml:space="preserve"> </w:t>
      </w:r>
      <w:r>
        <w:t xml:space="preserve">Cost of</w:t>
      </w:r>
      <w:r>
        <w:t xml:space="preserve"> </w:t>
      </w:r>
      <w:r>
        <w:t xml:space="preserve">updating</w:t>
      </w:r>
      <w:r>
        <w:t xml:space="preserve"> </w:t>
      </w:r>
      <w:r>
        <w:t xml:space="preserve">contact</w:t>
      </w:r>
      <w:r>
        <w:t xml:space="preserve"> </w:t>
      </w:r>
      <w:r>
        <w:t xml:space="preserve">details</w:t>
      </w:r>
      <w:r>
        <w:t xml:space="preserve"> </w:t>
      </w:r>
      <w:r>
        <w:t xml:space="preserve">(o)</w:t>
      </w:r>
      <w:r>
        <w:t xml:space="preserve"> </w:t>
      </w:r>
      <w:r>
        <w:t xml:space="preserve">Direct</w:t>
      </w:r>
      <w:r>
        <w:t xml:space="preserve"> </w:t>
      </w:r>
      <w:r>
        <w:t xml:space="preserve">Negligible</w:t>
      </w:r>
      <w:r>
        <w:t xml:space="preserve"> </w:t>
      </w:r>
      <w:r>
        <w:t xml:space="preserve">One off</w:t>
      </w:r>
      <w:r>
        <w:t xml:space="preserve"> </w:t>
      </w:r>
      <w:r>
        <w:t xml:space="preserve">Negligible</w:t>
      </w:r>
      <w:r>
        <w:t xml:space="preserve"> </w:t>
      </w:r>
      <w:r>
        <w:t xml:space="preserve">Cost of</w:t>
      </w:r>
      <w:r>
        <w:t xml:space="preserve"> </w:t>
      </w:r>
      <w:r>
        <w:t xml:space="preserve">submitting</w:t>
      </w:r>
      <w:r>
        <w:t xml:space="preserve"> </w:t>
      </w:r>
      <w:r>
        <w:t xml:space="preserve">confidential</w:t>
      </w:r>
      <w:r>
        <w:t xml:space="preserve"> </w:t>
      </w:r>
      <w:r>
        <w:t xml:space="preserve">ity requests</w:t>
      </w:r>
      <w:r>
        <w:t xml:space="preserve"> </w:t>
      </w:r>
      <w:r>
        <w:t xml:space="preserve">(-)</w:t>
      </w:r>
      <w:r>
        <w:t xml:space="preserve"> </w:t>
      </w:r>
      <w:r>
        <w:t xml:space="preserve">Direct</w:t>
      </w:r>
      <w:r>
        <w:t xml:space="preserve"> </w:t>
      </w:r>
      <w:r>
        <w:t xml:space="preserve">Total cost</w:t>
      </w:r>
      <w:r>
        <w:t xml:space="preserve"> </w:t>
      </w:r>
      <w:r>
        <w:t xml:space="preserve">of €270,000</w:t>
      </w:r>
      <w:r>
        <w:t xml:space="preserve"> </w:t>
      </w:r>
      <w:r>
        <w:t xml:space="preserve">One off</w:t>
      </w:r>
      <w:r>
        <w:t xml:space="preserve"> </w:t>
      </w:r>
      <w:r>
        <w:t xml:space="preserve">€18,148</w:t>
      </w:r>
      <w:r>
        <w:t xml:space="preserve"> </w:t>
      </w:r>
      <w:r>
        <w:t xml:space="preserve">Cost of</w:t>
      </w:r>
      <w:r>
        <w:t xml:space="preserve"> </w:t>
      </w:r>
      <w:r>
        <w:t xml:space="preserve">navigating</w:t>
      </w:r>
      <w:r>
        <w:t xml:space="preserve"> </w:t>
      </w:r>
      <w:r>
        <w:t xml:space="preserve">the CLI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Cost saving</w:t>
      </w:r>
      <w:r>
        <w:t xml:space="preserve"> </w:t>
      </w:r>
      <w:r>
        <w:t xml:space="preserve">of</w:t>
      </w:r>
      <w:r>
        <w:t xml:space="preserve"> </w:t>
      </w:r>
      <w:r>
        <w:t xml:space="preserve">€1,750,000</w:t>
      </w:r>
      <w:r>
        <w:t xml:space="preserve"> </w:t>
      </w:r>
      <w:r>
        <w:t xml:space="preserve">(€1,300,00</w:t>
      </w:r>
      <w:r>
        <w:t xml:space="preserve"> </w:t>
      </w:r>
      <w:r>
        <w:t xml:space="preserve">for LEs and</w:t>
      </w:r>
      <w:r>
        <w:t xml:space="preserve"> </w:t>
      </w:r>
      <w:r>
        <w:t xml:space="preserve">€450,000</w:t>
      </w:r>
      <w:r>
        <w:t xml:space="preserve"> </w:t>
      </w:r>
      <w:r>
        <w:t xml:space="preserve">for SMEs)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(annual)</w:t>
      </w:r>
      <w:r>
        <w:t xml:space="preserve"> </w:t>
      </w:r>
      <w:r>
        <w:t xml:space="preserve">€2,352,550</w:t>
      </w:r>
      <w:r>
        <w:t xml:space="preserve"> </w:t>
      </w:r>
      <w:r>
        <w:t xml:space="preserve">(€1,747,608</w:t>
      </w:r>
      <w:r>
        <w:t xml:space="preserve"> </w:t>
      </w:r>
      <w:r>
        <w:t xml:space="preserve">for LEs and</w:t>
      </w:r>
      <w:r>
        <w:t xml:space="preserve"> </w:t>
      </w:r>
      <w:r>
        <w:t xml:space="preserve">€362,965</w:t>
      </w:r>
      <w:r>
        <w:t xml:space="preserve"> </w:t>
      </w:r>
      <w:r>
        <w:t xml:space="preserve">for SMEs)</w:t>
      </w:r>
      <w:r>
        <w:t xml:space="preserve"> </w:t>
      </w:r>
      <w:r>
        <w:t xml:space="preserve">Positions</w:t>
      </w:r>
      <w:r>
        <w:t xml:space="preserve"> </w:t>
      </w:r>
      <w:r>
        <w:t xml:space="preserve">of SMEs</w:t>
      </w:r>
      <w:r>
        <w:t xml:space="preserve"> </w:t>
      </w:r>
      <w:r>
        <w:t xml:space="preserve">Increased</w:t>
      </w:r>
      <w:r>
        <w:t xml:space="preserve"> </w:t>
      </w:r>
      <w:r>
        <w:t xml:space="preserve">ability to</w:t>
      </w:r>
      <w:r>
        <w:t xml:space="preserve"> </w:t>
      </w:r>
      <w:r>
        <w:t xml:space="preserve">collaborate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See</w:t>
      </w:r>
      <w:r>
        <w:t xml:space="preserve"> </w:t>
      </w:r>
      <w:r>
        <w:t xml:space="preserve">Administrat</w:t>
      </w:r>
      <w:r>
        <w:t xml:space="preserve"> </w:t>
      </w:r>
      <w:r>
        <w:t xml:space="preserve">ive Burdens</w:t>
      </w:r>
      <w:r>
        <w:t xml:space="preserve"> </w:t>
      </w:r>
      <w:r>
        <w:t xml:space="preserve">on Business</w:t>
      </w:r>
      <w:r>
        <w:t xml:space="preserve"> </w:t>
      </w:r>
      <w:r>
        <w:t xml:space="preserve">Recurrent</w:t>
      </w:r>
      <w:r>
        <w:t xml:space="preserve"> </w:t>
      </w:r>
      <w:r>
        <w:t xml:space="preserve">-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</w:t>
      </w:r>
      <w:r>
        <w:t xml:space="preserve"> </w:t>
      </w:r>
      <w:r>
        <w:t xml:space="preserve">eness,</w:t>
      </w:r>
      <w:r>
        <w:t xml:space="preserve"> </w:t>
      </w:r>
      <w:r>
        <w:t xml:space="preserve">trade and</w:t>
      </w:r>
      <w:r>
        <w:t xml:space="preserve"> </w:t>
      </w:r>
      <w:r>
        <w:t xml:space="preserve">investment</w:t>
      </w:r>
      <w:r>
        <w:t xml:space="preserve"> </w:t>
      </w:r>
      <w:r>
        <w:t xml:space="preserve">flows</w:t>
      </w:r>
      <w:r>
        <w:t xml:space="preserve"> </w:t>
      </w:r>
      <w:r>
        <w:t xml:space="preserve">Increased</w:t>
      </w:r>
      <w:r>
        <w:t xml:space="preserve"> </w:t>
      </w:r>
      <w:r>
        <w:t xml:space="preserve">visibility of</w:t>
      </w:r>
      <w:r>
        <w:t xml:space="preserve"> </w:t>
      </w:r>
      <w:r>
        <w:t xml:space="preserve">company</w:t>
      </w:r>
      <w:r>
        <w:t xml:space="preserve"> </w:t>
      </w:r>
      <w:r>
        <w:t xml:space="preserve">activities</w:t>
      </w:r>
      <w:r>
        <w:t xml:space="preserve"> </w:t>
      </w:r>
      <w:r>
        <w:t xml:space="preserve">(o)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-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Cost of</w:t>
      </w:r>
      <w:r>
        <w:t xml:space="preserve"> </w:t>
      </w:r>
      <w:r>
        <w:t xml:space="preserve">reviewing</w:t>
      </w:r>
      <w:r>
        <w:t xml:space="preserve"> </w:t>
      </w:r>
      <w:r>
        <w:t xml:space="preserve">(o)</w:t>
      </w:r>
      <w:r>
        <w:t xml:space="preserve"> </w:t>
      </w:r>
      <w:r>
        <w:t xml:space="preserve">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296</w:t>
      </w:r>
      <w:r>
        <w:t xml:space="preserve"> </w:t>
      </w:r>
      <w:r>
        <w:t xml:space="preserve">Table 89: Policy measure #4 Publication of the identity of notifiers (i.e. company names and</w:t>
      </w:r>
      <w:r>
        <w:t xml:space="preserve"> </w:t>
      </w:r>
      <w:r>
        <w:t xml:space="preserve">contact details) in the CLI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 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 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impacts</w:t>
      </w:r>
      <w:r>
        <w:br/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PV</w:t>
      </w:r>
      <w:r>
        <w:t xml:space="preserve"> </w:t>
      </w:r>
      <w:r>
        <w:t xml:space="preserve">Annualised</w:t>
      </w:r>
      <w:r>
        <w:t xml:space="preserve"> </w:t>
      </w:r>
      <w:r>
        <w:t xml:space="preserve">impacts</w:t>
      </w:r>
      <w:r>
        <w:t xml:space="preserve"> </w:t>
      </w:r>
      <w:r>
        <w:t xml:space="preserve">confidential</w:t>
      </w:r>
      <w:r>
        <w:t xml:space="preserve"> </w:t>
      </w:r>
      <w:r>
        <w:t xml:space="preserve">ity requests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Cost of updating contact details</w:t>
      </w:r>
      <w:r>
        <w:t xml:space="preserve"> </w:t>
      </w:r>
      <w:r>
        <w:t xml:space="preserve">Policy measure #4 requires notifiers of single notifications or lead notifiers of group</w:t>
      </w:r>
      <w:r>
        <w:t xml:space="preserve"> </w:t>
      </w:r>
      <w:r>
        <w:t xml:space="preserve">notifications to update their notifications with their company name and contact details.</w:t>
      </w:r>
      <w:r>
        <w:t xml:space="preserve"> </w:t>
      </w:r>
      <w:r>
        <w:t xml:space="preserve">However, these details are already included in the submission when creating a user account</w:t>
      </w:r>
      <w:r>
        <w:t xml:space="preserve"> </w:t>
      </w:r>
      <w:r>
        <w:t xml:space="preserve">and therefore no time or costs are required for the updating of the notifications.</w:t>
      </w:r>
      <w:r>
        <w:br/>
      </w:r>
      <w:r>
        <w:t xml:space="preserve">Cost of submitting confidentiality requests</w:t>
      </w:r>
      <w:r>
        <w:t xml:space="preserve"> </w:t>
      </w:r>
      <w:r>
        <w:t xml:space="preserve">Article 77(2)(e) of REACH tasks ECHA with making the information identified in Article</w:t>
      </w:r>
      <w:r>
        <w:t xml:space="preserve"> </w:t>
      </w:r>
      <w:r>
        <w:t xml:space="preserve">119(1) and (2) in the database(s) publicly available, free of charge, and over the Internet.</w:t>
      </w:r>
      <w:r>
        <w:t xml:space="preserve"> </w:t>
      </w:r>
      <w:r>
        <w:t xml:space="preserve">The same Article 77(2)(e) explicitly mentions the Classification and Labelling Inventory.I</w:t>
      </w:r>
      <w:r>
        <w:t xml:space="preserve"> </w:t>
      </w:r>
      <w:r>
        <w:t xml:space="preserve">as one of the databases concerned233. On this basis, the Commission Services’ concluded</w:t>
      </w:r>
      <w:r>
        <w:t xml:space="preserve"> </w:t>
      </w:r>
      <w:r>
        <w:t xml:space="preserve">that the identity of notifiers can be made public234. However, Article 77(2) also allows</w:t>
      </w:r>
      <w:r>
        <w:t xml:space="preserve"> </w:t>
      </w:r>
      <w:r>
        <w:t xml:space="preserve">notifiers to the Classification and Labelling Inventory. to have the opportunity to make</w:t>
      </w:r>
      <w:r>
        <w:t xml:space="preserve"> </w:t>
      </w:r>
      <w:r>
        <w:t xml:space="preserve">confidentiality claims if they are considered justified.</w:t>
      </w:r>
      <w:r>
        <w:t xml:space="preserve"> </w:t>
      </w:r>
      <w:r>
        <w:t xml:space="preserve">Based on discussions at the meeting of the Competent Authorities on REACH and CLP</w:t>
      </w:r>
      <w:r>
        <w:t xml:space="preserve"> </w:t>
      </w:r>
      <w:r>
        <w:t xml:space="preserve">expert group235, confidentiality requests are expected for around 1% of C&amp;L notifications,</w:t>
      </w:r>
      <w:r>
        <w:t xml:space="preserve"> </w:t>
      </w:r>
      <w:r>
        <w:t xml:space="preserve">based on the rates of claiming confidentiality under REACH. Applying this percentage to</w:t>
      </w:r>
      <w:r>
        <w:t xml:space="preserve"> </w:t>
      </w:r>
      <w:r>
        <w:t xml:space="preserve">the number of notifications received via Classification and Labelling notification (656,741),</w:t>
      </w:r>
      <w:r>
        <w:t xml:space="preserve"> </w:t>
      </w:r>
      <w:r>
        <w:t xml:space="preserve">rather than via REACH registration dossiers (94,695), this would equate to roughly 6,600</w:t>
      </w:r>
      <w:r>
        <w:t xml:space="preserve"> </w:t>
      </w:r>
      <w:r>
        <w:t xml:space="preserve">confidentiality requests. This percentage is not applied to notifications from REACH</w:t>
      </w:r>
      <w:r>
        <w:t xml:space="preserve"> </w:t>
      </w:r>
      <w:r>
        <w:t xml:space="preserve">Registration dossiers because according to ECHA confidentiality claims made under</w:t>
      </w:r>
      <w:r>
        <w:t xml:space="preserve"> </w:t>
      </w:r>
      <w:r>
        <w:t xml:space="preserve">REACH Registrations would carry over to the Classification and Labelling Inventory.</w:t>
      </w:r>
      <w:r>
        <w:t xml:space="preserve"> </w:t>
      </w:r>
      <w:r>
        <w:t xml:space="preserve">Under REACH, confidentiality requests must be submitted with a well-substantiated</w:t>
      </w:r>
      <w:r>
        <w:t xml:space="preserve"> </w:t>
      </w:r>
      <w:r>
        <w:t xml:space="preserve">justification for why information should be confidential. Possible justifications for Classifi-</w:t>
      </w:r>
      <w:r>
        <w:t xml:space="preserve"> </w:t>
      </w:r>
      <w:r>
        <w:t xml:space="preserve">cation and Labelling notifications can include:</w:t>
      </w:r>
    </w:p>
    <w:p>
      <w:pPr>
        <w:pStyle w:val="BodyText"/>
      </w:pPr>
      <w:r>
        <w:t xml:space="preserve">Natural person</w:t>
      </w:r>
    </w:p>
    <w:p>
      <w:pPr>
        <w:pStyle w:val="BodyText"/>
      </w:pPr>
      <w:r>
        <w:t xml:space="preserve">Product and Process Oriented Research and Development (PPORD) activities</w:t>
      </w:r>
    </w:p>
    <w:p>
      <w:pPr>
        <w:pStyle w:val="BodyText"/>
      </w:pPr>
      <w:r>
        <w:t xml:space="preserve">Scientific R&amp;D activities</w:t>
      </w:r>
    </w:p>
    <w:p>
      <w:pPr>
        <w:pStyle w:val="BodyText"/>
      </w:pPr>
      <w:r>
        <w:t xml:space="preserve">Non-hazardous substance</w:t>
      </w:r>
    </w:p>
    <w:p>
      <w:pPr>
        <w:pStyle w:val="BodyText"/>
      </w:pPr>
      <w:r>
        <w:t xml:space="preserve">Revealing company strategic information</w:t>
      </w:r>
    </w:p>
    <w:p>
      <w:pPr>
        <w:pStyle w:val="BodyText"/>
      </w:pPr>
      <w:r>
        <w:t xml:space="preserve">233 See: https://eur-lex.europa.eu/legal-content/EN/ALL/?uri=celex%3A32006R1907</w:t>
      </w:r>
      <w:r>
        <w:br/>
      </w:r>
      <w:r>
        <w:t xml:space="preserve">234 European Commission, 2020, 37th Meeting of Competent Authorities for REACH and CLP (CARACAL)</w:t>
      </w:r>
      <w:r>
        <w:t xml:space="preserve"> </w:t>
      </w:r>
      <w:r>
        <w:t xml:space="preserve">CA/77/2020</w:t>
      </w:r>
      <w:r>
        <w:t xml:space="preserve"> </w:t>
      </w:r>
      <w:r>
        <w:t xml:space="preserve">235 See Footnote 234.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Revealing the formulation of products</w:t>
      </w:r>
    </w:p>
    <w:p>
      <w:pPr>
        <w:pStyle w:val="BodyText"/>
      </w:pPr>
      <w:r>
        <w:t xml:space="preserve">Revealing involvement in specialty chemicals production</w:t>
      </w:r>
      <w:r>
        <w:t xml:space="preserve"> </w:t>
      </w:r>
      <w:r>
        <w:t xml:space="preserve">Breaching a non-disclosure agreement</w:t>
      </w:r>
      <w:r>
        <w:t xml:space="preserve"> </w:t>
      </w:r>
      <w:r>
        <w:t xml:space="preserve">To provide a well-substantiated justification, it is assumed that confidentiality requests will</w:t>
      </w:r>
      <w:r>
        <w:t xml:space="preserve"> </w:t>
      </w:r>
      <w:r>
        <w:t xml:space="preserve">need to be individual to each substance, with limited possibility of grouping substances. The</w:t>
      </w:r>
      <w:r>
        <w:t xml:space="preserve"> </w:t>
      </w:r>
      <w:r>
        <w:t xml:space="preserve">study team for the study underlying this Staff working document considered a reasoned</w:t>
      </w:r>
      <w:r>
        <w:t xml:space="preserve"> </w:t>
      </w:r>
      <w:r>
        <w:t xml:space="preserve">estimate of the time to provide a justification to be one hour. Assuming an hourly rate of</w:t>
      </w:r>
      <w:r>
        <w:t xml:space="preserve"> </w:t>
      </w:r>
      <w:r>
        <w:t xml:space="preserve">€41.126, this leads to a total cost among registrants of approximately €270,000 (6,600 x</w:t>
      </w:r>
      <w:r>
        <w:t xml:space="preserve"> </w:t>
      </w:r>
      <w:r>
        <w:t xml:space="preserve">€41.126 = €271,432).</w:t>
      </w:r>
      <w:r>
        <w:br/>
      </w:r>
      <w:r>
        <w:t xml:space="preserve">It should be noted that the number of confidentiality requests under REACH are low, partly</w:t>
      </w:r>
      <w:r>
        <w:t xml:space="preserve"> </w:t>
      </w:r>
      <w:r>
        <w:t xml:space="preserve">because of the significant fee for claiming confidentiality236 and partly because of the</w:t>
      </w:r>
      <w:r>
        <w:t xml:space="preserve"> </w:t>
      </w:r>
      <w:r>
        <w:t xml:space="preserve">experience companies have in that confidentiality requests are only accepted if they are well</w:t>
      </w:r>
      <w:r>
        <w:t xml:space="preserve"> </w:t>
      </w:r>
      <w:r>
        <w:t xml:space="preserve">substantiated (20-25% of confidentiality requests overall are not accepted, although the</w:t>
      </w:r>
      <w:r>
        <w:t xml:space="preserve"> </w:t>
      </w:r>
      <w:r>
        <w:t xml:space="preserve">success rate is higher for requests on company names). Therefore, there is the possibility</w:t>
      </w:r>
      <w:r>
        <w:t xml:space="preserve"> </w:t>
      </w:r>
      <w:r>
        <w:t xml:space="preserve">that the rates of claiming confidentiality may be higher for Classification and Labelling</w:t>
      </w:r>
      <w:r>
        <w:t xml:space="preserve"> </w:t>
      </w:r>
      <w:r>
        <w:t xml:space="preserve">notifications.</w:t>
      </w:r>
      <w:r>
        <w:t xml:space="preserve"> </w:t>
      </w:r>
      <w:r>
        <w:t xml:space="preserve">Cost of navigating the Classification and Labelling Inventory.</w:t>
      </w:r>
      <w:r>
        <w:t xml:space="preserve"> </w:t>
      </w:r>
      <w:r>
        <w:t xml:space="preserve">Each of the three policy measures under consideration aim to address the problem of</w:t>
      </w:r>
      <w:r>
        <w:t xml:space="preserve"> </w:t>
      </w:r>
      <w:r>
        <w:t xml:space="preserve">incorrect, diverging or obsolete information on self-classification in the CLI, in order to</w:t>
      </w:r>
      <w:r>
        <w:t xml:space="preserve"> </w:t>
      </w:r>
      <w:r>
        <w:t xml:space="preserve">make data in the Inventory easier to understand and use. Therefore, an expected benefit to</w:t>
      </w:r>
      <w:r>
        <w:t xml:space="preserve"> </w:t>
      </w:r>
      <w:r>
        <w:t xml:space="preserve">the conduct of business is a reduction in the time taken by Inventory users to find the most</w:t>
      </w:r>
      <w:r>
        <w:t xml:space="preserve"> </w:t>
      </w:r>
      <w:r>
        <w:t xml:space="preserve">relevant and reliable data. The time saving is expected to be greatest amongst inexperienced</w:t>
      </w:r>
      <w:r>
        <w:t xml:space="preserve"> </w:t>
      </w:r>
      <w:r>
        <w:t xml:space="preserve">users, such as SMEs.</w:t>
      </w:r>
      <w:r>
        <w:t xml:space="preserve"> </w:t>
      </w:r>
      <w:r>
        <w:t xml:space="preserve">Based on stakeholder feedback, the 2017 Fitness Check237 found 36% of manufacturers,</w:t>
      </w:r>
      <w:r>
        <w:t xml:space="preserve"> </w:t>
      </w:r>
      <w:r>
        <w:t xml:space="preserve">formulators, distributors and importers use the Classification and Labelling Inventory</w:t>
      </w:r>
      <w:r>
        <w:t xml:space="preserve"> </w:t>
      </w:r>
      <w:r>
        <w:t xml:space="preserve">multiple times a week. On average, it was estimated that a large company spends 2 hours</w:t>
      </w:r>
      <w:r>
        <w:t xml:space="preserve"> </w:t>
      </w:r>
      <w:r>
        <w:t xml:space="preserve">per month (24 hours per year) checking the inventory, with a cost of €987 per year (based</w:t>
      </w:r>
      <w:r>
        <w:t xml:space="preserve"> </w:t>
      </w:r>
      <w:r>
        <w:t xml:space="preserve">on an hourly rate of €41.126). SMEs were estimated to spend half the time, and thus incur</w:t>
      </w:r>
      <w:r>
        <w:t xml:space="preserve"> </w:t>
      </w:r>
      <w:r>
        <w:t xml:space="preserve">half the cost (€493.50 per year).</w:t>
      </w:r>
      <w:r>
        <w:t xml:space="preserve"> </w:t>
      </w:r>
      <w:r>
        <w:t xml:space="preserve">The reduction in time spent using the CLI Classification and Labelling Inventory is</w:t>
      </w:r>
      <w:r>
        <w:t xml:space="preserve"> </w:t>
      </w:r>
      <w:r>
        <w:t xml:space="preserve">dependent on the effectiveness of policy measure #4 in addressing the problem of incorrect,</w:t>
      </w:r>
      <w:r>
        <w:t xml:space="preserve"> </w:t>
      </w:r>
      <w:r>
        <w:t xml:space="preserve">diverging or obsolete information on self-classification in the inventory . Policy measure #4</w:t>
      </w:r>
      <w:r>
        <w:t xml:space="preserve"> </w:t>
      </w:r>
      <w:r>
        <w:t xml:space="preserve">does not have a direct impact on the improvement of self-classification in the inventory, as</w:t>
      </w:r>
      <w:r>
        <w:t xml:space="preserve"> </w:t>
      </w:r>
      <w:r>
        <w:t xml:space="preserve">it relies on companies using published contact details to collaborate. Previous initiatives</w:t>
      </w:r>
      <w:r>
        <w:t xml:space="preserve"> </w:t>
      </w:r>
      <w:r>
        <w:t xml:space="preserve">aimed at promoting collaboration have also achieved limited results. Therefore, the cost</w:t>
      </w:r>
      <w:r>
        <w:t xml:space="preserve"> </w:t>
      </w:r>
      <w:r>
        <w:t xml:space="preserve">saving is expected to be small. A small time saving of about 10% could be possible which</w:t>
      </w:r>
      <w:r>
        <w:t xml:space="preserve"> </w:t>
      </w:r>
      <w:r>
        <w:t xml:space="preserve">would equate to a cost saving of €98.7 per large company and €49.3 per SME. Multiplying</w:t>
      </w:r>
    </w:p>
    <w:p>
      <w:pPr>
        <w:pStyle w:val="BodyText"/>
      </w:pPr>
      <w:r>
        <w:t xml:space="preserve">236The fee for claiming confidentiality on legal identity information in an SDS ranges between €163 for</w:t>
      </w:r>
      <w:r>
        <w:t xml:space="preserve"> </w:t>
      </w:r>
      <w:r>
        <w:t xml:space="preserve">individual submissions for micro enterprises to €3,261 for individual submissions for large enterprises. See:</w:t>
      </w:r>
      <w:r>
        <w:t xml:space="preserve"> </w:t>
      </w:r>
      <w:r>
        <w:t xml:space="preserve">https://eur-lex.europa.eu/legal-content/en/TXT/HTML/?uri=CELEX:02008R0340-20180715&amp;from=EN</w:t>
      </w:r>
      <w:r>
        <w:br/>
      </w:r>
      <w:r>
        <w:t xml:space="preserve">237 Study on the regulatory fitness of the legislative framework governing the risk management of chemicals</w:t>
      </w:r>
      <w:r>
        <w:t xml:space="preserve"> </w:t>
      </w:r>
      <w:r>
        <w:t xml:space="preserve">(excluding REACH), in particular the CLP Regulation and related legislation, Ref. Ares(2017)1390364 -</w:t>
      </w:r>
      <w:r>
        <w:t xml:space="preserve"> </w:t>
      </w:r>
      <w:r>
        <w:t xml:space="preserve">16/03/2017.</w:t>
      </w:r>
    </w:p>
    <w:p>
      <w:pPr>
        <w:pStyle w:val="BodyText"/>
      </w:pPr>
      <w:r>
        <w:t xml:space="preserve">298</w:t>
      </w:r>
      <w:r>
        <w:t xml:space="preserve"> </w:t>
      </w:r>
      <w:r>
        <w:t xml:space="preserve">these figures by the total number of large companies and SMEs gives total annual cost</w:t>
      </w:r>
      <w:r>
        <w:t xml:space="preserve"> </w:t>
      </w:r>
      <w:r>
        <w:t xml:space="preserve">saving of approximately €1,300,000 (€98.70 x 13,485 = €1,330,970) for large companies,</w:t>
      </w:r>
      <w:r>
        <w:t xml:space="preserve"> </w:t>
      </w:r>
      <w:r>
        <w:t xml:space="preserve">€450,000 (€49.35 x 9,260 = €456,518) for SMEs, and a total annual cost saving to all</w:t>
      </w:r>
      <w:r>
        <w:t xml:space="preserve"> </w:t>
      </w:r>
      <w:r>
        <w:t xml:space="preserve">companies of €1,750,000.</w:t>
      </w:r>
      <w:r>
        <w:t xml:space="preserve"> </w:t>
      </w:r>
      <w:r>
        <w:t xml:space="preserve">SMEs</w:t>
      </w:r>
      <w:r>
        <w:t xml:space="preserve"> </w:t>
      </w:r>
      <w:r>
        <w:t xml:space="preserve">The costs associated with self-classifications are often high and unaffordable to SMEs,</w:t>
      </w:r>
      <w:r>
        <w:t xml:space="preserve"> </w:t>
      </w:r>
      <w:r>
        <w:t xml:space="preserve">meaning they rely on classification done by larger companies - when they exist. If the names</w:t>
      </w:r>
      <w:r>
        <w:t xml:space="preserve"> </w:t>
      </w:r>
      <w:r>
        <w:t xml:space="preserve">of notifiers are displayed it will be easier for SMEs to contact larger companies – which</w:t>
      </w:r>
      <w:r>
        <w:t xml:space="preserve"> </w:t>
      </w:r>
      <w:r>
        <w:t xml:space="preserve">may be interesting if they have a very similar or same substance. Also for SMES which are</w:t>
      </w:r>
      <w:r>
        <w:t xml:space="preserve"> </w:t>
      </w:r>
      <w:r>
        <w:t xml:space="preserve">often users or importers of mixtures it is beneficial to have more certainty regarding the</w:t>
      </w:r>
      <w:r>
        <w:t xml:space="preserve"> </w:t>
      </w:r>
      <w:r>
        <w:t xml:space="preserve">hazard of the substances – through the fact that notifiers can more easily get into contact</w:t>
      </w:r>
      <w:r>
        <w:t xml:space="preserve"> </w:t>
      </w:r>
      <w:r>
        <w:t xml:space="preserve">with each other – they will use in the mixture as this will ease the classification of their</w:t>
      </w:r>
      <w:r>
        <w:t xml:space="preserve"> </w:t>
      </w:r>
      <w:r>
        <w:t xml:space="preserve">mixture.</w:t>
      </w:r>
      <w:r>
        <w:t xml:space="preserve"> </w:t>
      </w:r>
      <w:r>
        <w:t xml:space="preserve">Sectoral competitiveness, trade and investment flows</w:t>
      </w:r>
      <w:r>
        <w:t xml:space="preserve"> </w:t>
      </w:r>
      <w:r>
        <w:t xml:space="preserve">The additional information and transparency on the identity of notifiers is expected to aid</w:t>
      </w:r>
      <w:r>
        <w:t xml:space="preserve"> </w:t>
      </w:r>
      <w:r>
        <w:t xml:space="preserve">competitiveness of EU industry, particularly the competitiveness of SMEs. However, the</w:t>
      </w:r>
      <w:r>
        <w:t xml:space="preserve"> </w:t>
      </w:r>
      <w:r>
        <w:t xml:space="preserve">impact of the measure on its own, is expected to be weak, as its effect relies on companies</w:t>
      </w:r>
      <w:r>
        <w:t xml:space="preserve"> </w:t>
      </w:r>
      <w:r>
        <w:t xml:space="preserve">using published contact details to collaborate. Previous initiatives aimed at promoting</w:t>
      </w:r>
      <w:r>
        <w:t xml:space="preserve"> </w:t>
      </w:r>
      <w:r>
        <w:t xml:space="preserve">collaboration amongst duty holders have also produced very limited results. On the other</w:t>
      </w:r>
      <w:r>
        <w:t xml:space="preserve"> </w:t>
      </w:r>
      <w:r>
        <w:t xml:space="preserve">hand it is not excluded that the measure acts as an incentive for notifiers to contact each</w:t>
      </w:r>
      <w:r>
        <w:t xml:space="preserve"> </w:t>
      </w:r>
      <w:r>
        <w:t xml:space="preserve">other and come to an agreed entry. Moreover, there was agreement to that proposed measure</w:t>
      </w:r>
      <w:r>
        <w:t xml:space="preserve"> </w:t>
      </w:r>
      <w:r>
        <w:t xml:space="preserve">by the Competent Authorities on REACH and CLP expert group, except for substances used</w:t>
      </w:r>
      <w:r>
        <w:t xml:space="preserve"> </w:t>
      </w:r>
      <w:r>
        <w:t xml:space="preserve">for product and process orientated research and development (PPORD).</w:t>
      </w:r>
      <w:r>
        <w:br/>
      </w:r>
      <w:r>
        <w:t xml:space="preserve">Public Authority Costs</w:t>
      </w:r>
      <w:r>
        <w:t xml:space="preserve"> </w:t>
      </w:r>
      <w:r>
        <w:t xml:space="preserve">Cost of reviewing confidentiality requests</w:t>
      </w:r>
      <w:r>
        <w:t xml:space="preserve"> </w:t>
      </w:r>
      <w:r>
        <w:t xml:space="preserve">At the 37th Competent Authorities for REACH and CLP expert group meeting it was</w:t>
      </w:r>
      <w:r>
        <w:t xml:space="preserve"> </w:t>
      </w:r>
      <w:r>
        <w:t xml:space="preserve">explained that there are no fees for confidentiality requests in C&amp;L notifications, and</w:t>
      </w:r>
      <w:r>
        <w:t xml:space="preserve"> </w:t>
      </w:r>
      <w:r>
        <w:t xml:space="preserve">therefore no resources are expected for ECHA to assess the requests. Also, given the high</w:t>
      </w:r>
      <w:r>
        <w:t xml:space="preserve"> </w:t>
      </w:r>
      <w:r>
        <w:t xml:space="preserve">number of requests that are predicted, it would not be feasible to manually assess them.</w:t>
      </w:r>
      <w:r>
        <w:t xml:space="preserve"> </w:t>
      </w:r>
      <w:r>
        <w:t xml:space="preserve">Therefore, the proposed approach was to provisionally accept all confidentiality requests</w:t>
      </w:r>
      <w:r>
        <w:t xml:space="preserve"> </w:t>
      </w:r>
      <w:r>
        <w:t xml:space="preserve">made, with possible follow-up actions to be agreed later, as required. IT screenings or spot</w:t>
      </w:r>
      <w:r>
        <w:t xml:space="preserve"> </w:t>
      </w:r>
      <w:r>
        <w:t xml:space="preserve">checks would be considered by ECHA as mechanisms to avoid or spot any misconduct. The</w:t>
      </w:r>
      <w:r>
        <w:t xml:space="preserve"> </w:t>
      </w:r>
      <w:r>
        <w:t xml:space="preserve">system to be put in place for updating Classification and Labelling notifications, would</w:t>
      </w:r>
      <w:r>
        <w:t xml:space="preserve"> </w:t>
      </w:r>
      <w:r>
        <w:t xml:space="preserve">recommend that notifiers make confidentiality requests only where needed and would</w:t>
      </w:r>
      <w:r>
        <w:t xml:space="preserve"> </w:t>
      </w:r>
      <w:r>
        <w:t xml:space="preserve">highlight the information needed to justify a request, and which types of reasons are</w:t>
      </w:r>
      <w:r>
        <w:t xml:space="preserve"> </w:t>
      </w:r>
      <w:r>
        <w:t xml:space="preserve">considered invalid. ECHA did not plan to hire additional staff if it were to perform such</w:t>
      </w:r>
      <w:r>
        <w:t xml:space="preserve"> </w:t>
      </w:r>
      <w:r>
        <w:t xml:space="preserve">tasks. Hence, the measure would require ECHA resources to be diverted from other tasks.</w:t>
      </w:r>
      <w:r>
        <w:t xml:space="preserve"> </w:t>
      </w:r>
      <w:r>
        <w:t xml:space="preserve">As the proposed measure was generally supported by the Competent Authorities on REACH</w:t>
      </w:r>
      <w:r>
        <w:t xml:space="preserve"> </w:t>
      </w:r>
      <w:r>
        <w:t xml:space="preserve">and CLP expert group and because the legal text is not clear on that point, such measure</w:t>
      </w:r>
      <w:r>
        <w:t xml:space="preserve"> </w:t>
      </w:r>
      <w:r>
        <w:t xml:space="preserve">would require the legal text to be clarified. The measure would allow ECHA to disclose the</w:t>
      </w:r>
      <w:r>
        <w:t xml:space="preserve"> </w:t>
      </w:r>
      <w:r>
        <w:t xml:space="preserve">identity of notifiers, either generally or upon request, subject to a duly motivated</w:t>
      </w:r>
      <w:r>
        <w:t xml:space="preserve"> </w:t>
      </w:r>
      <w:r>
        <w:t xml:space="preserve">confidentiality request by a notifier.</w:t>
      </w:r>
    </w:p>
    <w:p>
      <w:pPr>
        <w:pStyle w:val="BodyText"/>
      </w:pPr>
      <w:r>
        <w:t xml:space="preserve">299</w:t>
      </w:r>
      <w:r>
        <w:t xml:space="preserve"> </w:t>
      </w:r>
      <w:r>
        <w:t xml:space="preserve">A summary of the costs and benefits of policy measure #4 are provided below.</w:t>
      </w:r>
      <w:r>
        <w:t xml:space="preserve"> </w:t>
      </w:r>
      <w:r>
        <w:t xml:space="preserve">Summary of cost and benefits of policy measure #4</w:t>
      </w:r>
      <w:r>
        <w:t xml:space="preserve"> </w:t>
      </w:r>
      <w:r>
        <w:t xml:space="preserve">Costs - businesses</w:t>
      </w:r>
      <w:r>
        <w:t xml:space="preserve"> </w:t>
      </w:r>
      <w:r>
        <w:t xml:space="preserve">Total one-off costs over a 20-year period</w:t>
      </w:r>
      <w:r>
        <w:t xml:space="preserve"> </w:t>
      </w:r>
      <w:r>
        <w:t xml:space="preserve">€270,000</w:t>
      </w:r>
      <w:r>
        <w:t xml:space="preserve"> </w:t>
      </w:r>
      <w:r>
        <w:t xml:space="preserve">Recurring costs every 1 year</w:t>
      </w:r>
    </w:p>
    <w:p>
      <w:pPr>
        <w:pStyle w:val="BodyText"/>
      </w:pPr>
      <w:r>
        <w:t xml:space="preserve">Total recurring costs over a 20-year period</w:t>
      </w:r>
    </w:p>
    <w:p>
      <w:pPr>
        <w:pStyle w:val="BodyText"/>
      </w:pPr>
      <w:r>
        <w:t xml:space="preserve">PV of one-off costs (20 years; 3%)</w:t>
      </w:r>
      <w:r>
        <w:t xml:space="preserve"> </w:t>
      </w:r>
      <w:r>
        <w:t xml:space="preserve">€362,965</w:t>
      </w:r>
      <w:r>
        <w:t xml:space="preserve"> </w:t>
      </w:r>
      <w:r>
        <w:t xml:space="preserve">PV of one-off costs (20 years; 3%) (annualized)</w:t>
      </w:r>
      <w:r>
        <w:t xml:space="preserve"> </w:t>
      </w:r>
      <w:r>
        <w:t xml:space="preserve">€18,148</w:t>
      </w:r>
      <w:r>
        <w:t xml:space="preserve"> </w:t>
      </w:r>
      <w:r>
        <w:t xml:space="preserve">PV of recurring costs (20 years; 3%)</w:t>
      </w:r>
    </w:p>
    <w:p>
      <w:pPr>
        <w:pStyle w:val="BodyText"/>
      </w:pPr>
      <w:r>
        <w:t xml:space="preserve">Total PV – costs - businesses</w:t>
      </w:r>
    </w:p>
    <w:p>
      <w:pPr>
        <w:pStyle w:val="BodyText"/>
      </w:pPr>
      <w:r>
        <w:t xml:space="preserve">Costs – public authorities</w:t>
      </w:r>
      <w:r>
        <w:t xml:space="preserve"> </w:t>
      </w:r>
      <w:r>
        <w:t xml:space="preserve">Total one-off costs over a 20-year period</w:t>
      </w:r>
    </w:p>
    <w:p>
      <w:pPr>
        <w:pStyle w:val="BodyText"/>
      </w:pPr>
      <w:r>
        <w:t xml:space="preserve">Recurring costs every 1 year</w:t>
      </w:r>
    </w:p>
    <w:p>
      <w:pPr>
        <w:pStyle w:val="BodyText"/>
      </w:pPr>
      <w:r>
        <w:t xml:space="preserve">Total recurring costs over a 20-year period</w:t>
      </w:r>
    </w:p>
    <w:p>
      <w:pPr>
        <w:pStyle w:val="BodyText"/>
      </w:pPr>
      <w:r>
        <w:t xml:space="preserve">PV of one-off costs (20 years; 3%)</w:t>
      </w:r>
    </w:p>
    <w:p>
      <w:pPr>
        <w:pStyle w:val="BodyText"/>
      </w:pPr>
      <w:r>
        <w:t xml:space="preserve">PV of recurring costs (20 years; 3%)</w:t>
      </w:r>
    </w:p>
    <w:p>
      <w:pPr>
        <w:pStyle w:val="BodyText"/>
      </w:pPr>
      <w:r>
        <w:t xml:space="preserve">Total PV – costs – public authorities</w:t>
      </w:r>
    </w:p>
    <w:p>
      <w:pPr>
        <w:pStyle w:val="BodyText"/>
      </w:pPr>
      <w:r>
        <w:t xml:space="preserve">Total PV cost of policy measure #4</w:t>
      </w:r>
      <w:r>
        <w:t xml:space="preserve"> </w:t>
      </w:r>
      <w:r>
        <w:t xml:space="preserve">€362,965</w:t>
      </w:r>
      <w:r>
        <w:t xml:space="preserve"> </w:t>
      </w:r>
      <w:r>
        <w:t xml:space="preserve">Benefits (cost savings) - businesses</w:t>
      </w:r>
      <w:r>
        <w:t xml:space="preserve"> </w:t>
      </w:r>
      <w:r>
        <w:t xml:space="preserve">€33,250,000</w:t>
      </w:r>
      <w:r>
        <w:t xml:space="preserve"> </w:t>
      </w:r>
      <w:r>
        <w:t xml:space="preserve">PV benefits - businesses</w:t>
      </w:r>
      <w:r>
        <w:t xml:space="preserve"> </w:t>
      </w:r>
      <w:r>
        <w:t xml:space="preserve">€44,698,446</w:t>
      </w:r>
      <w:r>
        <w:t xml:space="preserve"> </w:t>
      </w:r>
      <w:r>
        <w:t xml:space="preserve">Benefits (cost savings) – public authorities</w:t>
      </w:r>
    </w:p>
    <w:p>
      <w:pPr>
        <w:pStyle w:val="BodyText"/>
      </w:pPr>
      <w:r>
        <w:t xml:space="preserve">PV – benefits – public authorities</w:t>
      </w:r>
    </w:p>
    <w:p>
      <w:pPr>
        <w:pStyle w:val="BodyText"/>
      </w:pPr>
      <w:r>
        <w:t xml:space="preserve">Benefits - society</w:t>
      </w:r>
    </w:p>
    <w:p>
      <w:pPr>
        <w:pStyle w:val="BodyText"/>
      </w:pPr>
      <w:r>
        <w:t xml:space="preserve">PV - benefits - society</w:t>
      </w:r>
    </w:p>
    <w:p>
      <w:pPr>
        <w:pStyle w:val="BodyText"/>
      </w:pPr>
      <w:r>
        <w:t xml:space="preserve">Total OV - benefits</w:t>
      </w:r>
    </w:p>
    <w:p>
      <w:pPr>
        <w:pStyle w:val="BodyText"/>
      </w:pPr>
      <w:r>
        <w:t xml:space="preserve">Net Present Value - NPV (PV benefits – PV costs)</w:t>
      </w:r>
      <w:r>
        <w:t xml:space="preserve"> </w:t>
      </w:r>
      <w:r>
        <w:t xml:space="preserve">€44,335,481</w:t>
      </w:r>
    </w:p>
    <w:p>
      <w:pPr>
        <w:pStyle w:val="BodyText"/>
      </w:pPr>
      <w:r>
        <w:t xml:space="preserve">A summary of the present value (3% discount) costs and benefits of policy measure #4 are</w:t>
      </w:r>
      <w:r>
        <w:t xml:space="preserve"> </w:t>
      </w:r>
      <w:r>
        <w:t xml:space="preserve">provided below.</w:t>
      </w:r>
      <w:r>
        <w:t xml:space="preserve"> </w:t>
      </w:r>
      <w:r>
        <w:t xml:space="preserve">Summary of costs and benefits (PV; 20 years; 3%) of policy measure #4 by type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€362,965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300</w:t>
      </w:r>
      <w:r>
        <w:t xml:space="preserve"> </w:t>
      </w:r>
      <w:r>
        <w:t xml:space="preserve">Direct cost savings</w:t>
      </w:r>
      <w:r>
        <w:t xml:space="preserve"> </w:t>
      </w:r>
      <w:r>
        <w:t xml:space="preserve">€44,698,446</w:t>
      </w:r>
    </w:p>
    <w:p>
      <w:pPr>
        <w:pStyle w:val="BodyText"/>
      </w:pPr>
      <w:r>
        <w:t xml:space="preserve">Indirect benefits</w:t>
      </w:r>
    </w:p>
    <w:p>
      <w:pPr>
        <w:pStyle w:val="BodyText"/>
      </w:pPr>
      <w:r>
        <w:t xml:space="preserve">#6 Require notifiers to validate/update entries in the C&amp;L Inventory every 2 year(s)</w:t>
      </w:r>
      <w:r>
        <w:br/>
      </w:r>
      <w:r>
        <w:t xml:space="preserve">Another measure that has been considered as possibly improving the data submitted to the</w:t>
      </w:r>
      <w:r>
        <w:t xml:space="preserve"> </w:t>
      </w:r>
      <w:r>
        <w:t xml:space="preserve">Classification and Labelling Inventory is to oblige notifiers to update their notification on</w:t>
      </w:r>
      <w:r>
        <w:t xml:space="preserve"> </w:t>
      </w:r>
      <w:r>
        <w:t xml:space="preserve">a regular basis, e.g. every two years. They would have to look at the data they had submitted</w:t>
      </w:r>
      <w:r>
        <w:t xml:space="preserve"> </w:t>
      </w:r>
      <w:r>
        <w:t xml:space="preserve">before and update, correct or confirm any information from their previous notification.</w:t>
      </w:r>
      <w:r>
        <w:t xml:space="preserve"> </w:t>
      </w:r>
      <w:r>
        <w:t xml:space="preserve">However, in the view of ECHA, this would not trigger an improvement as Classification</w:t>
      </w:r>
      <w:r>
        <w:t xml:space="preserve"> </w:t>
      </w:r>
      <w:r>
        <w:t xml:space="preserve">and Labelling notifications usually do not need regular updates and having permanent</w:t>
      </w:r>
      <w:r>
        <w:t xml:space="preserve"> </w:t>
      </w:r>
      <w:r>
        <w:t xml:space="preserve">updates would not allow to have a stable version of the Classification and Labelling</w:t>
      </w:r>
      <w:r>
        <w:t xml:space="preserve"> </w:t>
      </w:r>
      <w:r>
        <w:t xml:space="preserve">Inventory .</w:t>
      </w:r>
      <w:r>
        <w:t xml:space="preserve"> </w:t>
      </w:r>
      <w:r>
        <w:t xml:space="preserve">The costs of such measure have been analysed and are provided hereinafter. The benefits</w:t>
      </w:r>
      <w:r>
        <w:t xml:space="preserve"> </w:t>
      </w:r>
      <w:r>
        <w:t xml:space="preserve">are analysed in a separate heading, together with the benefits of the other options.</w:t>
      </w:r>
      <w:r>
        <w:t xml:space="preserve"> </w:t>
      </w:r>
      <w:r>
        <w:t xml:space="preserve">Table 90: #6 Require notifiers to validate/update entries in the C&amp;L Inventory every 2 year(s)</w:t>
      </w:r>
      <w:r>
        <w:br/>
      </w:r>
      <w:r>
        <w:t xml:space="preserve">Impact</w:t>
      </w:r>
      <w:r>
        <w:t xml:space="preserve"> </w:t>
      </w:r>
      <w:r>
        <w:t xml:space="preserve">Category</w:t>
      </w:r>
      <w:r>
        <w:br/>
      </w:r>
      <w:r>
        <w:t xml:space="preserve">Impact</w:t>
      </w:r>
      <w:r>
        <w:br/>
      </w:r>
      <w:r>
        <w:t xml:space="preserve">Positive</w:t>
      </w:r>
      <w:r>
        <w:t xml:space="preserve"> </w:t>
      </w:r>
      <w:r>
        <w:t xml:space="preserve">(+);</w:t>
      </w:r>
      <w:r>
        <w:t xml:space="preserve"> </w:t>
      </w:r>
      <w:r>
        <w:t xml:space="preserve">negativ</w:t>
      </w:r>
      <w:r>
        <w:t xml:space="preserve"> </w:t>
      </w:r>
      <w:r>
        <w:t xml:space="preserve">e</w:t>
      </w:r>
      <w:r>
        <w:t xml:space="preserve"> </w:t>
      </w:r>
      <w:r>
        <w:t xml:space="preserve">(-);</w:t>
      </w:r>
      <w:r>
        <w:t xml:space="preserve"> </w:t>
      </w:r>
      <w:r>
        <w:t xml:space="preserve">neutral</w:t>
      </w:r>
      <w:r>
        <w:t xml:space="preserve"> </w:t>
      </w:r>
      <w:r>
        <w:t xml:space="preserve">(o)</w:t>
      </w:r>
      <w:r>
        <w:br/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br/>
      </w:r>
      <w:r>
        <w:t xml:space="preserve">Monetised</w:t>
      </w:r>
      <w:r>
        <w:t xml:space="preserve"> </w:t>
      </w:r>
      <w:r>
        <w:t xml:space="preserve">impacts</w:t>
      </w:r>
      <w:r>
        <w:br/>
      </w:r>
      <w:r>
        <w:t xml:space="preserve">One off or recurrent PV</w:t>
      </w:r>
      <w:r>
        <w:t xml:space="preserve"> </w:t>
      </w:r>
      <w:r>
        <w:t xml:space="preserve">annualised</w:t>
      </w:r>
      <w:r>
        <w:t xml:space="preserve"> </w:t>
      </w:r>
      <w:r>
        <w:t xml:space="preserve">impacts</w:t>
      </w:r>
      <w:r>
        <w:br/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on</w:t>
      </w:r>
      <w:r>
        <w:t xml:space="preserve"> </w:t>
      </w:r>
      <w:r>
        <w:t xml:space="preserve">business</w:t>
      </w:r>
      <w:r>
        <w:br/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checking</w:t>
      </w:r>
      <w:r>
        <w:t xml:space="preserve"> </w:t>
      </w:r>
      <w:r>
        <w:t xml:space="preserve">notifications</w:t>
      </w:r>
      <w:r>
        <w:br/>
      </w:r>
      <w:r>
        <w:t xml:space="preserve">(-)</w:t>
      </w:r>
      <w:r>
        <w:br/>
      </w:r>
      <w:r>
        <w:t xml:space="preserve">Direct Total cost of</w:t>
      </w:r>
      <w:r>
        <w:t xml:space="preserve"> </w:t>
      </w:r>
      <w:r>
        <w:t xml:space="preserve">€4,900,000</w:t>
      </w:r>
      <w:r>
        <w:br/>
      </w:r>
      <w:r>
        <w:t xml:space="preserve">Recurrent</w:t>
      </w:r>
      <w:r>
        <w:t xml:space="preserve"> </w:t>
      </w:r>
      <w:r>
        <w:t xml:space="preserve">(biannual)</w:t>
      </w:r>
      <w:r>
        <w:br/>
      </w:r>
      <w:r>
        <w:t xml:space="preserve">€3,293,570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re-</w:t>
      </w:r>
      <w:r>
        <w:t xml:space="preserve"> </w:t>
      </w:r>
      <w:r>
        <w:t xml:space="preserve">classification</w:t>
      </w:r>
      <w:r>
        <w:br/>
      </w:r>
      <w:r>
        <w:t xml:space="preserve">(-)</w:t>
      </w:r>
      <w:r>
        <w:br/>
      </w:r>
      <w:r>
        <w:t xml:space="preserve">Direct Total cost of</w:t>
      </w:r>
      <w:r>
        <w:t xml:space="preserve"> </w:t>
      </w:r>
      <w:r>
        <w:t xml:space="preserve">€10,400,000 -</w:t>
      </w:r>
      <w:r>
        <w:t xml:space="preserve"> </w:t>
      </w:r>
      <w:r>
        <w:t xml:space="preserve">€20,800,000</w:t>
      </w:r>
    </w:p>
    <w:p>
      <w:pPr>
        <w:pStyle w:val="BodyText"/>
      </w:pPr>
      <w:r>
        <w:t xml:space="preserve">Total cost of</w:t>
      </w:r>
      <w:r>
        <w:t xml:space="preserve"> </w:t>
      </w:r>
      <w:r>
        <w:t xml:space="preserve">€1,040,00</w:t>
      </w:r>
      <w:r>
        <w:t xml:space="preserve"> </w:t>
      </w:r>
      <w:r>
        <w:t xml:space="preserve">-</w:t>
      </w:r>
      <w:r>
        <w:t xml:space="preserve"> </w:t>
      </w:r>
      <w:r>
        <w:t xml:space="preserve">€2,080,000</w:t>
      </w:r>
    </w:p>
    <w:p>
      <w:pPr>
        <w:pStyle w:val="BodyText"/>
      </w:pPr>
      <w:r>
        <w:t xml:space="preserve">One-off</w:t>
      </w:r>
    </w:p>
    <w:p>
      <w:pPr>
        <w:pStyle w:val="BodyText"/>
      </w:pPr>
      <w:r>
        <w:t xml:space="preserve">Recurrent (biannual</w:t>
      </w:r>
      <w:r>
        <w:t xml:space="preserve"> </w:t>
      </w:r>
      <w:r>
        <w:t xml:space="preserve">)</w:t>
      </w:r>
      <w:r>
        <w:t xml:space="preserve"> </w:t>
      </w:r>
      <w:r>
        <w:t xml:space="preserve">€699,044 -</w:t>
      </w:r>
      <w:r>
        <w:t xml:space="preserve"> </w:t>
      </w:r>
      <w:r>
        <w:t xml:space="preserve">€1,398,087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updating</w:t>
      </w:r>
      <w:r>
        <w:t xml:space="preserve"> </w:t>
      </w:r>
      <w:r>
        <w:t xml:space="preserve">and</w:t>
      </w:r>
      <w:r>
        <w:t xml:space="preserve"> </w:t>
      </w:r>
      <w:r>
        <w:t xml:space="preserve">distributing</w:t>
      </w:r>
      <w:r>
        <w:t xml:space="preserve"> </w:t>
      </w:r>
      <w:r>
        <w:t xml:space="preserve">revised Safety</w:t>
      </w:r>
      <w:r>
        <w:t xml:space="preserve"> </w:t>
      </w:r>
      <w:r>
        <w:t xml:space="preserve">Data</w:t>
      </w:r>
      <w:r>
        <w:t xml:space="preserve"> </w:t>
      </w:r>
      <w:r>
        <w:t xml:space="preserve">Sheet</w:t>
      </w:r>
      <w:r>
        <w:t xml:space="preserve"> </w:t>
      </w:r>
      <w:r>
        <w:t xml:space="preserve">(SDS)</w:t>
      </w:r>
      <w:r>
        <w:br/>
      </w:r>
      <w:r>
        <w:t xml:space="preserve">(-)</w:t>
      </w:r>
      <w:r>
        <w:br/>
      </w:r>
      <w:r>
        <w:t xml:space="preserve">Indirect</w:t>
      </w:r>
    </w:p>
    <w:p>
      <w:pPr>
        <w:pStyle w:val="BodyText"/>
      </w:pPr>
      <w:r>
        <w:t xml:space="preserve">Total cost of</w:t>
      </w:r>
      <w:r>
        <w:t xml:space="preserve"> </w:t>
      </w:r>
      <w:r>
        <w:t xml:space="preserve">€17,900,000 -</w:t>
      </w:r>
      <w:r>
        <w:t xml:space="preserve"> </w:t>
      </w:r>
      <w:r>
        <w:t xml:space="preserve">€34,800,000</w:t>
      </w:r>
      <w:r>
        <w:t xml:space="preserve"> </w:t>
      </w:r>
      <w:r>
        <w:t xml:space="preserve">Total cost of-</w:t>
      </w:r>
      <w:r>
        <w:t xml:space="preserve"> </w:t>
      </w:r>
      <w:r>
        <w:t xml:space="preserve">€1,790,000</w:t>
      </w:r>
      <w:r>
        <w:t xml:space="preserve"> </w:t>
      </w:r>
      <w:r>
        <w:t xml:space="preserve">-</w:t>
      </w:r>
      <w:r>
        <w:t xml:space="preserve"> </w:t>
      </w:r>
      <w:r>
        <w:t xml:space="preserve">€3,480,000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Recurrent (biannual</w:t>
      </w:r>
      <w:r>
        <w:t xml:space="preserve"> </w:t>
      </w:r>
      <w:r>
        <w:t xml:space="preserve">)</w:t>
      </w:r>
      <w:r>
        <w:t xml:space="preserve"> </w:t>
      </w:r>
      <w:r>
        <w:t xml:space="preserve">€1,196,440</w:t>
      </w:r>
      <w:r>
        <w:t xml:space="preserve"> </w:t>
      </w:r>
      <w:r>
        <w:t xml:space="preserve">-</w:t>
      </w:r>
      <w:r>
        <w:t xml:space="preserve"> </w:t>
      </w:r>
      <w:r>
        <w:t xml:space="preserve">€2,406,322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re-</w:t>
      </w:r>
      <w:r>
        <w:t xml:space="preserve"> </w:t>
      </w:r>
      <w:r>
        <w:t xml:space="preserve">labelling in line</w:t>
      </w:r>
      <w:r>
        <w:t xml:space="preserve"> </w:t>
      </w:r>
      <w:r>
        <w:t xml:space="preserve">with</w:t>
      </w:r>
      <w:r>
        <w:t xml:space="preserve"> </w:t>
      </w:r>
      <w:r>
        <w:t xml:space="preserve">re-</w:t>
      </w:r>
      <w:r>
        <w:t xml:space="preserve"> </w:t>
      </w:r>
      <w:r>
        <w:t xml:space="preserve">classification</w:t>
      </w:r>
      <w:r>
        <w:br/>
      </w:r>
      <w:r>
        <w:t xml:space="preserve">(-)</w:t>
      </w:r>
      <w:r>
        <w:br/>
      </w:r>
      <w:r>
        <w:t xml:space="preserve">Indirect</w:t>
      </w:r>
    </w:p>
    <w:p>
      <w:pPr>
        <w:pStyle w:val="BodyText"/>
      </w:pPr>
      <w:r>
        <w:t xml:space="preserve">Total cost of</w:t>
      </w:r>
      <w:r>
        <w:t xml:space="preserve"> </w:t>
      </w:r>
      <w:r>
        <w:t xml:space="preserve">€102,000,000</w:t>
      </w:r>
      <w:r>
        <w:t xml:space="preserve"> </w:t>
      </w:r>
      <w:r>
        <w:t xml:space="preserve">-</w:t>
      </w:r>
      <w:r>
        <w:t xml:space="preserve"> </w:t>
      </w:r>
      <w:r>
        <w:t xml:space="preserve">€200,000,000</w:t>
      </w:r>
    </w:p>
    <w:p>
      <w:pPr>
        <w:pStyle w:val="BodyText"/>
      </w:pPr>
      <w:r>
        <w:t xml:space="preserve">One-off</w:t>
      </w:r>
    </w:p>
    <w:bookmarkStart w:id="9" w:name="section"/>
    <w:p>
      <w:pPr>
        <w:pStyle w:val="Heading2"/>
      </w:pPr>
      <w:r>
        <w:t xml:space="preserve">€6,856,002</w:t>
      </w:r>
    </w:p>
    <w:p>
      <w:pPr>
        <w:pStyle w:val="FirstParagraph"/>
      </w:pPr>
      <w:r>
        <w:t xml:space="preserve">€13,443,14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301</w:t>
      </w:r>
      <w:r>
        <w:t xml:space="preserve"> </w:t>
      </w:r>
      <w:r>
        <w:t xml:space="preserve">Total cost of</w:t>
      </w:r>
      <w:r>
        <w:t xml:space="preserve"> </w:t>
      </w:r>
      <w:r>
        <w:t xml:space="preserve">€10,200,000 -</w:t>
      </w:r>
      <w:r>
        <w:t xml:space="preserve"> </w:t>
      </w:r>
      <w:r>
        <w:t xml:space="preserve">€20,000,000</w:t>
      </w:r>
      <w:r>
        <w:t xml:space="preserve"> </w:t>
      </w:r>
      <w:r>
        <w:t xml:space="preserve">Recurrent</w:t>
      </w:r>
      <w:r>
        <w:t xml:space="preserve"> </w:t>
      </w:r>
      <w:r>
        <w:t xml:space="preserve">(biannual)</w:t>
      </w:r>
      <w:r>
        <w:br/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navigating the</w:t>
      </w:r>
      <w:r>
        <w:t xml:space="preserve"> </w:t>
      </w:r>
      <w:r>
        <w:t xml:space="preserve">CLI</w:t>
      </w:r>
      <w:r>
        <w:br/>
      </w:r>
      <w:r>
        <w:t xml:space="preserve">(+)</w:t>
      </w:r>
      <w:r>
        <w:br/>
      </w:r>
      <w:r>
        <w:t xml:space="preserve">Indirect</w:t>
      </w:r>
    </w:p>
    <w:p>
      <w:pPr>
        <w:pStyle w:val="BodyText"/>
      </w:pPr>
      <w:r>
        <w:t xml:space="preserve">Cost saving of</w:t>
      </w:r>
      <w:r>
        <w:t xml:space="preserve"> </w:t>
      </w:r>
      <w:r>
        <w:t xml:space="preserve">€8,950,000</w:t>
      </w:r>
      <w:r>
        <w:t xml:space="preserve"> </w:t>
      </w:r>
      <w:r>
        <w:t xml:space="preserve">(€2,300,000</w:t>
      </w:r>
      <w:r>
        <w:t xml:space="preserve"> </w:t>
      </w:r>
      <w:r>
        <w:t xml:space="preserve">for SMEs)</w:t>
      </w:r>
      <w:r>
        <w:br/>
      </w:r>
      <w:r>
        <w:t xml:space="preserve">Recurrent (annual)</w:t>
      </w:r>
      <w:r>
        <w:t xml:space="preserve"> </w:t>
      </w:r>
      <w:r>
        <w:t xml:space="preserve">from year 2</w:t>
      </w:r>
      <w:r>
        <w:br/>
      </w:r>
      <w:r>
        <w:t xml:space="preserve">€12,031,61</w:t>
      </w:r>
      <w:r>
        <w:t xml:space="preserve"> </w:t>
      </w:r>
      <w:r>
        <w:t xml:space="preserve">2</w:t>
      </w:r>
      <w:r>
        <w:t xml:space="preserve"> </w:t>
      </w:r>
      <w:r>
        <w:t xml:space="preserve">(€3,091,923</w:t>
      </w:r>
      <w:r>
        <w:t xml:space="preserve"> </w:t>
      </w:r>
      <w:r>
        <w:t xml:space="preserve">for SMEs)</w:t>
      </w:r>
      <w:r>
        <w:t xml:space="preserve"> </w:t>
      </w:r>
      <w:r>
        <w:t xml:space="preserve">Positions</w:t>
      </w:r>
      <w:r>
        <w:t xml:space="preserve"> </w:t>
      </w:r>
      <w:r>
        <w:t xml:space="preserve">of</w:t>
      </w:r>
      <w:r>
        <w:t xml:space="preserve"> </w:t>
      </w:r>
      <w:r>
        <w:t xml:space="preserve">SMEs</w:t>
      </w:r>
      <w:r>
        <w:br/>
      </w:r>
      <w:r>
        <w:t xml:space="preserve">Additional</w:t>
      </w:r>
      <w:r>
        <w:t xml:space="preserve"> </w:t>
      </w:r>
      <w:r>
        <w:t xml:space="preserve">burden</w:t>
      </w:r>
      <w:r>
        <w:t xml:space="preserve"> </w:t>
      </w:r>
      <w:r>
        <w:t xml:space="preserve">on</w:t>
      </w:r>
      <w:r>
        <w:t xml:space="preserve"> </w:t>
      </w:r>
      <w:r>
        <w:t xml:space="preserve">SMEs</w:t>
      </w:r>
      <w:r>
        <w:br/>
      </w:r>
      <w:r>
        <w:t xml:space="preserve">(-)</w:t>
      </w:r>
      <w:r>
        <w:br/>
      </w:r>
      <w:r>
        <w:t xml:space="preserve">Indirect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Burdens on</w:t>
      </w:r>
      <w:r>
        <w:t xml:space="preserve"> </w:t>
      </w:r>
      <w:r>
        <w:t xml:space="preserve">Business</w:t>
      </w:r>
      <w:r>
        <w:br/>
      </w:r>
      <w:r>
        <w:t xml:space="preserve">Recurrent</w:t>
      </w:r>
      <w:r>
        <w:br/>
      </w:r>
      <w:r>
        <w:t xml:space="preserve">-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,</w:t>
      </w:r>
      <w:r>
        <w:t xml:space="preserve"> </w:t>
      </w:r>
      <w:r>
        <w:t xml:space="preserve">trade</w:t>
      </w:r>
      <w:r>
        <w:t xml:space="preserve"> </w:t>
      </w:r>
      <w:r>
        <w:t xml:space="preserve">and</w:t>
      </w:r>
      <w:r>
        <w:t xml:space="preserve"> </w:t>
      </w:r>
      <w:r>
        <w:t xml:space="preserve">investment</w:t>
      </w:r>
      <w:r>
        <w:t xml:space="preserve"> </w:t>
      </w:r>
      <w:r>
        <w:t xml:space="preserve">flows</w:t>
      </w:r>
      <w:r>
        <w:br/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competitivenes</w:t>
      </w:r>
      <w:r>
        <w:t xml:space="preserve"> </w:t>
      </w:r>
      <w:r>
        <w:t xml:space="preserve">s of businesses</w:t>
      </w:r>
      <w:r>
        <w:br/>
      </w:r>
      <w:r>
        <w:t xml:space="preserve">(+)</w:t>
      </w:r>
      <w:r>
        <w:br/>
      </w:r>
      <w:r>
        <w:t xml:space="preserve">Indirect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quantified</w:t>
      </w:r>
      <w:r>
        <w:br/>
      </w:r>
      <w:r>
        <w:t xml:space="preserve">Recurrent</w:t>
      </w:r>
      <w:r>
        <w:br/>
      </w:r>
      <w:r>
        <w:t xml:space="preserve">-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br/>
      </w:r>
      <w:r>
        <w:t xml:space="preserve">The reviewing</w:t>
      </w:r>
      <w:r>
        <w:t xml:space="preserve"> </w:t>
      </w:r>
      <w:r>
        <w:t xml:space="preserve">of</w:t>
      </w:r>
      <w:r>
        <w:t xml:space="preserve"> </w:t>
      </w:r>
      <w:r>
        <w:t xml:space="preserve">C&amp;L</w:t>
      </w:r>
      <w:r>
        <w:t xml:space="preserve"> </w:t>
      </w:r>
      <w:r>
        <w:t xml:space="preserve">notifications</w:t>
      </w:r>
      <w:r>
        <w:br/>
      </w:r>
      <w:r>
        <w:t xml:space="preserve">(o)</w:t>
      </w:r>
      <w:r>
        <w:br/>
      </w:r>
      <w:r>
        <w:t xml:space="preserve">Direct Not</w:t>
      </w:r>
      <w:r>
        <w:t xml:space="preserve"> </w:t>
      </w:r>
      <w:r>
        <w:t xml:space="preserve">quantified</w:t>
      </w:r>
      <w:r>
        <w:br/>
      </w:r>
      <w:r>
        <w:t xml:space="preserve">Recurrent</w:t>
      </w:r>
      <w:r>
        <w:br/>
      </w:r>
      <w:r>
        <w:t xml:space="preserve">-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Cost of checking notifications</w:t>
      </w:r>
      <w:r>
        <w:t xml:space="preserve"> </w:t>
      </w:r>
      <w:r>
        <w:t xml:space="preserve">Policy measure #6 requires notifiers to check their notification submissions to the CLI to</w:t>
      </w:r>
      <w:r>
        <w:t xml:space="preserve"> </w:t>
      </w:r>
      <w:r>
        <w:t xml:space="preserve">verify that their self-classifications are correct and up to date. If any self-classification is</w:t>
      </w:r>
      <w:r>
        <w:t xml:space="preserve"> </w:t>
      </w:r>
      <w:r>
        <w:t xml:space="preserve">incorrect or not up to date, either because new adequate and reliable scientific or technical</w:t>
      </w:r>
      <w:r>
        <w:t xml:space="preserve"> </w:t>
      </w:r>
      <w:r>
        <w:t xml:space="preserve">information has become available that affects the classification, or if the notifier no longer</w:t>
      </w:r>
      <w:r>
        <w:t xml:space="preserve"> </w:t>
      </w:r>
      <w:r>
        <w:t xml:space="preserve">manufactures, imports or uses the substance which has been notified, then action will need</w:t>
      </w:r>
      <w:r>
        <w:t xml:space="preserve"> </w:t>
      </w:r>
      <w:r>
        <w:t xml:space="preserve">to be taken to update the notification. This action will either involve re-classification of the</w:t>
      </w:r>
      <w:r>
        <w:t xml:space="preserve"> </w:t>
      </w:r>
      <w:r>
        <w:t xml:space="preserve">substance (see next paragraph) or removal of the notification.</w:t>
      </w:r>
      <w:r>
        <w:br/>
      </w:r>
      <w:r>
        <w:t xml:space="preserve">This policy measure will require every notification in the Classification and Labelling</w:t>
      </w:r>
      <w:r>
        <w:t xml:space="preserve"> </w:t>
      </w:r>
      <w:r>
        <w:t xml:space="preserve">Inventory to be validated by the notifier or the lead notifier of a group notification and</w:t>
      </w:r>
      <w:r>
        <w:t xml:space="preserve"> </w:t>
      </w:r>
      <w:r>
        <w:t xml:space="preserve">updated if necessary (the updating costs are presented in the next paragraph). Data on the</w:t>
      </w:r>
      <w:r>
        <w:t xml:space="preserve"> </w:t>
      </w:r>
      <w:r>
        <w:t xml:space="preserve">Classification and Labelling Inventory that was provided by ECHA for the purpose of the</w:t>
      </w:r>
      <w:r>
        <w:t xml:space="preserve"> </w:t>
      </w:r>
      <w:r>
        <w:t xml:space="preserve">study underlying this Staff Working Document, shows that as of 30th November 2021, there</w:t>
      </w:r>
      <w:r>
        <w:t xml:space="preserve"> </w:t>
      </w:r>
      <w:r>
        <w:t xml:space="preserve">were 751,436 notifications in the Inventory. Some 13% of the overall notifications come</w:t>
      </w:r>
      <w:r>
        <w:t xml:space="preserve"> </w:t>
      </w:r>
      <w:r>
        <w:t xml:space="preserve">directly via REACH registration dossiers. REACH registrants would then update those</w:t>
      </w:r>
      <w:r>
        <w:t xml:space="preserve"> </w:t>
      </w:r>
      <w:r>
        <w:t xml:space="preserve">94,965 notifications via REACH. Hence they are out of the scope of measure #6 (and</w:t>
      </w:r>
      <w:r>
        <w:t xml:space="preserve"> </w:t>
      </w:r>
      <w:r>
        <w:t xml:space="preserve">measure #5 as well).</w:t>
      </w:r>
      <w:r>
        <w:br/>
      </w:r>
      <w:r>
        <w:t xml:space="preserve">Therefore, a total of 656,741 notifications were submitted to the C&amp;L Inventory directly</w:t>
      </w:r>
      <w:r>
        <w:t xml:space="preserve"> </w:t>
      </w:r>
      <w:r>
        <w:t xml:space="preserve">from 12,244 notifiers. The data provided by ECHA also provides a breakdown of the</w:t>
      </w:r>
      <w:r>
        <w:t xml:space="preserve"> </w:t>
      </w:r>
      <w:r>
        <w:t xml:space="preserve">number of C&amp;L notifications from large companies (405,713) and SMEs (251,028). This</w:t>
      </w:r>
      <w:r>
        <w:t xml:space="preserve"> </w:t>
      </w:r>
      <w:r>
        <w:t xml:space="preserve">gives an average of 54 notifications per notifier. Dividing these figures by the number of</w:t>
      </w:r>
      <w:r>
        <w:t xml:space="preserve"> </w:t>
      </w:r>
      <w:r>
        <w:t xml:space="preserve">large notifiers (5,931) and SME notifiers (6,313) gives an average number of 68</w:t>
      </w:r>
      <w:r>
        <w:t xml:space="preserve"> </w:t>
      </w:r>
      <w:r>
        <w:t xml:space="preserve">notifications submitted by each large company and 40 notifications submitted by each SME.</w:t>
      </w:r>
    </w:p>
    <w:p>
      <w:pPr>
        <w:pStyle w:val="BodyText"/>
      </w:pPr>
      <w:r>
        <w:t xml:space="preserve">302</w:t>
      </w:r>
      <w:r>
        <w:t xml:space="preserve"> </w:t>
      </w:r>
      <w:r>
        <w:t xml:space="preserve">The 2017 Fitness Check238 of CLP estimated the average time to submit lower complexity</w:t>
      </w:r>
      <w:r>
        <w:t xml:space="preserve"> </w:t>
      </w:r>
      <w:r>
        <w:t xml:space="preserve">notifications to the Classification and Labelling Inventory was 0.18hrs, which equates to</w:t>
      </w:r>
      <w:r>
        <w:t xml:space="preserve"> </w:t>
      </w:r>
      <w:r>
        <w:t xml:space="preserve">roughly 11 minutes. This was considered a reasonable proxy of the time that would be</w:t>
      </w:r>
      <w:r>
        <w:t xml:space="preserve"> </w:t>
      </w:r>
      <w:r>
        <w:t xml:space="preserve">needed to validate a notification, which does not require any update. In line with the Fitness</w:t>
      </w:r>
      <w:r>
        <w:t xml:space="preserve"> </w:t>
      </w:r>
      <w:r>
        <w:t xml:space="preserve">Check, an hourly rate of €41.126 has been assumed for staff involved in compliance</w:t>
      </w:r>
      <w:r>
        <w:t xml:space="preserve"> </w:t>
      </w:r>
      <w:r>
        <w:t xml:space="preserve">activities. This equates to a cost per notification of €7.40, and an average cost of €400 (€7.40</w:t>
      </w:r>
      <w:r>
        <w:t xml:space="preserve"> </w:t>
      </w:r>
      <w:r>
        <w:t xml:space="preserve">x 54 notifications) per company, €503 (€7.40 x 68 notifications) per large company, and</w:t>
      </w:r>
      <w:r>
        <w:t xml:space="preserve"> </w:t>
      </w:r>
      <w:r>
        <w:t xml:space="preserve">€296 per SME (€7.40 x 40 notifications). The total biennial cost to large companies would</w:t>
      </w:r>
      <w:r>
        <w:t xml:space="preserve"> </w:t>
      </w:r>
      <w:r>
        <w:t xml:space="preserve">be approximately €3,000,000 (€503 x 5,931 = €2,983,293), €1,900,000 (€296 x 6,313 =</w:t>
      </w:r>
      <w:r>
        <w:t xml:space="preserve"> </w:t>
      </w:r>
      <w:r>
        <w:t xml:space="preserve">1,868,648) to SMEs and a total biennial cost to all companies of approximately €4,900,000.</w:t>
      </w:r>
      <w:r>
        <w:t xml:space="preserve"> </w:t>
      </w:r>
      <w:r>
        <w:t xml:space="preserve">This cost is based on the assumption that all checks confirm the existing classification.</w:t>
      </w:r>
      <w:r>
        <w:t xml:space="preserve"> </w:t>
      </w:r>
      <w:r>
        <w:t xml:space="preserve">Where a notification should be updated, costs below apply.</w:t>
      </w:r>
      <w:r>
        <w:br/>
      </w:r>
      <w:r>
        <w:t xml:space="preserve">Cost of re-classification</w:t>
      </w:r>
      <w:r>
        <w:br/>
      </w:r>
      <w:r>
        <w:t xml:space="preserve">The 2017 Fitness Check estimates the average cost of undertaking re-classification activities</w:t>
      </w:r>
      <w:r>
        <w:t xml:space="preserve"> </w:t>
      </w:r>
      <w:r>
        <w:t xml:space="preserve">to be €400, based on feedback from industry stakeholders. This estimate excludes the cost</w:t>
      </w:r>
      <w:r>
        <w:t xml:space="preserve"> </w:t>
      </w:r>
      <w:r>
        <w:t xml:space="preserve">of any associated testing.</w:t>
      </w:r>
      <w:r>
        <w:br/>
      </w:r>
      <w:r>
        <w:t xml:space="preserve">Data on the Classification and Labelling Inventory that was provided by ECHA to the study</w:t>
      </w:r>
      <w:r>
        <w:t xml:space="preserve"> </w:t>
      </w:r>
      <w:r>
        <w:t xml:space="preserve">team for the study underlying this Staff Working Document, shows that 3-5% of the 10,000</w:t>
      </w:r>
      <w:r>
        <w:t xml:space="preserve"> </w:t>
      </w:r>
      <w:r>
        <w:t xml:space="preserve">REACH Registration dossiers that are updated each year provide a change in classification</w:t>
      </w:r>
      <w:r>
        <w:t xml:space="preserve"> </w:t>
      </w:r>
      <w:r>
        <w:t xml:space="preserve">and labelling as one of the reasons for update. The statistics rely purely on the declaration</w:t>
      </w:r>
      <w:r>
        <w:t xml:space="preserve"> </w:t>
      </w:r>
      <w:r>
        <w:t xml:space="preserve">of the registrant as regards the reason for update, as no validation is made by ECHA to</w:t>
      </w:r>
      <w:r>
        <w:t xml:space="preserve"> </w:t>
      </w:r>
      <w:r>
        <w:t xml:space="preserve">determine whether the classification was actually changed. Therefore, there is a degree of</w:t>
      </w:r>
      <w:r>
        <w:t xml:space="preserve"> </w:t>
      </w:r>
      <w:r>
        <w:t xml:space="preserve">uncertainty in this figure.</w:t>
      </w:r>
      <w:r>
        <w:br/>
      </w:r>
      <w:r>
        <w:t xml:space="preserve">It is assumed that a similar percentage would apply to all notifications submitted to the</w:t>
      </w:r>
      <w:r>
        <w:br/>
      </w:r>
      <w:r>
        <w:t xml:space="preserve">Classification and Labelling Inventory (656,741) and which are not regularly updated239.</w:t>
      </w:r>
      <w:r>
        <w:t xml:space="preserve"> </w:t>
      </w:r>
      <w:r>
        <w:t xml:space="preserve">1% of notified substances are already updated regularly (and re-classified where</w:t>
      </w:r>
      <w:r>
        <w:t xml:space="preserve"> </w:t>
      </w:r>
      <w:r>
        <w:t xml:space="preserve">appropriate), so by taking this into account (3-5% minus 1%), it gives an estimate of</w:t>
      </w:r>
      <w:r>
        <w:t xml:space="preserve"> </w:t>
      </w:r>
      <w:r>
        <w:t xml:space="preserve">approximately 13,000 - 26,000 notifications requiring re-classification each year, which</w:t>
      </w:r>
      <w:r>
        <w:t xml:space="preserve"> </w:t>
      </w:r>
      <w:r>
        <w:t xml:space="preserve">when divided by the number of companies that have submitted C&amp;L notifications (12,244),</w:t>
      </w:r>
      <w:r>
        <w:t xml:space="preserve"> </w:t>
      </w:r>
      <w:r>
        <w:t xml:space="preserve">gives an estimate of 1.06 – 2.12 notifications per company. This means that on average each</w:t>
      </w:r>
      <w:r>
        <w:t xml:space="preserve"> </w:t>
      </w:r>
      <w:r>
        <w:t xml:space="preserve">company would incur a re-classification cost of €424 - €848, and a total annual cost to all</w:t>
      </w:r>
      <w:r>
        <w:t xml:space="preserve"> </w:t>
      </w:r>
      <w:r>
        <w:t xml:space="preserve">companies of approximately €5,200,000 - €10,400,000 (€424 - €848 x 12,244). In the two</w:t>
      </w:r>
      <w:r>
        <w:t xml:space="preserve"> </w:t>
      </w:r>
      <w:r>
        <w:t xml:space="preserve">year period between updates proposed by this policy measure, the total cost to all companies</w:t>
      </w:r>
      <w:r>
        <w:t xml:space="preserve"> </w:t>
      </w:r>
      <w:r>
        <w:t xml:space="preserve">would be approximately €10,400,000 - €20,800,000.</w:t>
      </w:r>
      <w:r>
        <w:br/>
      </w:r>
      <w:r>
        <w:t xml:space="preserve">By taking the 2-4% range and applying it to the number of notifications submitted by large</w:t>
      </w:r>
      <w:r>
        <w:t xml:space="preserve"> </w:t>
      </w:r>
      <w:r>
        <w:t xml:space="preserve">companies (405,713) and SMEs (251,028), this gives an estimate of approximately 8,100-</w:t>
      </w:r>
      <w:r>
        <w:t xml:space="preserve"> </w:t>
      </w:r>
      <w:r>
        <w:t xml:space="preserve">16,200 notifications and 5,000-10,000 notifications requiring re-classification by large</w:t>
      </w:r>
      <w:r>
        <w:t xml:space="preserve"> </w:t>
      </w:r>
      <w:r>
        <w:t xml:space="preserve">companies and SMEs respectively each year. This means that on average each large</w:t>
      </w:r>
      <w:r>
        <w:t xml:space="preserve"> </w:t>
      </w:r>
      <w:r>
        <w:t xml:space="preserve">company would have 1.37-2.73 notifications requiring re-classification (8,100-16,200 /</w:t>
      </w:r>
      <w:r>
        <w:t xml:space="preserve"> </w:t>
      </w:r>
      <w:r>
        <w:t xml:space="preserve">5,931 large companies) and each SME would have 0.79-1.58 notifications requiring re-</w:t>
      </w:r>
      <w:r>
        <w:t xml:space="preserve"> </w:t>
      </w:r>
      <w:r>
        <w:t xml:space="preserve">classification (5,000-10,000 / 6,313 SMEs) and incur a re-classification costs of €548-1,092</w:t>
      </w:r>
      <w:r>
        <w:t xml:space="preserve"> </w:t>
      </w:r>
      <w:r>
        <w:t xml:space="preserve">(€400 x 1.37-2.73) and €316-632 (€400 x 0.79-1.58) respectively. The total annual costs to</w:t>
      </w:r>
    </w:p>
    <w:p>
      <w:pPr>
        <w:pStyle w:val="BodyText"/>
      </w:pPr>
      <w:r>
        <w:t xml:space="preserve">238 See footnote 16.</w:t>
      </w:r>
      <w:r>
        <w:t xml:space="preserve"> </w:t>
      </w:r>
      <w:r>
        <w:t xml:space="preserve">239 ECHA informed that 1% of the notified classifications are updated per year.</w:t>
      </w:r>
    </w:p>
    <w:p>
      <w:pPr>
        <w:pStyle w:val="BodyText"/>
      </w:pPr>
      <w:r>
        <w:t xml:space="preserve">303</w:t>
      </w:r>
      <w:r>
        <w:t xml:space="preserve"> </w:t>
      </w:r>
      <w:r>
        <w:t xml:space="preserve">large companies are approximately €3,250,000 - €6,500,000 (€548-1,092 x 5,931 =</w:t>
      </w:r>
      <w:r>
        <w:t xml:space="preserve"> </w:t>
      </w:r>
      <w:r>
        <w:t xml:space="preserve">€3,250,188-€6,476,652) and approximately €2,000,000 - €4,000,000 to SMEs (€316-632 x</w:t>
      </w:r>
      <w:r>
        <w:t xml:space="preserve"> </w:t>
      </w:r>
      <w:r>
        <w:t xml:space="preserve">6,313 = €1,994,908-€3,989,816). In the two year period between updates proposed by this</w:t>
      </w:r>
      <w:r>
        <w:t xml:space="preserve"> </w:t>
      </w:r>
      <w:r>
        <w:t xml:space="preserve">policy measure, the total cost to large companies would be approximately €6,500,000 -</w:t>
      </w:r>
      <w:r>
        <w:t xml:space="preserve"> </w:t>
      </w:r>
      <w:r>
        <w:t xml:space="preserve">€13,000,000 and €4,000,000 - €8,000,000 for SMEs.</w:t>
      </w:r>
      <w:r>
        <w:t xml:space="preserve"> </w:t>
      </w:r>
      <w:r>
        <w:t xml:space="preserve">Cost of updating and distributing revised Safety Data Sheet (SDS)</w:t>
      </w:r>
      <w:r>
        <w:br/>
      </w:r>
      <w:r>
        <w:t xml:space="preserve">Following any re-classifications, companies will be required to update and distribute revised</w:t>
      </w:r>
      <w:r>
        <w:t xml:space="preserve"> </w:t>
      </w:r>
      <w:r>
        <w:t xml:space="preserve">Safety Data Sheet to reflect the new classification. The 2017 Fitness Check estimated an</w:t>
      </w:r>
      <w:r>
        <w:t xml:space="preserve"> </w:t>
      </w:r>
      <w:r>
        <w:t xml:space="preserve">average cost of €250 per substance or mixture of updating an SDS due to a change in</w:t>
      </w:r>
      <w:r>
        <w:t xml:space="preserve"> </w:t>
      </w:r>
      <w:r>
        <w:t xml:space="preserve">classification. SDS help ensure that those who use chemicals in the workplace use them</w:t>
      </w:r>
      <w:r>
        <w:t xml:space="preserve"> </w:t>
      </w:r>
      <w:r>
        <w:t xml:space="preserve">safely without risk of harm to users or the environment. Only companies supplying</w:t>
      </w:r>
      <w:r>
        <w:t xml:space="preserve"> </w:t>
      </w:r>
      <w:r>
        <w:t xml:space="preserve">hazardous substances and mixtures to other companies (downstream users, distributors) are</w:t>
      </w:r>
      <w:r>
        <w:t xml:space="preserve"> </w:t>
      </w:r>
      <w:r>
        <w:t xml:space="preserve">required to provide a SDS, meaning that not all notifiers who re-classify their substances</w:t>
      </w:r>
      <w:r>
        <w:t xml:space="preserve"> </w:t>
      </w:r>
      <w:r>
        <w:t xml:space="preserve">will have to produce a revised SDS. Therefore, only a proportion of notifications requiring</w:t>
      </w:r>
      <w:r>
        <w:t xml:space="preserve"> </w:t>
      </w:r>
      <w:r>
        <w:t xml:space="preserve">re-classification will also require a subsequent revised SDS. A recent economic analysis of</w:t>
      </w:r>
      <w:r>
        <w:t xml:space="preserve"> </w:t>
      </w:r>
      <w:r>
        <w:t xml:space="preserve">the Impacts of the Chemicals Strategy for Sustainability240 found that just over a quarter of</w:t>
      </w:r>
      <w:r>
        <w:t xml:space="preserve"> </w:t>
      </w:r>
      <w:r>
        <w:t xml:space="preserve">the products identified in the data gathering exercise had an industrial end use and were</w:t>
      </w:r>
      <w:r>
        <w:t xml:space="preserve"> </w:t>
      </w:r>
      <w:r>
        <w:t xml:space="preserve">classified under the following hazard classes: CMR, PBT, vPvB. EDC, respiratory</w:t>
      </w:r>
      <w:r>
        <w:t xml:space="preserve"> </w:t>
      </w:r>
      <w:r>
        <w:t xml:space="preserve">sensitisation, STOT RE, STOT SE, skin sensitisation, aquatic chronic toxicity,</w:t>
      </w:r>
      <w:r>
        <w:t xml:space="preserve"> </w:t>
      </w:r>
      <w:r>
        <w:t xml:space="preserve">immunotoxicity, or neurotoxicity. Although this does not include products classified under</w:t>
      </w:r>
      <w:r>
        <w:t xml:space="preserve"> </w:t>
      </w:r>
      <w:r>
        <w:t xml:space="preserve">all hazard classes, and includes products classified under some hazard classes not currently</w:t>
      </w:r>
      <w:r>
        <w:t xml:space="preserve"> </w:t>
      </w:r>
      <w:r>
        <w:t xml:space="preserve">under CLP, this sample is considered large enough to be representative of the end uses of</w:t>
      </w:r>
      <w:r>
        <w:t xml:space="preserve"> </w:t>
      </w:r>
      <w:r>
        <w:t xml:space="preserve">all hazardous products. This means that approximately 3,250 – 6,500 of the re-classified</w:t>
      </w:r>
      <w:r>
        <w:t xml:space="preserve"> </w:t>
      </w:r>
      <w:r>
        <w:t xml:space="preserve">substances would require an SDS after each year (2,025 – 4,050 for large companies and</w:t>
      </w:r>
      <w:r>
        <w:t xml:space="preserve"> </w:t>
      </w:r>
      <w:r>
        <w:t xml:space="preserve">1,250 – 2,500 for SMEs), which would lead to a cost per company of €66.25 - €132.50,</w:t>
      </w:r>
      <w:r>
        <w:t xml:space="preserve"> </w:t>
      </w:r>
      <w:r>
        <w:t xml:space="preserve">€85.63 - €170.63 per large company, and €49.38 - €98.75 per SME (these calculations take</w:t>
      </w:r>
      <w:r>
        <w:t xml:space="preserve"> </w:t>
      </w:r>
      <w:r>
        <w:t xml:space="preserve">the average number of notifications per company / large company / SME requiring</w:t>
      </w:r>
      <w:r>
        <w:t xml:space="preserve"> </w:t>
      </w:r>
      <w:r>
        <w:t xml:space="preserve">reclassifications presented in the paragraph above, divide by four and multiple by the unit</w:t>
      </w:r>
      <w:r>
        <w:t xml:space="preserve"> </w:t>
      </w:r>
      <w:r>
        <w:t xml:space="preserve">cost of €250 per SDS). SDS may also need an update for mixtures containing the reclassified</w:t>
      </w:r>
      <w:r>
        <w:t xml:space="preserve"> </w:t>
      </w:r>
      <w:r>
        <w:t xml:space="preserve">substances, where the substance concentration in the mixture would be above the general</w:t>
      </w:r>
      <w:r>
        <w:t xml:space="preserve"> </w:t>
      </w:r>
      <w:r>
        <w:t xml:space="preserve">concentration limit. Such limits vary by several order of magnitude. It was estimated from</w:t>
      </w:r>
      <w:r>
        <w:t xml:space="preserve"> </w:t>
      </w:r>
      <w:r>
        <w:t xml:space="preserve">Annex 8 that for each substance, 11 mixtures are manufactured. To test the variability,</w:t>
      </w:r>
      <w:r>
        <w:t xml:space="preserve"> </w:t>
      </w:r>
      <w:r>
        <w:t xml:space="preserve">frequencies of updates of mixture SDS 10, 30 and 50% were used, though these figures</w:t>
      </w:r>
      <w:r>
        <w:t xml:space="preserve"> </w:t>
      </w:r>
      <w:r>
        <w:t xml:space="preserve">contain uncertainties. This gives total annual costs of approximately €8,900,000 -</w:t>
      </w:r>
      <w:r>
        <w:t xml:space="preserve"> </w:t>
      </w:r>
      <w:r>
        <w:t xml:space="preserve">€17,900,000 (3,250-6,500 x €250 x 11) for all companies, €5,600,000 – €11,100,000 (2,025</w:t>
      </w:r>
      <w:r>
        <w:t xml:space="preserve"> </w:t>
      </w:r>
      <w:r>
        <w:t xml:space="preserve">– 4,050 x €250 x 11) for large companies, and €3,400,000 - €6,900,000 (1,250 – 2,500 x</w:t>
      </w:r>
      <w:r>
        <w:t xml:space="preserve"> </w:t>
      </w:r>
      <w:r>
        <w:t xml:space="preserve">€250 x 11) for SMEs. In the two year period between updates proposed by this policy</w:t>
      </w:r>
      <w:r>
        <w:t xml:space="preserve"> </w:t>
      </w:r>
      <w:r>
        <w:t xml:space="preserve">measure, the total cost to all companies would be approximately €17,900,000 - €35,800,000,</w:t>
      </w:r>
      <w:r>
        <w:t xml:space="preserve"> </w:t>
      </w:r>
      <w:r>
        <w:t xml:space="preserve">€11,200,000 - €22,200,000 to large companies, and €6,800,000 - €13,800,000 for SMEs.</w:t>
      </w:r>
      <w:r>
        <w:t xml:space="preserve"> </w:t>
      </w:r>
      <w:r>
        <w:t xml:space="preserve">Cost of re-labelling in line with re-classification</w:t>
      </w:r>
      <w:r>
        <w:br/>
      </w:r>
      <w:r>
        <w:t xml:space="preserve">To ensure that customers receive information on hazards, suppliers of substances and</w:t>
      </w:r>
      <w:r>
        <w:t xml:space="preserve"> </w:t>
      </w:r>
      <w:r>
        <w:t xml:space="preserve">mixtures should ensure that they are labelled in accordance with the classification derived</w:t>
      </w:r>
    </w:p>
    <w:p>
      <w:pPr>
        <w:pStyle w:val="BodyText"/>
      </w:pPr>
      <w:r>
        <w:t xml:space="preserve">240 Cefic, Economic Analysis of the Impacts of the Chemicals Strategy for Sustainability – Phase 1 Report,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304</w:t>
      </w:r>
      <w:r>
        <w:t xml:space="preserve"> </w:t>
      </w:r>
      <w:r>
        <w:t xml:space="preserve">for each substance and mixture. CLP labels must include hazard pictograms, hazard and</w:t>
      </w:r>
      <w:r>
        <w:t xml:space="preserve"> </w:t>
      </w:r>
      <w:r>
        <w:t xml:space="preserve">precautionary statements, and signal words derived from a hazard classification. Therefore,</w:t>
      </w:r>
      <w:r>
        <w:t xml:space="preserve"> </w:t>
      </w:r>
      <w:r>
        <w:t xml:space="preserve">a change in classification will require a change in labelling to ensure compliance with</w:t>
      </w:r>
      <w:r>
        <w:t xml:space="preserve"> </w:t>
      </w:r>
      <w:r>
        <w:t xml:space="preserve">labelling provisions under the CLP Regulation and accurate communication of hazard</w:t>
      </w:r>
      <w:r>
        <w:t xml:space="preserve"> </w:t>
      </w:r>
      <w:r>
        <w:t xml:space="preserve">information to users of substances.</w:t>
      </w:r>
      <w:r>
        <w:br/>
      </w:r>
      <w:r>
        <w:t xml:space="preserve">Labels are the only tool for direct communication to consumers, but they may also serve to</w:t>
      </w:r>
      <w:r>
        <w:t xml:space="preserve"> </w:t>
      </w:r>
      <w:r>
        <w:t xml:space="preserve">draw the attention of workers to the more comprehensive information on substances or</w:t>
      </w:r>
      <w:r>
        <w:t xml:space="preserve"> </w:t>
      </w:r>
      <w:r>
        <w:t xml:space="preserve">mixtures provided in safety data sheets (SDS). Labelling applies to all substances and</w:t>
      </w:r>
      <w:r>
        <w:t xml:space="preserve"> </w:t>
      </w:r>
      <w:r>
        <w:t xml:space="preserve">mixtures, with the exception of those substances used exclusively in products that are</w:t>
      </w:r>
      <w:r>
        <w:t xml:space="preserve"> </w:t>
      </w:r>
      <w:r>
        <w:t xml:space="preserve">exempt from CLP, such as cosmetics. It is not known what percentage of substances in the</w:t>
      </w:r>
      <w:r>
        <w:t xml:space="preserve"> </w:t>
      </w:r>
      <w:r>
        <w:t xml:space="preserve">Classification and Labelling Inventory are exempt, but the proportion is considered to be a</w:t>
      </w:r>
      <w:r>
        <w:t xml:space="preserve"> </w:t>
      </w:r>
      <w:r>
        <w:t xml:space="preserve">minority, so for the purposes of this analysis all notifications that are updated with revised</w:t>
      </w:r>
      <w:r>
        <w:t xml:space="preserve"> </w:t>
      </w:r>
      <w:r>
        <w:t xml:space="preserve">classifications are assumed to require subsequent re-labelling. However, as mentioned</w:t>
      </w:r>
      <w:r>
        <w:t xml:space="preserve"> </w:t>
      </w:r>
      <w:r>
        <w:t xml:space="preserve">previously one quarter of substances are assumed to be supplied to industrial uses and</w:t>
      </w:r>
      <w:r>
        <w:t xml:space="preserve"> </w:t>
      </w:r>
      <w:r>
        <w:t xml:space="preserve">therefore would not need consumer labelling.</w:t>
      </w:r>
      <w:r>
        <w:t xml:space="preserve"> </w:t>
      </w:r>
      <w:r>
        <w:t xml:space="preserve">The 2017 Fitness Check241 estimated the average cost of re-labelling to be €388 per</w:t>
      </w:r>
      <w:r>
        <w:t xml:space="preserve"> </w:t>
      </w:r>
      <w:r>
        <w:t xml:space="preserve">substance and €475 per mixture. Assuming 75% of notifications requiring re-classification</w:t>
      </w:r>
      <w:r>
        <w:t xml:space="preserve"> </w:t>
      </w:r>
      <w:r>
        <w:t xml:space="preserve">each year would result in relabelling, would equate to 9,750 – 19,500 (13,000 – 26,000 *</w:t>
      </w:r>
      <w:r>
        <w:t xml:space="preserve"> </w:t>
      </w:r>
      <w:r>
        <w:t xml:space="preserve">0.75) for all companies, 6,000 – 12,000 (8,100-16,200 * 0.75) for large companies, and</w:t>
      </w:r>
      <w:r>
        <w:t xml:space="preserve"> </w:t>
      </w:r>
      <w:r>
        <w:t xml:space="preserve">3,750 – 7,500 (5,000 – 10,000 * 0.75) for SMEs. Again, assuming 11 mixtures are</w:t>
      </w:r>
      <w:r>
        <w:t xml:space="preserve"> </w:t>
      </w:r>
      <w:r>
        <w:t xml:space="preserve">manufactured for each substance, this would equate to annual costs of €51,000,000 –</w:t>
      </w:r>
      <w:r>
        <w:t xml:space="preserve"> </w:t>
      </w:r>
      <w:r>
        <w:t xml:space="preserve">€100,000,000 for all companies, €31,400,000 – €62,700,000 for large companies, and</w:t>
      </w:r>
      <w:r>
        <w:t xml:space="preserve"> </w:t>
      </w:r>
      <w:r>
        <w:t xml:space="preserve">€19,600,000 – 39,200,000 for SMEs.242 In the two year period between updates proposed</w:t>
      </w:r>
      <w:r>
        <w:t xml:space="preserve"> </w:t>
      </w:r>
      <w:r>
        <w:t xml:space="preserve">by this policy measure, the total cost to all companies would be approximately €102,000,000</w:t>
      </w:r>
      <w:r>
        <w:t xml:space="preserve"> </w:t>
      </w:r>
      <w:r>
        <w:t xml:space="preserve">- €200,000,000, €62,800,000 – €125,400,000 for large companies, and €39,200,000 –</w:t>
      </w:r>
      <w:r>
        <w:t xml:space="preserve"> </w:t>
      </w:r>
      <w:r>
        <w:t xml:space="preserve">€78,400,000 for SMEs.</w:t>
      </w:r>
      <w:r>
        <w:t xml:space="preserve"> </w:t>
      </w:r>
      <w:r>
        <w:t xml:space="preserve">Cost of navigating the Classification and Labelling Inventory</w:t>
      </w:r>
      <w:r>
        <w:t xml:space="preserve"> </w:t>
      </w:r>
      <w:r>
        <w:t xml:space="preserve">Each of the three policy measures under consideration aim to address the problem of</w:t>
      </w:r>
      <w:r>
        <w:t xml:space="preserve"> </w:t>
      </w:r>
      <w:r>
        <w:t xml:space="preserve">incorrect, diverging or obsolete information on self-classification in the Classification and</w:t>
      </w:r>
      <w:r>
        <w:t xml:space="preserve"> </w:t>
      </w:r>
      <w:r>
        <w:t xml:space="preserve">Labelling Inventory, in order to make data in the Inventory easier to understand and use.</w:t>
      </w:r>
      <w:r>
        <w:t xml:space="preserve"> </w:t>
      </w:r>
      <w:r>
        <w:t xml:space="preserve">Therefore, an expected benefit to the conduct of business is a reduction in the time taken by</w:t>
      </w:r>
      <w:r>
        <w:t xml:space="preserve"> </w:t>
      </w:r>
      <w:r>
        <w:t xml:space="preserve">Inventory users to find the most relevant and reliable data. The time saving is expected to</w:t>
      </w:r>
      <w:r>
        <w:t xml:space="preserve"> </w:t>
      </w:r>
      <w:r>
        <w:t xml:space="preserve">be greatest amongst inexperienced users, such as SMEs.</w:t>
      </w:r>
      <w:r>
        <w:br/>
      </w:r>
      <w:r>
        <w:t xml:space="preserve">Based on stakeholder feedback, the 2017 Fitness Check found 36% of manufacturers,</w:t>
      </w:r>
      <w:r>
        <w:t xml:space="preserve"> </w:t>
      </w:r>
      <w:r>
        <w:t xml:space="preserve">formulators, distributors and importers use the Classification and Labelling Inventory</w:t>
      </w:r>
      <w:r>
        <w:t xml:space="preserve"> </w:t>
      </w:r>
      <w:r>
        <w:t xml:space="preserve">multiple times a week. On average, it was estimated that a large company spends 2 hours</w:t>
      </w:r>
      <w:r>
        <w:t xml:space="preserve"> </w:t>
      </w:r>
      <w:r>
        <w:t xml:space="preserve">per month (24 hours per year) checking the Inventory, with a cost of €987 per year (based</w:t>
      </w:r>
      <w:r>
        <w:t xml:space="preserve"> </w:t>
      </w:r>
      <w:r>
        <w:t xml:space="preserve">on an hourly rate of €41.126). SMEs were estimated to spend half the time, and thus incur</w:t>
      </w:r>
      <w:r>
        <w:t xml:space="preserve"> </w:t>
      </w:r>
      <w:r>
        <w:t xml:space="preserve">half the cost (€493.50 per year).243</w:t>
      </w:r>
    </w:p>
    <w:p>
      <w:pPr>
        <w:pStyle w:val="BodyText"/>
      </w:pPr>
      <w:r>
        <w:t xml:space="preserve">241 See Footnote 16.</w:t>
      </w:r>
      <w:r>
        <w:t xml:space="preserve"> </w:t>
      </w:r>
      <w:r>
        <w:t xml:space="preserve">242 See Footnote 237.</w:t>
      </w:r>
      <w:r>
        <w:t xml:space="preserve"> </w:t>
      </w:r>
      <w:r>
        <w:t xml:space="preserve">243 See Footnote 237.</w:t>
      </w:r>
    </w:p>
    <w:p>
      <w:pPr>
        <w:pStyle w:val="BodyText"/>
      </w:pPr>
      <w:r>
        <w:t xml:space="preserve">305</w:t>
      </w:r>
      <w:r>
        <w:t xml:space="preserve"> </w:t>
      </w:r>
      <w:r>
        <w:t xml:space="preserve">The reduction in time spent using the Classification and Labelling Inventory is dependent</w:t>
      </w:r>
      <w:r>
        <w:t xml:space="preserve"> </w:t>
      </w:r>
      <w:r>
        <w:t xml:space="preserve">on the effectiveness of policy measure #6 in addressing the problem of incorrect, diverging</w:t>
      </w:r>
      <w:r>
        <w:t xml:space="preserve"> </w:t>
      </w:r>
      <w:r>
        <w:t xml:space="preserve">or obsolete information on self-classification in the inventory. However, if policy measure</w:t>
      </w:r>
      <w:r>
        <w:t xml:space="preserve"> </w:t>
      </w:r>
      <w:r>
        <w:t xml:space="preserve">#6 led to users of the inventory spending half the time navigating the inventory due to</w:t>
      </w:r>
      <w:r>
        <w:t xml:space="preserve"> </w:t>
      </w:r>
      <w:r>
        <w:t xml:space="preserve">improvements in self-classifications, this would equate to a cost saving of €493.50 per large</w:t>
      </w:r>
      <w:r>
        <w:t xml:space="preserve"> </w:t>
      </w:r>
      <w:r>
        <w:t xml:space="preserve">company and €246.75 per SME. Multiplying these figures by the total number of large</w:t>
      </w:r>
      <w:r>
        <w:t xml:space="preserve"> </w:t>
      </w:r>
      <w:r>
        <w:t xml:space="preserve">companies and SMEs gives total costs of approximately €6,650,000 for large companies,</w:t>
      </w:r>
      <w:r>
        <w:t xml:space="preserve"> </w:t>
      </w:r>
      <w:r>
        <w:t xml:space="preserve">€2,300,000 for SMEs, and a total cost of €8,950,000.</w:t>
      </w:r>
      <w:r>
        <w:br/>
      </w:r>
      <w:r>
        <w:t xml:space="preserve">Total administrative burden on businesses</w:t>
      </w:r>
      <w:r>
        <w:br/>
      </w:r>
      <w:r>
        <w:t xml:space="preserve">Policy measure #6 foresees that notifications should be reviewed and updated every 2 years.</w:t>
      </w:r>
      <w:r>
        <w:t xml:space="preserve"> </w:t>
      </w:r>
      <w:r>
        <w:t xml:space="preserve">After the first review, the subsequent reviews are expected to incur smaller recurring costs.</w:t>
      </w:r>
      <w:r>
        <w:t xml:space="preserve"> </w:t>
      </w:r>
      <w:r>
        <w:t xml:space="preserve">This is because significantly fewer reclassifications, and subsequent re-labelling and</w:t>
      </w:r>
      <w:r>
        <w:t xml:space="preserve"> </w:t>
      </w:r>
      <w:r>
        <w:t xml:space="preserve">provision of updated safety data sheet, will be required in following reviews, and most are</w:t>
      </w:r>
      <w:r>
        <w:t xml:space="preserve"> </w:t>
      </w:r>
      <w:r>
        <w:t xml:space="preserve">expected to have been performed during the first review. The total cost for the first two-year</w:t>
      </w:r>
      <w:r>
        <w:t xml:space="preserve"> </w:t>
      </w:r>
      <w:r>
        <w:t xml:space="preserve">review period is €125,840,000 – €261,500,000, central estimate: €51,250,000, which is the</w:t>
      </w:r>
      <w:r>
        <w:t xml:space="preserve"> </w:t>
      </w:r>
      <w:r>
        <w:t xml:space="preserve">combined total of the following costs:</w:t>
      </w:r>
    </w:p>
    <w:p>
      <w:pPr>
        <w:pStyle w:val="BodyText"/>
      </w:pPr>
      <w:r>
        <w:t xml:space="preserve">cost of validating/updating notifications: €4,900,000</w:t>
      </w:r>
    </w:p>
    <w:p>
      <w:pPr>
        <w:pStyle w:val="BodyText"/>
      </w:pPr>
      <w:r>
        <w:t xml:space="preserve">cost of re-classification: €10,400,000 - €20,800,000</w:t>
      </w:r>
    </w:p>
    <w:p>
      <w:pPr>
        <w:pStyle w:val="BodyText"/>
      </w:pPr>
      <w:r>
        <w:t xml:space="preserve">cost of re-labelling: €102,000,000 - €200,000,000</w:t>
      </w:r>
      <w:r>
        <w:t xml:space="preserve"> </w:t>
      </w:r>
      <w:r>
        <w:t xml:space="preserve">cost of providing updated SDS: €17,900,000 – €35,800,000</w:t>
      </w:r>
      <w:r>
        <w:t xml:space="preserve"> </w:t>
      </w:r>
      <w:r>
        <w:t xml:space="preserve">The total annual recurring cost of subsequent two-year review periods are expected to be</w:t>
      </w:r>
      <w:r>
        <w:t xml:space="preserve"> </w:t>
      </w:r>
      <w:r>
        <w:t xml:space="preserve">the same as the cost of reviewing notifications plus the cost of reclassifying a small number</w:t>
      </w:r>
      <w:r>
        <w:t xml:space="preserve"> </w:t>
      </w:r>
      <w:r>
        <w:t xml:space="preserve">of substances. It is assumed that only 10% of the number of substances that required</w:t>
      </w:r>
      <w:r>
        <w:t xml:space="preserve"> </w:t>
      </w:r>
      <w:r>
        <w:t xml:space="preserve">reclassification the first time would require reclassification during subsequent reviews.</w:t>
      </w:r>
      <w:r>
        <w:t xml:space="preserve"> </w:t>
      </w:r>
      <w:r>
        <w:t xml:space="preserve">Therefore, the total annual recurring cost of subsequent two-year review periods is</w:t>
      </w:r>
      <w:r>
        <w:t xml:space="preserve"> </w:t>
      </w:r>
      <w:r>
        <w:t xml:space="preserve">€17,930,000 – €30,560,000, which is the combined total of the following costs:</w:t>
      </w:r>
    </w:p>
    <w:p>
      <w:pPr>
        <w:pStyle w:val="BodyText"/>
      </w:pPr>
      <w:r>
        <w:t xml:space="preserve">cost of validating/updating notifications: €4,900,000</w:t>
      </w:r>
    </w:p>
    <w:p>
      <w:pPr>
        <w:pStyle w:val="BodyText"/>
      </w:pPr>
      <w:r>
        <w:t xml:space="preserve">cost of re-classification: €1,040,000 - €2,080,000</w:t>
      </w:r>
    </w:p>
    <w:p>
      <w:pPr>
        <w:pStyle w:val="BodyText"/>
      </w:pPr>
      <w:r>
        <w:t xml:space="preserve">cost of re-labelling: €10,200,000 - €20,000,000</w:t>
      </w:r>
      <w:r>
        <w:t xml:space="preserve"> </w:t>
      </w:r>
      <w:r>
        <w:t xml:space="preserve">cost of providing updated SDS: €1,790,000 - €3,580,000</w:t>
      </w:r>
      <w:r>
        <w:t xml:space="preserve"> </w:t>
      </w:r>
      <w:r>
        <w:t xml:space="preserve">The cost of time saved navigating the Classification and Labelling Inventory would be</w:t>
      </w:r>
      <w:r>
        <w:t xml:space="preserve"> </w:t>
      </w:r>
      <w:r>
        <w:t xml:space="preserve">realised every year, and is expected to remain the same, pending the 3% discount rate.</w:t>
      </w:r>
      <w:r>
        <w:br/>
      </w:r>
      <w:r>
        <w:t xml:space="preserve">Assuming the obligation under policy measure #6 occurs every 2 years, the total (recurring)</w:t>
      </w:r>
      <w:r>
        <w:t xml:space="preserve"> </w:t>
      </w:r>
      <w:r>
        <w:t xml:space="preserve">cost with a discount rate of 3%, €343,284,062 (central estimate), where the savings from</w:t>
      </w:r>
      <w:r>
        <w:t xml:space="preserve"> </w:t>
      </w:r>
      <w:r>
        <w:t xml:space="preserve">navigating the CLI would equal to €216,569,010 (discount rate 3%).</w:t>
      </w:r>
      <w:r>
        <w:br/>
      </w:r>
      <w:r>
        <w:t xml:space="preserve">It needs to be noted however, that, legally speaking, companies are required to update their</w:t>
      </w:r>
      <w:r>
        <w:t xml:space="preserve"> </w:t>
      </w:r>
      <w:r>
        <w:t xml:space="preserve">notifications and communicate to ECHA ‘…when… a decision to change the classification</w:t>
      </w:r>
      <w:r>
        <w:t xml:space="preserve"> </w:t>
      </w:r>
      <w:r>
        <w:t xml:space="preserve">and labelling of the substance has been taken’ (Article 40(2) of CLP). The costs associated</w:t>
      </w:r>
      <w:r>
        <w:t xml:space="preserve"> </w:t>
      </w:r>
      <w:r>
        <w:t xml:space="preserve">with the update need therefore to take into account the obligation that notifiers have</w:t>
      </w:r>
      <w:r>
        <w:t xml:space="preserve"> </w:t>
      </w:r>
      <w:r>
        <w:t xml:space="preserve">currently to update their notification when, following a new evaluation of data, they have</w:t>
      </w:r>
      <w:r>
        <w:t xml:space="preserve"> </w:t>
      </w:r>
      <w:r>
        <w:t xml:space="preserve">decided to change the classification. Any subsequent cost triggered by such updating</w:t>
      </w:r>
      <w:r>
        <w:t xml:space="preserve"> </w:t>
      </w:r>
      <w:r>
        <w:t xml:space="preserve">obligation, in terms of re-notification, re-classification and re-labelling should not only be</w:t>
      </w:r>
    </w:p>
    <w:p>
      <w:pPr>
        <w:pStyle w:val="BodyText"/>
      </w:pPr>
      <w:r>
        <w:t xml:space="preserve">306</w:t>
      </w:r>
      <w:r>
        <w:t xml:space="preserve"> </w:t>
      </w:r>
      <w:r>
        <w:t xml:space="preserve">attributed to the obligation to update every two years but also to the existing updating</w:t>
      </w:r>
      <w:r>
        <w:t xml:space="preserve"> </w:t>
      </w:r>
      <w:r>
        <w:t xml:space="preserve">obligation.</w:t>
      </w:r>
      <w:r>
        <w:t xml:space="preserve"> </w:t>
      </w:r>
      <w:r>
        <w:t xml:space="preserve">For measure #5 – swift Classification and Labelling Inventory update, the same type of</w:t>
      </w:r>
      <w:r>
        <w:t xml:space="preserve"> </w:t>
      </w:r>
      <w:r>
        <w:t xml:space="preserve">costs would apply but only to 4% of notified substances were new data are available as</w:t>
      </w:r>
      <w:r>
        <w:t xml:space="preserve"> </w:t>
      </w:r>
      <w:r>
        <w:t xml:space="preserve">described above. 1% of the notified substances are already regularly updated (and re-</w:t>
      </w:r>
      <w:r>
        <w:t xml:space="preserve"> </w:t>
      </w:r>
      <w:r>
        <w:t xml:space="preserve">classified where appropriate). The costs of measure #5 are those of measure #6 without the</w:t>
      </w:r>
      <w:r>
        <w:t xml:space="preserve"> </w:t>
      </w:r>
      <w:r>
        <w:t xml:space="preserve">notification check for 97% of the notified substances (i.e the cost of validation/updating</w:t>
      </w:r>
      <w:r>
        <w:t xml:space="preserve"> </w:t>
      </w:r>
      <w:r>
        <w:t xml:space="preserve">notifications is avoided). Therefore, the central estimate is €277,412,668. The savings</w:t>
      </w:r>
      <w:r>
        <w:t xml:space="preserve"> </w:t>
      </w:r>
      <w:r>
        <w:t xml:space="preserve">would be the same as for measure #6.</w:t>
      </w:r>
      <w:r>
        <w:t xml:space="preserve"> </w:t>
      </w:r>
      <w:r>
        <w:t xml:space="preserve">SMEs</w:t>
      </w:r>
      <w:r>
        <w:br/>
      </w:r>
      <w:r>
        <w:t xml:space="preserve">The average number of notifications per SME (40) is not much less than the average number</w:t>
      </w:r>
      <w:r>
        <w:t xml:space="preserve"> </w:t>
      </w:r>
      <w:r>
        <w:t xml:space="preserve">of notifications per large company (68). Therefore, there is only a small difference between</w:t>
      </w:r>
      <w:r>
        <w:t xml:space="preserve"> </w:t>
      </w:r>
      <w:r>
        <w:t xml:space="preserve">the cost estimates per company presented above for SMEs and large enterprises.</w:t>
      </w:r>
      <w:r>
        <w:t xml:space="preserve"> </w:t>
      </w:r>
      <w:r>
        <w:t xml:space="preserve">Considering the substantial differences in the profits of SMEs and large companies, the costs</w:t>
      </w:r>
      <w:r>
        <w:t xml:space="preserve"> </w:t>
      </w:r>
      <w:r>
        <w:t xml:space="preserve">of policy measure #6 will be disproportionately felt amongst SMEs. This in turn may</w:t>
      </w:r>
      <w:r>
        <w:t xml:space="preserve"> </w:t>
      </w:r>
      <w:r>
        <w:t xml:space="preserve">negatively impact the competitiveness of SMEs.</w:t>
      </w:r>
      <w:r>
        <w:br/>
      </w:r>
      <w:r>
        <w:t xml:space="preserve">Conversely, SMEs rely on public information sources such as the CLI more heavily than</w:t>
      </w:r>
      <w:r>
        <w:t xml:space="preserve"> </w:t>
      </w:r>
      <w:r>
        <w:t xml:space="preserve">larger companies, and therefore improved access to information will benefit the smaller</w:t>
      </w:r>
      <w:r>
        <w:t xml:space="preserve"> </w:t>
      </w:r>
      <w:r>
        <w:t xml:space="preserve">companies more compared to larger companies. Under policy measure #6 SMEs could see</w:t>
      </w:r>
      <w:r>
        <w:t xml:space="preserve"> </w:t>
      </w:r>
      <w:r>
        <w:t xml:space="preserve">a reduction in compliance costs and a subsequent increase in their competitiveness in the</w:t>
      </w:r>
      <w:r>
        <w:t xml:space="preserve"> </w:t>
      </w:r>
      <w:r>
        <w:t xml:space="preserve">long-term.</w:t>
      </w:r>
      <w:r>
        <w:br/>
      </w:r>
      <w:r>
        <w:t xml:space="preserve">Sectoral competitiveness, trade and investment flows</w:t>
      </w:r>
      <w:r>
        <w:br/>
      </w:r>
      <w:r>
        <w:t xml:space="preserve">The updating and reviewing of notifications aims to harmonise classifications and improve</w:t>
      </w:r>
      <w:r>
        <w:t xml:space="preserve"> </w:t>
      </w:r>
      <w:r>
        <w:t xml:space="preserve">the quality of the CLI data, which in turn will benefit all businesses and increase</w:t>
      </w:r>
      <w:r>
        <w:t xml:space="preserve"> </w:t>
      </w:r>
      <w:r>
        <w:t xml:space="preserve">competitiveness, especially SMEs who rely on public information sources such as the</w:t>
      </w:r>
      <w:r>
        <w:t xml:space="preserve"> </w:t>
      </w:r>
      <w:r>
        <w:t xml:space="preserve">Classification and Labelling Inventory more heavily than larger companies. However, in</w:t>
      </w:r>
      <w:r>
        <w:t xml:space="preserve"> </w:t>
      </w:r>
      <w:r>
        <w:t xml:space="preserve">the short-term the competitiveness of SMEs may be hindered due to the additional burden</w:t>
      </w:r>
      <w:r>
        <w:t xml:space="preserve"> </w:t>
      </w:r>
      <w:r>
        <w:t xml:space="preserve">for smaller companies when reviewing and updating their self-classifications. A weak</w:t>
      </w:r>
      <w:r>
        <w:t xml:space="preserve"> </w:t>
      </w:r>
      <w:r>
        <w:t xml:space="preserve">positive impact is expected.</w:t>
      </w:r>
      <w:r>
        <w:br/>
      </w:r>
      <w:r>
        <w:t xml:space="preserve">Public Authority Costs</w:t>
      </w:r>
      <w:r>
        <w:br/>
      </w:r>
      <w:r>
        <w:t xml:space="preserve">Cost of reviewing C&amp;L notifications</w:t>
      </w:r>
      <w:r>
        <w:br/>
      </w:r>
      <w:r>
        <w:t xml:space="preserve">Based on discussions held at the Competent Authorities for REACH and CLP expert group</w:t>
      </w:r>
      <w:r>
        <w:t xml:space="preserve"> </w:t>
      </w:r>
      <w:r>
        <w:t xml:space="preserve">on the re-design of the CLI, it was stated that ECHA does not have enough available</w:t>
      </w:r>
      <w:r>
        <w:t xml:space="preserve"> </w:t>
      </w:r>
      <w:r>
        <w:t xml:space="preserve">resources for manual screening of C&amp;L data or contacting notifiers. Therefore, they rely on</w:t>
      </w:r>
      <w:r>
        <w:t xml:space="preserve"> </w:t>
      </w:r>
      <w:r>
        <w:t xml:space="preserve">automated IT screening of obvious internally inconsistent data. Discussions between ECHA</w:t>
      </w:r>
      <w:r>
        <w:t xml:space="preserve"> </w:t>
      </w:r>
      <w:r>
        <w:t xml:space="preserve">and the study team revealed that although ECHA would not be checking new notifications,</w:t>
      </w:r>
      <w:r>
        <w:t xml:space="preserve"> </w:t>
      </w:r>
      <w:r>
        <w:t xml:space="preserve">their submission would represent an additional administrative burden to process the</w:t>
      </w:r>
      <w:r>
        <w:t xml:space="preserve"> </w:t>
      </w:r>
      <w:r>
        <w:t xml:space="preserve">notifications (more submissions lead to more company support (technical, regulatory) as</w:t>
      </w:r>
      <w:r>
        <w:t xml:space="preserve"> </w:t>
      </w:r>
      <w:r>
        <w:t xml:space="preserve">well as more IT incidents). ECHA and the Commission are not planning to hire any</w:t>
      </w:r>
      <w:r>
        <w:t xml:space="preserve"> </w:t>
      </w:r>
      <w:r>
        <w:t xml:space="preserve">additional staff for these tasks so this policy measure would result in resources being shifted</w:t>
      </w:r>
      <w:r>
        <w:t xml:space="preserve"> </w:t>
      </w:r>
      <w:r>
        <w:t xml:space="preserve">away from other priorities. This shift of resources may impact ECHA’s other activities, for</w:t>
      </w:r>
    </w:p>
    <w:p>
      <w:pPr>
        <w:pStyle w:val="BodyText"/>
      </w:pPr>
      <w:r>
        <w:t xml:space="preserve">307</w:t>
      </w:r>
      <w:r>
        <w:t xml:space="preserve"> </w:t>
      </w:r>
      <w:r>
        <w:t xml:space="preserve">example the redesigning of the CLI. As no increase in staffing levels is expected, the</w:t>
      </w:r>
      <w:r>
        <w:t xml:space="preserve"> </w:t>
      </w:r>
      <w:r>
        <w:t xml:space="preserve">employment costs to ECHA of reviewing C&amp;L notifications will be negligible, however the</w:t>
      </w:r>
      <w:r>
        <w:t xml:space="preserve"> </w:t>
      </w:r>
      <w:r>
        <w:t xml:space="preserve">impact to the organisation and other activities could be significant.</w:t>
      </w:r>
      <w:r>
        <w:br/>
      </w:r>
      <w:r>
        <w:t xml:space="preserve">A summary of the costs and benefits of policy measure #6 are provided below.</w:t>
      </w:r>
      <w:r>
        <w:t xml:space="preserve"> </w:t>
      </w:r>
      <w:r>
        <w:t xml:space="preserve">Summary of cost and benefits of policy measure #6</w:t>
      </w:r>
      <w:r>
        <w:t xml:space="preserve"> </w:t>
      </w:r>
      <w:r>
        <w:t xml:space="preserve">Costs - businesses</w:t>
      </w:r>
      <w:r>
        <w:t xml:space="preserve"> </w:t>
      </w:r>
      <w:r>
        <w:t xml:space="preserve">Total one-off costs over a 20-year period</w:t>
      </w:r>
      <w:r>
        <w:t xml:space="preserve"> </w:t>
      </w:r>
      <w:r>
        <w:t xml:space="preserve">€130,200,000 –</w:t>
      </w:r>
      <w:r>
        <w:t xml:space="preserve"> </w:t>
      </w:r>
      <w:r>
        <w:t xml:space="preserve">€256,600,000 (mid-estimate:</w:t>
      </w:r>
      <w:r>
        <w:t xml:space="preserve"> </w:t>
      </w:r>
      <w:r>
        <w:t xml:space="preserve">€193,400,000)</w:t>
      </w:r>
      <w:r>
        <w:t xml:space="preserve"> </w:t>
      </w:r>
      <w:r>
        <w:t xml:space="preserve">Recurring costs every 1 year</w:t>
      </w:r>
      <w:r>
        <w:t xml:space="preserve"> </w:t>
      </w:r>
      <w:r>
        <w:t xml:space="preserve">€8,960,000 – €15,280,000</w:t>
      </w:r>
      <w:r>
        <w:t xml:space="preserve"> </w:t>
      </w:r>
      <w:r>
        <w:t xml:space="preserve">(mid-estimate: €12,120,000)</w:t>
      </w:r>
      <w:r>
        <w:t xml:space="preserve"> </w:t>
      </w:r>
      <w:r>
        <w:t xml:space="preserve">Total recurring costs over a 20-year period</w:t>
      </w:r>
      <w:r>
        <w:t xml:space="preserve"> </w:t>
      </w:r>
      <w:r>
        <w:t xml:space="preserve">€166,180,000 –</w:t>
      </w:r>
      <w:r>
        <w:t xml:space="preserve"> </w:t>
      </w:r>
      <w:r>
        <w:t xml:space="preserve">€279,940,000 (mid-estimate:</w:t>
      </w:r>
      <w:r>
        <w:t xml:space="preserve"> </w:t>
      </w:r>
      <w:r>
        <w:t xml:space="preserve">€223,060,000)</w:t>
      </w:r>
      <w:r>
        <w:t xml:space="preserve"> </w:t>
      </w:r>
      <w:r>
        <w:t xml:space="preserve">PV of one-off costs (20 years; 3%)</w:t>
      </w:r>
      <w:r>
        <w:t xml:space="preserve"> </w:t>
      </w:r>
      <w:r>
        <w:t xml:space="preserve">€175,029,703 –</w:t>
      </w:r>
      <w:r>
        <w:t xml:space="preserve"> </w:t>
      </w:r>
      <w:r>
        <w:t xml:space="preserve">€344,951,011 (mid-estimate:</w:t>
      </w:r>
      <w:r>
        <w:t xml:space="preserve"> </w:t>
      </w:r>
      <w:r>
        <w:t xml:space="preserve">€259,990,357)</w:t>
      </w:r>
      <w:r>
        <w:t xml:space="preserve"> </w:t>
      </w:r>
      <w:r>
        <w:t xml:space="preserve">PV of one-off costs (20 years; 3%) (annualized)</w:t>
      </w:r>
      <w:r>
        <w:t xml:space="preserve"> </w:t>
      </w:r>
      <w:r>
        <w:t xml:space="preserve">€8,751,485 – €17,247,551</w:t>
      </w:r>
      <w:r>
        <w:t xml:space="preserve"> </w:t>
      </w:r>
      <w:r>
        <w:t xml:space="preserve">(mid-estimate: €12,999,518)</w:t>
      </w:r>
      <w:r>
        <w:t xml:space="preserve"> </w:t>
      </w:r>
      <w:r>
        <w:t xml:space="preserve">PV of recurring costs (20 years; 3%)</w:t>
      </w:r>
      <w:r>
        <w:t xml:space="preserve"> </w:t>
      </w:r>
      <w:r>
        <w:t xml:space="preserve">€223,398,126 –</w:t>
      </w:r>
      <w:r>
        <w:t xml:space="preserve"> </w:t>
      </w:r>
      <w:r>
        <w:t xml:space="preserve">€376,327,304 (mid-estimate:</w:t>
      </w:r>
      <w:r>
        <w:t xml:space="preserve"> </w:t>
      </w:r>
      <w:r>
        <w:t xml:space="preserve">€299,862,715)</w:t>
      </w:r>
      <w:r>
        <w:t xml:space="preserve"> </w:t>
      </w:r>
      <w:r>
        <w:t xml:space="preserve">Total PV – costs - businesses</w:t>
      </w:r>
      <w:r>
        <w:t xml:space="preserve"> </w:t>
      </w:r>
      <w:r>
        <w:t xml:space="preserve">€398,427,828 –</w:t>
      </w:r>
      <w:r>
        <w:t xml:space="preserve"> </w:t>
      </w:r>
      <w:r>
        <w:t xml:space="preserve">€721,278,315 (mid-estimate:</w:t>
      </w:r>
      <w:r>
        <w:t xml:space="preserve"> </w:t>
      </w:r>
      <w:r>
        <w:t xml:space="preserve">€559,853,072)</w:t>
      </w:r>
      <w:r>
        <w:t xml:space="preserve"> </w:t>
      </w:r>
      <w:r>
        <w:t xml:space="preserve">Costs – public authorities</w:t>
      </w:r>
      <w:r>
        <w:t xml:space="preserve"> </w:t>
      </w:r>
      <w:r>
        <w:t xml:space="preserve">Total one-off costs over a 20-year period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costs every 1 year</w:t>
      </w:r>
      <w:r>
        <w:t xml:space="preserve"> </w:t>
      </w:r>
      <w:r>
        <w:t xml:space="preserve">-</w:t>
      </w:r>
      <w:r>
        <w:t xml:space="preserve"> </w:t>
      </w:r>
      <w:r>
        <w:t xml:space="preserve">Total recurring costs over a 20-year period</w:t>
      </w:r>
      <w:r>
        <w:t xml:space="preserve"> </w:t>
      </w:r>
      <w:r>
        <w:t xml:space="preserve">-</w:t>
      </w:r>
      <w:r>
        <w:t xml:space="preserve"> </w:t>
      </w:r>
      <w:r>
        <w:t xml:space="preserve">PV of one-off costs (20 years; 3%)</w:t>
      </w:r>
      <w:r>
        <w:t xml:space="preserve"> </w:t>
      </w:r>
      <w:r>
        <w:t xml:space="preserve">-</w:t>
      </w:r>
      <w:r>
        <w:t xml:space="preserve"> </w:t>
      </w:r>
      <w:r>
        <w:t xml:space="preserve">PV of recurring costs (20 years; 3%)</w:t>
      </w:r>
      <w:r>
        <w:t xml:space="preserve"> </w:t>
      </w:r>
      <w:r>
        <w:t xml:space="preserve">-</w:t>
      </w:r>
      <w:r>
        <w:t xml:space="preserve"> </w:t>
      </w:r>
      <w:r>
        <w:t xml:space="preserve">Total PV – costs – public authorities</w:t>
      </w:r>
      <w:r>
        <w:t xml:space="preserve"> </w:t>
      </w:r>
      <w:r>
        <w:t xml:space="preserve">-</w:t>
      </w:r>
      <w:r>
        <w:t xml:space="preserve"> </w:t>
      </w:r>
      <w:r>
        <w:t xml:space="preserve">Total PV cost of policy measure #6</w:t>
      </w:r>
      <w:r>
        <w:t xml:space="preserve"> </w:t>
      </w:r>
      <w:r>
        <w:t xml:space="preserve">€398,427,828 –</w:t>
      </w:r>
      <w:r>
        <w:t xml:space="preserve"> </w:t>
      </w:r>
      <w:r>
        <w:t xml:space="preserve">€721,278,315 (mid-</w:t>
      </w:r>
      <w:r>
        <w:t xml:space="preserve"> </w:t>
      </w:r>
      <w:r>
        <w:t xml:space="preserve">estimate: €559,853,072)</w:t>
      </w:r>
      <w:r>
        <w:t xml:space="preserve"> </w:t>
      </w:r>
      <w:r>
        <w:t xml:space="preserve">Benefits (cost savings) - businesses</w:t>
      </w:r>
      <w:r>
        <w:t xml:space="preserve"> </w:t>
      </w:r>
      <w:r>
        <w:t xml:space="preserve">€161,100,000</w:t>
      </w:r>
      <w:r>
        <w:t xml:space="preserve"> </w:t>
      </w:r>
      <w:r>
        <w:t xml:space="preserve">PV benefits - businesses</w:t>
      </w:r>
      <w:r>
        <w:t xml:space="preserve"> </w:t>
      </w:r>
      <w:r>
        <w:t xml:space="preserve">€216,569,010</w:t>
      </w:r>
      <w:r>
        <w:t xml:space="preserve"> </w:t>
      </w:r>
      <w:r>
        <w:t xml:space="preserve">Benefits (cost savings) – public authorities</w:t>
      </w:r>
      <w:r>
        <w:t xml:space="preserve"> </w:t>
      </w:r>
      <w:r>
        <w:t xml:space="preserve">-</w:t>
      </w:r>
      <w:r>
        <w:t xml:space="preserve"> </w:t>
      </w:r>
      <w:r>
        <w:t xml:space="preserve">PV – benefits – public authorities</w:t>
      </w:r>
      <w:r>
        <w:t xml:space="preserve"> </w:t>
      </w:r>
      <w:r>
        <w:t xml:space="preserve">-</w:t>
      </w:r>
      <w:r>
        <w:t xml:space="preserve"> </w:t>
      </w:r>
      <w:r>
        <w:t xml:space="preserve">Benefits - society</w:t>
      </w:r>
      <w:r>
        <w:t xml:space="preserve"> </w:t>
      </w:r>
      <w:r>
        <w:t xml:space="preserve">-</w:t>
      </w:r>
      <w:r>
        <w:t xml:space="preserve"> </w:t>
      </w:r>
      <w:r>
        <w:t xml:space="preserve">PV - benefits - society</w:t>
      </w:r>
      <w:r>
        <w:t xml:space="preserve"> </w:t>
      </w:r>
      <w:r>
        <w:t xml:space="preserve">-</w:t>
      </w:r>
      <w:r>
        <w:t xml:space="preserve"> </w:t>
      </w:r>
      <w:r>
        <w:t xml:space="preserve">Total OV - benefits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308</w:t>
      </w:r>
      <w:r>
        <w:t xml:space="preserve"> </w:t>
      </w:r>
      <w:r>
        <w:t xml:space="preserve">Net Present Value - NPV (PV benefits – PV costs)</w:t>
      </w:r>
      <w:r>
        <w:t xml:space="preserve"> </w:t>
      </w:r>
      <w:r>
        <w:t xml:space="preserve">€181,858,818 –</w:t>
      </w:r>
      <w:r>
        <w:t xml:space="preserve"> </w:t>
      </w:r>
      <w:r>
        <w:t xml:space="preserve">€504,709,305 (mid-estimate:</w:t>
      </w:r>
      <w:r>
        <w:t xml:space="preserve"> </w:t>
      </w:r>
      <w:r>
        <w:t xml:space="preserve">€343,284,062)</w:t>
      </w:r>
    </w:p>
    <w:p>
      <w:pPr>
        <w:pStyle w:val="BodyText"/>
      </w:pPr>
      <w:r>
        <w:t xml:space="preserve">A summary of the present value (3% discount) costs and benefits of policy measure #6 are</w:t>
      </w:r>
      <w:r>
        <w:t xml:space="preserve"> </w:t>
      </w:r>
      <w:r>
        <w:t xml:space="preserve">provided below.</w:t>
      </w:r>
      <w:r>
        <w:t xml:space="preserve"> </w:t>
      </w:r>
      <w:r>
        <w:t xml:space="preserve">Summary of costs and benefits (PV; 20 years; 3%) of policy measure #6 by type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€6,587,139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€332,556,435 –</w:t>
      </w:r>
      <w:r>
        <w:t xml:space="preserve"> </w:t>
      </w:r>
      <w:r>
        <w:t xml:space="preserve">€655,406,922 (mid-</w:t>
      </w:r>
      <w:r>
        <w:t xml:space="preserve"> </w:t>
      </w:r>
      <w:r>
        <w:t xml:space="preserve">estimate €493,981,678)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Direct cost savings</w:t>
      </w:r>
      <w:r>
        <w:t xml:space="preserve"> </w:t>
      </w:r>
      <w:r>
        <w:t xml:space="preserve">€216,569,010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#3 Require notifiers with classifications that diverge from the entry agreed by most</w:t>
      </w:r>
      <w:r>
        <w:t xml:space="preserve"> </w:t>
      </w:r>
      <w:r>
        <w:t xml:space="preserve">notifiers to update their notifications with a justification for any divergence</w:t>
      </w:r>
      <w:r>
        <w:t xml:space="preserve"> </w:t>
      </w:r>
      <w:r>
        <w:t xml:space="preserve">Another measure that could be useful for notifiers to understand the reason for divergence</w:t>
      </w:r>
      <w:r>
        <w:t xml:space="preserve"> </w:t>
      </w:r>
      <w:r>
        <w:t xml:space="preserve">in the classification and labelling information would be to require notifiers with</w:t>
      </w:r>
      <w:r>
        <w:t xml:space="preserve"> </w:t>
      </w:r>
      <w:r>
        <w:t xml:space="preserve">classifications that diverge from the entry agreed by most notifiers to update their</w:t>
      </w:r>
      <w:r>
        <w:t xml:space="preserve"> </w:t>
      </w:r>
      <w:r>
        <w:t xml:space="preserve">notifications with a justification for any divergence. The update would be a one off measure.</w:t>
      </w:r>
      <w:r>
        <w:t xml:space="preserve"> </w:t>
      </w:r>
      <w:r>
        <w:t xml:space="preserve">This measure will be eased by ECHA’ s planned improvements of the IT tool – belonging</w:t>
      </w:r>
      <w:r>
        <w:t xml:space="preserve"> </w:t>
      </w:r>
      <w:r>
        <w:t xml:space="preserve">to the baseline - i.e. to improve the visibility of the reason for divergence with the</w:t>
      </w:r>
      <w:r>
        <w:t xml:space="preserve"> </w:t>
      </w:r>
      <w:r>
        <w:t xml:space="preserve">information currently available in the C&amp;L inventory. This reason for divergence is</w:t>
      </w:r>
      <w:r>
        <w:t xml:space="preserve"> </w:t>
      </w:r>
      <w:r>
        <w:t xml:space="preserve">however not always known to the notifier: it might be in case the reason is e.g. impurity,</w:t>
      </w:r>
      <w:r>
        <w:t xml:space="preserve"> </w:t>
      </w:r>
      <w:r>
        <w:t xml:space="preserve">additive or form). When the reason is something else (underlying data or interpretation of</w:t>
      </w:r>
      <w:r>
        <w:t xml:space="preserve"> </w:t>
      </w:r>
      <w:r>
        <w:t xml:space="preserve">data), the notifier will not be able to provide such a reason as they would need to know the</w:t>
      </w:r>
      <w:r>
        <w:t xml:space="preserve"> </w:t>
      </w:r>
      <w:r>
        <w:t xml:space="preserve">details of how others derived their classifications.</w:t>
      </w:r>
    </w:p>
    <w:p>
      <w:pPr>
        <w:pStyle w:val="BodyText"/>
      </w:pPr>
      <w:r>
        <w:t xml:space="preserve">309</w:t>
      </w:r>
      <w:r>
        <w:t xml:space="preserve"> </w:t>
      </w:r>
      <w:r>
        <w:t xml:space="preserve">Table 91: Policy measure #3 Require notifiers with classifications that diverge from the entry agreed by the</w:t>
      </w:r>
      <w:r>
        <w:t xml:space="preserve"> </w:t>
      </w:r>
      <w:r>
        <w:t xml:space="preserve">majority of notifiers to update their notifications with a justification for any divergence in classification</w:t>
      </w:r>
      <w:r>
        <w:br/>
      </w:r>
      <w:r>
        <w:t xml:space="preserve">Impact Category Impact</w:t>
      </w:r>
      <w:r>
        <w:br/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br/>
      </w:r>
      <w:r>
        <w:t xml:space="preserve">Direct or</w:t>
      </w:r>
      <w:r>
        <w:t xml:space="preserve"> </w:t>
      </w:r>
      <w:r>
        <w:t xml:space="preserve">indirect</w:t>
      </w:r>
      <w:r>
        <w:br/>
      </w:r>
      <w:r>
        <w:t xml:space="preserve">Monetised</w:t>
      </w:r>
      <w:r>
        <w:t xml:space="preserve"> </w:t>
      </w:r>
      <w:r>
        <w:t xml:space="preserve">impacts</w:t>
      </w:r>
      <w:r>
        <w:br/>
      </w:r>
      <w:r>
        <w:t xml:space="preserve">One off or</w:t>
      </w:r>
      <w:r>
        <w:t xml:space="preserve"> </w:t>
      </w:r>
      <w:r>
        <w:t xml:space="preserve">recurrent</w:t>
      </w:r>
      <w:r>
        <w:br/>
      </w:r>
      <w:r>
        <w:t xml:space="preserve">PV</w:t>
      </w:r>
      <w:r>
        <w:t xml:space="preserve"> </w:t>
      </w:r>
      <w:r>
        <w:t xml:space="preserve">annualised</w:t>
      </w:r>
      <w:r>
        <w:t xml:space="preserve"> </w:t>
      </w:r>
      <w:r>
        <w:t xml:space="preserve">impacts</w:t>
      </w:r>
      <w:r>
        <w:br/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on</w:t>
      </w:r>
      <w:r>
        <w:t xml:space="preserve"> </w:t>
      </w:r>
      <w:r>
        <w:t xml:space="preserve">business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justifying</w:t>
      </w:r>
      <w:r>
        <w:t xml:space="preserve"> </w:t>
      </w:r>
      <w:r>
        <w:t xml:space="preserve">diverging</w:t>
      </w:r>
      <w:r>
        <w:t xml:space="preserve"> </w:t>
      </w:r>
      <w:r>
        <w:t xml:space="preserve">notifications</w:t>
      </w:r>
      <w:r>
        <w:br/>
      </w:r>
      <w:r>
        <w:t xml:space="preserve">(-)</w:t>
      </w:r>
      <w:r>
        <w:br/>
      </w:r>
      <w:r>
        <w:t xml:space="preserve">Direct</w:t>
      </w:r>
      <w:r>
        <w:br/>
      </w:r>
      <w:r>
        <w:t xml:space="preserve">Total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€1,800,000</w:t>
      </w:r>
      <w:r>
        <w:t xml:space="preserve"> </w:t>
      </w:r>
      <w:r>
        <w:t xml:space="preserve">across</w:t>
      </w:r>
      <w:r>
        <w:t xml:space="preserve"> </w:t>
      </w:r>
      <w:r>
        <w:t xml:space="preserve">all</w:t>
      </w:r>
      <w:r>
        <w:t xml:space="preserve"> </w:t>
      </w:r>
      <w:r>
        <w:t xml:space="preserve">notifiers</w:t>
      </w:r>
      <w:r>
        <w:br/>
      </w:r>
      <w:r>
        <w:t xml:space="preserve">One off</w:t>
      </w:r>
      <w:r>
        <w:br/>
      </w:r>
      <w:r>
        <w:t xml:space="preserve">€120,988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re-</w:t>
      </w:r>
      <w:r>
        <w:t xml:space="preserve"> </w:t>
      </w:r>
      <w:r>
        <w:t xml:space="preserve">classification (-)</w:t>
      </w:r>
      <w:r>
        <w:br/>
      </w:r>
      <w:r>
        <w:t xml:space="preserve">Indirect</w:t>
      </w:r>
      <w:r>
        <w:br/>
      </w:r>
      <w:r>
        <w:t xml:space="preserve">Total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€5,200,000</w:t>
      </w:r>
      <w:r>
        <w:t xml:space="preserve"> </w:t>
      </w:r>
      <w:r>
        <w:t xml:space="preserve">-</w:t>
      </w:r>
      <w:r>
        <w:t xml:space="preserve"> </w:t>
      </w:r>
      <w:r>
        <w:t xml:space="preserve">€10,400,000</w:t>
      </w:r>
      <w:r>
        <w:t xml:space="preserve"> </w:t>
      </w:r>
      <w:r>
        <w:t xml:space="preserve">(mid-point</w:t>
      </w:r>
      <w:r>
        <w:t xml:space="preserve"> </w:t>
      </w:r>
      <w:r>
        <w:t xml:space="preserve">of</w:t>
      </w:r>
      <w:r>
        <w:t xml:space="preserve"> </w:t>
      </w:r>
      <w:r>
        <w:t xml:space="preserve">€7,000,0000</w:t>
      </w:r>
      <w:r>
        <w:br/>
      </w:r>
      <w:r>
        <w:t xml:space="preserve">One off</w:t>
      </w:r>
      <w:r>
        <w:br/>
      </w:r>
      <w:r>
        <w:t xml:space="preserve">€349,522</w:t>
      </w:r>
      <w:r>
        <w:t xml:space="preserve"> </w:t>
      </w:r>
      <w:r>
        <w:t xml:space="preserve">-</w:t>
      </w:r>
      <w:r>
        <w:t xml:space="preserve"> </w:t>
      </w:r>
      <w:r>
        <w:t xml:space="preserve">€699,</w:t>
      </w:r>
      <w:r>
        <w:t xml:space="preserve"> </w:t>
      </w:r>
      <w:r>
        <w:t xml:space="preserve">043</w:t>
      </w:r>
      <w:r>
        <w:t xml:space="preserve"> </w:t>
      </w:r>
      <w:r>
        <w:t xml:space="preserve">(mid-point:</w:t>
      </w:r>
      <w:r>
        <w:t xml:space="preserve"> </w:t>
      </w:r>
      <w:r>
        <w:t xml:space="preserve">€524,283)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updating</w:t>
      </w:r>
      <w:r>
        <w:t xml:space="preserve"> </w:t>
      </w:r>
      <w:r>
        <w:t xml:space="preserve">and</w:t>
      </w:r>
      <w:r>
        <w:t xml:space="preserve"> </w:t>
      </w:r>
      <w:r>
        <w:t xml:space="preserve">distributing</w:t>
      </w:r>
      <w:r>
        <w:t xml:space="preserve"> </w:t>
      </w:r>
      <w:r>
        <w:t xml:space="preserve">revised Safety</w:t>
      </w:r>
      <w:r>
        <w:t xml:space="preserve"> </w:t>
      </w:r>
      <w:r>
        <w:t xml:space="preserve">Data</w:t>
      </w:r>
      <w:r>
        <w:t xml:space="preserve"> </w:t>
      </w:r>
      <w:r>
        <w:t xml:space="preserve">Sheet</w:t>
      </w:r>
      <w:r>
        <w:t xml:space="preserve"> </w:t>
      </w:r>
      <w:r>
        <w:t xml:space="preserve">(SDS)</w:t>
      </w:r>
      <w:r>
        <w:br/>
      </w:r>
      <w:r>
        <w:t xml:space="preserve">(-)</w:t>
      </w:r>
      <w:r>
        <w:br/>
      </w:r>
      <w:r>
        <w:t xml:space="preserve">Indirect</w:t>
      </w:r>
      <w:r>
        <w:br/>
      </w:r>
      <w:r>
        <w:t xml:space="preserve">Total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€8,900,000</w:t>
      </w:r>
      <w:r>
        <w:t xml:space="preserve"> </w:t>
      </w:r>
      <w:r>
        <w:t xml:space="preserve">-</w:t>
      </w:r>
      <w:r>
        <w:t xml:space="preserve"> </w:t>
      </w:r>
      <w:r>
        <w:t xml:space="preserve">€17,900,000</w:t>
      </w:r>
      <w:r>
        <w:t xml:space="preserve"> </w:t>
      </w:r>
      <w:r>
        <w:t xml:space="preserve">(mid-point</w:t>
      </w:r>
      <w:r>
        <w:t xml:space="preserve"> </w:t>
      </w:r>
      <w:r>
        <w:t xml:space="preserve">of</w:t>
      </w:r>
      <w:r>
        <w:t xml:space="preserve"> </w:t>
      </w:r>
      <w:r>
        <w:t xml:space="preserve">€13,400,000</w:t>
      </w:r>
      <w:r>
        <w:t xml:space="preserve"> </w:t>
      </w:r>
      <w:r>
        <w:t xml:space="preserve">One off</w:t>
      </w:r>
      <w:r>
        <w:br/>
      </w:r>
      <w:r>
        <w:t xml:space="preserve">€598,220</w:t>
      </w:r>
      <w:r>
        <w:t xml:space="preserve"> </w:t>
      </w:r>
      <w:r>
        <w:t xml:space="preserve">-</w:t>
      </w:r>
      <w:r>
        <w:t xml:space="preserve"> </w:t>
      </w:r>
      <w:r>
        <w:t xml:space="preserve">€1,203-161</w:t>
      </w:r>
      <w:r>
        <w:t xml:space="preserve"> </w:t>
      </w:r>
      <w:r>
        <w:t xml:space="preserve">(mid-point of</w:t>
      </w:r>
      <w:r>
        <w:t xml:space="preserve"> </w:t>
      </w:r>
      <w:r>
        <w:t xml:space="preserve">€900,690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re-</w:t>
      </w:r>
      <w:r>
        <w:t xml:space="preserve"> </w:t>
      </w:r>
      <w:r>
        <w:t xml:space="preserve">labelling in line</w:t>
      </w:r>
      <w:r>
        <w:t xml:space="preserve"> </w:t>
      </w:r>
      <w:r>
        <w:t xml:space="preserve">with</w:t>
      </w:r>
      <w:r>
        <w:t xml:space="preserve"> </w:t>
      </w:r>
      <w:r>
        <w:t xml:space="preserve">re-</w:t>
      </w:r>
      <w:r>
        <w:t xml:space="preserve"> </w:t>
      </w:r>
      <w:r>
        <w:t xml:space="preserve">classification</w:t>
      </w:r>
      <w:r>
        <w:br/>
      </w:r>
      <w:r>
        <w:t xml:space="preserve">(-)</w:t>
      </w:r>
      <w:r>
        <w:br/>
      </w:r>
      <w:r>
        <w:t xml:space="preserve">Indirect</w:t>
      </w:r>
      <w:r>
        <w:br/>
      </w:r>
      <w:r>
        <w:t xml:space="preserve">Total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€51,000,000</w:t>
      </w:r>
      <w:r>
        <w:t xml:space="preserve"> </w:t>
      </w:r>
      <w:r>
        <w:t xml:space="preserve">–</w:t>
      </w:r>
      <w:r>
        <w:t xml:space="preserve"> </w:t>
      </w:r>
      <w:r>
        <w:t xml:space="preserve">€100,000,000</w:t>
      </w:r>
      <w:r>
        <w:t xml:space="preserve"> </w:t>
      </w:r>
      <w:r>
        <w:t xml:space="preserve">(mid-point</w:t>
      </w:r>
      <w:r>
        <w:t xml:space="preserve"> </w:t>
      </w:r>
      <w:r>
        <w:t xml:space="preserve">of</w:t>
      </w:r>
      <w:r>
        <w:t xml:space="preserve"> </w:t>
      </w:r>
      <w:r>
        <w:t xml:space="preserve">€75,500,000</w:t>
      </w:r>
      <w:r>
        <w:t xml:space="preserve"> </w:t>
      </w:r>
      <w:r>
        <w:t xml:space="preserve">One off</w:t>
      </w:r>
      <w:r>
        <w:br/>
      </w:r>
      <w:r>
        <w:t xml:space="preserve">€3,428,001 -</w:t>
      </w:r>
      <w:r>
        <w:t xml:space="preserve"> </w:t>
      </w:r>
      <w:r>
        <w:t xml:space="preserve">€6,721,571</w:t>
      </w:r>
      <w:r>
        <w:t xml:space="preserve"> </w:t>
      </w:r>
      <w:r>
        <w:t xml:space="preserve">(mid-point of</w:t>
      </w:r>
      <w:r>
        <w:t xml:space="preserve"> </w:t>
      </w:r>
      <w:r>
        <w:t xml:space="preserve">€5,074,786)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navigating the</w:t>
      </w:r>
      <w:r>
        <w:t xml:space="preserve"> </w:t>
      </w:r>
      <w:r>
        <w:t xml:space="preserve">CLI</w:t>
      </w:r>
      <w:r>
        <w:br/>
      </w:r>
      <w:r>
        <w:t xml:space="preserve">(+)</w:t>
      </w:r>
      <w:r>
        <w:br/>
      </w:r>
      <w:r>
        <w:t xml:space="preserve">Direct</w:t>
      </w:r>
      <w:r>
        <w:br/>
      </w:r>
      <w:r>
        <w:t xml:space="preserve">Cost saving of</w:t>
      </w:r>
      <w:r>
        <w:t xml:space="preserve"> </w:t>
      </w:r>
      <w:r>
        <w:t xml:space="preserve">€8,950,000</w:t>
      </w:r>
      <w:r>
        <w:t xml:space="preserve"> </w:t>
      </w:r>
      <w:r>
        <w:t xml:space="preserve">(€2,300,000 for</w:t>
      </w:r>
      <w:r>
        <w:t xml:space="preserve"> </w:t>
      </w:r>
      <w:r>
        <w:t xml:space="preserve">SMEs)</w:t>
      </w:r>
      <w:r>
        <w:br/>
      </w:r>
      <w:r>
        <w:t xml:space="preserve">Recurrent</w:t>
      </w:r>
      <w:r>
        <w:t xml:space="preserve"> </w:t>
      </w:r>
      <w:r>
        <w:t xml:space="preserve">(annual)</w:t>
      </w:r>
      <w:r>
        <w:t xml:space="preserve"> </w:t>
      </w:r>
      <w:r>
        <w:t xml:space="preserve">from</w:t>
      </w:r>
      <w:r>
        <w:t xml:space="preserve"> </w:t>
      </w:r>
      <w:r>
        <w:t xml:space="preserve">year</w:t>
      </w:r>
      <w:r>
        <w:t xml:space="preserve"> </w:t>
      </w:r>
      <w:r>
        <w:t xml:space="preserve">2</w:t>
      </w:r>
      <w:r>
        <w:br/>
      </w:r>
      <w:r>
        <w:t xml:space="preserve">€12,031,612</w:t>
      </w:r>
      <w:r>
        <w:t xml:space="preserve"> </w:t>
      </w:r>
      <w:r>
        <w:t xml:space="preserve">(€3,091,923</w:t>
      </w:r>
      <w:r>
        <w:t xml:space="preserve"> </w:t>
      </w:r>
      <w:r>
        <w:t xml:space="preserve">for SMEs)</w:t>
      </w:r>
      <w:r>
        <w:t xml:space="preserve"> </w:t>
      </w:r>
      <w:r>
        <w:t xml:space="preserve">Positions</w:t>
      </w:r>
      <w:r>
        <w:t xml:space="preserve"> </w:t>
      </w:r>
      <w:r>
        <w:t xml:space="preserve">of</w:t>
      </w:r>
      <w:r>
        <w:t xml:space="preserve"> </w:t>
      </w:r>
      <w:r>
        <w:t xml:space="preserve">SMEs</w:t>
      </w:r>
      <w:r>
        <w:br/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SMEs</w:t>
      </w:r>
      <w:r>
        <w:br/>
      </w:r>
      <w:r>
        <w:t xml:space="preserve">(o)</w:t>
      </w:r>
      <w:r>
        <w:br/>
      </w:r>
      <w:r>
        <w:t xml:space="preserve">Indirect Not quantified Recurrent</w:t>
      </w:r>
      <w:r>
        <w:br/>
      </w:r>
      <w:r>
        <w:t xml:space="preserve">-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trade</w:t>
      </w:r>
      <w:r>
        <w:t xml:space="preserve"> </w:t>
      </w:r>
      <w:r>
        <w:t xml:space="preserve">and</w:t>
      </w:r>
      <w:r>
        <w:t xml:space="preserve"> </w:t>
      </w:r>
      <w:r>
        <w:t xml:space="preserve">investment flows</w:t>
      </w:r>
      <w:r>
        <w:br/>
      </w:r>
      <w:r>
        <w:t xml:space="preserve">Additional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clarity on self-</w:t>
      </w:r>
      <w:r>
        <w:t xml:space="preserve"> </w:t>
      </w:r>
      <w:r>
        <w:t xml:space="preserve">classifications</w:t>
      </w:r>
      <w:r>
        <w:br/>
      </w:r>
      <w:r>
        <w:t xml:space="preserve">(+)</w:t>
      </w:r>
      <w:r>
        <w:br/>
      </w:r>
      <w:r>
        <w:t xml:space="preserve">Indirect Not quantified Recurrent</w:t>
      </w:r>
      <w:r>
        <w:br/>
      </w:r>
      <w:r>
        <w:t xml:space="preserve">-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br/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reviewing C&amp;L</w:t>
      </w:r>
      <w:r>
        <w:t xml:space="preserve"> </w:t>
      </w:r>
      <w:r>
        <w:t xml:space="preserve">notifications</w:t>
      </w:r>
      <w:r>
        <w:br/>
      </w:r>
      <w:r>
        <w:t xml:space="preserve">(o)</w:t>
      </w:r>
      <w:r>
        <w:br/>
      </w:r>
      <w:r>
        <w:t xml:space="preserve">Indirect Not quantified</w:t>
      </w:r>
      <w:r>
        <w:t xml:space="preserve"> </w:t>
      </w:r>
      <w:r>
        <w:t xml:space="preserve">Recurrent</w:t>
      </w:r>
      <w:r>
        <w:br/>
      </w:r>
      <w:r>
        <w:t xml:space="preserve">-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Cost of justifying diverging notifications</w:t>
      </w:r>
      <w:r>
        <w:br/>
      </w:r>
      <w:r>
        <w:t xml:space="preserve">Policy measure #3 requires notifiers that have classifications which differ from the</w:t>
      </w:r>
      <w:r>
        <w:t xml:space="preserve"> </w:t>
      </w:r>
      <w:r>
        <w:t xml:space="preserve">consensus classification, to update their notifications with a justification for the divergence</w:t>
      </w:r>
      <w:r>
        <w:t xml:space="preserve"> </w:t>
      </w:r>
      <w:r>
        <w:t xml:space="preserve">or remove the notification if it diverges because it is incorrect. Possible reasons for</w:t>
      </w:r>
      <w:r>
        <w:t xml:space="preserve"> </w:t>
      </w:r>
      <w:r>
        <w:t xml:space="preserve">divergence include:</w:t>
      </w:r>
    </w:p>
    <w:p>
      <w:pPr>
        <w:pStyle w:val="BodyText"/>
      </w:pPr>
      <w:r>
        <w:t xml:space="preserve">Different hazardous impurities, additives or ingredients might be present;</w:t>
      </w:r>
    </w:p>
    <w:p>
      <w:pPr>
        <w:pStyle w:val="BodyText"/>
      </w:pPr>
      <w:r>
        <w:t xml:space="preserve">Properties such as the physical form, the pH, the flash point might be different;</w:t>
      </w:r>
    </w:p>
    <w:p>
      <w:pPr>
        <w:pStyle w:val="BodyText"/>
      </w:pPr>
      <w:r>
        <w:t xml:space="preserve">310</w:t>
      </w:r>
      <w:r>
        <w:t xml:space="preserve"> </w:t>
      </w:r>
      <w:r>
        <w:t xml:space="preserve">Suppliers need to interpret the data from scientific studies when they classify a chemical,</w:t>
      </w:r>
      <w:r>
        <w:t xml:space="preserve"> </w:t>
      </w:r>
      <w:r>
        <w:t xml:space="preserve">and different suppliers might reach a different conclusion, which is sometimes justifiable.</w:t>
      </w:r>
      <w:r>
        <w:br/>
      </w:r>
      <w:r>
        <w:t xml:space="preserve">Data on the Classification and Labelling Inventory that was provided by ECHA to the</w:t>
      </w:r>
      <w:r>
        <w:t xml:space="preserve"> </w:t>
      </w:r>
      <w:r>
        <w:t xml:space="preserve">study team of the study underlying this Staff Working Document, shows the level of</w:t>
      </w:r>
      <w:r>
        <w:t xml:space="preserve"> </w:t>
      </w:r>
      <w:r>
        <w:t xml:space="preserve">divergence in the inventory. 21.61% of substances have more than one classification which</w:t>
      </w:r>
      <w:r>
        <w:t xml:space="preserve"> </w:t>
      </w:r>
      <w:r>
        <w:t xml:space="preserve">equates to 68.9% (517,739) of notifications. An estimate of 5 minutes to provide a</w:t>
      </w:r>
      <w:r>
        <w:t xml:space="preserve"> </w:t>
      </w:r>
      <w:r>
        <w:t xml:space="preserve">justification has been assumed by the study team. This is the case when the legitimate</w:t>
      </w:r>
      <w:r>
        <w:t xml:space="preserve"> </w:t>
      </w:r>
      <w:r>
        <w:t xml:space="preserve">reasons for divergence in classifications are well known and it would not be necessary to</w:t>
      </w:r>
      <w:r>
        <w:t xml:space="preserve"> </w:t>
      </w:r>
      <w:r>
        <w:t xml:space="preserve">provide a lengthy explanation. At a recent ad-hoc meeting of the Competent Authorities for</w:t>
      </w:r>
      <w:r>
        <w:t xml:space="preserve"> </w:t>
      </w:r>
      <w:r>
        <w:t xml:space="preserve">REACH and CLP205, ECHA mentioned that they already hold data on this, such as the</w:t>
      </w:r>
      <w:r>
        <w:t xml:space="preserve"> </w:t>
      </w:r>
      <w:r>
        <w:t xml:space="preserve">presence of impurities / additives, physical states, and hydrated forms, although it is not</w:t>
      </w:r>
      <w:r>
        <w:t xml:space="preserve"> </w:t>
      </w:r>
      <w:r>
        <w:t xml:space="preserve">published in the public CLI244. Therefore, a significant number of notifications that diverge</w:t>
      </w:r>
      <w:r>
        <w:t xml:space="preserve"> </w:t>
      </w:r>
      <w:r>
        <w:t xml:space="preserve">may not require any review, and therefore no administrative cost will be incurred.</w:t>
      </w:r>
      <w:r>
        <w:br/>
      </w:r>
      <w:r>
        <w:t xml:space="preserve">The maximum total cost of justifying divergence is calculated to be approximately</w:t>
      </w:r>
      <w:r>
        <w:t xml:space="preserve"> </w:t>
      </w:r>
      <w:r>
        <w:t xml:space="preserve">€1,800,000 based on all the 517,739 notifications requiring justification, a time estimate of</w:t>
      </w:r>
      <w:r>
        <w:t xml:space="preserve"> </w:t>
      </w:r>
      <w:r>
        <w:t xml:space="preserve">5 minutes, and an hourly rate of €41.126. Data on the number of notifiers from which the</w:t>
      </w:r>
      <w:r>
        <w:t xml:space="preserve"> </w:t>
      </w:r>
      <w:r>
        <w:t xml:space="preserve">517,739 diverging notifications were submitted was not available, so an average cost per</w:t>
      </w:r>
      <w:r>
        <w:t xml:space="preserve"> </w:t>
      </w:r>
      <w:r>
        <w:t xml:space="preserve">company was not able to be reliably calculated.</w:t>
      </w:r>
      <w:r>
        <w:br/>
      </w:r>
      <w:r>
        <w:t xml:space="preserve">The aim of the planned re-design of the Classification and Labelling Inventory is to provide</w:t>
      </w:r>
      <w:r>
        <w:t xml:space="preserve"> </w:t>
      </w:r>
      <w:r>
        <w:t xml:space="preserve">clarity on data held in the inventory, which will include publishing the reason for</w:t>
      </w:r>
      <w:r>
        <w:t xml:space="preserve"> </w:t>
      </w:r>
      <w:r>
        <w:t xml:space="preserve">divergence. Therefore, providing information that justifies a diverging classification may</w:t>
      </w:r>
      <w:r>
        <w:t xml:space="preserve"> </w:t>
      </w:r>
      <w:r>
        <w:t xml:space="preserve">become a very efficient tick-box exercise representing a negligible administrative burden to</w:t>
      </w:r>
      <w:r>
        <w:t xml:space="preserve"> </w:t>
      </w:r>
      <w:r>
        <w:t xml:space="preserve">notifiers. In discussions with the study team in charge of the study underlying this Staff</w:t>
      </w:r>
      <w:r>
        <w:t xml:space="preserve"> </w:t>
      </w:r>
      <w:r>
        <w:t xml:space="preserve">working document, ECHA has also highlighted that they already hold information on</w:t>
      </w:r>
      <w:r>
        <w:t xml:space="preserve"> </w:t>
      </w:r>
      <w:r>
        <w:t xml:space="preserve">physical form and impurities, so for those notifiers that have already provided this</w:t>
      </w:r>
      <w:r>
        <w:t xml:space="preserve"> </w:t>
      </w:r>
      <w:r>
        <w:t xml:space="preserve">information, no action from them would be required.</w:t>
      </w:r>
      <w:r>
        <w:br/>
      </w:r>
      <w:r>
        <w:t xml:space="preserve">Cost of re-classification</w:t>
      </w:r>
      <w:r>
        <w:br/>
      </w:r>
      <w:r>
        <w:t xml:space="preserve">As explained previously, around 2-4% (mid-point of 3%) of C&amp;L notifications are expected</w:t>
      </w:r>
      <w:r>
        <w:t xml:space="preserve"> </w:t>
      </w:r>
      <w:r>
        <w:t xml:space="preserve">to require re-classification each year, which gives an estimate of just over 13,000 – 26,000</w:t>
      </w:r>
      <w:r>
        <w:t xml:space="preserve"> </w:t>
      </w:r>
      <w:r>
        <w:t xml:space="preserve">notifications. Based on estimates from the Fitness Check245 that the average cost of</w:t>
      </w:r>
      <w:r>
        <w:t xml:space="preserve"> </w:t>
      </w:r>
      <w:r>
        <w:t xml:space="preserve">undertaking re-classification activities is €400, this gives an approximate total cost range of</w:t>
      </w:r>
      <w:r>
        <w:t xml:space="preserve"> </w:t>
      </w:r>
      <w:r>
        <w:t xml:space="preserve">€5,200,000 - €10,400,000 (mid-point of €7,800,000). However, it should be noted that if</w:t>
      </w:r>
      <w:r>
        <w:t xml:space="preserve"> </w:t>
      </w:r>
      <w:r>
        <w:t xml:space="preserve">only 1% of notifications are being updated regularly, there may be a greater percentage of</w:t>
      </w:r>
      <w:r>
        <w:t xml:space="preserve"> </w:t>
      </w:r>
      <w:r>
        <w:t xml:space="preserve">notifications that would require re-classification.</w:t>
      </w:r>
      <w:r>
        <w:br/>
      </w:r>
      <w:r>
        <w:t xml:space="preserve">Although only a proportion of notifications will require review under this policy measure,</w:t>
      </w:r>
      <w:r>
        <w:t xml:space="preserve"> </w:t>
      </w:r>
      <w:r>
        <w:t xml:space="preserve">it is expected that the estimated 13,000 – 26,000 notifications requiring re-classification</w:t>
      </w:r>
      <w:r>
        <w:t xml:space="preserve"> </w:t>
      </w:r>
      <w:r>
        <w:t xml:space="preserve">would come from this subset of notifications.</w:t>
      </w:r>
      <w:r>
        <w:br/>
      </w:r>
      <w:r>
        <w:t xml:space="preserve">Cost of updating and distributing revised Safety Data Sheet (SDS)</w:t>
      </w:r>
    </w:p>
    <w:p>
      <w:pPr>
        <w:pStyle w:val="BodyText"/>
      </w:pPr>
      <w:r>
        <w:t xml:space="preserve">244 ECHA publish the fact that a classification is indicated to depend on an impurity/additive. It is assumed</w:t>
      </w:r>
      <w:r>
        <w:t xml:space="preserve"> </w:t>
      </w:r>
      <w:r>
        <w:t xml:space="preserve">that companies systematically indicate this when notifying.</w:t>
      </w:r>
      <w:r>
        <w:t xml:space="preserve"> </w:t>
      </w:r>
      <w:r>
        <w:t xml:space="preserve">245 See Footnote 237.</w:t>
      </w:r>
    </w:p>
    <w:p>
      <w:pPr>
        <w:pStyle w:val="BodyText"/>
      </w:pPr>
      <w:r>
        <w:t xml:space="preserve">311</w:t>
      </w:r>
      <w:r>
        <w:t xml:space="preserve"> </w:t>
      </w:r>
      <w:r>
        <w:t xml:space="preserve">Following any re-classifications, companies will be required to update and distribute revised</w:t>
      </w:r>
      <w:r>
        <w:t xml:space="preserve"> </w:t>
      </w:r>
      <w:r>
        <w:t xml:space="preserve">SDS to reflect the new classification. The 2017 Fitness Check estimated an average cost of</w:t>
      </w:r>
      <w:r>
        <w:t xml:space="preserve"> </w:t>
      </w:r>
      <w:r>
        <w:t xml:space="preserve">€250 per substance or mixture of updating a safety data sheet due to a change in</w:t>
      </w:r>
      <w:r>
        <w:t xml:space="preserve"> </w:t>
      </w:r>
      <w:r>
        <w:t xml:space="preserve">classification. Safety data sheets help ensure that those who use chemicals use them safely</w:t>
      </w:r>
      <w:r>
        <w:t xml:space="preserve"> </w:t>
      </w:r>
      <w:r>
        <w:t xml:space="preserve">without risk of harm to users or the environment.246 According to Article 31 of REACH,</w:t>
      </w:r>
      <w:r>
        <w:t xml:space="preserve"> </w:t>
      </w:r>
      <w:r>
        <w:t xml:space="preserve">only companies supplying hazardous substances and mixtures to ‘recipients’ – defined as</w:t>
      </w:r>
      <w:r>
        <w:t xml:space="preserve"> </w:t>
      </w:r>
      <w:r>
        <w:t xml:space="preserve">downstream users or distributors (Article 3 (34) of REACH - will be required to supply</w:t>
      </w:r>
      <w:r>
        <w:t xml:space="preserve"> </w:t>
      </w:r>
      <w:r>
        <w:t xml:space="preserve">SDS, meaning that not all notifiers who re-classify their substances will have to produce a</w:t>
      </w:r>
      <w:r>
        <w:t xml:space="preserve"> </w:t>
      </w:r>
      <w:r>
        <w:t xml:space="preserve">revised SDS. Therefore, only a proportion of the 13,000 – 26,000 notifications requiring re-</w:t>
      </w:r>
      <w:r>
        <w:t xml:space="preserve"> </w:t>
      </w:r>
      <w:r>
        <w:t xml:space="preserve">classification will also require a subsequent revised SDS. A recent economic analysis of the</w:t>
      </w:r>
      <w:r>
        <w:t xml:space="preserve"> </w:t>
      </w:r>
      <w:r>
        <w:t xml:space="preserve">Impacts of the Chemicals Strategy for Sustainability247 found that just over a quarter of the</w:t>
      </w:r>
      <w:r>
        <w:t xml:space="preserve"> </w:t>
      </w:r>
      <w:r>
        <w:t xml:space="preserve">products identified in the data gathering exercise had an industrial end use and were</w:t>
      </w:r>
      <w:r>
        <w:t xml:space="preserve"> </w:t>
      </w:r>
      <w:r>
        <w:t xml:space="preserve">classified under the following hazard classes: CMR, PBT, vPvB. EDC, respiratory</w:t>
      </w:r>
      <w:r>
        <w:t xml:space="preserve"> </w:t>
      </w:r>
      <w:r>
        <w:t xml:space="preserve">sensitisation, STOT RE, STOT SE, skin sensitisation, aquatic chronic toxicity,</w:t>
      </w:r>
      <w:r>
        <w:t xml:space="preserve"> </w:t>
      </w:r>
      <w:r>
        <w:t xml:space="preserve">immunotoxicity, or neurotoxicity. Although this does not include products classified under</w:t>
      </w:r>
      <w:r>
        <w:t xml:space="preserve"> </w:t>
      </w:r>
      <w:r>
        <w:t xml:space="preserve">all hazard classes248, and includes products classified under some hazard classes not</w:t>
      </w:r>
      <w:r>
        <w:t xml:space="preserve"> </w:t>
      </w:r>
      <w:r>
        <w:t xml:space="preserve">currently under CLP249, it is considered large enough to be representative of the end uses of</w:t>
      </w:r>
      <w:r>
        <w:t xml:space="preserve"> </w:t>
      </w:r>
      <w:r>
        <w:t xml:space="preserve">all hazardous products. This means that approximately 3,250 – 6,500 of the 13,000 – 26,000</w:t>
      </w:r>
      <w:r>
        <w:t xml:space="preserve"> </w:t>
      </w:r>
      <w:r>
        <w:t xml:space="preserve">re-classified substances would require a safety data sheet each year, which would lead to a</w:t>
      </w:r>
      <w:r>
        <w:t xml:space="preserve"> </w:t>
      </w:r>
      <w:r>
        <w:t xml:space="preserve">cost per company of €66.25 - €132.50, €85.63 - €170.63 per large company, and €49.38 -</w:t>
      </w:r>
      <w:r>
        <w:t xml:space="preserve"> </w:t>
      </w:r>
      <w:r>
        <w:t xml:space="preserve">€98.75 per SME. This gives total annual costs of approximately €8,900,000 - €17,900,000</w:t>
      </w:r>
      <w:r>
        <w:t xml:space="preserve"> </w:t>
      </w:r>
      <w:r>
        <w:t xml:space="preserve">(3,250-6,500 x €250 x 11) for all companies, €5,600,000 – €11,100,000 (2,025 – 4,050 x</w:t>
      </w:r>
      <w:r>
        <w:t xml:space="preserve"> </w:t>
      </w:r>
      <w:r>
        <w:t xml:space="preserve">€250 x 11) for large companies, and €3,400,000 - €6,900,000 (1,250 – 2,500 x €250 x 11)</w:t>
      </w:r>
      <w:r>
        <w:t xml:space="preserve"> </w:t>
      </w:r>
      <w:r>
        <w:t xml:space="preserve">for SMEs.</w:t>
      </w:r>
      <w:r>
        <w:br/>
      </w:r>
      <w:r>
        <w:t xml:space="preserve">Cost of re-labelling in line with re-classification</w:t>
      </w:r>
      <w:r>
        <w:br/>
      </w:r>
      <w:r>
        <w:t xml:space="preserve">To ensure that customers receive information on hazards, suppliers of substances and</w:t>
      </w:r>
      <w:r>
        <w:t xml:space="preserve"> </w:t>
      </w:r>
      <w:r>
        <w:t xml:space="preserve">mixtures should ensure that they are labelled in accordance with the classification derived</w:t>
      </w:r>
      <w:r>
        <w:t xml:space="preserve"> </w:t>
      </w:r>
      <w:r>
        <w:t xml:space="preserve">for each substance and mixture. CLP labels must include hazard pictograms, hazard and</w:t>
      </w:r>
      <w:r>
        <w:t xml:space="preserve"> </w:t>
      </w:r>
      <w:r>
        <w:t xml:space="preserve">precautionary statements, and signal words derived from a hazard classification. Therefore,</w:t>
      </w:r>
      <w:r>
        <w:t xml:space="preserve"> </w:t>
      </w:r>
      <w:r>
        <w:t xml:space="preserve">a change in classification will require a change in labelling to ensure compliance with</w:t>
      </w:r>
      <w:r>
        <w:t xml:space="preserve"> </w:t>
      </w:r>
      <w:r>
        <w:t xml:space="preserve">labelling provisions under the CLP Regulation and accurate communication of hazard</w:t>
      </w:r>
      <w:r>
        <w:t xml:space="preserve"> </w:t>
      </w:r>
      <w:r>
        <w:t xml:space="preserve">information to customers.</w:t>
      </w:r>
      <w:r>
        <w:br/>
      </w:r>
      <w:r>
        <w:t xml:space="preserve">Labels are the only direct tool for communication to consumers, but they may also serve to</w:t>
      </w:r>
      <w:r>
        <w:t xml:space="preserve"> </w:t>
      </w:r>
      <w:r>
        <w:t xml:space="preserve">draw the attention of workers to the more comprehensive information on substances or</w:t>
      </w:r>
      <w:r>
        <w:t xml:space="preserve"> </w:t>
      </w:r>
      <w:r>
        <w:t xml:space="preserve">mixtures provided in safety data sheets (SDS). Labelling applies to all substances and</w:t>
      </w:r>
      <w:r>
        <w:t xml:space="preserve"> </w:t>
      </w:r>
      <w:r>
        <w:t xml:space="preserve">mixtures, with the exception of those substances used exclusively in products that are</w:t>
      </w:r>
      <w:r>
        <w:t xml:space="preserve"> </w:t>
      </w:r>
      <w:r>
        <w:t xml:space="preserve">exempt from CLP, such as cosmetics. It is not known what percentage of substances in the</w:t>
      </w:r>
      <w:r>
        <w:t xml:space="preserve"> </w:t>
      </w:r>
      <w:r>
        <w:t xml:space="preserve">Classification and Labelling Inventory are exempt, but the proportion is considered to be a</w:t>
      </w:r>
      <w:r>
        <w:t xml:space="preserve"> </w:t>
      </w:r>
      <w:r>
        <w:t xml:space="preserve">minority, so for the purposes of this analysis all notifications that are updated with revised</w:t>
      </w:r>
      <w:r>
        <w:t xml:space="preserve"> </w:t>
      </w:r>
      <w:r>
        <w:t xml:space="preserve">classifications are assumed to require subsequent re-labelling.</w:t>
      </w:r>
    </w:p>
    <w:p>
      <w:pPr>
        <w:pStyle w:val="BodyText"/>
      </w:pPr>
      <w:r>
        <w:t xml:space="preserve">246 See Footnote 237.</w:t>
      </w:r>
      <w:r>
        <w:t xml:space="preserve"> </w:t>
      </w:r>
      <w:r>
        <w:t xml:space="preserve">247 See Footnote 240.</w:t>
      </w:r>
      <w:r>
        <w:br/>
      </w:r>
      <w:r>
        <w:t xml:space="preserve">248 According to Article 31(a) of REACH a SDS is required for all substances and mixtures meeting the CLP</w:t>
      </w:r>
      <w:r>
        <w:t xml:space="preserve"> </w:t>
      </w:r>
      <w:r>
        <w:t xml:space="preserve">criteria for classification as hazardous.</w:t>
      </w:r>
      <w:r>
        <w:br/>
      </w:r>
      <w:r>
        <w:t xml:space="preserve">249 EDs, PBTs e.g. </w:t>
      </w:r>
    </w:p>
    <w:p>
      <w:pPr>
        <w:pStyle w:val="BodyText"/>
      </w:pPr>
      <w:r>
        <w:t xml:space="preserve">312</w:t>
      </w:r>
      <w:r>
        <w:t xml:space="preserve"> </w:t>
      </w:r>
      <w:r>
        <w:t xml:space="preserve">The Fitness Check of CLP estimated the average cost of re-labelling to be €388 per</w:t>
      </w:r>
      <w:r>
        <w:t xml:space="preserve"> </w:t>
      </w:r>
      <w:r>
        <w:t xml:space="preserve">substance and €475 per mixture. Assuming 75% of notifications requiring re-classification</w:t>
      </w:r>
      <w:r>
        <w:t xml:space="preserve"> </w:t>
      </w:r>
      <w:r>
        <w:t xml:space="preserve">each year would result in relabelling, would equate to 9,750 – 19,500 (13,000 – 26,000 *</w:t>
      </w:r>
      <w:r>
        <w:t xml:space="preserve"> </w:t>
      </w:r>
      <w:r>
        <w:t xml:space="preserve">0.75) for all companies, 6,000 – 12,000 (8,100-16,200 * 0.75) for large companies, and</w:t>
      </w:r>
      <w:r>
        <w:t xml:space="preserve"> </w:t>
      </w:r>
      <w:r>
        <w:t xml:space="preserve">3,750 – 7,500 (5,000 – 10,000 * 0.75) for SMEs. Again, assuming 11 mixtures are</w:t>
      </w:r>
      <w:r>
        <w:t xml:space="preserve"> </w:t>
      </w:r>
      <w:r>
        <w:t xml:space="preserve">manufactured for each substance, this would equate to annual costs of €51,000,000 –</w:t>
      </w:r>
      <w:r>
        <w:t xml:space="preserve"> </w:t>
      </w:r>
      <w:r>
        <w:t xml:space="preserve">€100,000,000 for all companies, €31,400,000 – €62,700,000 for large companies, and</w:t>
      </w:r>
      <w:r>
        <w:t xml:space="preserve"> </w:t>
      </w:r>
      <w:r>
        <w:t xml:space="preserve">€19,600,000 – 39,200,000 for SMEs.</w:t>
      </w:r>
      <w:r>
        <w:br/>
      </w:r>
      <w:r>
        <w:t xml:space="preserve">Cost of navigating the Classification and Labelling Inventory</w:t>
      </w:r>
      <w:r>
        <w:t xml:space="preserve"> </w:t>
      </w:r>
      <w:r>
        <w:t xml:space="preserve">Each of the three policy measures under consideration aim to address the problem of</w:t>
      </w:r>
      <w:r>
        <w:t xml:space="preserve"> </w:t>
      </w:r>
      <w:r>
        <w:t xml:space="preserve">incorrect, diverging or obsolete information on self-classification in the CLI, in order to</w:t>
      </w:r>
      <w:r>
        <w:t xml:space="preserve"> </w:t>
      </w:r>
      <w:r>
        <w:t xml:space="preserve">make data in the Inventory easier to understand and use. Therefore, an expected benefit to</w:t>
      </w:r>
      <w:r>
        <w:t xml:space="preserve"> </w:t>
      </w:r>
      <w:r>
        <w:t xml:space="preserve">the conduct of business is a reduction in the time taken by Inventory users to find the most</w:t>
      </w:r>
      <w:r>
        <w:t xml:space="preserve"> </w:t>
      </w:r>
      <w:r>
        <w:t xml:space="preserve">relevant and reliable data. The time saving is expected to be greatest amongst inexperienced</w:t>
      </w:r>
      <w:r>
        <w:t xml:space="preserve"> </w:t>
      </w:r>
      <w:r>
        <w:t xml:space="preserve">users, such as SMEs.</w:t>
      </w:r>
      <w:r>
        <w:br/>
      </w:r>
      <w:r>
        <w:t xml:space="preserve">Based on stakeholder feedback, the 2017 Fitness Check found 36% of manufacturers,</w:t>
      </w:r>
      <w:r>
        <w:t xml:space="preserve"> </w:t>
      </w:r>
      <w:r>
        <w:t xml:space="preserve">formulators, distributors and importers use the Classification and Labelling Inventory</w:t>
      </w:r>
      <w:r>
        <w:t xml:space="preserve"> </w:t>
      </w:r>
      <w:r>
        <w:t xml:space="preserve">multiple times a week. On average, it was estimated that a large company spends 2 hours</w:t>
      </w:r>
      <w:r>
        <w:t xml:space="preserve"> </w:t>
      </w:r>
      <w:r>
        <w:t xml:space="preserve">per month (24 hours per year) checking the Inventory, with a cost of €987 per year (based</w:t>
      </w:r>
      <w:r>
        <w:t xml:space="preserve"> </w:t>
      </w:r>
      <w:r>
        <w:t xml:space="preserve">on an hourly rate of €41.126). SMEs were estimated to spend half the time, and thus incur</w:t>
      </w:r>
      <w:r>
        <w:t xml:space="preserve"> </w:t>
      </w:r>
      <w:r>
        <w:t xml:space="preserve">half the cost (€493.50 per year).</w:t>
      </w:r>
      <w:r>
        <w:br/>
      </w:r>
      <w:r>
        <w:t xml:space="preserve">The reduction in time spent using the CLI is dependent on the effectiveness of policy</w:t>
      </w:r>
      <w:r>
        <w:t xml:space="preserve"> </w:t>
      </w:r>
      <w:r>
        <w:t xml:space="preserve">measure #3 in addressing the problem of incorrect, diverging or obsolete information on</w:t>
      </w:r>
      <w:r>
        <w:t xml:space="preserve"> </w:t>
      </w:r>
      <w:r>
        <w:t xml:space="preserve">self-classification in the CLI. It is expected that measure #3 will have a positive impact on</w:t>
      </w:r>
      <w:r>
        <w:t xml:space="preserve"> </w:t>
      </w:r>
      <w:r>
        <w:t xml:space="preserve">reducing the number of diverging classifications and improving transparency on the</w:t>
      </w:r>
      <w:r>
        <w:t xml:space="preserve"> </w:t>
      </w:r>
      <w:r>
        <w:t xml:space="preserve">remaining divergence. Therefore, it is realistic to expect that policy measure #3 could lead</w:t>
      </w:r>
      <w:r>
        <w:t xml:space="preserve"> </w:t>
      </w:r>
      <w:r>
        <w:t xml:space="preserve">to users of the CLI to spend half the time navigating the CLI due to improvements in self-</w:t>
      </w:r>
      <w:r>
        <w:t xml:space="preserve"> </w:t>
      </w:r>
      <w:r>
        <w:t xml:space="preserve">classifications, this would equate to a cost saving of €493.50 per large company and €246.75</w:t>
      </w:r>
      <w:r>
        <w:t xml:space="preserve"> </w:t>
      </w:r>
      <w:r>
        <w:t xml:space="preserve">per SME. Multiplying these figures by the total number of large companies and SMEs gives</w:t>
      </w:r>
      <w:r>
        <w:t xml:space="preserve"> </w:t>
      </w:r>
      <w:r>
        <w:t xml:space="preserve">total costs of approximately €6,650,000 for large companies, €2,300,000 for SMEs, and a</w:t>
      </w:r>
      <w:r>
        <w:t xml:space="preserve"> </w:t>
      </w:r>
      <w:r>
        <w:t xml:space="preserve">total cost of €8,950,000.</w:t>
      </w:r>
      <w:r>
        <w:br/>
      </w:r>
      <w:r>
        <w:t xml:space="preserve">Total administrative burden on businesses</w:t>
      </w:r>
      <w:r>
        <w:br/>
      </w:r>
      <w:r>
        <w:t xml:space="preserve">The total one-off administrative cost of policy measure #3 is €24,215,000 – €32,825,000</w:t>
      </w:r>
      <w:r>
        <w:t xml:space="preserve"> </w:t>
      </w:r>
      <w:r>
        <w:t xml:space="preserve">(cost of providing justifications + cost of reclassification + cost of relabelling + cost of</w:t>
      </w:r>
      <w:r>
        <w:t xml:space="preserve"> </w:t>
      </w:r>
      <w:r>
        <w:t xml:space="preserve">providing SDS). The recurring cost would apply to new notifications and therefore this cost</w:t>
      </w:r>
      <w:r>
        <w:t xml:space="preserve"> </w:t>
      </w:r>
      <w:r>
        <w:t xml:space="preserve">is expected to be budgeted into the cost of preparing new notifications. However, the cost</w:t>
      </w:r>
      <w:r>
        <w:t xml:space="preserve"> </w:t>
      </w:r>
      <w:r>
        <w:t xml:space="preserve">of time saved navigating the Classification and Labelling Inventory would be realised every</w:t>
      </w:r>
      <w:r>
        <w:t xml:space="preserve"> </w:t>
      </w:r>
      <w:r>
        <w:t xml:space="preserve">year, which needs to be factored into the recurring cost, which equates to €9,950,000.</w:t>
      </w:r>
      <w:r>
        <w:br/>
      </w:r>
      <w:r>
        <w:t xml:space="preserve">As in the case of the bi-yearly updates measure described above, it needs to be noted</w:t>
      </w:r>
      <w:r>
        <w:t xml:space="preserve"> </w:t>
      </w:r>
      <w:r>
        <w:t xml:space="preserve">however, that, legally speaking, companies are required to update their notifications and</w:t>
      </w:r>
      <w:r>
        <w:t xml:space="preserve"> </w:t>
      </w:r>
      <w:r>
        <w:t xml:space="preserve">communicate to ECHA ‘…when… a decision to change the classification and labelling of</w:t>
      </w:r>
      <w:r>
        <w:t xml:space="preserve"> </w:t>
      </w:r>
      <w:r>
        <w:t xml:space="preserve">the substance has been taken’ (Article 40(2) of CLP). The costs associated with the update</w:t>
      </w:r>
      <w:r>
        <w:t xml:space="preserve"> </w:t>
      </w:r>
      <w:r>
        <w:t xml:space="preserve">need therefore to take into account the obligation that notifiers have currently to update their</w:t>
      </w:r>
    </w:p>
    <w:p>
      <w:pPr>
        <w:pStyle w:val="BodyText"/>
      </w:pPr>
      <w:r>
        <w:t xml:space="preserve">313</w:t>
      </w:r>
      <w:r>
        <w:t xml:space="preserve"> </w:t>
      </w:r>
      <w:r>
        <w:t xml:space="preserve">notification when, following a new evaluation of data – e.g. because they become aware</w:t>
      </w:r>
      <w:r>
        <w:t xml:space="preserve"> </w:t>
      </w:r>
      <w:r>
        <w:t xml:space="preserve">that they have to re-classify because they had not duly taken into account an impurity - they</w:t>
      </w:r>
      <w:r>
        <w:t xml:space="preserve"> </w:t>
      </w:r>
      <w:r>
        <w:t xml:space="preserve">have decided to change the classification. Any subsequent cost triggered by such updating</w:t>
      </w:r>
      <w:r>
        <w:t xml:space="preserve"> </w:t>
      </w:r>
      <w:r>
        <w:t xml:space="preserve">obligation, in terms of re-notification, re-classification and re-labelling should not only be</w:t>
      </w:r>
      <w:r>
        <w:t xml:space="preserve"> </w:t>
      </w:r>
      <w:r>
        <w:t xml:space="preserve">attributed to the obligation to update in order to display the reason for divergence more</w:t>
      </w:r>
      <w:r>
        <w:t xml:space="preserve"> </w:t>
      </w:r>
      <w:r>
        <w:t xml:space="preserve">clearly but also to the existing updating obligation.</w:t>
      </w:r>
      <w:r>
        <w:t xml:space="preserve"> </w:t>
      </w:r>
      <w:r>
        <w:t xml:space="preserve">Position of SMEs</w:t>
      </w:r>
      <w:r>
        <w:br/>
      </w:r>
      <w:r>
        <w:t xml:space="preserve">Operation of SMEs</w:t>
      </w:r>
      <w:r>
        <w:br/>
      </w:r>
      <w:r>
        <w:t xml:space="preserve">Information on the number of diverging classifications per SME and large enterprise was</w:t>
      </w:r>
      <w:r>
        <w:t xml:space="preserve"> </w:t>
      </w:r>
      <w:r>
        <w:t xml:space="preserve">not available. However, assuming a similar distribution amongst SMEs and large enterprises</w:t>
      </w:r>
      <w:r>
        <w:t xml:space="preserve"> </w:t>
      </w:r>
      <w:r>
        <w:t xml:space="preserve">as was observed in the whole dataset of the Classification and Labelling Inventory, the</w:t>
      </w:r>
      <w:r>
        <w:t xml:space="preserve"> </w:t>
      </w:r>
      <w:r>
        <w:t xml:space="preserve">average number of diverging notifications per SME can be expected to be not much smaller</w:t>
      </w:r>
      <w:r>
        <w:t xml:space="preserve"> </w:t>
      </w:r>
      <w:r>
        <w:t xml:space="preserve">than the average number of diverging notifications per large enterprise. Therefore, only a</w:t>
      </w:r>
      <w:r>
        <w:t xml:space="preserve"> </w:t>
      </w:r>
      <w:r>
        <w:t xml:space="preserve">small difference between the cost incurred for SMEs and large enterprises is expected.</w:t>
      </w:r>
      <w:r>
        <w:t xml:space="preserve"> </w:t>
      </w:r>
      <w:r>
        <w:t xml:space="preserve">Considering the substantial differences in the profits of SMEs and large companies, the costs</w:t>
      </w:r>
      <w:r>
        <w:t xml:space="preserve"> </w:t>
      </w:r>
      <w:r>
        <w:t xml:space="preserve">of policy measure #3 would be disproportionately felt amongst SMEs, which in turn may</w:t>
      </w:r>
      <w:r>
        <w:t xml:space="preserve"> </w:t>
      </w:r>
      <w:r>
        <w:t xml:space="preserve">negatively impact the competitiveness of SMEs.</w:t>
      </w:r>
      <w:r>
        <w:br/>
      </w:r>
      <w:r>
        <w:t xml:space="preserve">Conversely, SMEs rely on public information sources such as the Classification and</w:t>
      </w:r>
      <w:r>
        <w:t xml:space="preserve"> </w:t>
      </w:r>
      <w:r>
        <w:t xml:space="preserve">Labelling Inventory more heavily than larger companies, and therefore improved access to</w:t>
      </w:r>
      <w:r>
        <w:t xml:space="preserve"> </w:t>
      </w:r>
      <w:r>
        <w:t xml:space="preserve">information will benefit the smaller companies significantly compared to larger companies.</w:t>
      </w:r>
      <w:r>
        <w:t xml:space="preserve"> </w:t>
      </w:r>
      <w:r>
        <w:t xml:space="preserve">Under policy measure #3 SMEs could see a reduction in compliance costs and a subsequent</w:t>
      </w:r>
      <w:r>
        <w:t xml:space="preserve"> </w:t>
      </w:r>
      <w:r>
        <w:t xml:space="preserve">increase in their competitiveness in the long-term. Due to both the positive and negative</w:t>
      </w:r>
      <w:r>
        <w:t xml:space="preserve"> </w:t>
      </w:r>
      <w:r>
        <w:t xml:space="preserve">impacts, overall a limited impact is expected.</w:t>
      </w:r>
      <w:r>
        <w:br/>
      </w:r>
      <w:r>
        <w:t xml:space="preserve">Sectoral competitiveness, trade and investment flows</w:t>
      </w:r>
      <w:r>
        <w:br/>
      </w:r>
      <w:r>
        <w:t xml:space="preserve">The obligation to review and justify diverging classifications aims to improve the</w:t>
      </w:r>
      <w:r>
        <w:t xml:space="preserve"> </w:t>
      </w:r>
      <w:r>
        <w:t xml:space="preserve">harmonisation of classifications and improve the quality of the Classification and Labelling</w:t>
      </w:r>
      <w:r>
        <w:t xml:space="preserve"> </w:t>
      </w:r>
      <w:r>
        <w:t xml:space="preserve">Inventory data, which in turn will benefit all businesses and increase competitiveness,</w:t>
      </w:r>
      <w:r>
        <w:t xml:space="preserve"> </w:t>
      </w:r>
      <w:r>
        <w:t xml:space="preserve">especially SMEs who rely on public information sources such as the Classification and</w:t>
      </w:r>
      <w:r>
        <w:t xml:space="preserve"> </w:t>
      </w:r>
      <w:r>
        <w:t xml:space="preserve">Labelling Inventory more heavily than larger companies. However, in the short-term the</w:t>
      </w:r>
      <w:r>
        <w:t xml:space="preserve"> </w:t>
      </w:r>
      <w:r>
        <w:t xml:space="preserve">competitiveness of SMEs may be hindered due to the additional burden felt by smaller</w:t>
      </w:r>
      <w:r>
        <w:t xml:space="preserve"> </w:t>
      </w:r>
      <w:r>
        <w:t xml:space="preserve">companies when reviewing and updating their self-classifications. A weak positive impact</w:t>
      </w:r>
      <w:r>
        <w:t xml:space="preserve"> </w:t>
      </w:r>
      <w:r>
        <w:t xml:space="preserve">is expected.</w:t>
      </w:r>
      <w:r>
        <w:br/>
      </w:r>
      <w:r>
        <w:t xml:space="preserve">Public Authority Costs</w:t>
      </w:r>
      <w:r>
        <w:br/>
      </w:r>
      <w:r>
        <w:t xml:space="preserve">Cost of reviewing C&amp;L notifications</w:t>
      </w:r>
      <w:r>
        <w:br/>
      </w:r>
      <w:r>
        <w:t xml:space="preserve">Discussions between ECHA and the study team in charge of the study underlying this Staff</w:t>
      </w:r>
      <w:r>
        <w:t xml:space="preserve"> </w:t>
      </w:r>
      <w:r>
        <w:t xml:space="preserve">working document revealed that ECHA would not have sufficient resources to do manual</w:t>
      </w:r>
      <w:r>
        <w:t xml:space="preserve"> </w:t>
      </w:r>
      <w:r>
        <w:t xml:space="preserve">screening of Classification and Labelling data. IT screening would be more feasible, but</w:t>
      </w:r>
      <w:r>
        <w:t xml:space="preserve"> </w:t>
      </w:r>
      <w:r>
        <w:t xml:space="preserve">would also cost resources as such screening results would need follow-up to generate any</w:t>
      </w:r>
      <w:r>
        <w:t xml:space="preserve"> </w:t>
      </w:r>
      <w:r>
        <w:t xml:space="preserve">effect.</w:t>
      </w:r>
    </w:p>
    <w:p>
      <w:pPr>
        <w:pStyle w:val="BodyText"/>
      </w:pPr>
      <w:r>
        <w:t xml:space="preserve">314</w:t>
      </w:r>
      <w:r>
        <w:t xml:space="preserve"> </w:t>
      </w:r>
      <w:r>
        <w:t xml:space="preserve">ECHA and the Commission have not planned to hire any additional staff for this task, so</w:t>
      </w:r>
      <w:r>
        <w:t xml:space="preserve"> </w:t>
      </w:r>
      <w:r>
        <w:t xml:space="preserve">this policy measure would result in resources being shifted away from other priorities. As</w:t>
      </w:r>
      <w:r>
        <w:t xml:space="preserve"> </w:t>
      </w:r>
      <w:r>
        <w:t xml:space="preserve">no increase in staffing levels is expected, the employment costs to ECHA of reviewing</w:t>
      </w:r>
      <w:r>
        <w:t xml:space="preserve"> </w:t>
      </w:r>
      <w:r>
        <w:t xml:space="preserve">Classification and Labelling notifications will be negligible but ECHA’s other activities are</w:t>
      </w:r>
      <w:r>
        <w:t xml:space="preserve"> </w:t>
      </w:r>
      <w:r>
        <w:t xml:space="preserve">expected to be impacted.</w:t>
      </w:r>
      <w:r>
        <w:t xml:space="preserve"> </w:t>
      </w:r>
      <w:r>
        <w:t xml:space="preserve">It is envisaged that an additional field would be added to IUCLID (format used for both</w:t>
      </w:r>
      <w:r>
        <w:t xml:space="preserve"> </w:t>
      </w:r>
      <w:r>
        <w:t xml:space="preserve">C&amp;L notification and REACH registration) to allow notifiers to provide their justifications.</w:t>
      </w:r>
      <w:r>
        <w:t xml:space="preserve"> </w:t>
      </w:r>
      <w:r>
        <w:t xml:space="preserve">In discussions with the study team of the study performed for the purposes of this Staff</w:t>
      </w:r>
      <w:r>
        <w:t xml:space="preserve"> </w:t>
      </w:r>
      <w:r>
        <w:t xml:space="preserve">Working Document, ECHA highlighted that this would not represent a significant cost.</w:t>
      </w:r>
      <w:r>
        <w:br/>
      </w:r>
      <w:r>
        <w:t xml:space="preserve">Environmental Impacts</w:t>
      </w:r>
      <w:r>
        <w:br/>
      </w:r>
      <w:r>
        <w:t xml:space="preserve">Each of the three policy measures under consideration aims to improve the accuracy,</w:t>
      </w:r>
      <w:r>
        <w:t xml:space="preserve"> </w:t>
      </w:r>
      <w:r>
        <w:t xml:space="preserve">transparency, and ease-of-use of information in the CLI. Each measure is therefore expected</w:t>
      </w:r>
      <w:r>
        <w:t xml:space="preserve"> </w:t>
      </w:r>
      <w:r>
        <w:t xml:space="preserve">to result in similar environmental and human health impacts although their magnitude is</w:t>
      </w:r>
      <w:r>
        <w:t xml:space="preserve"> </w:t>
      </w:r>
      <w:r>
        <w:t xml:space="preserve">expected to differ based on their effectiveness.</w:t>
      </w:r>
      <w:r>
        <w:t xml:space="preserve"> </w:t>
      </w:r>
      <w:r>
        <w:t xml:space="preserve">Improvements in the Classification and Labelling Inventory will enhance the</w:t>
      </w:r>
      <w:r>
        <w:t xml:space="preserve"> </w:t>
      </w:r>
      <w:r>
        <w:t xml:space="preserve">communication of hazard information to consumers, professional users and industrial</w:t>
      </w:r>
      <w:r>
        <w:t xml:space="preserve"> </w:t>
      </w:r>
      <w:r>
        <w:t xml:space="preserve">workers via the inventory, which will allow them to make better decisions on how they use</w:t>
      </w:r>
      <w:r>
        <w:t xml:space="preserve"> </w:t>
      </w:r>
      <w:r>
        <w:t xml:space="preserve">hazardous substances. An increase in the accuracy of self-classifications will also feed into</w:t>
      </w:r>
      <w:r>
        <w:t xml:space="preserve"> </w:t>
      </w:r>
      <w:r>
        <w:t xml:space="preserve">the accurate labelling of hazardous substances and mixtures supplied to consumers,</w:t>
      </w:r>
      <w:r>
        <w:t xml:space="preserve"> </w:t>
      </w:r>
      <w:r>
        <w:t xml:space="preserve">professional users and industrial workers. This is expected to have a positive impact on the</w:t>
      </w:r>
      <w:r>
        <w:t xml:space="preserve"> </w:t>
      </w:r>
      <w:r>
        <w:t xml:space="preserve">appropriateness of risk management and waste disposal measures in the workplace, thus</w:t>
      </w:r>
      <w:r>
        <w:t xml:space="preserve"> </w:t>
      </w:r>
      <w:r>
        <w:t xml:space="preserve">leading to improved environmental protection –. This would be expected to positively</w:t>
      </w:r>
      <w:r>
        <w:t xml:space="preserve"> </w:t>
      </w:r>
      <w:r>
        <w:t xml:space="preserve">reduce pollution affecting aquatic species, surface and ground water and land</w:t>
      </w:r>
      <w:r>
        <w:t xml:space="preserve"> </w:t>
      </w:r>
      <w:r>
        <w:t xml:space="preserve">contamination.</w:t>
      </w:r>
      <w:r>
        <w:t xml:space="preserve"> </w:t>
      </w:r>
      <w:r>
        <w:t xml:space="preserve">More accurate labelling of consumer products may also reduce sales of environmentally</w:t>
      </w:r>
      <w:r>
        <w:t xml:space="preserve"> </w:t>
      </w:r>
      <w:r>
        <w:t xml:space="preserve">harmful chemicals to consumers, as better information will empower consumers to make</w:t>
      </w:r>
      <w:r>
        <w:t xml:space="preserve"> </w:t>
      </w:r>
      <w:r>
        <w:t xml:space="preserve">more informed decisions on their product purchases. Knowing the true hazards of</w:t>
      </w:r>
      <w:r>
        <w:t xml:space="preserve"> </w:t>
      </w:r>
      <w:r>
        <w:t xml:space="preserve">environmentally harmful chemicals might deter consumers from purchasing them in favour</w:t>
      </w:r>
      <w:r>
        <w:t xml:space="preserve"> </w:t>
      </w:r>
      <w:r>
        <w:t xml:space="preserve">of less harmful alternatives.</w:t>
      </w:r>
      <w:r>
        <w:br/>
      </w:r>
      <w:r>
        <w:t xml:space="preserve">The environmental benefits from the policy measures are indirect impacts as more accurate</w:t>
      </w:r>
      <w:r>
        <w:t xml:space="preserve"> </w:t>
      </w:r>
      <w:r>
        <w:t xml:space="preserve">information on classification does not automatically lead to improved environmental</w:t>
      </w:r>
      <w:r>
        <w:t xml:space="preserve"> </w:t>
      </w:r>
      <w:r>
        <w:t xml:space="preserve">protection. Subsequent action on re-labelling products and introducing workplace safety</w:t>
      </w:r>
      <w:r>
        <w:t xml:space="preserve"> </w:t>
      </w:r>
      <w:r>
        <w:t xml:space="preserve">measures are required for any benefit to be realised. Therefore, it is not possible to</w:t>
      </w:r>
      <w:r>
        <w:t xml:space="preserve"> </w:t>
      </w:r>
      <w:r>
        <w:t xml:space="preserve">accurately quantify the scale of the environmental benefits from each policy measure.</w:t>
      </w:r>
      <w:r>
        <w:t xml:space="preserve"> </w:t>
      </w:r>
      <w:r>
        <w:t xml:space="preserve">However, the positive impact is expected to be weak for both policy measure #6 and #3 due</w:t>
      </w:r>
      <w:r>
        <w:t xml:space="preserve"> </w:t>
      </w:r>
      <w:r>
        <w:t xml:space="preserve">to the indirect nature of any improvements to environmental protection. Policy measure #4</w:t>
      </w:r>
      <w:r>
        <w:t xml:space="preserve"> </w:t>
      </w:r>
      <w:r>
        <w:t xml:space="preserve">is also expected to have a limited impact as publication of notifier details relies on</w:t>
      </w:r>
      <w:r>
        <w:t xml:space="preserve"> </w:t>
      </w:r>
      <w:r>
        <w:t xml:space="preserve">subsequent collaboration amongst duty holders and previous initiatives aimed at promoting</w:t>
      </w:r>
      <w:r>
        <w:t xml:space="preserve"> </w:t>
      </w:r>
      <w:r>
        <w:t xml:space="preserve">collaboration have had limited results.</w:t>
      </w:r>
      <w:r>
        <w:br/>
      </w:r>
      <w:r>
        <w:t xml:space="preserve">However, the fact that the positive impact on the environment of each of these measures in</w:t>
      </w:r>
      <w:r>
        <w:t xml:space="preserve"> </w:t>
      </w:r>
      <w:r>
        <w:t xml:space="preserve">itself is expected to be low should not constitute a sufficient reason for them not be pursued,</w:t>
      </w:r>
      <w:r>
        <w:t xml:space="preserve"> </w:t>
      </w:r>
      <w:r>
        <w:t xml:space="preserve">as in fact the exact benefits are unknown in view of the uncertainty of the further measures</w:t>
      </w:r>
      <w:r>
        <w:t xml:space="preserve"> </w:t>
      </w:r>
      <w:r>
        <w:t xml:space="preserve">they need to be combined with.</w:t>
      </w:r>
    </w:p>
    <w:p>
      <w:pPr>
        <w:pStyle w:val="BodyText"/>
      </w:pPr>
      <w:r>
        <w:t xml:space="preserve">315</w:t>
      </w:r>
      <w:r>
        <w:t xml:space="preserve"> </w:t>
      </w:r>
      <w:r>
        <w:t xml:space="preserve">Table 92: Environmental impacts</w:t>
      </w:r>
      <w:r>
        <w:br/>
      </w:r>
      <w:r>
        <w:t xml:space="preserve">Impact Category</w:t>
      </w:r>
      <w:r>
        <w:br/>
      </w:r>
      <w:r>
        <w:t xml:space="preserve">Impact</w:t>
      </w:r>
      <w:r>
        <w:br/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br/>
      </w:r>
      <w:r>
        <w:t xml:space="preserve">Direct or</w:t>
      </w:r>
      <w:r>
        <w:t xml:space="preserve"> </w:t>
      </w:r>
      <w:r>
        <w:t xml:space="preserve">indirect</w:t>
      </w:r>
      <w:r>
        <w:br/>
      </w:r>
      <w:r>
        <w:t xml:space="preserve">One off or</w:t>
      </w:r>
      <w:r>
        <w:t xml:space="preserve"> </w:t>
      </w:r>
      <w:r>
        <w:t xml:space="preserve">recurrent</w:t>
      </w:r>
      <w:r>
        <w:br/>
      </w:r>
      <w:r>
        <w:t xml:space="preserve">The likelihood or scale of</w:t>
      </w:r>
      <w:r>
        <w:t xml:space="preserve"> </w:t>
      </w:r>
      <w:r>
        <w:t xml:space="preserve">environmental and climate</w:t>
      </w:r>
      <w:r>
        <w:t xml:space="preserve"> </w:t>
      </w:r>
      <w:r>
        <w:t xml:space="preserve">risks</w:t>
      </w:r>
      <w:r>
        <w:br/>
      </w:r>
      <w:r>
        <w:t xml:space="preserve">Impact on environmental</w:t>
      </w:r>
      <w:r>
        <w:t xml:space="preserve"> </w:t>
      </w:r>
      <w:r>
        <w:t xml:space="preserve">protection</w:t>
      </w:r>
      <w:r>
        <w:br/>
      </w:r>
      <w:r>
        <w:t xml:space="preserve">(+)</w:t>
      </w:r>
      <w:r>
        <w:br/>
      </w:r>
      <w:r>
        <w:t xml:space="preserve">Indirect Recurrent</w:t>
      </w:r>
    </w:p>
    <w:p>
      <w:pPr>
        <w:pStyle w:val="BodyText"/>
      </w:pPr>
      <w:r>
        <w:t xml:space="preserve">Social impacts</w:t>
      </w:r>
      <w:r>
        <w:br/>
      </w:r>
      <w:r>
        <w:t xml:space="preserve">The measures under consideration aim to reduce the level of divergence and improve the</w:t>
      </w:r>
      <w:r>
        <w:t xml:space="preserve"> </w:t>
      </w:r>
      <w:r>
        <w:t xml:space="preserve">transparency of information in the Classification and Labelling Inventory. Each measure is</w:t>
      </w:r>
      <w:r>
        <w:t xml:space="preserve"> </w:t>
      </w:r>
      <w:r>
        <w:t xml:space="preserve">therefore expected to have the same human / social impacts, although their magnitude is</w:t>
      </w:r>
      <w:r>
        <w:t xml:space="preserve"> </w:t>
      </w:r>
      <w:r>
        <w:t xml:space="preserve">expected to differ based on the effectiveness of each policy measure.</w:t>
      </w:r>
      <w:r>
        <w:br/>
      </w:r>
      <w:r>
        <w:t xml:space="preserve">Table 93: Social impacts</w:t>
      </w:r>
      <w:r>
        <w:br/>
      </w:r>
      <w:r>
        <w:t xml:space="preserve">Impact</w:t>
      </w:r>
      <w:r>
        <w:t xml:space="preserve"> </w:t>
      </w:r>
      <w:r>
        <w:t xml:space="preserve">Category</w:t>
      </w:r>
      <w:r>
        <w:br/>
      </w:r>
      <w:r>
        <w:t xml:space="preserve">Impact</w:t>
      </w:r>
      <w:r>
        <w:br/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br/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br/>
      </w:r>
      <w:r>
        <w:t xml:space="preserve">One off or</w:t>
      </w:r>
      <w:r>
        <w:t xml:space="preserve"> </w:t>
      </w:r>
      <w:r>
        <w:t xml:space="preserve">recurrent</w:t>
      </w:r>
      <w:r>
        <w:br/>
      </w:r>
      <w:r>
        <w:t xml:space="preserve">Employment</w:t>
      </w:r>
      <w:r>
        <w:br/>
      </w:r>
      <w:r>
        <w:t xml:space="preserve">Impact on industry jobs</w:t>
      </w:r>
      <w:r>
        <w:br/>
      </w:r>
      <w:r>
        <w:t xml:space="preserve">(+)</w:t>
      </w:r>
      <w:r>
        <w:br/>
      </w:r>
      <w:r>
        <w:t xml:space="preserve">Indirect One off</w:t>
      </w:r>
      <w:r>
        <w:br/>
      </w:r>
      <w:r>
        <w:t xml:space="preserve">Impact on public authority jobs</w:t>
      </w:r>
      <w:r>
        <w:br/>
      </w:r>
      <w:r>
        <w:t xml:space="preserve">(o)</w:t>
      </w:r>
      <w:r>
        <w:br/>
      </w:r>
      <w:r>
        <w:t xml:space="preserve">Indirect One off</w:t>
      </w:r>
      <w:r>
        <w:br/>
      </w:r>
      <w:r>
        <w:t xml:space="preserve">Consumers and</w:t>
      </w:r>
      <w:r>
        <w:t xml:space="preserve"> </w:t>
      </w:r>
      <w:r>
        <w:t xml:space="preserve">households</w:t>
      </w:r>
      <w:r>
        <w:br/>
      </w:r>
      <w:r>
        <w:t xml:space="preserve">Impact on consumer awareness</w:t>
      </w:r>
      <w:r>
        <w:br/>
      </w:r>
      <w:r>
        <w:t xml:space="preserve">(+)</w:t>
      </w:r>
      <w:r>
        <w:br/>
      </w:r>
      <w:r>
        <w:t xml:space="preserve">Indirect Recurrent</w:t>
      </w:r>
      <w:r>
        <w:br/>
      </w:r>
      <w:r>
        <w:t xml:space="preserve">Innovation</w:t>
      </w:r>
      <w:r>
        <w:br/>
      </w:r>
      <w:r>
        <w:t xml:space="preserve">Impact on innovation</w:t>
      </w:r>
      <w:r>
        <w:br/>
      </w:r>
      <w:r>
        <w:t xml:space="preserve">(+)</w:t>
      </w:r>
      <w:r>
        <w:br/>
      </w:r>
      <w:r>
        <w:t xml:space="preserve">Indirect Recurrent</w:t>
      </w:r>
      <w:r>
        <w:br/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and safety and</w:t>
      </w:r>
      <w:r>
        <w:t xml:space="preserve"> </w:t>
      </w:r>
      <w:r>
        <w:t xml:space="preserve">health systems</w:t>
      </w:r>
      <w:r>
        <w:br/>
      </w:r>
      <w:r>
        <w:t xml:space="preserve">Impact on protection of human health (+)</w:t>
      </w:r>
      <w:r>
        <w:br/>
      </w:r>
      <w:r>
        <w:t xml:space="preserve">Indirect Recurrent</w:t>
      </w:r>
      <w:r>
        <w:br/>
      </w:r>
      <w:r>
        <w:t xml:space="preserve">Working</w:t>
      </w:r>
      <w:r>
        <w:t xml:space="preserve"> </w:t>
      </w:r>
      <w:r>
        <w:t xml:space="preserve">conditions,</w:t>
      </w:r>
      <w:r>
        <w:t xml:space="preserve"> </w:t>
      </w:r>
      <w:r>
        <w:t xml:space="preserve">job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quality</w:t>
      </w:r>
      <w:r>
        <w:br/>
      </w:r>
      <w:r>
        <w:t xml:space="preserve">Impact on worker protection</w:t>
      </w:r>
      <w:r>
        <w:br/>
      </w:r>
      <w:r>
        <w:t xml:space="preserve">(+)</w:t>
      </w:r>
      <w:r>
        <w:br/>
      </w:r>
      <w:r>
        <w:t xml:space="preserve">Indirect Recurrent</w:t>
      </w:r>
    </w:p>
    <w:p>
      <w:pPr>
        <w:pStyle w:val="BodyText"/>
      </w:pPr>
      <w:r>
        <w:t xml:space="preserve">Employment</w:t>
      </w:r>
      <w:r>
        <w:br/>
      </w:r>
      <w:r>
        <w:t xml:space="preserve">Impact on industry jobs</w:t>
      </w:r>
      <w:r>
        <w:br/>
      </w:r>
      <w:r>
        <w:t xml:space="preserve">Companies with a large number of self-classifications may have to increase their number of</w:t>
      </w:r>
      <w:r>
        <w:t xml:space="preserve"> </w:t>
      </w:r>
      <w:r>
        <w:t xml:space="preserve">regulatory staff to accommodate the additional regulatory burden. However, the cost</w:t>
      </w:r>
      <w:r>
        <w:t xml:space="preserve"> </w:t>
      </w:r>
      <w:r>
        <w:t xml:space="preserve">estimates of each policy measure are not significant enough to cause any discontinuation of</w:t>
      </w:r>
      <w:r>
        <w:t xml:space="preserve"> </w:t>
      </w:r>
      <w:r>
        <w:t xml:space="preserve">business, and therefore each policy measure is expected to have a weakly positive impact</w:t>
      </w:r>
      <w:r>
        <w:t xml:space="preserve"> </w:t>
      </w:r>
      <w:r>
        <w:t xml:space="preserve">on the levels of employment within the EU chemical sector. In addition, the impacts of the</w:t>
      </w:r>
    </w:p>
    <w:p>
      <w:pPr>
        <w:pStyle w:val="BodyText"/>
      </w:pPr>
      <w:r>
        <w:t xml:space="preserve">316</w:t>
      </w:r>
      <w:r>
        <w:t xml:space="preserve"> </w:t>
      </w:r>
      <w:r>
        <w:t xml:space="preserve">policy measures by themselves are not large enough to predict to what extent substitution</w:t>
      </w:r>
      <w:r>
        <w:t xml:space="preserve"> </w:t>
      </w:r>
      <w:r>
        <w:t xml:space="preserve">of hazardous substances with less harmful (non-hazardous) substances will take place.</w:t>
      </w:r>
      <w:r>
        <w:t xml:space="preserve"> </w:t>
      </w:r>
      <w:r>
        <w:t xml:space="preserve">Policy measures #6 and #3 involve the most significant economic costs and are expected to</w:t>
      </w:r>
      <w:r>
        <w:t xml:space="preserve"> </w:t>
      </w:r>
      <w:r>
        <w:t xml:space="preserve">have the most positive impacts on employment.</w:t>
      </w:r>
      <w:r>
        <w:br/>
      </w:r>
      <w:r>
        <w:t xml:space="preserve">Impact on public authority jobs</w:t>
      </w:r>
      <w:r>
        <w:br/>
      </w:r>
      <w:r>
        <w:t xml:space="preserve">Based on discussion between ECHA and the study team of the study underlying this Staff</w:t>
      </w:r>
      <w:r>
        <w:t xml:space="preserve"> </w:t>
      </w:r>
      <w:r>
        <w:t xml:space="preserve">Working Document, no increase in staff within ECHA is foreseen under any of the policy</w:t>
      </w:r>
      <w:r>
        <w:t xml:space="preserve"> </w:t>
      </w:r>
      <w:r>
        <w:t xml:space="preserve">measures. Therefore, based on this assumption, all policy measures will have no</w:t>
      </w:r>
      <w:r>
        <w:t xml:space="preserve"> </w:t>
      </w:r>
      <w:r>
        <w:t xml:space="preserve">impact. However, the measures is expected to have an impact on ECHA’s overall workload</w:t>
      </w:r>
      <w:r>
        <w:t xml:space="preserve"> </w:t>
      </w:r>
      <w:r>
        <w:t xml:space="preserve">- in particular to keep the old dissemination platform operational and in parallel rebuild a</w:t>
      </w:r>
      <w:r>
        <w:t xml:space="preserve"> </w:t>
      </w:r>
      <w:r>
        <w:t xml:space="preserve">new dissemination platform - and hence may require shifting of priorities.</w:t>
      </w:r>
      <w:r>
        <w:t xml:space="preserve"> </w:t>
      </w:r>
      <w:r>
        <w:t xml:space="preserve">Consumers and households</w:t>
      </w:r>
      <w:r>
        <w:br/>
      </w:r>
      <w:r>
        <w:t xml:space="preserve">Impact on consumer awareness</w:t>
      </w:r>
      <w:r>
        <w:br/>
      </w:r>
      <w:r>
        <w:t xml:space="preserve">Information on self-classifications in the Classification and Labelling Inventory is used by</w:t>
      </w:r>
      <w:r>
        <w:t xml:space="preserve"> </w:t>
      </w:r>
      <w:r>
        <w:t xml:space="preserve">downstream users to complete their labelling obligations under the CLP Regulation for</w:t>
      </w:r>
      <w:r>
        <w:t xml:space="preserve"> </w:t>
      </w:r>
      <w:r>
        <w:t xml:space="preserve">products they place on the market. Improvements in the accuracy and clarity of self-</w:t>
      </w:r>
      <w:r>
        <w:t xml:space="preserve"> </w:t>
      </w:r>
      <w:r>
        <w:t xml:space="preserve">classifications in the inventory is therefore expected to improve the accuracy of labelling</w:t>
      </w:r>
      <w:r>
        <w:t xml:space="preserve"> </w:t>
      </w:r>
      <w:r>
        <w:t xml:space="preserve">elements of consumer products (provided they are not excluded from the scope of CLP in</w:t>
      </w:r>
      <w:r>
        <w:t xml:space="preserve"> </w:t>
      </w:r>
      <w:r>
        <w:t xml:space="preserve">accordance with Article 1(5) of CLP and the product specific legislation does not refer to</w:t>
      </w:r>
      <w:r>
        <w:t xml:space="preserve"> </w:t>
      </w:r>
      <w:r>
        <w:t xml:space="preserve">CLP labelling provisions). This will ensure consumers are correctly informed on the hazards</w:t>
      </w:r>
      <w:r>
        <w:t xml:space="preserve"> </w:t>
      </w:r>
      <w:r>
        <w:t xml:space="preserve">associated with a product and can make more-informed decisions on product purchases.</w:t>
      </w:r>
      <w:r>
        <w:br/>
      </w:r>
      <w:r>
        <w:t xml:space="preserve">Making the identity of the notifiers public – subject to duly motivated confidentiality</w:t>
      </w:r>
      <w:r>
        <w:t xml:space="preserve"> </w:t>
      </w:r>
      <w:r>
        <w:t xml:space="preserve">requests - will increase transparency.</w:t>
      </w:r>
      <w:r>
        <w:t xml:space="preserve"> </w:t>
      </w:r>
      <w:r>
        <w:t xml:space="preserve">Innovation</w:t>
      </w:r>
      <w:r>
        <w:br/>
      </w:r>
      <w:r>
        <w:t xml:space="preserve">Impact on innovation</w:t>
      </w:r>
      <w:r>
        <w:br/>
      </w:r>
      <w:r>
        <w:t xml:space="preserve">A vast and credible data set of hazard information will provide industry with useful</w:t>
      </w:r>
      <w:r>
        <w:t xml:space="preserve"> </w:t>
      </w:r>
      <w:r>
        <w:t xml:space="preserve">information to guide their innovation and the confidence to make innovation decisions</w:t>
      </w:r>
      <w:r>
        <w:t xml:space="preserve"> </w:t>
      </w:r>
      <w:r>
        <w:t xml:space="preserve">without having to conduct expensive research internally. A weakly positive impact on</w:t>
      </w:r>
      <w:r>
        <w:t xml:space="preserve"> </w:t>
      </w:r>
      <w:r>
        <w:t xml:space="preserve">innovation is expected.</w:t>
      </w:r>
      <w:r>
        <w:br/>
      </w:r>
      <w:r>
        <w:t xml:space="preserve">Public health and safety and health systems</w:t>
      </w:r>
      <w:r>
        <w:br/>
      </w:r>
      <w:r>
        <w:t xml:space="preserve">Impact on protection of human health</w:t>
      </w:r>
      <w:r>
        <w:br/>
      </w:r>
      <w:r>
        <w:t xml:space="preserve">Improvements in the accuracy of classifications will lead to the use of improved consumer</w:t>
      </w:r>
      <w:r>
        <w:t xml:space="preserve"> </w:t>
      </w:r>
      <w:r>
        <w:t xml:space="preserve">product labels and thus will ensure that consumers are correctly informed on the hazards</w:t>
      </w:r>
      <w:r>
        <w:t xml:space="preserve"> </w:t>
      </w:r>
      <w:r>
        <w:t xml:space="preserve">associated with the products they purchase. This is expected to lead to the safer use, storage,</w:t>
      </w:r>
      <w:r>
        <w:t xml:space="preserve"> </w:t>
      </w:r>
      <w:r>
        <w:t xml:space="preserve">and disposal of chemical products, thus resulting in improvements in the protection of</w:t>
      </w:r>
      <w:r>
        <w:t xml:space="preserve"> </w:t>
      </w:r>
      <w:r>
        <w:t xml:space="preserve">human health.</w:t>
      </w:r>
      <w:r>
        <w:br/>
      </w:r>
      <w:r>
        <w:t xml:space="preserve">In addition, the enhanced accuracy of the information in the Classification and Labelling</w:t>
      </w:r>
      <w:r>
        <w:t xml:space="preserve"> </w:t>
      </w:r>
      <w:r>
        <w:t xml:space="preserve">Inventory will be used by poison centres to provide more valuable medical advice. When</w:t>
      </w:r>
    </w:p>
    <w:p>
      <w:pPr>
        <w:pStyle w:val="BodyText"/>
      </w:pPr>
      <w:r>
        <w:t xml:space="preserve">317</w:t>
      </w:r>
      <w:r>
        <w:t xml:space="preserve"> </w:t>
      </w:r>
      <w:r>
        <w:t xml:space="preserve">notifying mixtures to poison centres, notifiers must include the classification of each</w:t>
      </w:r>
      <w:r>
        <w:t xml:space="preserve"> </w:t>
      </w:r>
      <w:r>
        <w:t xml:space="preserve">substance within the composition. Often, formulators rely on the information and</w:t>
      </w:r>
      <w:r>
        <w:t xml:space="preserve"> </w:t>
      </w:r>
      <w:r>
        <w:t xml:space="preserve">classifications provided by the substances’ suppliers. However, different suppliers of the</w:t>
      </w:r>
      <w:r>
        <w:t xml:space="preserve"> </w:t>
      </w:r>
      <w:r>
        <w:t xml:space="preserve">same substance can provide differing classifications, which can be the result of impurities</w:t>
      </w:r>
      <w:r>
        <w:t xml:space="preserve"> </w:t>
      </w:r>
      <w:r>
        <w:t xml:space="preserve">within the substance, differing access to data, or lack of agreement on self-classification. In</w:t>
      </w:r>
      <w:r>
        <w:t xml:space="preserve"> </w:t>
      </w:r>
      <w:r>
        <w:t xml:space="preserve">these cases, it is difficult for the notifiers to select one dataset over another. ECHA’s current</w:t>
      </w:r>
      <w:r>
        <w:t xml:space="preserve"> </w:t>
      </w:r>
      <w:r>
        <w:t xml:space="preserve">practice is to advise notifiers to go back to their suppliers to reconcile these differences.</w:t>
      </w:r>
      <w:r>
        <w:t xml:space="preserve"> </w:t>
      </w:r>
      <w:r>
        <w:t xml:space="preserve">However, this is unlikely to be a practical solution and can be time consuming.</w:t>
      </w:r>
      <w:r>
        <w:br/>
      </w:r>
      <w:r>
        <w:t xml:space="preserve">These conflicting classifications for identical substances could result in inconsistent medical</w:t>
      </w:r>
      <w:r>
        <w:t xml:space="preserve"> </w:t>
      </w:r>
      <w:r>
        <w:t xml:space="preserve">advice given for exposure incidents involving the same substance(s), within the same</w:t>
      </w:r>
      <w:r>
        <w:t xml:space="preserve"> </w:t>
      </w:r>
      <w:r>
        <w:t xml:space="preserve">Member State or across Member States. For example, two product notifications that have</w:t>
      </w:r>
      <w:r>
        <w:t xml:space="preserve"> </w:t>
      </w:r>
      <w:r>
        <w:t xml:space="preserve">identical formulations (except minor concentration differences) submitted by two different</w:t>
      </w:r>
      <w:r>
        <w:t xml:space="preserve"> </w:t>
      </w:r>
      <w:r>
        <w:t xml:space="preserve">companies, could result in a poison centre advising specific medical advice for one product</w:t>
      </w:r>
      <w:r>
        <w:t xml:space="preserve"> </w:t>
      </w:r>
      <w:r>
        <w:t xml:space="preserve">and not for the other, based on diverging classifications of substances within the product’s</w:t>
      </w:r>
      <w:r>
        <w:t xml:space="preserve"> </w:t>
      </w:r>
      <w:r>
        <w:t xml:space="preserve">formulation. Therefore by improving the data in the Classification and Labelling Inventory,</w:t>
      </w:r>
      <w:r>
        <w:t xml:space="preserve"> </w:t>
      </w:r>
      <w:r>
        <w:t xml:space="preserve">poison centres can use the inventory to resolve these differences and deliver consistent and</w:t>
      </w:r>
      <w:r>
        <w:t xml:space="preserve"> </w:t>
      </w:r>
      <w:r>
        <w:t xml:space="preserve">reliable medical advice.</w:t>
      </w:r>
      <w:r>
        <w:br/>
      </w:r>
      <w:r>
        <w:t xml:space="preserve">The human health benefits from the policy measures are indirect impacts as more accurate</w:t>
      </w:r>
      <w:r>
        <w:t xml:space="preserve"> </w:t>
      </w:r>
      <w:r>
        <w:t xml:space="preserve">information on classification does not automatically lead to improved protection for human</w:t>
      </w:r>
      <w:r>
        <w:t xml:space="preserve"> </w:t>
      </w:r>
      <w:r>
        <w:t xml:space="preserve">health. Subsequent action on re-labelling products and introducing workplace safety</w:t>
      </w:r>
      <w:r>
        <w:t xml:space="preserve"> </w:t>
      </w:r>
      <w:r>
        <w:t xml:space="preserve">measures are required for any benefit to be realised. Therefore, it is not possible to</w:t>
      </w:r>
      <w:r>
        <w:t xml:space="preserve"> </w:t>
      </w:r>
      <w:r>
        <w:t xml:space="preserve">accurately quantify the scale of the human health benefits from each policy measure. The</w:t>
      </w:r>
      <w:r>
        <w:t xml:space="preserve"> </w:t>
      </w:r>
      <w:r>
        <w:t xml:space="preserve">positive impact is nevertheless expected to be weak. Policy measure #4 is expected to have</w:t>
      </w:r>
      <w:r>
        <w:t xml:space="preserve"> </w:t>
      </w:r>
      <w:r>
        <w:t xml:space="preserve">a limited impact in itself as publication of notifier details relies on subsequent collaboration</w:t>
      </w:r>
      <w:r>
        <w:t xml:space="preserve"> </w:t>
      </w:r>
      <w:r>
        <w:t xml:space="preserve">amongst duty holders and previous initiatives aimed at promoting collaboration have had</w:t>
      </w:r>
      <w:r>
        <w:t xml:space="preserve"> </w:t>
      </w:r>
      <w:r>
        <w:t xml:space="preserve">limited results. However, it is expected to still have a positive impact if combined with</w:t>
      </w:r>
      <w:r>
        <w:t xml:space="preserve"> </w:t>
      </w:r>
      <w:r>
        <w:t xml:space="preserve">collaboration.</w:t>
      </w:r>
      <w:r>
        <w:br/>
      </w:r>
      <w:r>
        <w:t xml:space="preserve">Impact on worker health</w:t>
      </w:r>
      <w:r>
        <w:br/>
      </w:r>
      <w:r>
        <w:t xml:space="preserve">Improvements in the accuracy and clarity of self-classifications in the Classification and</w:t>
      </w:r>
      <w:r>
        <w:t xml:space="preserve"> </w:t>
      </w:r>
      <w:r>
        <w:t xml:space="preserve">Labelling Inventory are also expected to improve the accuracy of labelling elements of</w:t>
      </w:r>
      <w:r>
        <w:t xml:space="preserve"> </w:t>
      </w:r>
      <w:r>
        <w:t xml:space="preserve">chemicals supplied to industrial and professional users. This may lead to more appropriate</w:t>
      </w:r>
      <w:r>
        <w:t xml:space="preserve"> </w:t>
      </w:r>
      <w:r>
        <w:t xml:space="preserve">risk management measures being implemented in the workplace, leading to greater</w:t>
      </w:r>
      <w:r>
        <w:t xml:space="preserve"> </w:t>
      </w:r>
      <w:r>
        <w:t xml:space="preserve">protection of worker health.</w:t>
      </w:r>
      <w:r>
        <w:br/>
      </w:r>
      <w:r>
        <w:t xml:space="preserve">However, it is not because the positive impact on human health of each of the measures on</w:t>
      </w:r>
      <w:r>
        <w:t xml:space="preserve"> </w:t>
      </w:r>
      <w:r>
        <w:t xml:space="preserve">its own is weak that it should not be pursued, because the exact benefits are unknown in</w:t>
      </w:r>
      <w:r>
        <w:t xml:space="preserve"> </w:t>
      </w:r>
      <w:r>
        <w:t xml:space="preserve">view of the uncertainty of the further measures they need to be combined with.</w:t>
      </w:r>
      <w:r>
        <w:t xml:space="preserve"> </w:t>
      </w:r>
      <w:r>
        <w:t xml:space="preserve">Transparency</w:t>
      </w:r>
      <w:r>
        <w:t xml:space="preserve"> </w:t>
      </w:r>
      <w:r>
        <w:t xml:space="preserve">Making the identity of notifiers public will have a certain benefit for transparency. However</w:t>
      </w:r>
      <w:r>
        <w:t xml:space="preserve"> </w:t>
      </w:r>
      <w:r>
        <w:t xml:space="preserve">that impact will be limited as there are around 10 million companies in the groups (not all</w:t>
      </w:r>
      <w:r>
        <w:t xml:space="preserve"> </w:t>
      </w:r>
      <w:r>
        <w:t xml:space="preserve">different companies - still associated with notified substances), whereas only 750,000,000</w:t>
      </w:r>
      <w:r>
        <w:t xml:space="preserve"> </w:t>
      </w:r>
      <w:r>
        <w:t xml:space="preserve">notifier names would become public.</w:t>
      </w:r>
    </w:p>
    <w:p>
      <w:pPr>
        <w:pStyle w:val="BodyText"/>
      </w:pPr>
      <w:r>
        <w:t xml:space="preserve">318</w:t>
      </w:r>
      <w:r>
        <w:t xml:space="preserve"> </w:t>
      </w:r>
      <w:r>
        <w:t xml:space="preserve">It will also allow aligning with substances registered under REACH - for which the names</w:t>
      </w:r>
      <w:r>
        <w:t xml:space="preserve"> </w:t>
      </w:r>
      <w:r>
        <w:t xml:space="preserve">of the registrants are public, subject to duly motivated confidentiality requests.</w:t>
      </w:r>
      <w:r>
        <w:t xml:space="preserve"> </w:t>
      </w:r>
      <w:r>
        <w:t xml:space="preserve">There were several reasons which drove ECHA, supported by the Commission, to make the</w:t>
      </w:r>
      <w:r>
        <w:t xml:space="preserve"> </w:t>
      </w:r>
      <w:r>
        <w:t xml:space="preserve">registrant’s names public under REACH, inter alia as it was justified by reference to Article</w:t>
      </w:r>
      <w:r>
        <w:t xml:space="preserve"> </w:t>
      </w:r>
      <w:r>
        <w:t xml:space="preserve">119(2) (d) of REACH according to which ECHA should give access to any information</w:t>
      </w:r>
      <w:r>
        <w:t xml:space="preserve"> </w:t>
      </w:r>
      <w:r>
        <w:t xml:space="preserve">included in the Safety Data Sheet (SDS) – subject to a duly motivated confidentiality request</w:t>
      </w:r>
      <w:r>
        <w:t xml:space="preserve"> </w:t>
      </w:r>
      <w:r>
        <w:t xml:space="preserve">– which SDS includes the name of registrants. The objective of REACH regarding</w:t>
      </w:r>
      <w:r>
        <w:t xml:space="preserve"> </w:t>
      </w:r>
      <w:r>
        <w:t xml:space="preserve">transparency with regard to risks and hazards of substances and industry responsibility in</w:t>
      </w:r>
      <w:r>
        <w:t xml:space="preserve"> </w:t>
      </w:r>
      <w:r>
        <w:t xml:space="preserve">managing such risks also justified such interpretation. That transparency objective fits with</w:t>
      </w:r>
      <w:r>
        <w:t xml:space="preserve"> </w:t>
      </w:r>
      <w:r>
        <w:t xml:space="preserve">the access to environmental information under the Aarhus Convention, which encompasses</w:t>
      </w:r>
      <w:r>
        <w:t xml:space="preserve"> </w:t>
      </w:r>
      <w:r>
        <w:t xml:space="preserve">information of an administrative nature.</w:t>
      </w:r>
      <w:r>
        <w:br/>
      </w:r>
      <w:r>
        <w:t xml:space="preserve">To be noted that Article 77(2) of REACH which provides for ECHA’s competence in</w:t>
      </w:r>
      <w:r>
        <w:t xml:space="preserve"> </w:t>
      </w:r>
      <w:r>
        <w:t xml:space="preserve">establishing and maintaining REACH and CLP databases, refers to Article 119(1) and (2)</w:t>
      </w:r>
      <w:r>
        <w:t xml:space="preserve"> </w:t>
      </w:r>
      <w:r>
        <w:t xml:space="preserve">of REACH regarding the obligation to make information of these databases publicly</w:t>
      </w:r>
      <w:r>
        <w:t xml:space="preserve"> </w:t>
      </w:r>
      <w:r>
        <w:t xml:space="preserve">available. This supports that a parallel measure to REACH would be implemented. Recital</w:t>
      </w:r>
      <w:r>
        <w:t xml:space="preserve"> </w:t>
      </w:r>
      <w:r>
        <w:t xml:space="preserve">58 of CLP confirms that information provided for the CLI and under REACH should benefit</w:t>
      </w:r>
      <w:r>
        <w:t xml:space="preserve"> </w:t>
      </w:r>
      <w:r>
        <w:t xml:space="preserve">from the same degree of accessibility and protection of information.</w:t>
      </w:r>
      <w:r>
        <w:br/>
      </w:r>
      <w:r>
        <w:t xml:space="preserve">A summary of the costs and benefits of policy option #3 are provided below.</w:t>
      </w:r>
      <w:r>
        <w:t xml:space="preserve"> </w:t>
      </w:r>
      <w:r>
        <w:t xml:space="preserve">Summary of cost and benefits of policy option #3</w:t>
      </w:r>
      <w:r>
        <w:t xml:space="preserve"> </w:t>
      </w:r>
      <w:r>
        <w:t xml:space="preserve">Costs - businesses</w:t>
      </w:r>
      <w:r>
        <w:t xml:space="preserve"> </w:t>
      </w:r>
      <w:r>
        <w:t xml:space="preserve">Total one-off costs over a 20-year period</w:t>
      </w:r>
      <w:r>
        <w:t xml:space="preserve"> </w:t>
      </w:r>
      <w:r>
        <w:t xml:space="preserve">€66,900,000 - €130,100,000</w:t>
      </w:r>
      <w:r>
        <w:t xml:space="preserve"> </w:t>
      </w:r>
      <w:r>
        <w:t xml:space="preserve">(mid-estimate: €98,500,000)</w:t>
      </w:r>
      <w:r>
        <w:t xml:space="preserve"> </w:t>
      </w:r>
      <w:r>
        <w:t xml:space="preserve">Recurring costs every 1 year</w:t>
      </w:r>
    </w:p>
    <w:p>
      <w:pPr>
        <w:pStyle w:val="BodyText"/>
      </w:pPr>
      <w:r>
        <w:t xml:space="preserve">Total recurring costs over a 20-year period</w:t>
      </w:r>
    </w:p>
    <w:p>
      <w:pPr>
        <w:pStyle w:val="BodyText"/>
      </w:pPr>
      <w:r>
        <w:t xml:space="preserve">PV of one-off costs (20 years; 3%)</w:t>
      </w:r>
      <w:r>
        <w:t xml:space="preserve"> </w:t>
      </w:r>
      <w:r>
        <w:t xml:space="preserve">€89,314,851 - €174,275,506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€131,795,178)</w:t>
      </w:r>
      <w:r>
        <w:t xml:space="preserve"> </w:t>
      </w:r>
      <w:r>
        <w:t xml:space="preserve">PV of one-off costs (20 years; 3%) (annualized)</w:t>
      </w:r>
      <w:r>
        <w:t xml:space="preserve"> </w:t>
      </w:r>
      <w:r>
        <w:t xml:space="preserve">€4,496,731 - €8,744,764</w:t>
      </w:r>
      <w:r>
        <w:t xml:space="preserve"> </w:t>
      </w:r>
      <w:r>
        <w:t xml:space="preserve">(mid-estimate: €6,620,747)</w:t>
      </w:r>
      <w:r>
        <w:t xml:space="preserve"> </w:t>
      </w:r>
      <w:r>
        <w:t xml:space="preserve">PV of recurring costs (20 years; 3%)</w:t>
      </w:r>
      <w:r>
        <w:t xml:space="preserve"> </w:t>
      </w:r>
      <w:r>
        <w:t xml:space="preserve">-</w:t>
      </w:r>
      <w:r>
        <w:t xml:space="preserve"> </w:t>
      </w:r>
      <w:r>
        <w:t xml:space="preserve">Total PV – costs - businesses</w:t>
      </w:r>
      <w:r>
        <w:t xml:space="preserve"> </w:t>
      </w:r>
      <w:r>
        <w:t xml:space="preserve">-</w:t>
      </w:r>
      <w:r>
        <w:t xml:space="preserve"> </w:t>
      </w:r>
      <w:r>
        <w:t xml:space="preserve">Costs – public authorities</w:t>
      </w:r>
      <w:r>
        <w:t xml:space="preserve"> </w:t>
      </w:r>
      <w:r>
        <w:t xml:space="preserve">Total one-off costs over a 20-year period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costs every 1 year</w:t>
      </w:r>
      <w:r>
        <w:t xml:space="preserve"> </w:t>
      </w:r>
      <w:r>
        <w:t xml:space="preserve">-</w:t>
      </w:r>
      <w:r>
        <w:t xml:space="preserve"> </w:t>
      </w:r>
      <w:r>
        <w:t xml:space="preserve">Total recurring costs over a 20-year period</w:t>
      </w:r>
      <w:r>
        <w:t xml:space="preserve"> </w:t>
      </w:r>
      <w:r>
        <w:t xml:space="preserve">-</w:t>
      </w:r>
      <w:r>
        <w:t xml:space="preserve"> </w:t>
      </w:r>
      <w:r>
        <w:t xml:space="preserve">PV of one-off costs (20 years; 3%)</w:t>
      </w:r>
      <w:r>
        <w:t xml:space="preserve"> </w:t>
      </w:r>
      <w:r>
        <w:t xml:space="preserve">-</w:t>
      </w:r>
      <w:r>
        <w:t xml:space="preserve"> </w:t>
      </w:r>
      <w:r>
        <w:t xml:space="preserve">PV of recurring costs (20 years; 3%)</w:t>
      </w:r>
      <w:r>
        <w:t xml:space="preserve"> </w:t>
      </w:r>
      <w:r>
        <w:t xml:space="preserve">-</w:t>
      </w:r>
      <w:r>
        <w:t xml:space="preserve"> </w:t>
      </w:r>
      <w:r>
        <w:t xml:space="preserve">Total PV – costs – public authorities</w:t>
      </w:r>
      <w:r>
        <w:t xml:space="preserve"> </w:t>
      </w:r>
      <w:r>
        <w:t xml:space="preserve">-</w:t>
      </w:r>
      <w:r>
        <w:t xml:space="preserve"> </w:t>
      </w:r>
      <w:r>
        <w:t xml:space="preserve">Total PV cost of policy option #3</w:t>
      </w:r>
      <w:r>
        <w:t xml:space="preserve"> </w:t>
      </w:r>
      <w:r>
        <w:t xml:space="preserve">€89,314,851 - €174,275,506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€131,795,178)</w:t>
      </w:r>
      <w:r>
        <w:t xml:space="preserve"> </w:t>
      </w:r>
      <w:r>
        <w:t xml:space="preserve">Benefits (cost savings) - businesses</w:t>
      </w:r>
      <w:r>
        <w:t xml:space="preserve"> </w:t>
      </w:r>
      <w:r>
        <w:t xml:space="preserve">€161,100,000</w:t>
      </w:r>
      <w:r>
        <w:t xml:space="preserve"> </w:t>
      </w:r>
      <w:r>
        <w:t xml:space="preserve">PV benefits - businesses</w:t>
      </w:r>
      <w:r>
        <w:t xml:space="preserve"> </w:t>
      </w:r>
      <w:r>
        <w:t xml:space="preserve">€216,569,010</w:t>
      </w:r>
    </w:p>
    <w:p>
      <w:pPr>
        <w:pStyle w:val="BodyText"/>
      </w:pPr>
      <w:r>
        <w:t xml:space="preserve">319</w:t>
      </w:r>
      <w:r>
        <w:t xml:space="preserve"> </w:t>
      </w:r>
      <w:r>
        <w:t xml:space="preserve">Benefits (cost savings) – public authorities</w:t>
      </w:r>
      <w:r>
        <w:t xml:space="preserve"> </w:t>
      </w:r>
      <w:r>
        <w:t xml:space="preserve">-</w:t>
      </w:r>
      <w:r>
        <w:t xml:space="preserve"> </w:t>
      </w:r>
      <w:r>
        <w:t xml:space="preserve">PV – benefits – public authorities</w:t>
      </w:r>
      <w:r>
        <w:t xml:space="preserve"> </w:t>
      </w:r>
      <w:r>
        <w:t xml:space="preserve">-</w:t>
      </w:r>
      <w:r>
        <w:t xml:space="preserve"> </w:t>
      </w:r>
      <w:r>
        <w:t xml:space="preserve">Benefits - society</w:t>
      </w:r>
      <w:r>
        <w:t xml:space="preserve"> </w:t>
      </w:r>
      <w:r>
        <w:t xml:space="preserve">-</w:t>
      </w:r>
      <w:r>
        <w:t xml:space="preserve"> </w:t>
      </w:r>
      <w:r>
        <w:t xml:space="preserve">PV - benefits - society</w:t>
      </w:r>
      <w:r>
        <w:t xml:space="preserve"> </w:t>
      </w:r>
      <w:r>
        <w:t xml:space="preserve">-</w:t>
      </w:r>
      <w:r>
        <w:t xml:space="preserve"> </w:t>
      </w:r>
      <w:r>
        <w:t xml:space="preserve">Total OV - benefits</w:t>
      </w:r>
      <w:r>
        <w:t xml:space="preserve"> </w:t>
      </w:r>
      <w:r>
        <w:t xml:space="preserve">-</w:t>
      </w:r>
      <w:r>
        <w:t xml:space="preserve"> </w:t>
      </w:r>
      <w:r>
        <w:t xml:space="preserve">Net Present Value - NPV (PV benefits – PV costs)</w:t>
      </w:r>
      <w:r>
        <w:t xml:space="preserve"> </w:t>
      </w:r>
      <w:r>
        <w:t xml:space="preserve">€41,673,739 – €126,634,393</w:t>
      </w:r>
      <w:r>
        <w:t xml:space="preserve"> </w:t>
      </w:r>
      <w:r>
        <w:t xml:space="preserve">(mid-estimate: €84,154,066)</w:t>
      </w:r>
    </w:p>
    <w:p>
      <w:pPr>
        <w:pStyle w:val="BodyText"/>
      </w:pPr>
      <w:r>
        <w:t xml:space="preserve">A summary of the present value (3% discount) costs and benefits of policy measure #3 are</w:t>
      </w:r>
      <w:r>
        <w:t xml:space="preserve"> </w:t>
      </w:r>
      <w:r>
        <w:t xml:space="preserve">provided below.</w:t>
      </w:r>
      <w:r>
        <w:t xml:space="preserve"> </w:t>
      </w:r>
      <w:r>
        <w:t xml:space="preserve">Summary of costs and benefits (PV; 20 years; 3%) of policy measure #3 by type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€2,419,765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€89,314,851 –</w:t>
      </w:r>
      <w:r>
        <w:t xml:space="preserve"> </w:t>
      </w:r>
      <w:r>
        <w:t xml:space="preserve">€174,275,506 (mid-</w:t>
      </w:r>
      <w:r>
        <w:t xml:space="preserve"> </w:t>
      </w:r>
      <w:r>
        <w:t xml:space="preserve">estimate:</w:t>
      </w:r>
      <w:r>
        <w:t xml:space="preserve"> </w:t>
      </w:r>
      <w:r>
        <w:t xml:space="preserve">€131,795,178)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Direct cost savings</w:t>
      </w:r>
      <w:r>
        <w:t xml:space="preserve"> </w:t>
      </w:r>
      <w:r>
        <w:t xml:space="preserve">€216,569,010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Stakeholder Opinions</w:t>
      </w:r>
      <w:r>
        <w:br/>
      </w:r>
      <w:r>
        <w:t xml:space="preserve">#6 Require notifiers to validate/update entries in the Classification and Labelling</w:t>
      </w:r>
      <w:r>
        <w:t xml:space="preserve"> </w:t>
      </w:r>
      <w:r>
        <w:t xml:space="preserve">Inventory every 2 year(s)</w:t>
      </w:r>
      <w:r>
        <w:br/>
      </w:r>
      <w:r>
        <w:t xml:space="preserve">Of the stakeholders that responded to policy measure #6 one Trade Association was</w:t>
      </w:r>
      <w:r>
        <w:t xml:space="preserve"> </w:t>
      </w:r>
      <w:r>
        <w:t xml:space="preserve">supportive in suggesting a general improvement in creating a legal obligation to delete</w:t>
      </w:r>
      <w:r>
        <w:t xml:space="preserve"> </w:t>
      </w:r>
      <w:r>
        <w:t xml:space="preserve">inactive entries, for example after 2-3 years of inactivity. However a public authority also</w:t>
      </w:r>
      <w:r>
        <w:t xml:space="preserve"> </w:t>
      </w:r>
      <w:r>
        <w:t xml:space="preserve">noted that under the proposed policy measure #6 there would be significant time and cost</w:t>
      </w:r>
      <w:r>
        <w:t xml:space="preserve"> </w:t>
      </w:r>
      <w:r>
        <w:t xml:space="preserve">investment required from individual members of group submissions, which the public</w:t>
      </w:r>
      <w:r>
        <w:t xml:space="preserve"> </w:t>
      </w:r>
      <w:r>
        <w:t xml:space="preserve">authority has suggested is responsible for the majority of notifications to the C&amp;L inventory.</w:t>
      </w:r>
      <w:r>
        <w:t xml:space="preserve"> </w:t>
      </w:r>
      <w:r>
        <w:t xml:space="preserve">The requirement for group members to take action could result in a need for a “complete</w:t>
      </w:r>
      <w:r>
        <w:t xml:space="preserve"> </w:t>
      </w:r>
      <w:r>
        <w:t xml:space="preserve">restart of the inventory”. Furthermore a Public Authority and a Member State Competent</w:t>
      </w:r>
      <w:r>
        <w:t xml:space="preserve"> </w:t>
      </w:r>
      <w:r>
        <w:t xml:space="preserve">Authority have indicated that from their experience regular updates don’t necessarily</w:t>
      </w:r>
      <w:r>
        <w:t xml:space="preserve"> </w:t>
      </w:r>
      <w:r>
        <w:t xml:space="preserve">provide any benefit to the accuracy of the Inventory or even provide any new relevant</w:t>
      </w:r>
      <w:r>
        <w:t xml:space="preserve"> </w:t>
      </w:r>
      <w:r>
        <w:t xml:space="preserve">information. One industry association suggested a softer approach with a simple update</w:t>
      </w:r>
    </w:p>
    <w:p>
      <w:pPr>
        <w:pStyle w:val="BodyText"/>
      </w:pPr>
      <w:r>
        <w:t xml:space="preserve">320</w:t>
      </w:r>
      <w:r>
        <w:t xml:space="preserve"> </w:t>
      </w:r>
      <w:r>
        <w:t xml:space="preserve">mechanism rather than a full re-submission, as full re-submissions should only be required</w:t>
      </w:r>
      <w:r>
        <w:t xml:space="preserve"> </w:t>
      </w:r>
      <w:r>
        <w:t xml:space="preserve">as a last resort.</w:t>
      </w:r>
      <w:r>
        <w:br/>
      </w:r>
      <w:r>
        <w:t xml:space="preserve">#4: Publication of the identity of notifiers (i.e. company names and contact details) in the</w:t>
      </w:r>
      <w:r>
        <w:t xml:space="preserve"> </w:t>
      </w:r>
      <w:r>
        <w:t xml:space="preserve">CLI</w:t>
      </w:r>
      <w:r>
        <w:br/>
      </w:r>
      <w:r>
        <w:t xml:space="preserve">Of the two stakeholders that responded in support of this measure, one industry association</w:t>
      </w:r>
      <w:r>
        <w:t xml:space="preserve"> </w:t>
      </w:r>
      <w:r>
        <w:t xml:space="preserve">noted that they understand the concerns in regard to protecting confidential business</w:t>
      </w:r>
      <w:r>
        <w:t xml:space="preserve"> </w:t>
      </w:r>
      <w:r>
        <w:t xml:space="preserve">information, especially with activities relating to research and development such as Product</w:t>
      </w:r>
      <w:r>
        <w:t xml:space="preserve"> </w:t>
      </w:r>
      <w:r>
        <w:t xml:space="preserve">and Process Oriented Research and Development (PPORD) and SR&amp;D substances.</w:t>
      </w:r>
      <w:r>
        <w:t xml:space="preserve"> </w:t>
      </w:r>
      <w:r>
        <w:t xml:space="preserve">Nevertheless, they do support the publication of names as long as there is a provision to</w:t>
      </w:r>
      <w:r>
        <w:t xml:space="preserve"> </w:t>
      </w:r>
      <w:r>
        <w:t xml:space="preserve">protect confidentiality where appropriate or provide exemptions, this specific provision to</w:t>
      </w:r>
      <w:r>
        <w:t xml:space="preserve"> </w:t>
      </w:r>
      <w:r>
        <w:t xml:space="preserve">the measure is also supported by a group of industry representatives and one trade</w:t>
      </w:r>
      <w:r>
        <w:t xml:space="preserve"> </w:t>
      </w:r>
      <w:r>
        <w:t xml:space="preserve">association. A Member State Competent Authority who is in support of the measure</w:t>
      </w:r>
      <w:r>
        <w:t xml:space="preserve"> </w:t>
      </w:r>
      <w:r>
        <w:t xml:space="preserve">indicated that the measure would facilitate communication between submitters and the</w:t>
      </w:r>
      <w:r>
        <w:t xml:space="preserve"> </w:t>
      </w:r>
      <w:r>
        <w:t xml:space="preserve">supply chain, so long as the names were made in direct relation to the submitted</w:t>
      </w:r>
      <w:r>
        <w:t xml:space="preserve"> </w:t>
      </w:r>
      <w:r>
        <w:t xml:space="preserve">classification and labelling, else there would be less added value to publishing submitter’s</w:t>
      </w:r>
      <w:r>
        <w:t xml:space="preserve"> </w:t>
      </w:r>
      <w:r>
        <w:t xml:space="preserve">names.</w:t>
      </w:r>
      <w:r>
        <w:br/>
      </w:r>
      <w:r>
        <w:t xml:space="preserve">Overall the majority of stakeholders against the measure cite confidentiality reasons. For</w:t>
      </w:r>
      <w:r>
        <w:t xml:space="preserve"> </w:t>
      </w:r>
      <w:r>
        <w:t xml:space="preserve">example and in line with the above concern regarding research and development substances,</w:t>
      </w:r>
      <w:r>
        <w:t xml:space="preserve"> </w:t>
      </w:r>
      <w:r>
        <w:t xml:space="preserve">an industry association explained that the publication of a notifiers name against substances</w:t>
      </w:r>
      <w:r>
        <w:t xml:space="preserve"> </w:t>
      </w:r>
      <w:r>
        <w:t xml:space="preserve">could imply the research and development portfolio of the notifier, which is considered</w:t>
      </w:r>
      <w:r>
        <w:t xml:space="preserve"> </w:t>
      </w:r>
      <w:r>
        <w:t xml:space="preserve">confidential business information and its indirect publication could discourage innovation.</w:t>
      </w:r>
      <w:r>
        <w:t xml:space="preserve"> </w:t>
      </w:r>
      <w:r>
        <w:t xml:space="preserve">Furthermore, one trade association, one public authority and one Member State Competent</w:t>
      </w:r>
      <w:r>
        <w:t xml:space="preserve"> </w:t>
      </w:r>
      <w:r>
        <w:t xml:space="preserve">Authority all suggested that there would be little added benefit or limited usage to this</w:t>
      </w:r>
      <w:r>
        <w:t xml:space="preserve"> </w:t>
      </w:r>
      <w:r>
        <w:t xml:space="preserve">measure, which one trade association suggesting it would come with additional IT costs that</w:t>
      </w:r>
      <w:r>
        <w:t xml:space="preserve"> </w:t>
      </w:r>
      <w:r>
        <w:t xml:space="preserve">could otherwise be spent on more effective measures.</w:t>
      </w:r>
      <w:r>
        <w:br/>
      </w:r>
      <w:r>
        <w:t xml:space="preserve">A Public Authority recommended to simply publish the identity of the individual data</w:t>
      </w:r>
      <w:r>
        <w:t xml:space="preserve"> </w:t>
      </w:r>
      <w:r>
        <w:t xml:space="preserve">submitter where groups have agreed on single classifications, because the requirement of</w:t>
      </w:r>
      <w:r>
        <w:t xml:space="preserve"> </w:t>
      </w:r>
      <w:r>
        <w:t xml:space="preserve">every member would involve significant overall investments on their behalf.</w:t>
      </w:r>
      <w:r>
        <w:br/>
      </w:r>
      <w:r>
        <w:t xml:space="preserve">#3: Require notifiers with classifications that diverge from the entry agreed by the</w:t>
      </w:r>
      <w:r>
        <w:t xml:space="preserve"> </w:t>
      </w:r>
      <w:r>
        <w:t xml:space="preserve">majority of notifiers to update their notifications with a justification for any divergence</w:t>
      </w:r>
      <w:r>
        <w:t xml:space="preserve"> </w:t>
      </w:r>
      <w:r>
        <w:t xml:space="preserve">in classification</w:t>
      </w:r>
      <w:r>
        <w:br/>
      </w:r>
      <w:r>
        <w:t xml:space="preserve">Stakeholders were largely in support of this measure but provided further suggestions to</w:t>
      </w:r>
      <w:r>
        <w:t xml:space="preserve"> </w:t>
      </w:r>
      <w:r>
        <w:t xml:space="preserve">focus on. Two Member State Competent Authorities agreed that it is important to address</w:t>
      </w:r>
      <w:r>
        <w:t xml:space="preserve"> </w:t>
      </w:r>
      <w:r>
        <w:t xml:space="preserve">the legitimate differences such as the physical state or impurity/additive profile of a</w:t>
      </w:r>
      <w:r>
        <w:t xml:space="preserve"> </w:t>
      </w:r>
      <w:r>
        <w:t xml:space="preserve">substance and its influence on classification and labelling and supports the making available</w:t>
      </w:r>
      <w:r>
        <w:t xml:space="preserve"> </w:t>
      </w:r>
      <w:r>
        <w:t xml:space="preserve">of contextual information. Furthermore, in cases where there are legitimate reasons for</w:t>
      </w:r>
      <w:r>
        <w:t xml:space="preserve"> </w:t>
      </w:r>
      <w:r>
        <w:t xml:space="preserve">deviation that results in a more stringent classification, then the visibility of data sources</w:t>
      </w:r>
      <w:r>
        <w:t xml:space="preserve"> </w:t>
      </w:r>
      <w:r>
        <w:t xml:space="preserve">should be considered, because if outlier classifications are added via a drop-down menu,</w:t>
      </w:r>
      <w:r>
        <w:t xml:space="preserve"> </w:t>
      </w:r>
      <w:r>
        <w:t xml:space="preserve">then they may been deemed of lower reliability. It is noted however that the self-</w:t>
      </w:r>
      <w:r>
        <w:t xml:space="preserve"> </w:t>
      </w:r>
      <w:r>
        <w:t xml:space="preserve">classification by industry may be correct and more stringent than the harmonised</w:t>
      </w:r>
      <w:r>
        <w:t xml:space="preserve"> </w:t>
      </w:r>
      <w:r>
        <w:t xml:space="preserve">classification because Member States may not have the resources to update the harmonised</w:t>
      </w:r>
      <w:r>
        <w:t xml:space="preserve"> </w:t>
      </w:r>
      <w:r>
        <w:t xml:space="preserve">classification (example environmental classification of some cobalt compounds). It was also</w:t>
      </w:r>
      <w:r>
        <w:t xml:space="preserve"> </w:t>
      </w:r>
      <w:r>
        <w:t xml:space="preserve">suggested that the registrant may not classify based on absence of data, where a notifier may</w:t>
      </w:r>
    </w:p>
    <w:p>
      <w:pPr>
        <w:pStyle w:val="BodyText"/>
      </w:pPr>
      <w:r>
        <w:t xml:space="preserve">321</w:t>
      </w:r>
      <w:r>
        <w:t xml:space="preserve"> </w:t>
      </w:r>
      <w:r>
        <w:t xml:space="preserve">have data resulting in classification. Therefore, the approach should be clear to the user of</w:t>
      </w:r>
      <w:r>
        <w:t xml:space="preserve"> </w:t>
      </w:r>
      <w:r>
        <w:t xml:space="preserve">the inventory and the consequences explained.</w:t>
      </w:r>
      <w:r>
        <w:br/>
      </w:r>
      <w:r>
        <w:t xml:space="preserve">Of the stakeholders that were unsupportive of the measure, the question of value in</w:t>
      </w:r>
      <w:r>
        <w:t xml:space="preserve"> </w:t>
      </w:r>
      <w:r>
        <w:t xml:space="preserve">providing these justifications was raised. A Public Authority indicated that ECHA would</w:t>
      </w:r>
      <w:r>
        <w:t xml:space="preserve"> </w:t>
      </w:r>
      <w:r>
        <w:t xml:space="preserve">not have the resources or information to decide what represents a good or bad justification.</w:t>
      </w:r>
      <w:r>
        <w:t xml:space="preserve"> </w:t>
      </w:r>
      <w:r>
        <w:t xml:space="preserve">One Member State is of the opinion that before making any new requirements, industry</w:t>
      </w:r>
      <w:r>
        <w:t xml:space="preserve"> </w:t>
      </w:r>
      <w:r>
        <w:t xml:space="preserve">should wait for the new version of ECHA database to be published. Additionally, one</w:t>
      </w:r>
      <w:r>
        <w:t xml:space="preserve"> </w:t>
      </w:r>
      <w:r>
        <w:t xml:space="preserve">industry association believes that the usefulness of this measure depends on the percentage</w:t>
      </w:r>
      <w:r>
        <w:t xml:space="preserve"> </w:t>
      </w:r>
      <w:r>
        <w:t xml:space="preserve">of substances affected and that other higher impact measures should be prioritised. Other</w:t>
      </w:r>
      <w:r>
        <w:t xml:space="preserve"> </w:t>
      </w:r>
      <w:r>
        <w:t xml:space="preserve">suggestions for improvements to the C&amp;L Inventory include:</w:t>
      </w:r>
      <w:r>
        <w:br/>
      </w:r>
      <w:r>
        <w:t xml:space="preserve">Alignment of new entries:</w:t>
      </w:r>
      <w:r>
        <w:t xml:space="preserve"> </w:t>
      </w:r>
      <w:r>
        <w:t xml:space="preserve"> A Trade Association has suggested a simple system to improve the alignment of new</w:t>
      </w:r>
      <w:r>
        <w:t xml:space="preserve"> </w:t>
      </w:r>
      <w:r>
        <w:t xml:space="preserve">entries with existing ones could be of benefit for new notifications e.g. a comparable</w:t>
      </w:r>
      <w:r>
        <w:t xml:space="preserve"> </w:t>
      </w:r>
      <w:r>
        <w:t xml:space="preserve">approach to REACH-registrations and the stricter technical implementation of the</w:t>
      </w:r>
      <w:r>
        <w:t xml:space="preserve"> </w:t>
      </w:r>
      <w:r>
        <w:t xml:space="preserve">one substance one assessment principle. With that, in practice, a new notifier could</w:t>
      </w:r>
      <w:r>
        <w:t xml:space="preserve"> </w:t>
      </w:r>
      <w:r>
        <w:t xml:space="preserve">only join an existing group of notifiers and accept their C&amp;L-entry or opt-out. For</w:t>
      </w:r>
      <w:r>
        <w:t xml:space="preserve"> </w:t>
      </w:r>
      <w:r>
        <w:t xml:space="preserve">an opt-out there could be a pull-down-menu with the most common reasons for</w:t>
      </w:r>
      <w:r>
        <w:t xml:space="preserve"> </w:t>
      </w:r>
      <w:r>
        <w:t xml:space="preserve">divergences (e.g. impurity, additive or other data), from which they could pick and</w:t>
      </w:r>
      <w:r>
        <w:t xml:space="preserve"> </w:t>
      </w:r>
      <w:r>
        <w:t xml:space="preserve">which would then be visible in the public CLI.</w:t>
      </w:r>
      <w:r>
        <w:br/>
      </w:r>
      <w:r>
        <w:t xml:space="preserve">Quality Control:</w:t>
      </w:r>
      <w:r>
        <w:t xml:space="preserve"> </w:t>
      </w:r>
      <w:r>
        <w:t xml:space="preserve"> A Trade Association has also suggested that quality could be improved by letting</w:t>
      </w:r>
      <w:r>
        <w:t xml:space="preserve"> </w:t>
      </w:r>
      <w:r>
        <w:t xml:space="preserve">users of the CLI act as reviewers e.g. a correction button could be installed into the</w:t>
      </w:r>
      <w:r>
        <w:t xml:space="preserve"> </w:t>
      </w:r>
      <w:r>
        <w:t xml:space="preserve">CLI directly and if the user disagrees with a specific entry, he could flag it to ECHA</w:t>
      </w:r>
      <w:r>
        <w:t xml:space="preserve"> </w:t>
      </w:r>
      <w:r>
        <w:t xml:space="preserve">and/or the notifier. To avoid abuse of this system, only registered users would get</w:t>
      </w:r>
      <w:r>
        <w:t xml:space="preserve"> </w:t>
      </w:r>
      <w:r>
        <w:t xml:space="preserve">the role as reviewers.</w:t>
      </w:r>
      <w:r>
        <w:br/>
      </w:r>
      <w:r>
        <w:t xml:space="preserve"> Three Industry representatives have supported the implementation of some simple</w:t>
      </w:r>
      <w:r>
        <w:t xml:space="preserve"> </w:t>
      </w:r>
      <w:r>
        <w:t xml:space="preserve">validation rules for new notifications. An Industry Association has also commented</w:t>
      </w:r>
      <w:r>
        <w:t xml:space="preserve"> </w:t>
      </w:r>
      <w:r>
        <w:t xml:space="preserve">on the quality of notifications and the need for this to be assessed. They have</w:t>
      </w:r>
      <w:r>
        <w:t xml:space="preserve"> </w:t>
      </w:r>
      <w:r>
        <w:t xml:space="preserve">proposed to work along the modalities used in the Horizon Europe Framework,</w:t>
      </w:r>
      <w:r>
        <w:t xml:space="preserve"> </w:t>
      </w:r>
      <w:r>
        <w:t xml:space="preserve">where the Commission has established a system where participants interested in</w:t>
      </w:r>
      <w:r>
        <w:t xml:space="preserve"> </w:t>
      </w:r>
      <w:r>
        <w:t xml:space="preserve">joining a call for projects could give their availability without naming the existing</w:t>
      </w:r>
      <w:r>
        <w:t xml:space="preserve"> </w:t>
      </w:r>
      <w:r>
        <w:t xml:space="preserve">consortia, and the consortia get a notification and can decide to reply. In other words,</w:t>
      </w:r>
      <w:r>
        <w:t xml:space="preserve"> </w:t>
      </w:r>
      <w:r>
        <w:t xml:space="preserve">the system allows people to get in contact without disclosing identities. Something</w:t>
      </w:r>
      <w:r>
        <w:t xml:space="preserve"> </w:t>
      </w:r>
      <w:r>
        <w:t xml:space="preserve">similar could be set up:</w:t>
      </w:r>
      <w:r>
        <w:br/>
      </w:r>
      <w:r>
        <w:t xml:space="preserve">o The tool could include a possibility for registrants to click on an existing</w:t>
      </w:r>
      <w:r>
        <w:t xml:space="preserve"> </w:t>
      </w:r>
      <w:r>
        <w:t xml:space="preserve">notification to indicate that they would like to discuss/address the</w:t>
      </w:r>
      <w:r>
        <w:t xml:space="preserve"> </w:t>
      </w:r>
      <w:r>
        <w:t xml:space="preserve">divergences;</w:t>
      </w:r>
      <w:r>
        <w:t xml:space="preserve"> </w:t>
      </w:r>
      <w:r>
        <w:t xml:space="preserve">o The notifiers behind those notifications get an automatic alert via ECHA and</w:t>
      </w:r>
      <w:r>
        <w:t xml:space="preserve"> </w:t>
      </w:r>
      <w:r>
        <w:t xml:space="preserve">they can decide to get in contact with consortia that would like to address the</w:t>
      </w:r>
      <w:r>
        <w:t xml:space="preserve"> </w:t>
      </w:r>
      <w:r>
        <w:t xml:space="preserve">divergency;</w:t>
      </w:r>
    </w:p>
    <w:p>
      <w:pPr>
        <w:pStyle w:val="BodyText"/>
      </w:pPr>
      <w:r>
        <w:t xml:space="preserve">322</w:t>
      </w:r>
      <w:r>
        <w:t xml:space="preserve"> </w:t>
      </w:r>
      <w:r>
        <w:t xml:space="preserve">o This could be combined with a flagging system to publicly display which</w:t>
      </w:r>
      <w:r>
        <w:t xml:space="preserve"> </w:t>
      </w:r>
      <w:r>
        <w:t xml:space="preserve">notifications have been challenged, regardless of whether they have accepted</w:t>
      </w:r>
      <w:r>
        <w:t xml:space="preserve"> </w:t>
      </w:r>
      <w:r>
        <w:t xml:space="preserve">or not to reply to the request for discussion;</w:t>
      </w:r>
      <w:r>
        <w:t xml:space="preserve"> </w:t>
      </w:r>
      <w:r>
        <w:t xml:space="preserve">o To avoid misuse of this system, the flag could be implemented if raised by</w:t>
      </w:r>
      <w:r>
        <w:t xml:space="preserve"> </w:t>
      </w:r>
      <w:r>
        <w:t xml:space="preserve">the notifiers with the majority of aligned notifications. In other words,</w:t>
      </w:r>
      <w:r>
        <w:t xml:space="preserve"> </w:t>
      </w:r>
      <w:r>
        <w:t xml:space="preserve">majority groups have the possibility to publicly flag problematic minority</w:t>
      </w:r>
      <w:r>
        <w:t xml:space="preserve"> </w:t>
      </w:r>
      <w:r>
        <w:t xml:space="preserve">positions, not the opposite.</w:t>
      </w:r>
      <w:r>
        <w:br/>
      </w:r>
      <w:r>
        <w:t xml:space="preserve"> One Industry Association has suggested that obvious errors in the Classification and</w:t>
      </w:r>
      <w:r>
        <w:t xml:space="preserve"> </w:t>
      </w:r>
      <w:r>
        <w:t xml:space="preserve">Labelling Inventory should be corrected or deleted directly by ECHA. If there are</w:t>
      </w:r>
      <w:r>
        <w:t xml:space="preserve"> </w:t>
      </w:r>
      <w:r>
        <w:t xml:space="preserve">legal reasons to the contrary, ECHA could contact the respective notifier in order to</w:t>
      </w:r>
      <w:r>
        <w:t xml:space="preserve"> </w:t>
      </w:r>
      <w:r>
        <w:t xml:space="preserve">initiate a correction, as only ECHA has the necessary information available.</w:t>
      </w:r>
      <w:r>
        <w:t xml:space="preserve"> </w:t>
      </w:r>
      <w:r>
        <w:t xml:space="preserve">Furthermore, entries that are not updated any more as the notifying companies do</w:t>
      </w:r>
      <w:r>
        <w:t xml:space="preserve"> </w:t>
      </w:r>
      <w:r>
        <w:t xml:space="preserve">not exist any longer, or respective products are not on the market anymore, should</w:t>
      </w:r>
      <w:r>
        <w:t xml:space="preserve"> </w:t>
      </w:r>
      <w:r>
        <w:t xml:space="preserve">systematically be deleted or inactivated. An easy-to-use process to flag obsolete</w:t>
      </w:r>
      <w:r>
        <w:t xml:space="preserve"> </w:t>
      </w:r>
      <w:r>
        <w:t xml:space="preserve">entries should be established.</w:t>
      </w:r>
      <w:r>
        <w:br/>
      </w:r>
      <w:r>
        <w:t xml:space="preserve">Data download options:</w:t>
      </w:r>
      <w:r>
        <w:t xml:space="preserve"> </w:t>
      </w:r>
      <w:r>
        <w:t xml:space="preserve"> One Industry Association expressed concern regarding the proposal to make every</w:t>
      </w:r>
      <w:r>
        <w:t xml:space="preserve"> </w:t>
      </w:r>
      <w:r>
        <w:t xml:space="preserve">part of the Inventory available to be freely downloadable in a structured re-usable</w:t>
      </w:r>
      <w:r>
        <w:t xml:space="preserve"> </w:t>
      </w:r>
      <w:r>
        <w:t xml:space="preserve">format. They suggested that such provision of data can only take place if there is no</w:t>
      </w:r>
      <w:r>
        <w:t xml:space="preserve"> </w:t>
      </w:r>
      <w:r>
        <w:t xml:space="preserve">link or connection between the information and the data of the respective notifiers.</w:t>
      </w:r>
      <w:r>
        <w:t xml:space="preserve"> </w:t>
      </w:r>
      <w:r>
        <w:t xml:space="preserve">Otherwise it will provide a full overview of the portfolio of those companies that</w:t>
      </w:r>
      <w:r>
        <w:t xml:space="preserve"> </w:t>
      </w:r>
      <w:r>
        <w:t xml:space="preserve">notified to the Classification and Labelling inventory, including those substances</w:t>
      </w:r>
      <w:r>
        <w:t xml:space="preserve"> </w:t>
      </w:r>
      <w:r>
        <w:t xml:space="preserve">that are manufactured or imported for the purposes of Scientific R&amp;D (SR&amp;D) or</w:t>
      </w:r>
      <w:r>
        <w:t xml:space="preserve"> </w:t>
      </w:r>
      <w:r>
        <w:t xml:space="preserve">product and process oriented research and development (PPORD) and which are</w:t>
      </w:r>
      <w:r>
        <w:t xml:space="preserve"> </w:t>
      </w:r>
      <w:r>
        <w:t xml:space="preserve">exempted from registration under REACH. This means that confidential business</w:t>
      </w:r>
      <w:r>
        <w:t xml:space="preserve"> </w:t>
      </w:r>
      <w:r>
        <w:t xml:space="preserve">information would be revealed by ECHA and would be available for anyone to see.</w:t>
      </w:r>
      <w:r>
        <w:br/>
      </w:r>
      <w:r>
        <w:t xml:space="preserve">Notifiers dashboard:</w:t>
      </w:r>
      <w:r>
        <w:br/>
      </w:r>
      <w:r>
        <w:t xml:space="preserve"> One Industry Association has highlighted the need for companies to have an</w:t>
      </w:r>
      <w:r>
        <w:t xml:space="preserve"> </w:t>
      </w:r>
      <w:r>
        <w:t xml:space="preserve">overview of their notifications, access them, and do modifications in bulk, update</w:t>
      </w:r>
      <w:r>
        <w:t xml:space="preserve"> </w:t>
      </w:r>
      <w:r>
        <w:t xml:space="preserve">when necessary, etc. This could be achieved via a notifiers dashboard.</w:t>
      </w:r>
      <w:r>
        <w:br/>
      </w:r>
      <w:r>
        <w:t xml:space="preserve">Consensus classification and labelling:</w:t>
      </w:r>
      <w:r>
        <w:t xml:space="preserve"> </w:t>
      </w:r>
      <w:r>
        <w:t xml:space="preserve"> One Member State Competent Authority has noted that the document defines the</w:t>
      </w:r>
      <w:r>
        <w:t xml:space="preserve"> </w:t>
      </w:r>
      <w:r>
        <w:t xml:space="preserve">consensus classification and the consensus labelling as the most consistent</w:t>
      </w:r>
      <w:r>
        <w:t xml:space="preserve"> </w:t>
      </w:r>
      <w:r>
        <w:t xml:space="preserve">groupings of classification and of labelling data. The word consensus may suggest</w:t>
      </w:r>
      <w:r>
        <w:t xml:space="preserve"> </w:t>
      </w:r>
      <w:r>
        <w:t xml:space="preserve">that all the notifiers agreed to the same classification. Therefore, some other wording</w:t>
      </w:r>
      <w:r>
        <w:t xml:space="preserve"> </w:t>
      </w:r>
      <w:r>
        <w:t xml:space="preserve">is suggested such as “dominant” or “majority” unless there is real consensus. It is</w:t>
      </w:r>
      <w:r>
        <w:t xml:space="preserve"> </w:t>
      </w:r>
      <w:r>
        <w:t xml:space="preserve">also unclear whether “consensus” is based on individual hazard classes or overall</w:t>
      </w:r>
      <w:r>
        <w:t xml:space="preserve"> </w:t>
      </w:r>
      <w:r>
        <w:t xml:space="preserve">classification. A minimum level (%) should be considered to justify including a</w:t>
      </w:r>
      <w:r>
        <w:t xml:space="preserve"> </w:t>
      </w:r>
      <w:r>
        <w:t xml:space="preserve">“consensus” classification.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COMPARISON OF THE MEASURES, REGARDING THEIR RESPECTIVE IMPACT.</w:t>
      </w:r>
      <w:r>
        <w:t xml:space="preserve"> </w:t>
      </w:r>
      <w:r>
        <w:t xml:space="preserve">Economic impacts</w:t>
      </w:r>
      <w:r>
        <w:br/>
      </w:r>
      <w:r>
        <w:t xml:space="preserve">Administrative burden on businesses and public authorities:</w:t>
      </w:r>
      <w:r>
        <w:br/>
      </w:r>
      <w:r>
        <w:t xml:space="preserve">All policy measures would lead to increased administrative costs on duty holders who use</w:t>
      </w:r>
      <w:r>
        <w:t xml:space="preserve"> </w:t>
      </w:r>
      <w:r>
        <w:t xml:space="preserve">substances that meet the classification for one or more of the hazards and are required to</w:t>
      </w:r>
      <w:r>
        <w:t xml:space="preserve"> </w:t>
      </w:r>
      <w:r>
        <w:t xml:space="preserve">classify them accordingly, and who have the obligation to notify these classifications to the</w:t>
      </w:r>
      <w:r>
        <w:t xml:space="preserve"> </w:t>
      </w:r>
      <w:r>
        <w:t xml:space="preserve">Classification and Labelling Inventory. Under policy measure #4, notifiers would need to</w:t>
      </w:r>
      <w:r>
        <w:t xml:space="preserve"> </w:t>
      </w:r>
      <w:r>
        <w:t xml:space="preserve">provide contact details in the inventory or submit confidentiality requests. This policy</w:t>
      </w:r>
      <w:r>
        <w:t xml:space="preserve"> </w:t>
      </w:r>
      <w:r>
        <w:t xml:space="preserve">measure presents the lowest administrative burden on businesses and is expected to lead to</w:t>
      </w:r>
      <w:r>
        <w:t xml:space="preserve"> </w:t>
      </w:r>
      <w:r>
        <w:t xml:space="preserve">a small, annualised cost saving of €1.74 million due to time saved by users of the inventory</w:t>
      </w:r>
      <w:r>
        <w:t xml:space="preserve"> </w:t>
      </w:r>
      <w:r>
        <w:t xml:space="preserve">in finding the relevant information. Policy measure #6 and #5 are also expected to lead to a</w:t>
      </w:r>
      <w:r>
        <w:t xml:space="preserve"> </w:t>
      </w:r>
      <w:r>
        <w:t xml:space="preserve">small, annualised cost saving of up to €1.79 million, or an annualised cost of 0.36 million,</w:t>
      </w:r>
      <w:r>
        <w:t xml:space="preserve"> </w:t>
      </w:r>
      <w:r>
        <w:t xml:space="preserve">depending on the effectiveness of the policy measure. Policy measure #3 would lead to the</w:t>
      </w:r>
      <w:r>
        <w:t xml:space="preserve"> </w:t>
      </w:r>
      <w:r>
        <w:t xml:space="preserve">greatest increase in administrative costs, which are estimated to be approximately €7 million</w:t>
      </w:r>
      <w:r>
        <w:t xml:space="preserve"> </w:t>
      </w:r>
      <w:r>
        <w:t xml:space="preserve">to – €7.5 million of annualised cost.</w:t>
      </w:r>
      <w:r>
        <w:br/>
      </w:r>
      <w:r>
        <w:t xml:space="preserve">Under all policy measures, ECHA would be required to divert resources from other</w:t>
      </w:r>
      <w:r>
        <w:t xml:space="preserve"> </w:t>
      </w:r>
      <w:r>
        <w:t xml:space="preserve">priorities, such as the ongoing re-design of the inventory. The need for resources would be</w:t>
      </w:r>
      <w:r>
        <w:t xml:space="preserve"> </w:t>
      </w:r>
      <w:r>
        <w:t xml:space="preserve">highest in policy option #6 and #3, followed by #4 and #5.</w:t>
      </w:r>
      <w:r>
        <w:t xml:space="preserve"> </w:t>
      </w:r>
      <w:r>
        <w:t xml:space="preserve">Impacts on SMEs:</w:t>
      </w:r>
      <w:r>
        <w:br/>
      </w:r>
      <w:r>
        <w:t xml:space="preserve">Under policy measure #6 SMEs are expected to benefit from the time saved spent trying to</w:t>
      </w:r>
      <w:r>
        <w:t xml:space="preserve"> </w:t>
      </w:r>
      <w:r>
        <w:t xml:space="preserve">find relevant information in the Classification and Labelling Inventory and could see a</w:t>
      </w:r>
      <w:r>
        <w:t xml:space="preserve"> </w:t>
      </w:r>
      <w:r>
        <w:t xml:space="preserve">subsequent increase in their competitiveness in the long-term. Under policy measure #4, it</w:t>
      </w:r>
      <w:r>
        <w:t xml:space="preserve"> </w:t>
      </w:r>
      <w:r>
        <w:t xml:space="preserve">is expected that SMEs will benefit from the publication of notifier contact details more than</w:t>
      </w:r>
      <w:r>
        <w:t xml:space="preserve"> </w:t>
      </w:r>
      <w:r>
        <w:t xml:space="preserve">larger companies, as it is expected that SMEs are less likely to notify as a group. Policy</w:t>
      </w:r>
      <w:r>
        <w:t xml:space="preserve"> </w:t>
      </w:r>
      <w:r>
        <w:t xml:space="preserve">measure #3 is expected to be disproportionately felt amongst SMEs, which in turn may</w:t>
      </w:r>
      <w:r>
        <w:t xml:space="preserve"> </w:t>
      </w:r>
      <w:r>
        <w:t xml:space="preserve">negatively impact the competitiveness of SMEs, although there is some uncertainty as</w:t>
      </w:r>
      <w:r>
        <w:t xml:space="preserve"> </w:t>
      </w:r>
      <w:r>
        <w:t xml:space="preserve">information on the number of diverging classifications per SME and large enterprise was</w:t>
      </w:r>
      <w:r>
        <w:t xml:space="preserve"> </w:t>
      </w:r>
      <w:r>
        <w:t xml:space="preserve">not available.</w:t>
      </w:r>
      <w:r>
        <w:br/>
      </w:r>
      <w:r>
        <w:t xml:space="preserve">Sectoral competitiveness, trade and investment flows:</w:t>
      </w:r>
      <w:r>
        <w:br/>
      </w:r>
      <w:r>
        <w:t xml:space="preserve">All policy measures aim to harmonise classifications and improve the quality of the</w:t>
      </w:r>
      <w:r>
        <w:t xml:space="preserve"> </w:t>
      </w:r>
      <w:r>
        <w:t xml:space="preserve">Classification and Labelling Inventory data, which in turn will benefit all businesses and</w:t>
      </w:r>
      <w:r>
        <w:t xml:space="preserve"> </w:t>
      </w:r>
      <w:r>
        <w:t xml:space="preserve">increase competitiveness. They are therefore expected to have a positive impact on</w:t>
      </w:r>
      <w:r>
        <w:t xml:space="preserve"> </w:t>
      </w:r>
      <w:r>
        <w:t xml:space="preserve">sectoral competitiveness.</w:t>
      </w:r>
      <w:r>
        <w:t xml:space="preserve"> </w:t>
      </w:r>
      <w:r>
        <w:t xml:space="preserve">Social and environmental impacts</w:t>
      </w:r>
      <w:r>
        <w:br/>
      </w:r>
      <w:r>
        <w:t xml:space="preserve">The three measures are expected to have positive impact on human health and the</w:t>
      </w:r>
      <w:r>
        <w:t xml:space="preserve"> </w:t>
      </w:r>
      <w:r>
        <w:t xml:space="preserve">environment from the provision of more accurate information on human health and</w:t>
      </w:r>
      <w:r>
        <w:t xml:space="preserve"> </w:t>
      </w:r>
      <w:r>
        <w:t xml:space="preserve">environmental hazards of classified substances. This is turn would lead to more appropriate</w:t>
      </w:r>
      <w:r>
        <w:t xml:space="preserve"> </w:t>
      </w:r>
      <w:r>
        <w:t xml:space="preserve">workplace risk management measures being implemented and more accurate information</w:t>
      </w:r>
      <w:r>
        <w:t xml:space="preserve"> </w:t>
      </w:r>
      <w:r>
        <w:t xml:space="preserve">communicated down the supply chain and to end-users. However, these impacts would be</w:t>
      </w:r>
    </w:p>
    <w:p>
      <w:pPr>
        <w:pStyle w:val="BodyText"/>
      </w:pPr>
      <w:r>
        <w:t xml:space="preserve">324</w:t>
      </w:r>
      <w:r>
        <w:t xml:space="preserve"> </w:t>
      </w:r>
      <w:r>
        <w:t xml:space="preserve">indirect and therefore their magnitude is not possible to quantify. A weak positive impact is</w:t>
      </w:r>
      <w:r>
        <w:t xml:space="preserve"> </w:t>
      </w:r>
      <w:r>
        <w:t xml:space="preserve">expected on employment levels from the increased regulatory requirements.</w:t>
      </w:r>
    </w:p>
    <w:p>
      <w:pPr>
        <w:pStyle w:val="BodyText"/>
      </w:pPr>
      <w:r>
        <w:t xml:space="preserve">325</w:t>
      </w:r>
      <w:r>
        <w:t xml:space="preserve"> </w:t>
      </w:r>
      <w:r>
        <w:t xml:space="preserve">Annex 12 – Hazard labelling</w:t>
      </w:r>
    </w:p>
    <w:p>
      <w:pPr>
        <w:pStyle w:val="BodyText"/>
      </w:pPr>
      <w:r>
        <w:t xml:space="preserve">CONTEXT OF HAZARD LABELLING</w:t>
      </w:r>
      <w:r>
        <w:t xml:space="preserve"> </w:t>
      </w:r>
      <w:r>
        <w:t xml:space="preserve">Labels provide essential information on safety to chemicals users (both consumers and</w:t>
      </w:r>
      <w:r>
        <w:t xml:space="preserve"> </w:t>
      </w:r>
      <w:r>
        <w:t xml:space="preserve">workers). The compulsory labelling of hazardous chemicals is the most important element</w:t>
      </w:r>
      <w:r>
        <w:t xml:space="preserve"> </w:t>
      </w:r>
      <w:r>
        <w:t xml:space="preserve">in CLP to communicate this information. The label includes essential information on the</w:t>
      </w:r>
      <w:r>
        <w:t xml:space="preserve"> </w:t>
      </w:r>
      <w:r>
        <w:t xml:space="preserve">potential harmful effects on people and/or on the environment that could be caused by a</w:t>
      </w:r>
      <w:r>
        <w:t xml:space="preserve"> </w:t>
      </w:r>
      <w:r>
        <w:t xml:space="preserve">specific chemical; in addition, it includes information on how to store, dispose and use the</w:t>
      </w:r>
      <w:r>
        <w:t xml:space="preserve"> </w:t>
      </w:r>
      <w:r>
        <w:t xml:space="preserve">chemical safely, as well as information on how to react in case of poisoning or accidental</w:t>
      </w:r>
      <w:r>
        <w:t xml:space="preserve"> </w:t>
      </w:r>
      <w:r>
        <w:t xml:space="preserve">exposure. They also facilitate emergency health response by medical staff in case of</w:t>
      </w:r>
      <w:r>
        <w:t xml:space="preserve"> </w:t>
      </w:r>
      <w:r>
        <w:t xml:space="preserve">exposure or intoxication. Where applicable, they provide contact information of services</w:t>
      </w:r>
      <w:r>
        <w:t xml:space="preserve"> </w:t>
      </w:r>
      <w:r>
        <w:t xml:space="preserve">that can provide further assistances (Poison centres).</w:t>
      </w:r>
      <w:r>
        <w:t xml:space="preserve"> </w:t>
      </w:r>
      <w:r>
        <w:t xml:space="preserve">Since the introduction of CLP labels are based on the United Nations’ Globally Harmonized</w:t>
      </w:r>
      <w:r>
        <w:t xml:space="preserve"> </w:t>
      </w:r>
      <w:r>
        <w:t xml:space="preserve">System of Classification and Labelling of chemicals (GHS250). At the same time, the CLP</w:t>
      </w:r>
      <w:r>
        <w:t xml:space="preserve"> </w:t>
      </w:r>
      <w:r>
        <w:t xml:space="preserve">Regulation retains some of the labelling requirements taken over from former legislation on</w:t>
      </w:r>
      <w:r>
        <w:t xml:space="preserve"> </w:t>
      </w:r>
      <w:r>
        <w:t xml:space="preserve">chemicals251, such as the small packaging exemptions. In order to accommodate certain</w:t>
      </w:r>
      <w:r>
        <w:t xml:space="preserve"> </w:t>
      </w:r>
      <w:r>
        <w:t xml:space="preserve">hazard information not yet covered by the GHS, as well as further label elements that are</w:t>
      </w:r>
      <w:r>
        <w:t xml:space="preserve"> </w:t>
      </w:r>
      <w:r>
        <w:t xml:space="preserve">required by other EU legislation, CLP introduces also the concept of “supplemental</w:t>
      </w:r>
      <w:r>
        <w:t xml:space="preserve"> </w:t>
      </w:r>
      <w:r>
        <w:t xml:space="preserve">information” to be put on the label.</w:t>
      </w:r>
      <w:r>
        <w:t xml:space="preserve"> </w:t>
      </w:r>
      <w:r>
        <w:t xml:space="preserve">CLP labels play an important role to ensure the free movement of chemicals in the single</w:t>
      </w:r>
      <w:r>
        <w:t xml:space="preserve"> </w:t>
      </w:r>
      <w:r>
        <w:t xml:space="preserve">market but also on a global basis: alignment between CLP and GHS ensures reduced</w:t>
      </w:r>
      <w:r>
        <w:t xml:space="preserve"> </w:t>
      </w:r>
      <w:r>
        <w:t xml:space="preserve">compliance costs, as industry can use the same classification and labelling principles when</w:t>
      </w:r>
      <w:r>
        <w:t xml:space="preserve"> </w:t>
      </w:r>
      <w:r>
        <w:t xml:space="preserve">exporting chemicals, thereby increasing the competitiveness of EU industry and</w:t>
      </w:r>
      <w:r>
        <w:t xml:space="preserve"> </w:t>
      </w:r>
      <w:r>
        <w:t xml:space="preserve">international trade of goods.</w:t>
      </w:r>
      <w:r>
        <w:t xml:space="preserve"> </w:t>
      </w:r>
      <w:r>
        <w:t xml:space="preserve">According to CLP, labelling of hazardous substances and mixtures must contain the</w:t>
      </w:r>
      <w:r>
        <w:t xml:space="preserve"> </w:t>
      </w:r>
      <w:r>
        <w:t xml:space="preserve">following relevant information, as set out in Article 17 and detailed further in Articles 18 to</w:t>
      </w:r>
      <w:r>
        <w:t xml:space="preserve"> </w:t>
      </w:r>
      <w:r>
        <w:t xml:space="preserve">28:</w:t>
      </w:r>
      <w:r>
        <w:br/>
      </w:r>
      <w:r>
        <w:t xml:space="preserve"> Name, address and telephone number of the supplier(s);</w:t>
      </w:r>
      <w:r>
        <w:t xml:space="preserve"> </w:t>
      </w:r>
      <w:r>
        <w:t xml:space="preserve"> Product identifiers (i.e. name of the substance or mixture and/or identification</w:t>
      </w:r>
      <w:r>
        <w:t xml:space="preserve"> </w:t>
      </w:r>
      <w:r>
        <w:t xml:space="preserve">number);</w:t>
      </w:r>
      <w:r>
        <w:br/>
      </w:r>
      <w:r>
        <w:t xml:space="preserve"> Nominal quantity of the substance or mixture in the package made available to the</w:t>
      </w:r>
      <w:r>
        <w:t xml:space="preserve"> </w:t>
      </w:r>
      <w:r>
        <w:t xml:space="preserve">general public (unless specified elsewhere on the package);</w:t>
      </w:r>
      <w:r>
        <w:br/>
      </w:r>
      <w:r>
        <w:t xml:space="preserve"> Hazard pictograms (graphics that combine symbols and other elements to denote the</w:t>
      </w:r>
      <w:r>
        <w:t xml:space="preserve"> </w:t>
      </w:r>
      <w:r>
        <w:t xml:space="preserve">type(s) of hazard associated with a chemical);</w:t>
      </w:r>
    </w:p>
    <w:p>
      <w:pPr>
        <w:pStyle w:val="BodyText"/>
      </w:pPr>
      <w:r>
        <w:t xml:space="preserve">250 See UNECE, About GHS, https://unece.org/about-ghs</w:t>
      </w:r>
      <w:r>
        <w:t xml:space="preserve"> </w:t>
      </w:r>
      <w:r>
        <w:t xml:space="preserve">251 Such as the Council Directive 67/548/EEC of 27 June 1967 on the approximation of laws, regulations and</w:t>
      </w:r>
      <w:r>
        <w:t xml:space="preserve"> </w:t>
      </w:r>
      <w:r>
        <w:t xml:space="preserve">administrative provisions relating to the classification, packaging and labelling of dangerous substances, OJ</w:t>
      </w:r>
      <w:r>
        <w:t xml:space="preserve"> </w:t>
      </w:r>
      <w:r>
        <w:t xml:space="preserve">196, 16.8.1967, p. 1–98 (http://data.europa.eu/eli/dir/1967/548/oj) or Directive 1999/45/EC of the European</w:t>
      </w:r>
      <w:r>
        <w:t xml:space="preserve"> </w:t>
      </w:r>
      <w:r>
        <w:t xml:space="preserve">Parliament and of the Council of 31 May 1999 concerning the approximation of the laws, regulations and</w:t>
      </w:r>
      <w:r>
        <w:t xml:space="preserve"> </w:t>
      </w:r>
      <w:r>
        <w:t xml:space="preserve">administrative provisions of the Member States relating to the classification, packaging and labelling of</w:t>
      </w:r>
      <w:r>
        <w:t xml:space="preserve"> </w:t>
      </w:r>
      <w:r>
        <w:t xml:space="preserve">dangerous preparations, OJ L 200, 30.7.1999, p. 1–68 (http://data.europa.eu/eli/dir/1999/45/oj)</w:t>
      </w:r>
    </w:p>
    <w:p>
      <w:pPr>
        <w:pStyle w:val="BodyText"/>
      </w:pPr>
      <w:r>
        <w:t xml:space="preserve">326</w:t>
      </w:r>
      <w:r>
        <w:t xml:space="preserve"> </w:t>
      </w:r>
      <w:r>
        <w:t xml:space="preserve"> Hazard statements (a set of standardised phrases about the hazards of chemical</w:t>
      </w:r>
      <w:r>
        <w:t xml:space="preserve"> </w:t>
      </w:r>
      <w:r>
        <w:t xml:space="preserve">substances and mixtures);</w:t>
      </w:r>
      <w:r>
        <w:br/>
      </w:r>
      <w:r>
        <w:t xml:space="preserve"> Precautionary statements (a set of standardised phrases indicating how the chemical</w:t>
      </w:r>
      <w:r>
        <w:t xml:space="preserve"> </w:t>
      </w:r>
      <w:r>
        <w:t xml:space="preserve">should be handled to minimise risks to the user, others and the environment);</w:t>
      </w:r>
      <w:r>
        <w:br/>
      </w:r>
      <w:r>
        <w:t xml:space="preserve"> Signal words for the level of hazard (‘warning’ or ‘danger’); and</w:t>
      </w:r>
      <w:r>
        <w:br/>
      </w:r>
      <w:r>
        <w:t xml:space="preserve"> Supplemental information (as necessary for special cases, including also information</w:t>
      </w:r>
      <w:r>
        <w:t xml:space="preserve"> </w:t>
      </w:r>
      <w:r>
        <w:t xml:space="preserve">required by other legislation).</w:t>
      </w:r>
      <w:r>
        <w:br/>
      </w:r>
      <w:r>
        <w:t xml:space="preserve">Figure 78 provides an example of a typical CLP label.252</w:t>
      </w:r>
      <w:r>
        <w:t xml:space="preserve"> </w:t>
      </w:r>
      <w:r>
        <w:t xml:space="preserve">Figure 78: Example of a typical CLP label</w:t>
      </w:r>
    </w:p>
    <w:p>
      <w:pPr>
        <w:pStyle w:val="BodyText"/>
      </w:pPr>
      <w:r>
        <w:t xml:space="preserve">PROBLEMS AND DRIVERS RELATED TO HAZARD LABELLING</w:t>
      </w:r>
      <w:r>
        <w:t xml:space="preserve"> </w:t>
      </w:r>
      <w:r>
        <w:t xml:space="preserve">Problems</w:t>
      </w:r>
      <w:r>
        <w:t xml:space="preserve"> </w:t>
      </w:r>
      <w:r>
        <w:t xml:space="preserve">The chemicals Fitness Check identified some problems in which CLP labelling does not</w:t>
      </w:r>
      <w:r>
        <w:t xml:space="preserve"> </w:t>
      </w:r>
      <w:r>
        <w:t xml:space="preserve">provide sufficient information, including due to:</w:t>
      </w:r>
      <w:r>
        <w:t xml:space="preserve"> </w:t>
      </w:r>
      <w:r>
        <w:t xml:space="preserve">frequent non-compliance with the CLP labelling provisions or ambiguity of the text in CLP,</w:t>
      </w:r>
      <w:r>
        <w:t xml:space="preserve"> </w:t>
      </w:r>
      <w:r>
        <w:t xml:space="preserve">resulting in the absence of a label in certain cases, such as chemicals in very small packaging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ECHA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CLP</w:t>
      </w:r>
      <w:r>
        <w:t xml:space="preserve"> </w:t>
      </w:r>
      <w:r>
        <w:t xml:space="preserve">labelling</w:t>
      </w:r>
      <w:r>
        <w:t xml:space="preserve"> </w:t>
      </w:r>
      <w:r>
        <w:t xml:space="preserve">and</w:t>
      </w:r>
      <w:r>
        <w:t xml:space="preserve"> </w:t>
      </w:r>
      <w:r>
        <w:t xml:space="preserve">packaging:</w:t>
      </w:r>
      <w:r>
        <w:t xml:space="preserve"> </w:t>
      </w:r>
      <w:r>
        <w:t xml:space="preserve">https://echa.europa.eu/documents/10162/2324906/clp_labelling_en.pdf/89628d94-573a-4024-86cc-</w:t>
      </w:r>
      <w:r>
        <w:t xml:space="preserve"> </w:t>
      </w:r>
      <w:r>
        <w:t xml:space="preserve">0b4052a74d65</w:t>
      </w:r>
    </w:p>
    <w:p>
      <w:pPr>
        <w:pStyle w:val="BodyText"/>
      </w:pPr>
      <w:r>
        <w:t xml:space="preserve">327</w:t>
      </w:r>
      <w:r>
        <w:t xml:space="preserve"> </w:t>
      </w:r>
      <w:r>
        <w:t xml:space="preserve">(e.g. writing instruments containing hazardous inks), chemicals supplied to consumers in</w:t>
      </w:r>
      <w:r>
        <w:t xml:space="preserve"> </w:t>
      </w:r>
      <w:r>
        <w:t xml:space="preserve">bulk (e.g. fuel for cars) or chemicals placed on the market for self-refill (e.g. detergents),</w:t>
      </w:r>
      <w:r>
        <w:t xml:space="preserve"> </w:t>
      </w:r>
      <w:r>
        <w:t xml:space="preserve">inefficient hazard communication resulting from a limited readability of the labels, for</w:t>
      </w:r>
      <w:r>
        <w:t xml:space="preserve"> </w:t>
      </w:r>
      <w:r>
        <w:t xml:space="preserve">example due to the amount of information to be affixed on the label, or a small font size, or</w:t>
      </w:r>
      <w:r>
        <w:t xml:space="preserve"> </w:t>
      </w:r>
      <w:r>
        <w:t xml:space="preserve">chemical names that are not meaningful to consumers,</w:t>
      </w:r>
      <w:r>
        <w:t xml:space="preserve"> </w:t>
      </w:r>
      <w:r>
        <w:t xml:space="preserve">insufficient compliance and unnecessary administrative burden (in particular for SMEs)</w:t>
      </w:r>
      <w:r>
        <w:t xml:space="preserve"> </w:t>
      </w:r>
      <w:r>
        <w:t xml:space="preserve">leading to poor application of labelling rules such as absence of CLP labelling in cases</w:t>
      </w:r>
      <w:r>
        <w:t xml:space="preserve"> </w:t>
      </w:r>
      <w:r>
        <w:t xml:space="preserve">where the obligations are clear (i.e. other than the cases listed above) and leading to a limited</w:t>
      </w:r>
      <w:r>
        <w:t xml:space="preserve"> </w:t>
      </w:r>
      <w:r>
        <w:t xml:space="preserve">use of fold out labels, thus not exploiting the full benefits of the single market.</w:t>
      </w:r>
      <w:r>
        <w:t xml:space="preserve"> </w:t>
      </w:r>
      <w:r>
        <w:t xml:space="preserve">The above problems can directly harm public health or the environment since consumers or</w:t>
      </w:r>
      <w:r>
        <w:t xml:space="preserve"> </w:t>
      </w:r>
      <w:r>
        <w:t xml:space="preserve">workers could be exposed to hazardous chemicals in the absence of the required safety</w:t>
      </w:r>
      <w:r>
        <w:t xml:space="preserve"> </w:t>
      </w:r>
      <w:r>
        <w:t xml:space="preserve">information (for instance the label can inform on the need to use of gloves for a corrosive</w:t>
      </w:r>
      <w:r>
        <w:t xml:space="preserve"> </w:t>
      </w:r>
      <w:r>
        <w:t xml:space="preserve">substance or how to correctly dispose a chemical that is toxic to the aquatic environment).</w:t>
      </w:r>
      <w:r>
        <w:t xml:space="preserve"> </w:t>
      </w:r>
      <w:r>
        <w:t xml:space="preserve">The insufficient level of compliance can also have negative effects on the internal market</w:t>
      </w:r>
      <w:r>
        <w:t xml:space="preserve"> </w:t>
      </w:r>
      <w:r>
        <w:t xml:space="preserve">competitiveness since non-compliant economic operators could have undue competitive</w:t>
      </w:r>
      <w:r>
        <w:t xml:space="preserve"> </w:t>
      </w:r>
      <w:r>
        <w:t xml:space="preserve">advantages versus compliant companies (e.g. better market perception due to the absence</w:t>
      </w:r>
      <w:r>
        <w:t xml:space="preserve"> </w:t>
      </w:r>
      <w:r>
        <w:t xml:space="preserve">of CLP label and pictograms, lower internal costs for labelling etc.). At the same time, the</w:t>
      </w:r>
      <w:r>
        <w:t xml:space="preserve"> </w:t>
      </w:r>
      <w:r>
        <w:t xml:space="preserve">lack of some information on consumer goods affects the consumers’ ability to make</w:t>
      </w:r>
      <w:r>
        <w:t xml:space="preserve"> </w:t>
      </w:r>
      <w:r>
        <w:t xml:space="preserve">informed choices.</w:t>
      </w:r>
      <w:r>
        <w:t xml:space="preserve"> </w:t>
      </w:r>
      <w:r>
        <w:t xml:space="preserve">There is evidence showing that the size of the problem is related to the level of non-</w:t>
      </w:r>
      <w:r>
        <w:t xml:space="preserve"> </w:t>
      </w:r>
      <w:r>
        <w:t xml:space="preserve">compliance with the CLP labelling requirements. The evidence reported below is the result</w:t>
      </w:r>
      <w:r>
        <w:t xml:space="preserve"> </w:t>
      </w:r>
      <w:r>
        <w:t xml:space="preserve">of European enforcement projects carried out by several EU countries under the</w:t>
      </w:r>
      <w:r>
        <w:t xml:space="preserve"> </w:t>
      </w:r>
      <w:r>
        <w:t xml:space="preserve">coordination of the European Chemical Agency (see ECHA FORUM website for additional</w:t>
      </w:r>
      <w:r>
        <w:t xml:space="preserve"> </w:t>
      </w:r>
      <w:r>
        <w:t xml:space="preserve">information253); the following quantitative data on compliance levels are available:</w:t>
      </w:r>
      <w:r>
        <w:t xml:space="preserve"> </w:t>
      </w:r>
      <w:r>
        <w:t xml:space="preserve">2019 European Chemicals Agency FORUM Report on the Pilot project on cooperation</w:t>
      </w:r>
      <w:r>
        <w:t xml:space="preserve"> </w:t>
      </w:r>
      <w:r>
        <w:t xml:space="preserve">with customs in enforcement of REACH restrictions and CLP labelling254. Compliance</w:t>
      </w:r>
      <w:r>
        <w:t xml:space="preserve"> </w:t>
      </w:r>
      <w:r>
        <w:t xml:space="preserve">with CLP labelling duties was checked for 150 products in 9 EU countries, 107 of the</w:t>
      </w:r>
      <w:r>
        <w:t xml:space="preserve"> </w:t>
      </w:r>
      <w:r>
        <w:t xml:space="preserve">inspected products (corresponding to 71% non-compliance rate) had labelling issues. The</w:t>
      </w:r>
      <w:r>
        <w:t xml:space="preserve"> </w:t>
      </w:r>
      <w:r>
        <w:t xml:space="preserve">most common violation was the absence of the use of national language on the label,</w:t>
      </w:r>
      <w:r>
        <w:t xml:space="preserve"> </w:t>
      </w:r>
      <w:r>
        <w:t xml:space="preserve">followed by wrong or absent pictograms and signal words, and by the absence of a CLP</w:t>
      </w:r>
      <w:r>
        <w:t xml:space="preserve"> </w:t>
      </w:r>
      <w:r>
        <w:t xml:space="preserve">label altogether.</w:t>
      </w:r>
      <w:r>
        <w:t xml:space="preserve"> </w:t>
      </w:r>
      <w:r>
        <w:t xml:space="preserve">2018 European Chemicals Agency FORUM REF-6 Project Report Classification and</w:t>
      </w:r>
      <w:r>
        <w:t xml:space="preserve"> </w:t>
      </w:r>
      <w:r>
        <w:t xml:space="preserve">labelling of mixtures255. The Forum conducted the REF-6 enforcement project that focused</w:t>
      </w:r>
      <w:r>
        <w:t xml:space="preserve"> </w:t>
      </w:r>
      <w:r>
        <w:t xml:space="preserve">on controlling CLP duties. 27 EU and EEA countries and Switzerland reported on the results</w:t>
      </w:r>
      <w:r>
        <w:t xml:space="preserve"> </w:t>
      </w:r>
      <w:r>
        <w:t xml:space="preserve">of inspections. The project checked the hazard labels of mixtures for compliance with CLP.</w:t>
      </w:r>
      <w:r>
        <w:t xml:space="preserve"> </w:t>
      </w:r>
      <w:r>
        <w:t xml:space="preserve">In total, 1,732 inspections were conducted and 3,189 mixture labels were checked. 1,067 of</w:t>
      </w:r>
    </w:p>
    <w:p>
      <w:pPr>
        <w:pStyle w:val="BodyText"/>
      </w:pPr>
      <w:r>
        <w:t xml:space="preserve">253 See ECHA FORUM https://echa.europa.eu/about-us/who-we-are/enforcement-forum</w:t>
      </w:r>
      <w:r>
        <w:br/>
      </w:r>
      <w:r>
        <w:t xml:space="preserve">254 ECHA FORUM Report on the pilot project on cooperation with customs in enforcement of REACH</w:t>
      </w:r>
      <w:r>
        <w:t xml:space="preserve"> </w:t>
      </w:r>
      <w:r>
        <w:t xml:space="preserve">restrictions</w:t>
      </w:r>
      <w:r>
        <w:t xml:space="preserve"> </w:t>
      </w:r>
      <w:r>
        <w:t xml:space="preserve">and</w:t>
      </w:r>
      <w:r>
        <w:t xml:space="preserve"> </w:t>
      </w:r>
      <w:r>
        <w:t xml:space="preserve">CLP</w:t>
      </w:r>
      <w:r>
        <w:t xml:space="preserve"> </w:t>
      </w:r>
      <w:r>
        <w:t xml:space="preserve">labelling,</w:t>
      </w:r>
      <w:r>
        <w:t xml:space="preserve"> </w:t>
      </w:r>
      <w:r>
        <w:t xml:space="preserve">Operational</w:t>
      </w:r>
      <w:r>
        <w:t xml:space="preserve"> </w:t>
      </w:r>
      <w:r>
        <w:t xml:space="preserve">Phase:</w:t>
      </w:r>
      <w:r>
        <w:t xml:space="preserve"> </w:t>
      </w:r>
      <w:r>
        <w:t xml:space="preserve">March–November</w:t>
      </w:r>
      <w:r>
        <w:t xml:space="preserve"> </w:t>
      </w:r>
      <w:r>
        <w:t xml:space="preserve">2019,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https://echa.europa.eu/documents/10162/13555/customs2_project_report_en.pdf/5a2c3795-7ed9-5900-fe28-</w:t>
      </w:r>
      <w:r>
        <w:t xml:space="preserve"> </w:t>
      </w:r>
      <w:r>
        <w:t xml:space="preserve">540228abc7c1</w:t>
      </w:r>
      <w:r>
        <w:t xml:space="preserve"> </w:t>
      </w:r>
      <w:r>
        <w:t xml:space="preserve">255 See https://echa.europa.eu/documents/10162/17088/ref-6_project_report_en.pdf/bfa9fc69-fdfd-2f52-bf96-</w:t>
      </w:r>
      <w:r>
        <w:t xml:space="preserve"> </w:t>
      </w:r>
      <w:r>
        <w:t xml:space="preserve">5174d7e29cf8?t=1576499164990</w:t>
      </w:r>
    </w:p>
    <w:p>
      <w:pPr>
        <w:pStyle w:val="BodyText"/>
      </w:pPr>
      <w:r>
        <w:t xml:space="preserve">328</w:t>
      </w:r>
      <w:r>
        <w:t xml:space="preserve"> </w:t>
      </w:r>
      <w:r>
        <w:t xml:space="preserve">the labelling elements of the checked mixtures, labelling information was missing and/or</w:t>
      </w:r>
      <w:r>
        <w:t xml:space="preserve"> </w:t>
      </w:r>
      <w:r>
        <w:t xml:space="preserve">had errors or deficiencies (corresponding to 33.5% non-compliance rate).</w:t>
      </w:r>
      <w:r>
        <w:t xml:space="preserve"> </w:t>
      </w:r>
      <w:r>
        <w:t xml:space="preserve">2018 Sub section Forum REF-6 Project on labelling exemptions (mixtures in small</w:t>
      </w:r>
      <w:r>
        <w:t xml:space="preserve"> </w:t>
      </w:r>
      <w:r>
        <w:t xml:space="preserve">packaging, fold out labels etc). 17 EU countries conducted checks on 355 mixtures. Despite</w:t>
      </w:r>
      <w:r>
        <w:t xml:space="preserve"> </w:t>
      </w:r>
      <w:r>
        <w:t xml:space="preserve">the use of fold-out labels, tie-on tags or an outer packaging, in 32.1 % of the checked</w:t>
      </w:r>
      <w:r>
        <w:t xml:space="preserve"> </w:t>
      </w:r>
      <w:r>
        <w:t xml:space="preserve">mixtures the full labelling information was not provided. For mixtures in small packaging</w:t>
      </w:r>
      <w:r>
        <w:t xml:space="preserve"> </w:t>
      </w:r>
      <w:r>
        <w:t xml:space="preserve">(below 125 ml) about 10% of the checks found non-compliances and for mixtures in very</w:t>
      </w:r>
      <w:r>
        <w:t xml:space="preserve"> </w:t>
      </w:r>
      <w:r>
        <w:t xml:space="preserve">small packaging (less than 10 ml) 9 out of 14 mixtures had labelling issues (corresponding</w:t>
      </w:r>
      <w:r>
        <w:t xml:space="preserve"> </w:t>
      </w:r>
      <w:r>
        <w:t xml:space="preserve">to about 60% non-compliance rate).</w:t>
      </w:r>
      <w:r>
        <w:t xml:space="preserve"> </w:t>
      </w:r>
      <w:r>
        <w:t xml:space="preserve">These EU enforcement projects found a high level of non-compliance in terms of CLP</w:t>
      </w:r>
      <w:r>
        <w:t xml:space="preserve"> </w:t>
      </w:r>
      <w:r>
        <w:t xml:space="preserve">labelling (from 33.5% up to 71%). Therefore, in the framework of this Impact Assessment,</w:t>
      </w:r>
      <w:r>
        <w:t xml:space="preserve"> </w:t>
      </w:r>
      <w:r>
        <w:t xml:space="preserve">it is possible to broadly estimate an average level of non-compliance in terms of CLP</w:t>
      </w:r>
      <w:r>
        <w:t xml:space="preserve"> </w:t>
      </w:r>
      <w:r>
        <w:t xml:space="preserve">labelling of about 50% of all chemicals placed on the EU market.</w:t>
      </w:r>
      <w:r>
        <w:t xml:space="preserve"> </w:t>
      </w:r>
      <w:r>
        <w:t xml:space="preserve">Furthermore, the chemicals Fitness Check pointed out that the existing provisions and</w:t>
      </w:r>
      <w:r>
        <w:t xml:space="preserve"> </w:t>
      </w:r>
      <w:r>
        <w:t xml:space="preserve">requirements do not take into account opportunities offered by digitalisation which could</w:t>
      </w:r>
      <w:r>
        <w:t xml:space="preserve"> </w:t>
      </w:r>
      <w:r>
        <w:t xml:space="preserve">help reaching consumers more effectively (see Annex XIII on digital label for further</w:t>
      </w:r>
      <w:r>
        <w:t xml:space="preserve"> </w:t>
      </w:r>
      <w:r>
        <w:t xml:space="preserve">elements).</w:t>
      </w:r>
      <w:r>
        <w:t xml:space="preserve"> </w:t>
      </w:r>
      <w:r>
        <w:t xml:space="preserve">Additional evidence on the effectiveness of hazard communication via the CLP label was</w:t>
      </w:r>
      <w:r>
        <w:t xml:space="preserve"> </w:t>
      </w:r>
      <w:r>
        <w:t xml:space="preserve">assessed via two recent large Eurobarometer surveys:</w:t>
      </w:r>
    </w:p>
    <w:p>
      <w:pPr>
        <w:pStyle w:val="BodyText"/>
      </w:pPr>
      <w:r>
        <w:t xml:space="preserve">A 2016 Eurobarometer survey on chemicals safety256 indicated that 70% of EU</w:t>
      </w:r>
      <w:r>
        <w:t xml:space="preserve"> </w:t>
      </w:r>
      <w:r>
        <w:t xml:space="preserve">citizens find information on the hazards of chemicals on the label useful.</w:t>
      </w:r>
      <w:r>
        <w:br/>
      </w:r>
      <w:r>
        <w:t xml:space="preserve">However, the 2017 Eurobarometer survey on environment257 also found that less than half</w:t>
      </w:r>
      <w:r>
        <w:t xml:space="preserve"> </w:t>
      </w:r>
      <w:r>
        <w:t xml:space="preserve">of the respondents (45%) feel well informed about the potential dangers of the chemicals</w:t>
      </w:r>
      <w:r>
        <w:t xml:space="preserve"> </w:t>
      </w:r>
      <w:r>
        <w:t xml:space="preserve">contained in consumer products.</w:t>
      </w:r>
      <w:r>
        <w:t xml:space="preserve"> </w:t>
      </w:r>
      <w:r>
        <w:t xml:space="preserve">Therefore, in the framework of this Impact Assessment, it is possible to broadly estimate</w:t>
      </w:r>
      <w:r>
        <w:t xml:space="preserve"> </w:t>
      </w:r>
      <w:r>
        <w:t xml:space="preserve">that an average level of about 55% EU citizens consider that they are not well informed</w:t>
      </w:r>
      <w:r>
        <w:t xml:space="preserve"> </w:t>
      </w:r>
      <w:r>
        <w:t xml:space="preserve">about the hazards of the chemicals contained in consumer products.</w:t>
      </w:r>
      <w:r>
        <w:t xml:space="preserve"> </w:t>
      </w:r>
      <w:r>
        <w:t xml:space="preserve">The above information provides strong evidence on the magnitude of the problem and of its</w:t>
      </w:r>
      <w:r>
        <w:t xml:space="preserve"> </w:t>
      </w:r>
      <w:r>
        <w:t xml:space="preserve">European dimension. The problems described above are affecting:</w:t>
      </w:r>
    </w:p>
    <w:p>
      <w:pPr>
        <w:pStyle w:val="BodyText"/>
      </w:pPr>
      <w:r>
        <w:t xml:space="preserve">Actors that are responsible for implementing the labelling rules;</w:t>
      </w:r>
    </w:p>
    <w:p>
      <w:pPr>
        <w:pStyle w:val="BodyText"/>
      </w:pPr>
      <w:r>
        <w:t xml:space="preserve">Consumers and workers using the CLP label to obtain safety information on the</w:t>
      </w:r>
      <w:r>
        <w:t xml:space="preserve"> </w:t>
      </w:r>
      <w:r>
        <w:t xml:space="preserve">hazards related to a chemical;</w:t>
      </w:r>
      <w:r>
        <w:t xml:space="preserve"> </w:t>
      </w:r>
      <w:r>
        <w:t xml:space="preserve">Competent authorities in charge of enforcing CLP.</w:t>
      </w:r>
      <w:r>
        <w:t xml:space="preserve"> </w:t>
      </w:r>
      <w:r>
        <w:t xml:space="preserve">Drivers</w:t>
      </w:r>
      <w:r>
        <w:t xml:space="preserve"> </w:t>
      </w:r>
      <w:r>
        <w:t xml:space="preserve">The main drivers of the problems in hazard labelling are:</w:t>
      </w:r>
      <w:r>
        <w:t xml:space="preserve"> </w:t>
      </w:r>
      <w:r>
        <w:t xml:space="preserve">Regulatory failure driver due to poor application of current rules due to complexity of</w:t>
      </w:r>
      <w:r>
        <w:t xml:space="preserve"> </w:t>
      </w:r>
      <w:r>
        <w:t xml:space="preserve">labelling provisions - Certain CLP labelling requirements are difficult to apply which</w:t>
      </w:r>
    </w:p>
    <w:p>
      <w:pPr>
        <w:pStyle w:val="BodyText"/>
      </w:pPr>
      <w:r>
        <w:t xml:space="preserve">256 2016 Special Eurobarometer 456 https://data.europa.eu/euodp/data/dataset/S2111_86_3_456_ENG</w:t>
      </w:r>
      <w:r>
        <w:br/>
      </w:r>
      <w:r>
        <w:t xml:space="preserve">257 2017 Special Eurobarometer 468 https://europa.eu/eurobarometer/surveys/detail/2156</w:t>
      </w:r>
    </w:p>
    <w:p>
      <w:pPr>
        <w:pStyle w:val="BodyText"/>
      </w:pPr>
      <w:r>
        <w:t xml:space="preserve">329</w:t>
      </w:r>
      <w:r>
        <w:t xml:space="preserve"> </w:t>
      </w:r>
      <w:r>
        <w:t xml:space="preserve">sometimes results into a failure to label certain chemicals. This concerns in particular</w:t>
      </w:r>
      <w:r>
        <w:t xml:space="preserve"> </w:t>
      </w:r>
      <w:r>
        <w:t xml:space="preserve">chemicals placed on the market in very small packaging (e.g. writing instruments, lighters,</w:t>
      </w:r>
      <w:r>
        <w:t xml:space="preserve"> </w:t>
      </w:r>
      <w:r>
        <w:t xml:space="preserve">super glues), chemicals supplied to consumers in bulk (e.g. car or boat fuel at filling</w:t>
      </w:r>
      <w:r>
        <w:t xml:space="preserve"> </w:t>
      </w:r>
      <w:r>
        <w:t xml:space="preserve">stations). The labelling requirements are also not sufficiently clear for modern sales</w:t>
      </w:r>
      <w:r>
        <w:t xml:space="preserve"> </w:t>
      </w:r>
      <w:r>
        <w:t xml:space="preserve">practices (e.g. refill of detergents by the consumer).</w:t>
      </w:r>
      <w:r>
        <w:t xml:space="preserve"> </w:t>
      </w:r>
      <w:r>
        <w:t xml:space="preserve">Market failure driver due to inconsistent hazard communication across the supply chain</w:t>
      </w:r>
      <w:r>
        <w:t xml:space="preserve"> </w:t>
      </w:r>
      <w:r>
        <w:t xml:space="preserve">- Many companies are placing chemicals on the market in multiple countries and, therefore,</w:t>
      </w:r>
      <w:r>
        <w:t xml:space="preserve"> </w:t>
      </w:r>
      <w:r>
        <w:t xml:space="preserve">provide the information on the label in a number of different languages. This often results</w:t>
      </w:r>
      <w:r>
        <w:t xml:space="preserve"> </w:t>
      </w:r>
      <w:r>
        <w:t xml:space="preserve">in very small font sizes (i.e. reducing readability) or making a suboptimal use of novel form</w:t>
      </w:r>
      <w:r>
        <w:t xml:space="preserve"> </w:t>
      </w:r>
      <w:r>
        <w:t xml:space="preserve">of labelling such as fold out labels. This can result into an inefficient hazard communication</w:t>
      </w:r>
      <w:r>
        <w:t xml:space="preserve"> </w:t>
      </w:r>
      <w:r>
        <w:t xml:space="preserve">and consumers and, subsequently, workers are not sufficiently informed on the hazards</w:t>
      </w:r>
      <w:r>
        <w:t xml:space="preserve"> </w:t>
      </w:r>
      <w:r>
        <w:t xml:space="preserve">related to a chemical and/or face difficulties in reading and understanding the content of the</w:t>
      </w:r>
      <w:r>
        <w:t xml:space="preserve"> </w:t>
      </w:r>
      <w:r>
        <w:t xml:space="preserve">label.</w:t>
      </w:r>
      <w:r>
        <w:t xml:space="preserve"> </w:t>
      </w:r>
      <w:r>
        <w:t xml:space="preserve">How likely is the problem to persist? / Baseline</w:t>
      </w:r>
      <w:r>
        <w:br/>
      </w:r>
      <w:r>
        <w:t xml:space="preserve">The main problems identified above are:</w:t>
      </w:r>
      <w:r>
        <w:t xml:space="preserve"> </w:t>
      </w:r>
      <w:r>
        <w:t xml:space="preserve"> Consumers and workers do not have sufficient information due to the absence of</w:t>
      </w:r>
      <w:r>
        <w:t xml:space="preserve"> </w:t>
      </w:r>
      <w:r>
        <w:t xml:space="preserve">CLP labelling for certain chemicals or inefficient communication.</w:t>
      </w:r>
      <w:r>
        <w:t xml:space="preserve"> </w:t>
      </w:r>
      <w:r>
        <w:t xml:space="preserve"> Insufficient compliance and unnecessary administrative burden.</w:t>
      </w:r>
      <w:r>
        <w:t xml:space="preserve"> </w:t>
      </w:r>
      <w:r>
        <w:t xml:space="preserve">The rules on classification, labelling and packaging of hazardous chemicals are harmonised</w:t>
      </w:r>
      <w:r>
        <w:t xml:space="preserve"> </w:t>
      </w:r>
      <w:r>
        <w:t xml:space="preserve">at EU level via the CLP Regulation. Therefore, the above problems will continue to persist</w:t>
      </w:r>
      <w:r>
        <w:t xml:space="preserve"> </w:t>
      </w:r>
      <w:r>
        <w:t xml:space="preserve">in absence of EU action. In addition, the evidence collected via the 2019 chemicals Fitness</w:t>
      </w:r>
      <w:r>
        <w:t xml:space="preserve"> </w:t>
      </w:r>
      <w:r>
        <w:t xml:space="preserve">check, 2016 and 2017 Eurobarometer surveys and the European FORUM enforcement</w:t>
      </w:r>
      <w:r>
        <w:t xml:space="preserve"> </w:t>
      </w:r>
      <w:r>
        <w:t xml:space="preserve">projects clearly indicates a European dimension of the described labelling issues.</w:t>
      </w:r>
      <w:r>
        <w:t xml:space="preserve"> </w:t>
      </w:r>
      <w:r>
        <w:t xml:space="preserve">Considering the long-term developments and trends, the following paragraphs contain an</w:t>
      </w:r>
      <w:r>
        <w:t xml:space="preserve"> </w:t>
      </w:r>
      <w:r>
        <w:t xml:space="preserve">assessment of how the problems will persist in the absence of EU policy intervention:</w:t>
      </w:r>
      <w:r>
        <w:t xml:space="preserve"> </w:t>
      </w:r>
      <w:r>
        <w:t xml:space="preserve">Labelling and packaging issues with chemicals placed on the market for refill – This</w:t>
      </w:r>
      <w:r>
        <w:t xml:space="preserve"> </w:t>
      </w:r>
      <w:r>
        <w:t xml:space="preserve">refers to a novel practice of offering unpackaged consumer chemicals in stores where the</w:t>
      </w:r>
      <w:r>
        <w:t xml:space="preserve"> </w:t>
      </w:r>
      <w:r>
        <w:t xml:space="preserve">consumers brings its own reusable container into which the chemical is filled, thus reducing</w:t>
      </w:r>
      <w:r>
        <w:t xml:space="preserve"> </w:t>
      </w:r>
      <w:r>
        <w:t xml:space="preserve">packaging waste. This practice is already more common for food but this is also introduced</w:t>
      </w:r>
      <w:r>
        <w:t xml:space="preserve"> </w:t>
      </w:r>
      <w:r>
        <w:t xml:space="preserve">for chemicals, so far mostly detergents and home care products and corresponds to about</w:t>
      </w:r>
      <w:r>
        <w:t xml:space="preserve"> </w:t>
      </w:r>
      <w:r>
        <w:t xml:space="preserve">2% of total market for those products (about 179,000 t/year). This figure encompasses refill</w:t>
      </w:r>
      <w:r>
        <w:t xml:space="preserve"> </w:t>
      </w:r>
      <w:r>
        <w:t xml:space="preserve">detergents made available to all users; considering the average range of delivered quantity</w:t>
      </w:r>
      <w:r>
        <w:t xml:space="preserve"> </w:t>
      </w:r>
      <w:r>
        <w:t xml:space="preserve">per transaction can be estimated to range from 89.5 million to 8.95 million individual sales</w:t>
      </w:r>
      <w:r>
        <w:t xml:space="preserve"> </w:t>
      </w:r>
      <w:r>
        <w:t xml:space="preserve">per year for refill of chemicals. By 2040 it is expected that this practice will increase up to</w:t>
      </w:r>
      <w:r>
        <w:t xml:space="preserve"> </w:t>
      </w:r>
      <w:r>
        <w:t xml:space="preserve">over 265,000 t/year accounting for about 132.5 million to 13.25 million individual sales per</w:t>
      </w:r>
      <w:r>
        <w:t xml:space="preserve"> </w:t>
      </w:r>
      <w:r>
        <w:t xml:space="preserve">year for self-refill of chemicals. Therefore, assuming a rate of non-compliance of 50% for</w:t>
      </w:r>
      <w:r>
        <w:t xml:space="preserve"> </w:t>
      </w:r>
      <w:r>
        <w:t xml:space="preserve">CLP labelling, it can be assumed that by 2040 from 6.62 to 66.2 million purchases of refill</w:t>
      </w:r>
      <w:r>
        <w:t xml:space="preserve"> </w:t>
      </w:r>
      <w:r>
        <w:t xml:space="preserve">chemicals will happen in absence of the appropriate labelling information and further</w:t>
      </w:r>
      <w:r>
        <w:t xml:space="preserve"> </w:t>
      </w:r>
      <w:r>
        <w:t xml:space="preserve">hamper the effectiveness of hazard communication, thus increasing the risk of consequences</w:t>
      </w:r>
      <w:r>
        <w:t xml:space="preserve"> </w:t>
      </w:r>
      <w:r>
        <w:t xml:space="preserve">for health or the environment. In addition, there is concern that this practice would not only</w:t>
      </w:r>
      <w:r>
        <w:t xml:space="preserve"> </w:t>
      </w:r>
      <w:r>
        <w:t xml:space="preserve">be limited to chemicals with less severe hazards. Allowing this practice for corrosive</w:t>
      </w:r>
      <w:r>
        <w:t xml:space="preserve"> </w:t>
      </w:r>
      <w:r>
        <w:t xml:space="preserve">chemicals such as drain cleaners could result in severe accidents, for example, involving</w:t>
      </w:r>
    </w:p>
    <w:p>
      <w:pPr>
        <w:pStyle w:val="BodyText"/>
      </w:pPr>
      <w:r>
        <w:t xml:space="preserve">330</w:t>
      </w:r>
      <w:r>
        <w:t xml:space="preserve"> </w:t>
      </w:r>
      <w:r>
        <w:t xml:space="preserve">consumers at the point of sale. However, restricting the refill to less hazardous chemicals</w:t>
      </w:r>
      <w:r>
        <w:t xml:space="preserve"> </w:t>
      </w:r>
      <w:r>
        <w:t xml:space="preserve">requires modifications in CLP.</w:t>
      </w:r>
      <w:r>
        <w:t xml:space="preserve"> </w:t>
      </w:r>
      <w:r>
        <w:t xml:space="preserve">Labelling issues with chemicals placed on the market with multi-language labels – The</w:t>
      </w:r>
      <w:r>
        <w:t xml:space="preserve"> </w:t>
      </w:r>
      <w:r>
        <w:t xml:space="preserve">European Chemicals Agency estimated that on average each chemical is placed on the</w:t>
      </w:r>
      <w:r>
        <w:t xml:space="preserve"> </w:t>
      </w:r>
      <w:r>
        <w:t xml:space="preserve">market in 5 EU countries. The Agency also determines those Member States where the scale</w:t>
      </w:r>
      <w:r>
        <w:t xml:space="preserve"> </w:t>
      </w:r>
      <w:r>
        <w:t xml:space="preserve">of the problem is likely to be greatest. Member States with the greatest number of</w:t>
      </w:r>
      <w:r>
        <w:t xml:space="preserve"> </w:t>
      </w:r>
      <w:r>
        <w:t xml:space="preserve">neighbouring countries such as Germany (9 neighbours), France (8) and Hungry (7) will</w:t>
      </w:r>
      <w:r>
        <w:t xml:space="preserve"> </w:t>
      </w:r>
      <w:r>
        <w:t xml:space="preserve">likely experience the export and sale of chemicals products to other Member States to a</w:t>
      </w:r>
      <w:r>
        <w:t xml:space="preserve"> </w:t>
      </w:r>
      <w:r>
        <w:t xml:space="preserve">greater degree than those with fewer borders. Data from the chemicals industry shows that</w:t>
      </w:r>
      <w:r>
        <w:t xml:space="preserve"> </w:t>
      </w:r>
      <w:r>
        <w:t xml:space="preserve">the trend in sales between Member States has increased steadily from 2009. This suggests</w:t>
      </w:r>
      <w:r>
        <w:t xml:space="preserve"> </w:t>
      </w:r>
      <w:r>
        <w:t xml:space="preserve">that the number of products sold between Member States is also increasing and highlights</w:t>
      </w:r>
      <w:r>
        <w:t xml:space="preserve"> </w:t>
      </w:r>
      <w:r>
        <w:t xml:space="preserve">the growing EU market for chemical products. Therefore, the sale of chemical products in</w:t>
      </w:r>
      <w:r>
        <w:t xml:space="preserve"> </w:t>
      </w:r>
      <w:r>
        <w:t xml:space="preserve">multiple Member State markets is likely to grow, along with the scale of the problem of</w:t>
      </w:r>
      <w:r>
        <w:t xml:space="preserve"> </w:t>
      </w:r>
      <w:r>
        <w:t xml:space="preserve">poorly readable multilingual labels and high rates of non-compliance with official language</w:t>
      </w:r>
      <w:r>
        <w:t xml:space="preserve"> </w:t>
      </w:r>
      <w:r>
        <w:t xml:space="preserve">requirements.</w:t>
      </w:r>
      <w:r>
        <w:t xml:space="preserve"> </w:t>
      </w:r>
      <w:r>
        <w:t xml:space="preserve">Labelling issues with chemicals placed on the market for consumers in bulk (without</w:t>
      </w:r>
      <w:r>
        <w:t xml:space="preserve"> </w:t>
      </w:r>
      <w:r>
        <w:t xml:space="preserve">packaging) - This concerns mostly fuel for transport purposes purchased at filling stations</w:t>
      </w:r>
      <w:r>
        <w:t xml:space="preserve"> </w:t>
      </w:r>
      <w:r>
        <w:t xml:space="preserve">and pumped directly into a tank of a vehicle. To a lesser extent, this also concerns the supply</w:t>
      </w:r>
      <w:r>
        <w:t xml:space="preserve"> </w:t>
      </w:r>
      <w:r>
        <w:t xml:space="preserve">of fuel additives (e.g. “Ad-blue”) and other fluids for use in vehicles. The difference to the</w:t>
      </w:r>
      <w:r>
        <w:t xml:space="preserve"> </w:t>
      </w:r>
      <w:r>
        <w:t xml:space="preserve">refill scenario described above is that the chemicals are directly pumped into a tank from</w:t>
      </w:r>
      <w:r>
        <w:t xml:space="preserve"> </w:t>
      </w:r>
      <w:r>
        <w:t xml:space="preserve">where it is not intended to be removed again by the consumer. Therefore, there is a smaller</w:t>
      </w:r>
      <w:r>
        <w:t xml:space="preserve"> </w:t>
      </w:r>
      <w:r>
        <w:t xml:space="preserve">risk of exposure or accidents, and that unsuitable receptacles are used. This is also not a</w:t>
      </w:r>
      <w:r>
        <w:t xml:space="preserve"> </w:t>
      </w:r>
      <w:r>
        <w:t xml:space="preserve">novel practice. Currently over 235,578 Kt per year of fuel are placed on the EU market,</w:t>
      </w:r>
      <w:r>
        <w:t xml:space="preserve"> </w:t>
      </w:r>
      <w:r>
        <w:t xml:space="preserve">considering the significant development of alternative mobility solutions (electric cars), by</w:t>
      </w:r>
      <w:r>
        <w:t xml:space="preserve"> </w:t>
      </w:r>
      <w:r>
        <w:t xml:space="preserve">2040 it is expected to decrease to less than 100,000 Kt per year. This remains a very</w:t>
      </w:r>
      <w:r>
        <w:t xml:space="preserve"> </w:t>
      </w:r>
      <w:r>
        <w:t xml:space="preserve">significant quantity of chemicals placed on the market in bulk every year in EU with sub</w:t>
      </w:r>
      <w:r>
        <w:t xml:space="preserve"> </w:t>
      </w:r>
      <w:r>
        <w:t xml:space="preserve">optimal or no CLP labelling. The current levels of non-compliance vary significantly</w:t>
      </w:r>
      <w:r>
        <w:t xml:space="preserve"> </w:t>
      </w:r>
      <w:r>
        <w:t xml:space="preserve">between Member States. Some Member States have set up guidelines on how the labelling</w:t>
      </w:r>
      <w:r>
        <w:t xml:space="preserve"> </w:t>
      </w:r>
      <w:r>
        <w:t xml:space="preserve">requirements are to be applied in those cases (i.e. established a requirement to put the label</w:t>
      </w:r>
      <w:r>
        <w:t xml:space="preserve"> </w:t>
      </w:r>
      <w:r>
        <w:t xml:space="preserve">on the fuel pump) and in those Member States there are high levels of compliance. Other</w:t>
      </w:r>
      <w:r>
        <w:t xml:space="preserve"> </w:t>
      </w:r>
      <w:r>
        <w:t xml:space="preserve">Member States have not acted on this and fuel pumps are typically not labelled.</w:t>
      </w:r>
      <w:r>
        <w:t xml:space="preserve"> </w:t>
      </w:r>
      <w:r>
        <w:t xml:space="preserve">Labelling issues with chemicals placed on the market with small packaging (e.g. writing</w:t>
      </w:r>
      <w:r>
        <w:t xml:space="preserve"> </w:t>
      </w:r>
      <w:r>
        <w:t xml:space="preserve">instruments, lighters, essential oils). Those products are broadly commercialised and</w:t>
      </w:r>
      <w:r>
        <w:t xml:space="preserve"> </w:t>
      </w:r>
      <w:r>
        <w:t xml:space="preserve">purchased in the EU: between about 734 to 898 billion units are placed on the EU market</w:t>
      </w:r>
      <w:r>
        <w:t xml:space="preserve"> </w:t>
      </w:r>
      <w:r>
        <w:t xml:space="preserve">every year. By 2040 this number is expected to slightly increase. Considering a level of non-</w:t>
      </w:r>
      <w:r>
        <w:t xml:space="preserve"> </w:t>
      </w:r>
      <w:r>
        <w:t xml:space="preserve">compliance of CLP labels of about 50%, from 367 up to 449 billion units of chemicals in</w:t>
      </w:r>
      <w:r>
        <w:t xml:space="preserve"> </w:t>
      </w:r>
      <w:r>
        <w:t xml:space="preserve">small packaging might be placed on the market every year with sub optimal or no CLP</w:t>
      </w:r>
      <w:r>
        <w:t xml:space="preserve"> </w:t>
      </w:r>
      <w:r>
        <w:t xml:space="preserve">labelling. The CLP Regulation requires that those items must have the labelling on the</w:t>
      </w:r>
      <w:r>
        <w:t xml:space="preserve"> </w:t>
      </w:r>
      <w:r>
        <w:t xml:space="preserve">packaging but in practice items like writing instruments using hazardous inks or lighters are</w:t>
      </w:r>
      <w:r>
        <w:t xml:space="preserve"> </w:t>
      </w:r>
      <w:r>
        <w:t xml:space="preserve">often sold without packaging. Given the parallel objective of reducing packaging waste, a</w:t>
      </w:r>
      <w:r>
        <w:t xml:space="preserve"> </w:t>
      </w:r>
      <w:r>
        <w:t xml:space="preserve">balanced approach is needed between the need for appropriate hazard communication and</w:t>
      </w:r>
      <w:r>
        <w:t xml:space="preserve"> </w:t>
      </w:r>
      <w:r>
        <w:t xml:space="preserve">circular economy objectives.</w:t>
      </w:r>
    </w:p>
    <w:p>
      <w:pPr>
        <w:pStyle w:val="BodyText"/>
      </w:pPr>
      <w:r>
        <w:t xml:space="preserve">331</w:t>
      </w:r>
      <w:r>
        <w:t xml:space="preserve"> </w:t>
      </w:r>
      <w:r>
        <w:t xml:space="preserve">For labelling issues, it is likely that the size of the problem will increase or at best will</w:t>
      </w:r>
      <w:r>
        <w:t xml:space="preserve"> </w:t>
      </w:r>
      <w:r>
        <w:t xml:space="preserve">continue to be significant at EU level. Guidance on Labelling258 was first issued in 2011 by</w:t>
      </w:r>
      <w:r>
        <w:t xml:space="preserve"> </w:t>
      </w:r>
      <w:r>
        <w:t xml:space="preserve">the European Chemicals Agency and has been updated six times. Despite appropriate</w:t>
      </w:r>
      <w:r>
        <w:t xml:space="preserve"> </w:t>
      </w:r>
      <w:r>
        <w:t xml:space="preserve">guidance documents and multiple updates the above problems continue to be significant.</w:t>
      </w:r>
      <w:r>
        <w:t xml:space="preserve"> </w:t>
      </w:r>
      <w:r>
        <w:t xml:space="preserve">Therefore, it cannot be expected that guidance will suffice to address the problems.</w:t>
      </w:r>
    </w:p>
    <w:p>
      <w:pPr>
        <w:pStyle w:val="BodyText"/>
      </w:pPr>
      <w:r>
        <w:t xml:space="preserve">DESCRIPTION OF POLICY OPTION AND/OR SUB-OPTIONS FOR HAZARD LABELLING</w:t>
      </w:r>
      <w:r>
        <w:t xml:space="preserve"> </w:t>
      </w:r>
      <w:r>
        <w:t xml:space="preserve">The following policy options have been assessed to facilitate compliance with the CLP</w:t>
      </w:r>
      <w:r>
        <w:t xml:space="preserve"> </w:t>
      </w:r>
      <w:r>
        <w:t xml:space="preserve">Regulation and to improve the protection of health and the environment.</w:t>
      </w:r>
    </w:p>
    <w:p>
      <w:pPr>
        <w:pStyle w:val="BodyText"/>
      </w:pPr>
      <w:r>
        <w:t xml:space="preserve">258 See https://echa.europa.eu/documents/10162/2324906/clp_labelling_en.pdf/89628d94-573a-4024-86cc-</w:t>
      </w:r>
      <w:r>
        <w:t xml:space="preserve"> </w:t>
      </w:r>
      <w:r>
        <w:t xml:space="preserve">0b4052a74d65</w:t>
      </w:r>
    </w:p>
    <w:p>
      <w:pPr>
        <w:pStyle w:val="BodyText"/>
      </w:pPr>
      <w:r>
        <w:t xml:space="preserve">332</w:t>
      </w:r>
      <w:r>
        <w:t xml:space="preserve"> </w:t>
      </w:r>
      <w:r>
        <w:t xml:space="preserve">Table 94: PO2a and PO2b – Hazard communication and labelling</w:t>
      </w:r>
      <w:r>
        <w:t xml:space="preserve"> </w:t>
      </w:r>
      <w:r>
        <w:t xml:space="preserve">PO2 Hazard communication and labelling</w:t>
      </w:r>
      <w:r>
        <w:br/>
      </w:r>
      <w:r>
        <w:t xml:space="preserve">Policy measure</w:t>
      </w:r>
      <w:r>
        <w:br/>
      </w:r>
      <w:r>
        <w:t xml:space="preserve">Category</w:t>
      </w:r>
      <w:r>
        <w:br/>
      </w:r>
      <w:r>
        <w:t xml:space="preserve">Description</w:t>
      </w:r>
      <w:r>
        <w:br/>
      </w:r>
      <w:r>
        <w:t xml:space="preserve">PO2a Update and prepare guidance</w:t>
      </w:r>
      <w:r>
        <w:t xml:space="preserve"> </w:t>
      </w:r>
      <w:r>
        <w:t xml:space="preserve">#11 Guidance on</w:t>
      </w:r>
      <w:r>
        <w:t xml:space="preserve"> </w:t>
      </w:r>
      <w:r>
        <w:t xml:space="preserve">labelling</w:t>
      </w:r>
      <w:r>
        <w:t xml:space="preserve"> </w:t>
      </w:r>
      <w:r>
        <w:t xml:space="preserve">Soft</w:t>
      </w:r>
      <w:r>
        <w:t xml:space="preserve"> </w:t>
      </w:r>
      <w:r>
        <w:t xml:space="preserve">regulation</w:t>
      </w:r>
      <w:r>
        <w:br/>
      </w:r>
      <w:r>
        <w:t xml:space="preserve">The European Chemicals Agency to update guidance</w:t>
      </w:r>
      <w:r>
        <w:t xml:space="preserve"> </w:t>
      </w:r>
      <w:r>
        <w:t xml:space="preserve">to clarify the applicability of the CLP Regulation and</w:t>
      </w:r>
      <w:r>
        <w:t xml:space="preserve"> </w:t>
      </w:r>
      <w:r>
        <w:t xml:space="preserve">the corresponding rules for chemicals supplied:</w:t>
      </w:r>
      <w:r>
        <w:t xml:space="preserve"> </w:t>
      </w:r>
      <w:r>
        <w:t xml:space="preserve">in very small packaging (e.g. writing instruments);</w:t>
      </w:r>
      <w:r>
        <w:t xml:space="preserve"> </w:t>
      </w:r>
      <w:r>
        <w:t xml:space="preserve">to consumers in bulk (e.g. fuels);</w:t>
      </w:r>
      <w:r>
        <w:t xml:space="preserve"> </w:t>
      </w:r>
      <w:r>
        <w:t xml:space="preserve">via refill of containers (e.g. detergents).</w:t>
      </w:r>
      <w:r>
        <w:t xml:space="preserve"> </w:t>
      </w:r>
      <w:r>
        <w:t xml:space="preserve">PO2b Improving labelling and making it more flexible</w:t>
      </w:r>
      <w:r>
        <w:t xml:space="preserve"> </w:t>
      </w:r>
      <w:r>
        <w:t xml:space="preserve">#12 Improving</w:t>
      </w:r>
      <w:r>
        <w:t xml:space="preserve"> </w:t>
      </w:r>
      <w:r>
        <w:t xml:space="preserve">readability</w:t>
      </w:r>
      <w:r>
        <w:t xml:space="preserve"> </w:t>
      </w:r>
      <w:r>
        <w:t xml:space="preserve">Hard, legally</w:t>
      </w:r>
      <w:r>
        <w:t xml:space="preserve"> </w:t>
      </w:r>
      <w:r>
        <w:t xml:space="preserve">binding rules</w:t>
      </w:r>
      <w:r>
        <w:br/>
      </w:r>
      <w:r>
        <w:t xml:space="preserve">The Commission to amend Section 1.2 Annex I to</w:t>
      </w:r>
      <w:r>
        <w:t xml:space="preserve"> </w:t>
      </w:r>
      <w:r>
        <w:t xml:space="preserve">introduce general provisions for a minimum font size</w:t>
      </w:r>
      <w:r>
        <w:t xml:space="preserve"> </w:t>
      </w:r>
      <w:r>
        <w:t xml:space="preserve">and other provisions to improve the readability of the</w:t>
      </w:r>
      <w:r>
        <w:t xml:space="preserve"> </w:t>
      </w:r>
      <w:r>
        <w:t xml:space="preserve">label, based on current ECHA guidance.</w:t>
      </w:r>
      <w:r>
        <w:t xml:space="preserve"> </w:t>
      </w:r>
      <w:r>
        <w:t xml:space="preserve">#14 Facilitating</w:t>
      </w:r>
      <w:r>
        <w:t xml:space="preserve"> </w:t>
      </w:r>
      <w:r>
        <w:t xml:space="preserve">refill sales through</w:t>
      </w:r>
      <w:r>
        <w:t xml:space="preserve"> </w:t>
      </w:r>
      <w:r>
        <w:t xml:space="preserve">proper labelling</w:t>
      </w:r>
      <w:r>
        <w:t xml:space="preserve"> </w:t>
      </w:r>
      <w:r>
        <w:t xml:space="preserve">and other related</w:t>
      </w:r>
      <w:r>
        <w:t xml:space="preserve"> </w:t>
      </w:r>
      <w:r>
        <w:t xml:space="preserve">requirements</w:t>
      </w:r>
      <w:r>
        <w:t xml:space="preserve"> </w:t>
      </w:r>
      <w:r>
        <w:t xml:space="preserve">Hard, legally</w:t>
      </w:r>
      <w:r>
        <w:t xml:space="preserve"> </w:t>
      </w:r>
      <w:r>
        <w:t xml:space="preserve">binding rules</w:t>
      </w:r>
      <w:r>
        <w:br/>
      </w:r>
      <w:r>
        <w:t xml:space="preserve">The Commission to address the new practice of refill</w:t>
      </w:r>
      <w:r>
        <w:t xml:space="preserve"> </w:t>
      </w:r>
      <w:r>
        <w:t xml:space="preserve">sales explicitly in the CLP Regulation to provide</w:t>
      </w:r>
      <w:r>
        <w:t xml:space="preserve"> </w:t>
      </w:r>
      <w:r>
        <w:t xml:space="preserve">clarity to retailers on the applicable rules for labelling,</w:t>
      </w:r>
      <w:r>
        <w:t xml:space="preserve"> </w:t>
      </w:r>
      <w:r>
        <w:t xml:space="preserve">thus providing flexibility and legal certainty and</w:t>
      </w:r>
      <w:r>
        <w:t xml:space="preserve"> </w:t>
      </w:r>
      <w:r>
        <w:t xml:space="preserve">boostering a sales method that contributes to circular</w:t>
      </w:r>
      <w:r>
        <w:t xml:space="preserve"> </w:t>
      </w:r>
      <w:r>
        <w:t xml:space="preserve">economy objectives. To avoid that this leads to an</w:t>
      </w:r>
      <w:r>
        <w:t xml:space="preserve"> </w:t>
      </w:r>
      <w:r>
        <w:t xml:space="preserve">unacceptable risk for health and the environment by</w:t>
      </w:r>
      <w:r>
        <w:t xml:space="preserve"> </w:t>
      </w:r>
      <w:r>
        <w:t xml:space="preserve">doing so (e.g. risks of serious incident during the refill</w:t>
      </w:r>
      <w:r>
        <w:t xml:space="preserve"> </w:t>
      </w:r>
      <w:r>
        <w:t xml:space="preserve">process or later use at home), the practice should be</w:t>
      </w:r>
      <w:r>
        <w:t xml:space="preserve"> </w:t>
      </w:r>
      <w:r>
        <w:t xml:space="preserve">limited to chemicals with less severe hazards.</w:t>
      </w:r>
      <w:r>
        <w:t xml:space="preserve"> </w:t>
      </w:r>
      <w:r>
        <w:t xml:space="preserve">#15 Facilitating the</w:t>
      </w:r>
      <w:r>
        <w:t xml:space="preserve"> </w:t>
      </w:r>
      <w:r>
        <w:t xml:space="preserve">use of fold-out</w:t>
      </w:r>
      <w:r>
        <w:t xml:space="preserve"> </w:t>
      </w:r>
      <w:r>
        <w:t xml:space="preserve">labels.</w:t>
      </w:r>
      <w:r>
        <w:br/>
      </w:r>
      <w:r>
        <w:t xml:space="preserve">Hard, legally</w:t>
      </w:r>
      <w:r>
        <w:t xml:space="preserve"> </w:t>
      </w:r>
      <w:r>
        <w:t xml:space="preserve">binding rules</w:t>
      </w:r>
      <w:r>
        <w:br/>
      </w:r>
      <w:r>
        <w:t xml:space="preserve">The Commission to amend Article 29(1) and section</w:t>
      </w:r>
      <w:r>
        <w:t xml:space="preserve"> </w:t>
      </w:r>
      <w:r>
        <w:t xml:space="preserve">1.5.1.1 of Annex I of CLP to allow for a broader use</w:t>
      </w:r>
      <w:r>
        <w:t xml:space="preserve"> </w:t>
      </w:r>
      <w:r>
        <w:t xml:space="preserve">of fold out labels or tie-on tags to increase the</w:t>
      </w:r>
      <w:r>
        <w:t xml:space="preserve"> </w:t>
      </w:r>
      <w:r>
        <w:t xml:space="preserve">effectiveness of hazard communication whilst</w:t>
      </w:r>
      <w:r>
        <w:t xml:space="preserve"> </w:t>
      </w:r>
      <w:r>
        <w:t xml:space="preserve">facilitating the free movement of chemicals in the</w:t>
      </w:r>
      <w:r>
        <w:t xml:space="preserve"> </w:t>
      </w:r>
      <w:r>
        <w:t xml:space="preserve">internal market.</w:t>
      </w:r>
      <w:r>
        <w:br/>
      </w:r>
      <w:r>
        <w:t xml:space="preserve">#16 Labelling</w:t>
      </w:r>
      <w:r>
        <w:t xml:space="preserve"> </w:t>
      </w:r>
      <w:r>
        <w:t xml:space="preserve">exemptions for</w:t>
      </w:r>
      <w:r>
        <w:t xml:space="preserve"> </w:t>
      </w:r>
      <w:r>
        <w:t xml:space="preserve">chemicals sold in</w:t>
      </w:r>
      <w:r>
        <w:t xml:space="preserve"> </w:t>
      </w:r>
      <w:r>
        <w:t xml:space="preserve">bulk to consumers</w:t>
      </w:r>
      <w:r>
        <w:t xml:space="preserve"> </w:t>
      </w:r>
      <w:r>
        <w:t xml:space="preserve">and in very small</w:t>
      </w:r>
      <w:r>
        <w:t xml:space="preserve"> </w:t>
      </w:r>
      <w:r>
        <w:t xml:space="preserve">packaging</w:t>
      </w:r>
      <w:r>
        <w:t xml:space="preserve"> </w:t>
      </w:r>
      <w:r>
        <w:t xml:space="preserve">Hard, legally</w:t>
      </w:r>
      <w:r>
        <w:t xml:space="preserve"> </w:t>
      </w:r>
      <w:r>
        <w:t xml:space="preserve">binding rules</w:t>
      </w:r>
      <w:r>
        <w:br/>
      </w:r>
      <w:r>
        <w:t xml:space="preserve">The Commission to amend:</w:t>
      </w:r>
      <w:r>
        <w:br/>
      </w:r>
      <w:r>
        <w:t xml:space="preserve"> Article 23 to include a labelling derogation for</w:t>
      </w:r>
      <w:r>
        <w:t xml:space="preserve"> </w:t>
      </w:r>
      <w:r>
        <w:t xml:space="preserve">chemicals sold in bulk to consumer at filling</w:t>
      </w:r>
      <w:r>
        <w:t xml:space="preserve"> </w:t>
      </w:r>
      <w:r>
        <w:t xml:space="preserve">station indicating that in such cases a label on</w:t>
      </w:r>
      <w:r>
        <w:t xml:space="preserve"> </w:t>
      </w:r>
      <w:r>
        <w:t xml:space="preserve">the pump will suffice.</w:t>
      </w:r>
      <w:r>
        <w:br/>
      </w:r>
      <w:r>
        <w:t xml:space="preserve"> Article 23 and Annex I Section 1.3 to extend</w:t>
      </w:r>
      <w:r>
        <w:t xml:space="preserve"> </w:t>
      </w:r>
      <w:r>
        <w:t xml:space="preserve">the current exemption under Article 29 and</w:t>
      </w:r>
      <w:r>
        <w:t xml:space="preserve"> </w:t>
      </w:r>
      <w:r>
        <w:t xml:space="preserve">Annex I Section 1.5 for the inner packaging of</w:t>
      </w:r>
      <w:r>
        <w:t xml:space="preserve"> </w:t>
      </w:r>
      <w:r>
        <w:t xml:space="preserve">contents not exceeding 10ml from chemicals</w:t>
      </w:r>
      <w:r>
        <w:t xml:space="preserve"> </w:t>
      </w:r>
      <w:r>
        <w:t xml:space="preserve">used for scientific R&amp;D or quality control</w:t>
      </w:r>
      <w:r>
        <w:t xml:space="preserve"> </w:t>
      </w:r>
      <w:r>
        <w:t xml:space="preserve">analysis to all hazardous chemicals that have</w:t>
      </w:r>
      <w:r>
        <w:t xml:space="preserve"> </w:t>
      </w:r>
      <w:r>
        <w:t xml:space="preserve">less severe hazards (the inner packaging must</w:t>
      </w:r>
      <w:r>
        <w:t xml:space="preserve"> </w:t>
      </w:r>
      <w:r>
        <w:t xml:space="preserve">be contained within outer packaging that</w:t>
      </w:r>
      <w:r>
        <w:t xml:space="preserve"> </w:t>
      </w:r>
      <w:r>
        <w:t xml:space="preserve">meets the requirements of Article 17).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SCREENING AND ASSESSMENT OF THE POTENTIAL MEASURES FOR HAZARD</w:t>
      </w:r>
      <w:r>
        <w:t xml:space="preserve"> </w:t>
      </w:r>
      <w:r>
        <w:t xml:space="preserve">LABELLING</w:t>
      </w:r>
      <w:r>
        <w:t xml:space="preserve"> </w:t>
      </w:r>
      <w:r>
        <w:t xml:space="preserve">Description of impacts</w:t>
      </w:r>
      <w:r>
        <w:t xml:space="preserve"> </w:t>
      </w:r>
      <w:r>
        <w:t xml:space="preserve">The areas of intervention that have been assessed against the policy options are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Improving label readability</w:t>
      </w:r>
      <w:r>
        <w:t xml:space="preserve"> </w:t>
      </w:r>
      <w:r>
        <w:t xml:space="preserve">Facilitating refill sales through proper labelling and other related requirements</w:t>
      </w:r>
      <w:r>
        <w:br/>
      </w:r>
      <w:r>
        <w:t xml:space="preserve">Facilitating the use of fold-out labels.</w:t>
      </w:r>
      <w:r>
        <w:t xml:space="preserve"> </w:t>
      </w:r>
      <w:r>
        <w:t xml:space="preserve">Labelling exemption for chemicals sold to consumers in bulk (e.g. fuel at filling stations).</w:t>
      </w:r>
      <w:r>
        <w:t xml:space="preserve"> </w:t>
      </w:r>
      <w:r>
        <w:t xml:space="preserve">Labelling exemption for chemicals sold in very small packaging (e.g. writing instruments,</w:t>
      </w:r>
      <w:r>
        <w:t xml:space="preserve"> </w:t>
      </w:r>
      <w:r>
        <w:t xml:space="preserve">lighters, super-glue).</w:t>
      </w:r>
    </w:p>
    <w:p>
      <w:pPr>
        <w:pStyle w:val="BodyText"/>
      </w:pPr>
      <w:r>
        <w:t xml:space="preserve">POLICY MEASURE #14: REFILL CHEMICALS</w:t>
      </w:r>
      <w:r>
        <w:t xml:space="preserve"> </w:t>
      </w:r>
      <w:r>
        <w:t xml:space="preserve">Economic impacts</w:t>
      </w:r>
      <w:r>
        <w:br/>
      </w:r>
      <w:r>
        <w:t xml:space="preserve">Next to improvements for health and the environment, policy measure #14 aims at</w:t>
      </w:r>
      <w:r>
        <w:t xml:space="preserve"> </w:t>
      </w:r>
      <w:r>
        <w:t xml:space="preserve">facilitating the introduction of this rather novel distribution method to support circular</w:t>
      </w:r>
      <w:r>
        <w:t xml:space="preserve"> </w:t>
      </w:r>
      <w:r>
        <w:t xml:space="preserve">economy objectives and to encourage more actors to exploit business opportunities. An</w:t>
      </w:r>
      <w:r>
        <w:t xml:space="preserve"> </w:t>
      </w:r>
      <w:r>
        <w:t xml:space="preserve">explicit mentioning of this distribution method in CLP will clarify the rules for how re-fill</w:t>
      </w:r>
      <w:r>
        <w:t xml:space="preserve"> </w:t>
      </w:r>
      <w:r>
        <w:t xml:space="preserve">chemicals should be labelled, packaged and limit this sales method to chemicals that have</w:t>
      </w:r>
      <w:r>
        <w:t xml:space="preserve"> </w:t>
      </w:r>
      <w:r>
        <w:t xml:space="preserve">less severe hazards.</w:t>
      </w:r>
      <w:r>
        <w:br/>
      </w:r>
      <w:r>
        <w:t xml:space="preserve">Currently, no guidance or legal requirements for the labelling of refill chemicals exist under</w:t>
      </w:r>
      <w:r>
        <w:t xml:space="preserve"> </w:t>
      </w:r>
      <w:r>
        <w:t xml:space="preserve">the CLP framework. Therefore, chemicals sold this way are at risk of having no or an</w:t>
      </w:r>
      <w:r>
        <w:t xml:space="preserve"> </w:t>
      </w:r>
      <w:r>
        <w:t xml:space="preserve">incorrect label and not being suitably packaged. Policy measure #14 would reaffirm that</w:t>
      </w:r>
      <w:r>
        <w:t xml:space="preserve"> </w:t>
      </w:r>
      <w:r>
        <w:t xml:space="preserve">also re-fill chemicals need to comply with the requirements of CLP for labelling and</w:t>
      </w:r>
      <w:r>
        <w:t xml:space="preserve"> </w:t>
      </w:r>
      <w:r>
        <w:t xml:space="preserve">packaging (e.g. suitable packaging material). There are several options for how compliance</w:t>
      </w:r>
      <w:r>
        <w:t xml:space="preserve"> </w:t>
      </w:r>
      <w:r>
        <w:t xml:space="preserve">could be achieved. For example, labelling could be provided via stickers that can be applied</w:t>
      </w:r>
      <w:r>
        <w:t xml:space="preserve"> </w:t>
      </w:r>
      <w:r>
        <w:t xml:space="preserve">to containers brought by consumers, or a copy of the label could be provided with the</w:t>
      </w:r>
      <w:r>
        <w:t xml:space="preserve"> </w:t>
      </w:r>
      <w:r>
        <w:t xml:space="preserve">receipt. Suitable and properly labelled containers may also need to be provided at the point</w:t>
      </w:r>
      <w:r>
        <w:t xml:space="preserve"> </w:t>
      </w:r>
      <w:r>
        <w:t xml:space="preserve">of sale at a cost to the supplier. The supplier may be obliged to update labels on containers</w:t>
      </w:r>
      <w:r>
        <w:t xml:space="preserve"> </w:t>
      </w:r>
      <w:r>
        <w:t xml:space="preserve">brought in by consumers. There are currently no indications that this sales method would</w:t>
      </w:r>
      <w:r>
        <w:t xml:space="preserve"> </w:t>
      </w:r>
      <w:r>
        <w:t xml:space="preserve">be used for chemicals with more severe hazards, although it can be expected that this would</w:t>
      </w:r>
      <w:r>
        <w:t xml:space="preserve"> </w:t>
      </w:r>
      <w:r>
        <w:t xml:space="preserve">become practice given the increasing no-packaging trend. Therefore, for action at this point</w:t>
      </w:r>
      <w:r>
        <w:t xml:space="preserve"> </w:t>
      </w:r>
      <w:r>
        <w:t xml:space="preserve">there should be no or only very limited cost linked to those policy measure.</w:t>
      </w:r>
      <w:r>
        <w:t xml:space="preserve"> </w:t>
      </w:r>
      <w:r>
        <w:t xml:space="preserve">The chemicals Fitness Check estimated that the average cost of redesigning and modifying</w:t>
      </w:r>
      <w:r>
        <w:t xml:space="preserve"> </w:t>
      </w:r>
      <w:r>
        <w:t xml:space="preserve">labels to be compliant with CLP was €388 per substance and €475 per mixture. The</w:t>
      </w:r>
      <w:r>
        <w:t xml:space="preserve"> </w:t>
      </w:r>
      <w:r>
        <w:t xml:space="preserve">chemicals Fitness Check also cites an impact assessment supporting the adoption of GHS</w:t>
      </w:r>
      <w:r>
        <w:t xml:space="preserve"> </w:t>
      </w:r>
      <w:r>
        <w:t xml:space="preserve">and implementation of CLP, and further work carried out for International Association for</w:t>
      </w:r>
      <w:r>
        <w:t xml:space="preserve"> </w:t>
      </w:r>
      <w:r>
        <w:t xml:space="preserve">Soaps, Detergents and Maintenance Products (AISE), which estimated the average cost of</w:t>
      </w:r>
      <w:r>
        <w:t xml:space="preserve"> </w:t>
      </w:r>
      <w:r>
        <w:t xml:space="preserve">re‐designing and modifying labels to be compliant with CLP to be around €300 per</w:t>
      </w:r>
      <w:r>
        <w:t xml:space="preserve"> </w:t>
      </w:r>
      <w:r>
        <w:t xml:space="preserve">formulation, based on experiences under the Dangerous Preparations Directive. However,</w:t>
      </w:r>
    </w:p>
    <w:p>
      <w:pPr>
        <w:pStyle w:val="BodyText"/>
      </w:pPr>
      <w:r>
        <w:t xml:space="preserve">334</w:t>
      </w:r>
      <w:r>
        <w:t xml:space="preserve"> </w:t>
      </w:r>
      <w:r>
        <w:t xml:space="preserve">for SMEs these figures may be higher as a significant number of companies (11% and 24%</w:t>
      </w:r>
      <w:r>
        <w:t xml:space="preserve"> </w:t>
      </w:r>
      <w:r>
        <w:t xml:space="preserve">of companies for the cost of classify substances and mixtures respectively) consulted during</w:t>
      </w:r>
      <w:r>
        <w:t xml:space="preserve"> </w:t>
      </w:r>
      <w:r>
        <w:t xml:space="preserve">the chemicals Fitness Check gave costs between €500 and €1,000 per substance/mixture,</w:t>
      </w:r>
      <w:r>
        <w:t xml:space="preserve"> </w:t>
      </w:r>
      <w:r>
        <w:t xml:space="preserve">and these companies tended to be SMEs.</w:t>
      </w:r>
      <w:r>
        <w:br/>
      </w:r>
      <w:r>
        <w:t xml:space="preserve">Detergents are one of the most common types of re-fill chemicals, with the growth of this</w:t>
      </w:r>
      <w:r>
        <w:t xml:space="preserve"> </w:t>
      </w:r>
      <w:r>
        <w:t xml:space="preserve">sector being acknowledged in the Commission’s Evaluation of the Detergents</w:t>
      </w:r>
      <w:r>
        <w:t xml:space="preserve"> </w:t>
      </w:r>
      <w:r>
        <w:t xml:space="preserve">Regulation259. The Evaluation estimated the one-off cost, per detergent product, of</w:t>
      </w:r>
      <w:r>
        <w:t xml:space="preserve"> </w:t>
      </w:r>
      <w:r>
        <w:t xml:space="preserve">producing new labels (to comply with the Detergents Regulation) to be between €200 and</w:t>
      </w:r>
      <w:r>
        <w:t xml:space="preserve"> </w:t>
      </w:r>
      <w:r>
        <w:t xml:space="preserve">€3,000. Based on both estimates, a figure of €1,000 is assumed, which sits at the upper end</w:t>
      </w:r>
      <w:r>
        <w:t xml:space="preserve"> </w:t>
      </w:r>
      <w:r>
        <w:t xml:space="preserve">of the Fitness Check estimate and the middle of the estimate provided in the Evaluation of</w:t>
      </w:r>
      <w:r>
        <w:t xml:space="preserve"> </w:t>
      </w:r>
      <w:r>
        <w:t xml:space="preserve">the Detergents Regulation.</w:t>
      </w:r>
      <w:r>
        <w:t xml:space="preserve"> </w:t>
      </w:r>
      <w:r>
        <w:t xml:space="preserve">RPA et al. (2018) states that there were between 31,500 and 51,500 consumer detergent</w:t>
      </w:r>
      <w:r>
        <w:t xml:space="preserve"> </w:t>
      </w:r>
      <w:r>
        <w:t xml:space="preserve">products that had to be relabelled as a result of the Detergents Regulation. It was also</w:t>
      </w:r>
      <w:r>
        <w:t xml:space="preserve"> </w:t>
      </w:r>
      <w:r>
        <w:t xml:space="preserve">estimated that re-fill detergents make up just over 2% of the overall market of detergent</w:t>
      </w:r>
      <w:r>
        <w:t xml:space="preserve"> </w:t>
      </w:r>
      <w:r>
        <w:t xml:space="preserve">products. Therefore, it is estimated that there are between 630 – 1,030 re-fill products on</w:t>
      </w:r>
      <w:r>
        <w:t xml:space="preserve"> </w:t>
      </w:r>
      <w:r>
        <w:t xml:space="preserve">the EU market. Considering an assumed rate of non-compliance with the CLP label of 50%,</w:t>
      </w:r>
      <w:r>
        <w:t xml:space="preserve"> </w:t>
      </w:r>
      <w:r>
        <w:t xml:space="preserve">the estimated amount of re-fill products impacted by the measure is 315-515 re-fill products</w:t>
      </w:r>
      <w:r>
        <w:t xml:space="preserve"> </w:t>
      </w:r>
      <w:r>
        <w:t xml:space="preserve">on the EU market. This would lead to a total one-off cost of between €315,000 and €515,000</w:t>
      </w:r>
      <w:r>
        <w:t xml:space="preserve"> </w:t>
      </w:r>
      <w:r>
        <w:t xml:space="preserve">that would be necessary to return to compliance.</w:t>
      </w:r>
      <w:r>
        <w:t xml:space="preserve"> </w:t>
      </w:r>
      <w:r>
        <w:t xml:space="preserve">RPA et al. (2017a) give a total one-off cost of throwing label stock away of €3.2 million to</w:t>
      </w:r>
      <w:r>
        <w:t xml:space="preserve"> </w:t>
      </w:r>
      <w:r>
        <w:t xml:space="preserve">€9 million. Applying the estimate of 2% of detergent market being re-fill detergents and a</w:t>
      </w:r>
      <w:r>
        <w:t xml:space="preserve"> </w:t>
      </w:r>
      <w:r>
        <w:t xml:space="preserve">50% rate of non-compliance gives a cost estimate of €32,000 – €90,000 for throwing re-fill</w:t>
      </w:r>
      <w:r>
        <w:t xml:space="preserve"> </w:t>
      </w:r>
      <w:r>
        <w:t xml:space="preserve">label stock away. This leads to a total one-off cost of €347,000 – €605,000. However,</w:t>
      </w:r>
      <w:r>
        <w:t xml:space="preserve"> </w:t>
      </w:r>
      <w:r>
        <w:t xml:space="preserve">changes in the labelling requirements come with transition periods during which existing</w:t>
      </w:r>
      <w:r>
        <w:t xml:space="preserve"> </w:t>
      </w:r>
      <w:r>
        <w:t xml:space="preserve">stock can be consumed to avoid the disposal of old labels.</w:t>
      </w:r>
      <w:r>
        <w:t xml:space="preserve"> </w:t>
      </w:r>
      <w:r>
        <w:t xml:space="preserve">In summary ensuring compliance with existing requirements could result in total one-off</w:t>
      </w:r>
      <w:r>
        <w:t xml:space="preserve"> </w:t>
      </w:r>
      <w:r>
        <w:t xml:space="preserve">cost of €347,000 – €605,000 and recurring costs of €15,500 – €36,000 per year.</w:t>
      </w:r>
      <w:r>
        <w:t xml:space="preserve"> </w:t>
      </w:r>
      <w:r>
        <w:t xml:space="preserve">Estimates provided earlier assessed the quantity of re-fill detergents sold in the EU to be</w:t>
      </w:r>
      <w:r>
        <w:t xml:space="preserve"> </w:t>
      </w:r>
      <w:r>
        <w:t xml:space="preserve">approximately 179 million kilograms per year. This figure encompasses re-fill detergents</w:t>
      </w:r>
      <w:r>
        <w:t xml:space="preserve"> </w:t>
      </w:r>
      <w:r>
        <w:t xml:space="preserve">made available to all end-users. It is expected that a typical sale of re-fill detergent would</w:t>
      </w:r>
      <w:r>
        <w:t xml:space="preserve"> </w:t>
      </w:r>
      <w:r>
        <w:t xml:space="preserve">range from 2L – 20L, although large quantities would be purchased during business-to-</w:t>
      </w:r>
      <w:r>
        <w:t xml:space="preserve"> </w:t>
      </w:r>
      <w:r>
        <w:t xml:space="preserve">business sales. This would provide a range of 89.5 million to 8.95 million individual sales</w:t>
      </w:r>
      <w:r>
        <w:t xml:space="preserve"> </w:t>
      </w:r>
      <w:r>
        <w:t xml:space="preserve">per year. Considering those figures, it can be calculated that the costs for the sellers of re-</w:t>
      </w:r>
      <w:r>
        <w:t xml:space="preserve"> </w:t>
      </w:r>
      <w:r>
        <w:t xml:space="preserve">fill chemicals to return into compliance are:</w:t>
      </w:r>
      <w:r>
        <w:t xml:space="preserve"> </w:t>
      </w:r>
      <w:r>
        <w:t xml:space="preserve">Scenario (89.5 million transactions)</w:t>
      </w:r>
      <w:r>
        <w:t xml:space="preserve"> </w:t>
      </w:r>
      <w:r>
        <w:t xml:space="preserve">One off costs per year and transaction</w:t>
      </w:r>
    </w:p>
    <w:p>
      <w:pPr>
        <w:pStyle w:val="BodyText"/>
      </w:pPr>
      <w:r>
        <w:t xml:space="preserve">€0.0038 – €0.0067</w:t>
      </w:r>
      <w:r>
        <w:br/>
      </w:r>
      <w:r>
        <w:t xml:space="preserve">Recurrent costs per year and transaction</w:t>
      </w:r>
    </w:p>
    <w:p>
      <w:pPr>
        <w:pStyle w:val="BodyText"/>
      </w:pPr>
      <w:r>
        <w:t xml:space="preserve">€0.00017 – €0.0004</w:t>
      </w:r>
      <w:r>
        <w:t xml:space="preserve"> </w:t>
      </w:r>
      <w:r>
        <w:t xml:space="preserve">Scenario (8.95 million transactions)</w:t>
      </w:r>
      <w:r>
        <w:t xml:space="preserve"> </w:t>
      </w:r>
      <w:r>
        <w:t xml:space="preserve"> One off costs per year and transaction</w:t>
      </w:r>
    </w:p>
    <w:p>
      <w:pPr>
        <w:pStyle w:val="BodyText"/>
      </w:pPr>
      <w:r>
        <w:t xml:space="preserve">€0.038 – €0.067</w:t>
      </w:r>
      <w:r>
        <w:t xml:space="preserve"> </w:t>
      </w:r>
      <w:r>
        <w:t xml:space="preserve"> Recurrent costs per year and transaction</w:t>
      </w:r>
    </w:p>
    <w:p>
      <w:pPr>
        <w:pStyle w:val="BodyText"/>
      </w:pPr>
      <w:r>
        <w:t xml:space="preserve">€0.0017 – €0.004</w:t>
      </w:r>
    </w:p>
    <w:p>
      <w:pPr>
        <w:pStyle w:val="BodyText"/>
      </w:pPr>
      <w:r>
        <w:t xml:space="preserve">259 RPA et al. (2018) Evaluation of the Detergents Regulation</w:t>
      </w:r>
    </w:p>
    <w:p>
      <w:pPr>
        <w:pStyle w:val="BodyText"/>
      </w:pPr>
      <w:r>
        <w:t xml:space="preserve">335</w:t>
      </w:r>
      <w:r>
        <w:t xml:space="preserve"> </w:t>
      </w:r>
      <w:r>
        <w:t xml:space="preserve">In the highest range the increase of costs due to one off and recurrent costs is expected to</w:t>
      </w:r>
      <w:r>
        <w:t xml:space="preserve"> </w:t>
      </w:r>
      <w:r>
        <w:t xml:space="preserve">be less than €0.07 per transaction (only the first year), in the following years the recurring</w:t>
      </w:r>
      <w:r>
        <w:t xml:space="preserve"> </w:t>
      </w:r>
      <w:r>
        <w:t xml:space="preserve">costs are expected to be less than €0.004 per transaction. Considering the relatively higher</w:t>
      </w:r>
      <w:r>
        <w:t xml:space="preserve"> </w:t>
      </w:r>
      <w:r>
        <w:t xml:space="preserve">market price for refill products compared to the traditional products it is expected that the</w:t>
      </w:r>
      <w:r>
        <w:t xml:space="preserve"> </w:t>
      </w:r>
      <w:r>
        <w:t xml:space="preserve">estimated increase will have very limited impact on businesses.</w:t>
      </w:r>
      <w:r>
        <w:t xml:space="preserve"> </w:t>
      </w:r>
      <w:r>
        <w:t xml:space="preserve">A negative impact on market size and profitability could only be postulated for the new</w:t>
      </w:r>
      <w:r>
        <w:t xml:space="preserve"> </w:t>
      </w:r>
      <w:r>
        <w:t xml:space="preserve">restriction of refill sales for chemicals with more severe hazards. However, as this market</w:t>
      </w:r>
      <w:r>
        <w:t xml:space="preserve"> </w:t>
      </w:r>
      <w:r>
        <w:t xml:space="preserve">currently does not seem to have developed yet, such cost should be minor and not</w:t>
      </w:r>
      <w:r>
        <w:t xml:space="preserve"> </w:t>
      </w:r>
      <w:r>
        <w:t xml:space="preserve">significant. At the same time, an improved legal framework may offer business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For the reasons outlined above, there should be no noteworthy impact on the operation of</w:t>
      </w:r>
      <w:r>
        <w:t xml:space="preserve"> </w:t>
      </w:r>
      <w:r>
        <w:t xml:space="preserve">SMEs unless they are currently not complying with the existing rules.</w:t>
      </w:r>
      <w:r>
        <w:t xml:space="preserve"> </w:t>
      </w:r>
      <w:r>
        <w:t xml:space="preserve">Policy measure #14 should not have a noteworthy impact on consumers and households</w:t>
      </w:r>
      <w:r>
        <w:t xml:space="preserve"> </w:t>
      </w:r>
      <w:r>
        <w:t xml:space="preserve">price of consumer goods. The measure should not place additional costs on suppliers of</w:t>
      </w:r>
      <w:r>
        <w:t xml:space="preserve"> </w:t>
      </w:r>
      <w:r>
        <w:t xml:space="preserve">refill chemicals in ensuring their products are appropriately labelled and packaged, unless</w:t>
      </w:r>
      <w:r>
        <w:t xml:space="preserve"> </w:t>
      </w:r>
      <w:r>
        <w:t xml:space="preserve">they are currently not complying with the existing rules. Cost to return into compliance may</w:t>
      </w:r>
      <w:r>
        <w:t xml:space="preserve"> </w:t>
      </w:r>
      <w:r>
        <w:t xml:space="preserve">be borne by the supplier, or alternatively they may be passed onto consumers through</w:t>
      </w:r>
      <w:r>
        <w:t xml:space="preserve"> </w:t>
      </w:r>
      <w:r>
        <w:t xml:space="preserve">increased price of consumer goods. The resulting impact on the price of consumer goods</w:t>
      </w:r>
      <w:r>
        <w:t xml:space="preserve"> </w:t>
      </w:r>
      <w:r>
        <w:t xml:space="preserve">cannot be assessed at this stage since it will depend on business decisions. Nevertheless, the</w:t>
      </w:r>
      <w:r>
        <w:t xml:space="preserve"> </w:t>
      </w:r>
      <w:r>
        <w:t xml:space="preserve">additional cost per transaction has been estimated to be rather small (less than €0.07 per</w:t>
      </w:r>
      <w:r>
        <w:t xml:space="preserve"> </w:t>
      </w:r>
      <w:r>
        <w:t xml:space="preserve">transaction only the first year, less than €0,004 per transaction in the following years).</w:t>
      </w:r>
      <w:r>
        <w:br/>
      </w:r>
      <w:r>
        <w:t xml:space="preserve">There is currently a perceived lack of clarity on the labelling obligations for refill chemicals</w:t>
      </w:r>
      <w:r>
        <w:t xml:space="preserve"> </w:t>
      </w:r>
      <w:r>
        <w:t xml:space="preserve">under CLP. Therefore, enforcement activities in this area are not likely to be high. With #14</w:t>
      </w:r>
      <w:r>
        <w:t xml:space="preserve"> </w:t>
      </w:r>
      <w:r>
        <w:t xml:space="preserve">the supply of refill chemicals may become an area in need of enforcement. Consequently,</w:t>
      </w:r>
      <w:r>
        <w:t xml:space="preserve"> </w:t>
      </w:r>
      <w:r>
        <w:t xml:space="preserve">enforcement cost of public authorities is expected to increase slightly under policy</w:t>
      </w:r>
      <w:r>
        <w:t xml:space="preserve"> </w:t>
      </w:r>
      <w:r>
        <w:t xml:space="preserve">measure #14. The ECHA (2019f) REACH-EN‐FORCE‐6 (REF 6) project on classification</w:t>
      </w:r>
      <w:r>
        <w:t xml:space="preserve"> </w:t>
      </w:r>
      <w:r>
        <w:t xml:space="preserve">and labelling of mixtures carried out 85 inspections as part of an optional module on rules</w:t>
      </w:r>
      <w:r>
        <w:t xml:space="preserve"> </w:t>
      </w:r>
      <w:r>
        <w:t xml:space="preserve">applicable to Liquid Laundry Detergent Capsules (LLDC). An enforcement project of</w:t>
      </w:r>
      <w:r>
        <w:t xml:space="preserve"> </w:t>
      </w:r>
      <w:r>
        <w:t xml:space="preserve">similar magnitude would be likely to be sufficient for enforcing the rules for refill chemicals.</w:t>
      </w:r>
      <w:r>
        <w:t xml:space="preserve"> </w:t>
      </w:r>
      <w:r>
        <w:t xml:space="preserve">Therefore, the number of inspections carried out on Liquid Laundry Detergent Capsules is</w:t>
      </w:r>
      <w:r>
        <w:t xml:space="preserve"> </w:t>
      </w:r>
      <w:r>
        <w:t xml:space="preserve">a proxy to estimate the cost of enforcement of re-fill chemicals. This gives a recurring cost</w:t>
      </w:r>
      <w:r>
        <w:t xml:space="preserve"> </w:t>
      </w:r>
      <w:r>
        <w:t xml:space="preserve">of €74,715 (85 x €879). It is not expected that a specific enforcement project on refill</w:t>
      </w:r>
      <w:r>
        <w:t xml:space="preserve"> </w:t>
      </w:r>
      <w:r>
        <w:t xml:space="preserve">chemicals would occur every year and, therefore, the annual cost would be even lower (a</w:t>
      </w:r>
      <w:r>
        <w:t xml:space="preserve"> </w:t>
      </w:r>
      <w:r>
        <w:t xml:space="preserve">factor 3 is applied providing a cost of €25,000 per year per enforcement project).</w:t>
      </w:r>
      <w:r>
        <w:t xml:space="preserve"> </w:t>
      </w:r>
      <w:r>
        <w:t xml:space="preserve">Policy measure #14 is expected to have a positive impact on the functioning of the internal</w:t>
      </w:r>
      <w:r>
        <w:t xml:space="preserve"> </w:t>
      </w:r>
      <w:r>
        <w:t xml:space="preserve">market and competitiveness. It will clarify the applicable rules for refill chemicals, which</w:t>
      </w:r>
      <w:r>
        <w:t xml:space="preserve"> </w:t>
      </w:r>
      <w:r>
        <w:t xml:space="preserve">will help ensure that all Member States take the same approach regarding compliance of</w:t>
      </w:r>
      <w:r>
        <w:t xml:space="preserve"> </w:t>
      </w:r>
      <w:r>
        <w:t xml:space="preserve">refill chemicals with CLP. This is expected to help level the playing field for businesses</w:t>
      </w:r>
      <w:r>
        <w:t xml:space="preserve"> </w:t>
      </w:r>
      <w:r>
        <w:t xml:space="preserve">across the EU by ensuring they all incur the same (unit) compliance costs.</w:t>
      </w:r>
      <w:r>
        <w:br/>
      </w:r>
      <w:r>
        <w:t xml:space="preserve">Table 95: Comparison of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Conduct of</w:t>
      </w:r>
      <w:r>
        <w:t xml:space="preserve"> </w:t>
      </w:r>
      <w:r>
        <w:t xml:space="preserve">Business</w:t>
      </w:r>
      <w:r>
        <w:t xml:space="preserve"> </w:t>
      </w:r>
      <w:r>
        <w:t xml:space="preserve">Labelling</w:t>
      </w:r>
      <w:r>
        <w:t xml:space="preserve"> </w:t>
      </w:r>
      <w:r>
        <w:t xml:space="preserve">Costs</w:t>
      </w:r>
      <w:r>
        <w:t xml:space="preserve"> </w:t>
      </w:r>
      <w:r>
        <w:t xml:space="preserve">(-)</w:t>
      </w:r>
      <w:r>
        <w:t xml:space="preserve"> </w:t>
      </w:r>
      <w:r>
        <w:t xml:space="preserve">Direct</w:t>
      </w:r>
      <w:r>
        <w:t xml:space="preserve"> </w:t>
      </w:r>
      <w:r>
        <w:t xml:space="preserve">Annual</w:t>
      </w:r>
      <w:r>
        <w:t xml:space="preserve"> </w:t>
      </w:r>
      <w:r>
        <w:t xml:space="preserve">recurring</w:t>
      </w:r>
      <w:r>
        <w:t xml:space="preserve"> </w:t>
      </w:r>
      <w:r>
        <w:t xml:space="preserve">Recurrent</w:t>
      </w:r>
      <w:r>
        <w:t xml:space="preserve"> </w:t>
      </w:r>
      <w:r>
        <w:t xml:space="preserve">and one off</w:t>
      </w:r>
    </w:p>
    <w:p>
      <w:pPr>
        <w:pStyle w:val="BodyText"/>
      </w:pPr>
      <w:r>
        <w:t xml:space="preserve">336</w:t>
      </w:r>
      <w:r>
        <w:t xml:space="preserve"> </w:t>
      </w:r>
      <w:r>
        <w:t xml:space="preserve">costs</w:t>
      </w:r>
      <w:r>
        <w:t xml:space="preserve"> </w:t>
      </w:r>
      <w:r>
        <w:t xml:space="preserve">(disposing of</w:t>
      </w:r>
      <w:r>
        <w:t xml:space="preserve"> </w:t>
      </w:r>
      <w:r>
        <w:t xml:space="preserve">old</w:t>
      </w:r>
      <w:r>
        <w:t xml:space="preserve"> </w:t>
      </w:r>
      <w:r>
        <w:t xml:space="preserve">label</w:t>
      </w:r>
      <w:r>
        <w:t xml:space="preserve"> </w:t>
      </w:r>
      <w:r>
        <w:t xml:space="preserve">stock):</w:t>
      </w:r>
      <w:r>
        <w:t xml:space="preserve"> </w:t>
      </w:r>
      <w:r>
        <w:t xml:space="preserve">€7,500</w:t>
      </w:r>
      <w:r>
        <w:t xml:space="preserve"> </w:t>
      </w:r>
      <w:r>
        <w:t xml:space="preserve">–</w:t>
      </w:r>
      <w:r>
        <w:t xml:space="preserve"> </w:t>
      </w:r>
      <w:r>
        <w:t xml:space="preserve">€21,000</w:t>
      </w:r>
      <w:r>
        <w:t xml:space="preserve"> </w:t>
      </w:r>
      <w:r>
        <w:t xml:space="preserve">One-off cost</w:t>
      </w:r>
      <w:r>
        <w:t xml:space="preserve"> </w:t>
      </w:r>
      <w:r>
        <w:t xml:space="preserve">(re-labelling</w:t>
      </w:r>
      <w:r>
        <w:t xml:space="preserve"> </w:t>
      </w:r>
      <w:r>
        <w:t xml:space="preserve">disposing of</w:t>
      </w:r>
      <w:r>
        <w:t xml:space="preserve"> </w:t>
      </w:r>
      <w:r>
        <w:t xml:space="preserve">old</w:t>
      </w:r>
      <w:r>
        <w:t xml:space="preserve"> </w:t>
      </w:r>
      <w:r>
        <w:t xml:space="preserve">label</w:t>
      </w:r>
      <w:r>
        <w:t xml:space="preserve"> </w:t>
      </w:r>
      <w:r>
        <w:t xml:space="preserve">stock)</w:t>
      </w:r>
      <w:r>
        <w:t xml:space="preserve"> </w:t>
      </w:r>
      <w:r>
        <w:t xml:space="preserve">of</w:t>
      </w:r>
      <w:r>
        <w:t xml:space="preserve"> </w:t>
      </w:r>
      <w:r>
        <w:t xml:space="preserve">€347,000 to</w:t>
      </w:r>
      <w:r>
        <w:t xml:space="preserve"> </w:t>
      </w:r>
      <w:r>
        <w:t xml:space="preserve">€605,000.</w:t>
      </w:r>
      <w:r>
        <w:t xml:space="preserve"> </w:t>
      </w:r>
      <w:r>
        <w:t xml:space="preserve">Annual</w:t>
      </w:r>
      <w:r>
        <w:t xml:space="preserve"> </w:t>
      </w:r>
      <w:r>
        <w:t xml:space="preserve">recurring</w:t>
      </w:r>
      <w:r>
        <w:t xml:space="preserve"> </w:t>
      </w:r>
      <w:r>
        <w:t xml:space="preserve">cost</w:t>
      </w:r>
      <w:r>
        <w:t xml:space="preserve"> </w:t>
      </w:r>
      <w:r>
        <w:t xml:space="preserve">(re-</w:t>
      </w:r>
      <w:r>
        <w:t xml:space="preserve"> </w:t>
      </w:r>
      <w:r>
        <w:t xml:space="preserve">labelling):</w:t>
      </w:r>
      <w:r>
        <w:t xml:space="preserve"> </w:t>
      </w:r>
      <w:r>
        <w:t xml:space="preserve">€8,000</w:t>
      </w:r>
      <w:r>
        <w:t xml:space="preserve"> </w:t>
      </w:r>
      <w:r>
        <w:t xml:space="preserve">to</w:t>
      </w:r>
      <w:r>
        <w:t xml:space="preserve"> </w:t>
      </w:r>
      <w:r>
        <w:t xml:space="preserve">€15,000</w:t>
      </w:r>
      <w:r>
        <w:t xml:space="preserve"> </w:t>
      </w:r>
      <w:r>
        <w:t xml:space="preserve">Packaging</w:t>
      </w:r>
      <w:r>
        <w:t xml:space="preserve"> </w:t>
      </w:r>
      <w:r>
        <w:t xml:space="preserve">Cost</w:t>
      </w:r>
      <w:r>
        <w:t xml:space="preserve"> </w:t>
      </w:r>
      <w:r>
        <w:t xml:space="preserve">(-)</w:t>
      </w:r>
      <w:r>
        <w:t xml:space="preserve"> </w:t>
      </w:r>
      <w:r>
        <w:t xml:space="preserve">Direct</w:t>
      </w:r>
      <w:r>
        <w:t xml:space="preserve"> </w:t>
      </w:r>
      <w:r>
        <w:t xml:space="preserve">Negligible</w:t>
      </w:r>
      <w:r>
        <w:t xml:space="preserve"> </w:t>
      </w:r>
      <w:r>
        <w:t xml:space="preserve">Recurrent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market size</w:t>
      </w:r>
      <w:r>
        <w:t xml:space="preserve"> </w:t>
      </w:r>
      <w:r>
        <w:t xml:space="preserve">(-)</w:t>
      </w:r>
      <w:r>
        <w:t xml:space="preserve"> </w:t>
      </w:r>
      <w:r>
        <w:t xml:space="preserve">Indirect</w:t>
      </w:r>
      <w:r>
        <w:t xml:space="preserve"> </w:t>
      </w:r>
      <w:r>
        <w:t xml:space="preserve">Negligible</w:t>
      </w:r>
      <w:r>
        <w:t xml:space="preserve"> </w:t>
      </w:r>
      <w:r>
        <w:t xml:space="preserve">Recurrent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Costs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(-)</w:t>
      </w:r>
      <w:r>
        <w:t xml:space="preserve"> </w:t>
      </w:r>
      <w:r>
        <w:t xml:space="preserve">Direct</w:t>
      </w:r>
      <w:r>
        <w:t xml:space="preserve"> </w:t>
      </w:r>
      <w:r>
        <w:t xml:space="preserve">Approx.</w:t>
      </w:r>
      <w:r>
        <w:t xml:space="preserve"> </w:t>
      </w:r>
      <w:r>
        <w:t xml:space="preserve">€25,000 per</w:t>
      </w:r>
      <w:r>
        <w:t xml:space="preserve"> </w:t>
      </w:r>
      <w:r>
        <w:t xml:space="preserve">enforcement</w:t>
      </w:r>
      <w:r>
        <w:t xml:space="preserve"> </w:t>
      </w:r>
      <w:r>
        <w:t xml:space="preserve">project</w:t>
      </w:r>
      <w:r>
        <w:t xml:space="preserve"> </w:t>
      </w:r>
      <w:r>
        <w:t xml:space="preserve">Recurrent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Enforcement</w:t>
      </w:r>
      <w:r>
        <w:t xml:space="preserve"> </w:t>
      </w:r>
      <w:r>
        <w:t xml:space="preserve">across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SMEs</w:t>
      </w:r>
      <w:r>
        <w:t xml:space="preserve"> </w:t>
      </w:r>
      <w:r>
        <w:t xml:space="preserve">Operation of</w:t>
      </w:r>
      <w:r>
        <w:t xml:space="preserve"> </w:t>
      </w:r>
      <w:r>
        <w:t xml:space="preserve">SMEs</w:t>
      </w:r>
      <w:r>
        <w:t xml:space="preserve"> </w:t>
      </w:r>
      <w:r>
        <w:t xml:space="preserve">(-)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Goods</w:t>
      </w:r>
      <w:r>
        <w:t xml:space="preserve"> </w:t>
      </w:r>
      <w:r>
        <w:t xml:space="preserve">(-)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Currently there is no guidance or legal requirements that deals specifically with refill</w:t>
      </w:r>
      <w:r>
        <w:t xml:space="preserve"> </w:t>
      </w:r>
      <w:r>
        <w:t xml:space="preserve">chemicals Therefore these chemicals are often not labelled or labelled incorrectly (about</w:t>
      </w:r>
      <w:r>
        <w:t xml:space="preserve"> </w:t>
      </w:r>
      <w:r>
        <w:t xml:space="preserve">one out of two refill chemicals are expected to have no or insufficient hazard information)</w:t>
      </w:r>
      <w:r>
        <w:t xml:space="preserve"> </w:t>
      </w:r>
      <w:r>
        <w:t xml:space="preserve">and wrongly packaged. This poses risks for to the environment as consumers and workers</w:t>
      </w:r>
      <w:r>
        <w:t xml:space="preserve"> </w:t>
      </w:r>
      <w:r>
        <w:t xml:space="preserve">are not provided with information on the environmental hazards of the products they are</w:t>
      </w:r>
      <w:r>
        <w:t xml:space="preserve"> </w:t>
      </w:r>
      <w:r>
        <w:t xml:space="preserve">purchasing, e.g. on how to properly dispose them. Policy measure #14 aim to ensure that</w:t>
      </w:r>
    </w:p>
    <w:p>
      <w:pPr>
        <w:pStyle w:val="BodyText"/>
      </w:pPr>
      <w:r>
        <w:t xml:space="preserve">337</w:t>
      </w:r>
      <w:r>
        <w:t xml:space="preserve"> </w:t>
      </w:r>
      <w:r>
        <w:t xml:space="preserve">suppliers of refill chemicals label and package them correctly. Therefore, this will have a</w:t>
      </w:r>
      <w:r>
        <w:t xml:space="preserve"> </w:t>
      </w:r>
      <w:r>
        <w:t xml:space="preserve">significant positive impact on the protection of the environment.</w:t>
      </w:r>
      <w:r>
        <w:t xml:space="preserve"> </w:t>
      </w:r>
      <w:r>
        <w:t xml:space="preserve">Policy measure #14 is expected to have a slightly negative impact on resource use, as they</w:t>
      </w:r>
      <w:r>
        <w:t xml:space="preserve"> </w:t>
      </w:r>
      <w:r>
        <w:t xml:space="preserve">foresee the requirement for suppliers of refill chemicals to ensure their products are</w:t>
      </w:r>
      <w:r>
        <w:t xml:space="preserve"> </w:t>
      </w:r>
      <w:r>
        <w:t xml:space="preserve">appropriately labelled and packaged. This means suppliers of refill chemicals who supply</w:t>
      </w:r>
      <w:r>
        <w:t xml:space="preserve"> </w:t>
      </w:r>
      <w:r>
        <w:t xml:space="preserve">labels, will increase resource use and packaging waste, if they are not in compliance yet.</w:t>
      </w:r>
      <w:r>
        <w:t xml:space="preserve"> </w:t>
      </w:r>
      <w:r>
        <w:t xml:space="preserve">Estimates provided earlier assessed the quantity of refill detergents sold in the EU to be</w:t>
      </w:r>
      <w:r>
        <w:t xml:space="preserve"> </w:t>
      </w:r>
      <w:r>
        <w:t xml:space="preserve">approximately 179 million kilograms and policy measure #14 could result in impacting</w:t>
      </w:r>
      <w:r>
        <w:t xml:space="preserve"> </w:t>
      </w:r>
      <w:r>
        <w:t xml:space="preserve">about 45 to 4.5 million transactions every year This figure encompasses refill detergents</w:t>
      </w:r>
      <w:r>
        <w:t xml:space="preserve"> </w:t>
      </w:r>
      <w:r>
        <w:t xml:space="preserve">made available to all end-users, consumers and workers. At the same time, refill practices</w:t>
      </w:r>
      <w:r>
        <w:t xml:space="preserve"> </w:t>
      </w:r>
      <w:r>
        <w:t xml:space="preserve">are likely to have environmental benefits due to the reuse of packaging and related reduction</w:t>
      </w:r>
      <w:r>
        <w:t xml:space="preserve"> </w:t>
      </w:r>
      <w:r>
        <w:t xml:space="preserve">of resources needed to produce new packaging. It could be argued that the benefits of</w:t>
      </w:r>
      <w:r>
        <w:t xml:space="preserve"> </w:t>
      </w:r>
      <w:r>
        <w:t xml:space="preserve">reusing a packaging can offset the impacts related to the use of resources to produce new</w:t>
      </w:r>
      <w:r>
        <w:t xml:space="preserve"> </w:t>
      </w:r>
      <w:r>
        <w:t xml:space="preserve">CLP compliant labels.</w:t>
      </w:r>
      <w:r>
        <w:br/>
      </w:r>
      <w:r>
        <w:t xml:space="preserve">Table 96: Environmental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Impacts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</w:t>
      </w:r>
      <w:r>
        <w:t xml:space="preserve"> </w:t>
      </w:r>
      <w:r>
        <w:t xml:space="preserve">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br/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Resource</w:t>
      </w:r>
      <w:r>
        <w:t xml:space="preserve"> </w:t>
      </w:r>
      <w:r>
        <w:t xml:space="preserve">Use</w:t>
      </w:r>
      <w:r>
        <w:t xml:space="preserve"> </w:t>
      </w:r>
      <w:r>
        <w:t xml:space="preserve">(neutral)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No guidance or legal requirements for the labelling of refill chemicals is currently provided.</w:t>
      </w:r>
      <w:r>
        <w:t xml:space="preserve"> </w:t>
      </w:r>
      <w:r>
        <w:t xml:space="preserve">Therefore, these refill chemicals are often not labelled or labelled incorrectly and not safely</w:t>
      </w:r>
      <w:r>
        <w:t xml:space="preserve"> </w:t>
      </w:r>
      <w:r>
        <w:t xml:space="preserve">packaged. This negatively affects public health and safety and health systems as</w:t>
      </w:r>
      <w:r>
        <w:t xml:space="preserve"> </w:t>
      </w:r>
      <w:r>
        <w:t xml:space="preserve">consumers and workers are not provided with information on the human health hazards of</w:t>
      </w:r>
      <w:r>
        <w:t xml:space="preserve"> </w:t>
      </w:r>
      <w:r>
        <w:t xml:space="preserve">the products they are purchasing and using. The policy measures could result in providing</w:t>
      </w:r>
      <w:r>
        <w:t xml:space="preserve"> </w:t>
      </w:r>
      <w:r>
        <w:t xml:space="preserve">the necessary information on safety of a high number of hazardous chemicals (up to 4.5</w:t>
      </w:r>
      <w:r>
        <w:t xml:space="preserve"> </w:t>
      </w:r>
      <w:r>
        <w:t xml:space="preserve">million products placed on the market every year). Policy measure #14 aims to ensure that</w:t>
      </w:r>
      <w:r>
        <w:t xml:space="preserve"> </w:t>
      </w:r>
      <w:r>
        <w:t xml:space="preserve">suppliers of refill chemicals label and package correctly. Therefore, the policy measure will</w:t>
      </w:r>
      <w:r>
        <w:t xml:space="preserve"> </w:t>
      </w:r>
      <w:r>
        <w:t xml:space="preserve">have a positive impact on the protection of human health, but the quantification is</w:t>
      </w:r>
      <w:r>
        <w:t xml:space="preserve"> </w:t>
      </w:r>
      <w:r>
        <w:t xml:space="preserve">problematic and was not quantified in terms of public health.</w:t>
      </w:r>
      <w:r>
        <w:t xml:space="preserve"> </w:t>
      </w:r>
      <w:r>
        <w:t xml:space="preserve">Policy measure #14 is expected to have a slightly positive impact on employment levels in</w:t>
      </w:r>
      <w:r>
        <w:t xml:space="preserve"> </w:t>
      </w:r>
      <w:r>
        <w:t xml:space="preserve">the refill sector. Making the existing requirements explicit will provide legal certainty to</w:t>
      </w:r>
      <w:r>
        <w:t xml:space="preserve"> </w:t>
      </w:r>
      <w:r>
        <w:t xml:space="preserve">this novel sector and likely provide a more level playing field for actors. This is likely to</w:t>
      </w:r>
      <w:r>
        <w:t xml:space="preserve"> </w:t>
      </w:r>
      <w:r>
        <w:t xml:space="preserve">encourage more businesses to engage in the refill sector, also beyond the detergents sector</w:t>
      </w:r>
      <w:r>
        <w:t xml:space="preserve"> </w:t>
      </w:r>
      <w:r>
        <w:t xml:space="preserve">that is currently starting to exploit this option.</w:t>
      </w:r>
    </w:p>
    <w:p>
      <w:pPr>
        <w:pStyle w:val="BodyText"/>
      </w:pPr>
      <w:r>
        <w:t xml:space="preserve">338</w:t>
      </w:r>
      <w:r>
        <w:t xml:space="preserve"> </w:t>
      </w:r>
      <w:r>
        <w:t xml:space="preserve">Policy measure #14 is likely to have a slightly positive impact on the number of public</w:t>
      </w:r>
      <w:r>
        <w:t xml:space="preserve"> </w:t>
      </w:r>
      <w:r>
        <w:t xml:space="preserve">authority jobs, as clearer labelling rules for re-fill chemicals will lead to a new area</w:t>
      </w:r>
      <w:r>
        <w:t xml:space="preserve"> </w:t>
      </w:r>
      <w:r>
        <w:t xml:space="preserve">requiring enforcement, which may increase the number of enforcement officers required.</w:t>
      </w:r>
      <w:r>
        <w:br/>
      </w:r>
      <w:r>
        <w:t xml:space="preserve">Table 97: Social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impacts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health</w:t>
      </w:r>
      <w:r>
        <w:t xml:space="preserve"> </w:t>
      </w:r>
      <w:r>
        <w:t xml:space="preserve">systems</w:t>
      </w:r>
      <w:r>
        <w:br/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human health</w:t>
      </w:r>
      <w:r>
        <w:t xml:space="preserve"> </w:t>
      </w:r>
      <w:r>
        <w:t xml:space="preserve">(+)</w:t>
      </w:r>
      <w:r>
        <w:t xml:space="preserve"> </w:t>
      </w:r>
      <w:r>
        <w:t xml:space="preserve">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Employmen</w:t>
      </w:r>
      <w:r>
        <w:t xml:space="preserve"> </w:t>
      </w:r>
      <w:r>
        <w:t xml:space="preserve">t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industry jobs</w:t>
      </w:r>
      <w:r>
        <w:t xml:space="preserve"> </w:t>
      </w:r>
      <w:r>
        <w:t xml:space="preserve">in the re-fill</w:t>
      </w:r>
      <w:r>
        <w:t xml:space="preserve"> </w:t>
      </w:r>
      <w:r>
        <w:t xml:space="preserve">chemical</w:t>
      </w:r>
      <w:r>
        <w:t xml:space="preserve"> </w:t>
      </w:r>
      <w:r>
        <w:t xml:space="preserve">sector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jobs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A summary of the costs and benefits of policy measure #14 are provided below.</w:t>
      </w:r>
      <w:r>
        <w:t xml:space="preserve"> </w:t>
      </w:r>
      <w:r>
        <w:t xml:space="preserve">Summary of cost and benefits of policy measure #14</w:t>
      </w:r>
      <w:r>
        <w:t xml:space="preserve"> </w:t>
      </w:r>
      <w:r>
        <w:t xml:space="preserve">Costs - businesses</w:t>
      </w:r>
      <w:r>
        <w:t xml:space="preserve"> </w:t>
      </w:r>
      <w:r>
        <w:t xml:space="preserve">Total one-off costs over a 20-year period</w:t>
      </w:r>
      <w:r>
        <w:t xml:space="preserve"> </w:t>
      </w:r>
      <w:r>
        <w:t xml:space="preserve">347,000 – 605,000 (mid-</w:t>
      </w:r>
      <w:r>
        <w:t xml:space="preserve"> </w:t>
      </w:r>
      <w:r>
        <w:t xml:space="preserve">estimate: 476,000)</w:t>
      </w:r>
      <w:r>
        <w:t xml:space="preserve"> </w:t>
      </w:r>
      <w:r>
        <w:t xml:space="preserve">Recurring costs every 1 year</w:t>
      </w:r>
      <w:r>
        <w:t xml:space="preserve"> </w:t>
      </w:r>
      <w:r>
        <w:t xml:space="preserve">15,500 – 36,000 (mid-</w:t>
      </w:r>
      <w:r>
        <w:t xml:space="preserve"> </w:t>
      </w:r>
      <w:r>
        <w:t xml:space="preserve">estimate: 25,750)</w:t>
      </w:r>
      <w:r>
        <w:t xml:space="preserve"> </w:t>
      </w:r>
      <w:r>
        <w:t xml:space="preserve">Total recurring costs over a 20-year period</w:t>
      </w:r>
      <w:r>
        <w:t xml:space="preserve"> </w:t>
      </w:r>
      <w:r>
        <w:t xml:space="preserve">294,500 – 684,000 (mid-</w:t>
      </w:r>
      <w:r>
        <w:t xml:space="preserve"> </w:t>
      </w:r>
      <w:r>
        <w:t xml:space="preserve">estimate: 489,250)</w:t>
      </w:r>
      <w:r>
        <w:t xml:space="preserve"> </w:t>
      </w:r>
      <w:r>
        <w:t xml:space="preserve">PV of one-off costs (20 years; 3%)</w:t>
      </w:r>
      <w:r>
        <w:t xml:space="preserve"> </w:t>
      </w:r>
      <w:r>
        <w:t xml:space="preserve">466,477 – 813,310 (mid-</w:t>
      </w:r>
      <w:r>
        <w:t xml:space="preserve"> </w:t>
      </w:r>
      <w:r>
        <w:t xml:space="preserve">estimate: 639,894)</w:t>
      </w:r>
      <w:r>
        <w:t xml:space="preserve"> </w:t>
      </w:r>
      <w:r>
        <w:t xml:space="preserve">PV of one-off costs (20 years; 3%) (annualized)</w:t>
      </w:r>
      <w:r>
        <w:t xml:space="preserve"> </w:t>
      </w:r>
      <w:r>
        <w:t xml:space="preserve">23,324 – 40,666 (mid-</w:t>
      </w:r>
      <w:r>
        <w:t xml:space="preserve"> </w:t>
      </w:r>
      <w:r>
        <w:t xml:space="preserve">estimate: 31,995)</w:t>
      </w:r>
      <w:r>
        <w:t xml:space="preserve"> </w:t>
      </w:r>
      <w:r>
        <w:t xml:space="preserve">PV of recurring costs (20 years; 3%)</w:t>
      </w:r>
      <w:r>
        <w:t xml:space="preserve"> </w:t>
      </w:r>
      <w:r>
        <w:t xml:space="preserve">395,901 – 919,511 (mid-</w:t>
      </w:r>
      <w:r>
        <w:t xml:space="preserve"> </w:t>
      </w:r>
      <w:r>
        <w:t xml:space="preserve">estimate: 657,706)</w:t>
      </w:r>
      <w:r>
        <w:t xml:space="preserve"> </w:t>
      </w:r>
      <w:r>
        <w:t xml:space="preserve">Total PV – costs - businesses</w:t>
      </w:r>
      <w:r>
        <w:t xml:space="preserve"> </w:t>
      </w:r>
      <w:r>
        <w:t xml:space="preserve">862,378 – 1,732,821 (mid-</w:t>
      </w:r>
      <w:r>
        <w:t xml:space="preserve"> </w:t>
      </w:r>
      <w:r>
        <w:t xml:space="preserve">estimate: 1,297,599)</w:t>
      </w:r>
      <w:r>
        <w:t xml:space="preserve"> </w:t>
      </w:r>
      <w:r>
        <w:t xml:space="preserve">Costs – public authorities</w:t>
      </w:r>
      <w:r>
        <w:t xml:space="preserve"> </w:t>
      </w:r>
      <w:r>
        <w:t xml:space="preserve">Total one-off costs over a 20-year period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costs every 1 year</w:t>
      </w:r>
      <w:r>
        <w:t xml:space="preserve"> </w:t>
      </w:r>
      <w:r>
        <w:t xml:space="preserve">25,000</w:t>
      </w:r>
      <w:r>
        <w:t xml:space="preserve"> </w:t>
      </w:r>
      <w:r>
        <w:t xml:space="preserve">Total recurring costs over a 20-year period</w:t>
      </w:r>
      <w:r>
        <w:t xml:space="preserve"> </w:t>
      </w:r>
      <w:r>
        <w:t xml:space="preserve">475,000</w:t>
      </w:r>
      <w:r>
        <w:t xml:space="preserve"> </w:t>
      </w:r>
      <w:r>
        <w:t xml:space="preserve">PV of one-off costs (20 years; 3%)</w:t>
      </w:r>
      <w:r>
        <w:t xml:space="preserve"> </w:t>
      </w:r>
      <w:r>
        <w:t xml:space="preserve">-</w:t>
      </w:r>
      <w:r>
        <w:t xml:space="preserve"> </w:t>
      </w:r>
      <w:r>
        <w:t xml:space="preserve">PV of recurring costs (20 years; 3%)</w:t>
      </w:r>
      <w:r>
        <w:t xml:space="preserve"> </w:t>
      </w:r>
      <w:r>
        <w:t xml:space="preserve">638,549</w:t>
      </w:r>
    </w:p>
    <w:p>
      <w:pPr>
        <w:pStyle w:val="BodyText"/>
      </w:pPr>
      <w:r>
        <w:t xml:space="preserve">339</w:t>
      </w:r>
      <w:r>
        <w:t xml:space="preserve"> </w:t>
      </w:r>
      <w:r>
        <w:t xml:space="preserve">Total PV – costs – public authorities</w:t>
      </w:r>
      <w:r>
        <w:t xml:space="preserve"> </w:t>
      </w:r>
      <w:r>
        <w:t xml:space="preserve">-</w:t>
      </w:r>
      <w:r>
        <w:t xml:space="preserve"> </w:t>
      </w:r>
      <w:r>
        <w:t xml:space="preserve">Total PV cost of policy measure #14</w:t>
      </w:r>
      <w:r>
        <w:t xml:space="preserve"> </w:t>
      </w:r>
      <w:r>
        <w:t xml:space="preserve">1,500,927 – 2,371,370 (mid-</w:t>
      </w:r>
      <w:r>
        <w:t xml:space="preserve"> </w:t>
      </w:r>
      <w:r>
        <w:t xml:space="preserve">estimate: 1,936,148)</w:t>
      </w:r>
      <w:r>
        <w:t xml:space="preserve"> </w:t>
      </w:r>
      <w:r>
        <w:t xml:space="preserve">Benefits (cost savings) - businesses</w:t>
      </w:r>
      <w:r>
        <w:t xml:space="preserve"> </w:t>
      </w:r>
      <w:r>
        <w:t xml:space="preserve">-</w:t>
      </w:r>
      <w:r>
        <w:t xml:space="preserve"> </w:t>
      </w:r>
      <w:r>
        <w:t xml:space="preserve">PV benefits - businesses</w:t>
      </w:r>
      <w:r>
        <w:t xml:space="preserve"> </w:t>
      </w:r>
      <w:r>
        <w:t xml:space="preserve">-</w:t>
      </w:r>
      <w:r>
        <w:t xml:space="preserve"> </w:t>
      </w:r>
      <w:r>
        <w:t xml:space="preserve">Benefits (cost savings) – public authorities</w:t>
      </w:r>
      <w:r>
        <w:t xml:space="preserve"> </w:t>
      </w:r>
      <w:r>
        <w:t xml:space="preserve">-</w:t>
      </w:r>
      <w:r>
        <w:t xml:space="preserve"> </w:t>
      </w:r>
      <w:r>
        <w:t xml:space="preserve">PV – benefits – public authorities</w:t>
      </w:r>
      <w:r>
        <w:t xml:space="preserve"> </w:t>
      </w:r>
      <w:r>
        <w:t xml:space="preserve">-</w:t>
      </w:r>
      <w:r>
        <w:t xml:space="preserve"> </w:t>
      </w:r>
      <w:r>
        <w:t xml:space="preserve">Benefits - society</w:t>
      </w:r>
      <w:r>
        <w:t xml:space="preserve"> </w:t>
      </w:r>
      <w:r>
        <w:t xml:space="preserve">-</w:t>
      </w:r>
      <w:r>
        <w:t xml:space="preserve"> </w:t>
      </w:r>
      <w:r>
        <w:t xml:space="preserve">PV - benefits - society</w:t>
      </w:r>
      <w:r>
        <w:t xml:space="preserve"> </w:t>
      </w:r>
      <w:r>
        <w:t xml:space="preserve">-</w:t>
      </w:r>
      <w:r>
        <w:t xml:space="preserve"> </w:t>
      </w:r>
      <w:r>
        <w:t xml:space="preserve">Total OV - benefits</w:t>
      </w:r>
      <w:r>
        <w:t xml:space="preserve"> </w:t>
      </w:r>
      <w:r>
        <w:t xml:space="preserve">-</w:t>
      </w:r>
      <w:r>
        <w:t xml:space="preserve"> </w:t>
      </w:r>
      <w:r>
        <w:t xml:space="preserve">Net Present Value - NPV (PV benefits – PV costs)</w:t>
      </w:r>
      <w:r>
        <w:t xml:space="preserve"> </w:t>
      </w:r>
      <w:r>
        <w:t xml:space="preserve">-1,500,927 – -2,371,370</w:t>
      </w:r>
      <w:r>
        <w:t xml:space="preserve"> </w:t>
      </w:r>
      <w:r>
        <w:t xml:space="preserve">(mid-estimate: -1,936,148)</w:t>
      </w:r>
    </w:p>
    <w:p>
      <w:pPr>
        <w:pStyle w:val="BodyText"/>
      </w:pPr>
      <w:r>
        <w:t xml:space="preserve">A summary of the present value costs (3% discount) for policy measure #14 are provided</w:t>
      </w:r>
      <w:r>
        <w:t xml:space="preserve"> </w:t>
      </w:r>
      <w:r>
        <w:t xml:space="preserve">below.</w:t>
      </w:r>
      <w:r>
        <w:t xml:space="preserve"> </w:t>
      </w:r>
      <w:r>
        <w:t xml:space="preserve">Summary of costs and benefits (PV; 20 years; 3%) of policy measure #14 by type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€1,500,927 –</w:t>
      </w:r>
      <w:r>
        <w:t xml:space="preserve"> </w:t>
      </w:r>
      <w:r>
        <w:t xml:space="preserve">€2,371,370 (mid-</w:t>
      </w:r>
      <w:r>
        <w:t xml:space="preserve"> </w:t>
      </w:r>
      <w:r>
        <w:t xml:space="preserve">estimate: €1,936,148)</w:t>
      </w:r>
      <w:r>
        <w:t xml:space="preserve"> </w:t>
      </w:r>
      <w:r>
        <w:t xml:space="preserve">€638,549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benefits</w:t>
      </w:r>
    </w:p>
    <w:p>
      <w:pPr>
        <w:pStyle w:val="FirstParagraph"/>
      </w:pPr>
      <w:r>
        <w:t xml:space="preserve">POLICY MEASURE #15: FOLD-OUT LABELS</w:t>
      </w:r>
      <w:r>
        <w:t xml:space="preserve"> </w:t>
      </w:r>
      <w:r>
        <w:t xml:space="preserve">Policy measure #15 would allow the use of fold-out labels also for chemicals with normal</w:t>
      </w:r>
      <w:r>
        <w:t xml:space="preserve"> </w:t>
      </w:r>
      <w:r>
        <w:t xml:space="preserve">size packaging (currently this applies only to small packaging and packaging in special</w:t>
      </w:r>
      <w:r>
        <w:t xml:space="preserve"> </w:t>
      </w:r>
      <w:r>
        <w:t xml:space="preserve">forms). Currently, suppliers of chemicals delivered into multiple Member States put several</w:t>
      </w:r>
      <w:r>
        <w:t xml:space="preserve"> </w:t>
      </w:r>
      <w:r>
        <w:t xml:space="preserve">languages on the same label to exploit economies of scale. This often leads to a small font</w:t>
      </w:r>
      <w:r>
        <w:t xml:space="preserve"> </w:t>
      </w:r>
      <w:r>
        <w:t xml:space="preserve">size, often becoming almost illegible, in particular for consumers and workers with visual</w:t>
      </w:r>
      <w:r>
        <w:t xml:space="preserve"> </w:t>
      </w:r>
      <w:r>
        <w:t xml:space="preserve">impairments. Furthermore, this also leads to overloaded labels, where consumers experience</w:t>
      </w:r>
      <w:r>
        <w:t xml:space="preserve"> </w:t>
      </w:r>
      <w:r>
        <w:t xml:space="preserve">difficulties in finding the information relevant to them. If suppliers of chemicals in multiple</w:t>
      </w:r>
      <w:r>
        <w:t xml:space="preserve"> </w:t>
      </w:r>
      <w:r>
        <w:t xml:space="preserve">Member States want to overcome this, they would currently have to produce containers with</w:t>
      </w:r>
      <w:r>
        <w:t xml:space="preserve"> </w:t>
      </w:r>
      <w:r>
        <w:t xml:space="preserve">different labels for the various markets. Considering that policy measure #12 would</w:t>
      </w:r>
      <w:r>
        <w:t xml:space="preserve"> </w:t>
      </w:r>
      <w:r>
        <w:t xml:space="preserve">introduce minimum requirements, the problem would be further aggravated and could lead</w:t>
      </w:r>
      <w:r>
        <w:t xml:space="preserve"> </w:t>
      </w:r>
      <w:r>
        <w:t xml:space="preserve">to competitive disadvantages. In turn allowing the use of fold-out labels also for chemicals</w:t>
      </w:r>
    </w:p>
    <w:p>
      <w:pPr>
        <w:pStyle w:val="BodyText"/>
      </w:pPr>
      <w:r>
        <w:t xml:space="preserve">340</w:t>
      </w:r>
      <w:r>
        <w:t xml:space="preserve"> </w:t>
      </w:r>
      <w:r>
        <w:t xml:space="preserve">with normal packaging sizes, would compensate the impact of policy measure #12 and allow</w:t>
      </w:r>
      <w:r>
        <w:t xml:space="preserve"> </w:t>
      </w:r>
      <w:r>
        <w:t xml:space="preserve">the use of multilingual labels whilst improving the readability of the label in line with policy</w:t>
      </w:r>
      <w:r>
        <w:t xml:space="preserve"> </w:t>
      </w:r>
      <w:r>
        <w:t xml:space="preserve">measure #12. There is to same degree a trade-off between the inconvenience of a fold-out</w:t>
      </w:r>
      <w:r>
        <w:t xml:space="preserve"> </w:t>
      </w:r>
      <w:r>
        <w:t xml:space="preserve">label and the improvement of the readability, so overall the impact on the safety level is</w:t>
      </w:r>
      <w:r>
        <w:t xml:space="preserve"> </w:t>
      </w:r>
      <w:r>
        <w:t xml:space="preserve">probably neutral. Improvements in the technology and reliability of fold-out labels give</w:t>
      </w:r>
      <w:r>
        <w:t xml:space="preserve"> </w:t>
      </w:r>
      <w:r>
        <w:t xml:space="preserve">sufficient assurance that they are equally reliable as classical labels and is now acceptable</w:t>
      </w:r>
      <w:r>
        <w:t xml:space="preserve"> </w:t>
      </w:r>
      <w:r>
        <w:t xml:space="preserve">not only in exceptional cases. The possibility of using more language versions could also</w:t>
      </w:r>
      <w:r>
        <w:t xml:space="preserve"> </w:t>
      </w:r>
      <w:r>
        <w:t xml:space="preserve">be used to include languages which are widely spoken in a Member State but not official</w:t>
      </w:r>
      <w:r>
        <w:t xml:space="preserve"> </w:t>
      </w:r>
      <w:r>
        <w:t xml:space="preserve">languages. This could cater in particular communities with a migration background and may</w:t>
      </w:r>
      <w:r>
        <w:t xml:space="preserve"> </w:t>
      </w:r>
      <w:r>
        <w:t xml:space="preserve">provide business opportunities.</w:t>
      </w:r>
      <w:r>
        <w:t xml:space="preserve"> </w:t>
      </w:r>
      <w:r>
        <w:t xml:space="preserve">Figure 79: Example of a multi-lingual fold-out label</w:t>
      </w:r>
    </w:p>
    <w:p>
      <w:pPr>
        <w:pStyle w:val="BodyText"/>
      </w:pPr>
      <w:r>
        <w:t xml:space="preserve">Source: European Chemicals Agency guidance on CLP labelling</w:t>
      </w:r>
      <w:r>
        <w:t xml:space="preserve"> </w:t>
      </w:r>
      <w:r>
        <w:t xml:space="preserve">Options to extend the scope of multilingual fold-out labels have been previously discussed</w:t>
      </w:r>
      <w:r>
        <w:t xml:space="preserve"> </w:t>
      </w:r>
      <w:r>
        <w:t xml:space="preserve">at CARACAL260 where it was also suggested to include certain related quality requirements</w:t>
      </w:r>
      <w:r>
        <w:t xml:space="preserve"> </w:t>
      </w:r>
      <w:r>
        <w:t xml:space="preserve">either in Annex II of CLP or in ECHA guidance to ensure the quality, readability and</w:t>
      </w:r>
      <w:r>
        <w:t xml:space="preserve"> </w:t>
      </w:r>
      <w:r>
        <w:t xml:space="preserve">accessibility of information (as now included in policy measure #12). While the majority of</w:t>
      </w:r>
      <w:r>
        <w:t xml:space="preserve"> </w:t>
      </w:r>
      <w:r>
        <w:t xml:space="preserve">Member States were in favour of extending the scope of multi-lingual fold-out labels, some</w:t>
      </w:r>
      <w:r>
        <w:t xml:space="preserve"> </w:t>
      </w:r>
      <w:r>
        <w:t xml:space="preserve">proposed certain restrictions should be considered, including minimum readability</w:t>
      </w:r>
      <w:r>
        <w:t xml:space="preserve"> </w:t>
      </w:r>
      <w:r>
        <w:t xml:space="preserve">requirements on top of those in the ECHA guidance.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For estimating the Conduct of Business cost it is important to note that policy measure #15</w:t>
      </w:r>
      <w:r>
        <w:t xml:space="preserve"> </w:t>
      </w:r>
      <w:r>
        <w:t xml:space="preserve">will not mandate the use of a fold-out label. It will only provide an option to use it.</w:t>
      </w:r>
      <w:r>
        <w:t xml:space="preserve"> </w:t>
      </w:r>
      <w:r>
        <w:t xml:space="preserve">Therefore, the use of a fold-out label versus a standard label would be a voluntary business</w:t>
      </w:r>
      <w:r>
        <w:t xml:space="preserve"> </w:t>
      </w:r>
      <w:r>
        <w:t xml:space="preserve">choice of the relevant supplier. It is likely that suppliers will only opt for a fold-out label</w:t>
      </w:r>
      <w:r>
        <w:t xml:space="preserve"> </w:t>
      </w:r>
      <w:r>
        <w:t xml:space="preserve">where it actually is economically beneficial for them. The following information about cost</w:t>
      </w:r>
      <w:r>
        <w:t xml:space="preserve"> </w:t>
      </w:r>
      <w:r>
        <w:t xml:space="preserve">is, therefore, informative but actually, it can be assumed that the economic benefits of using</w:t>
      </w:r>
      <w:r>
        <w:t xml:space="preserve"> </w:t>
      </w:r>
      <w:r>
        <w:t xml:space="preserve">fold-out labels will practically always outweigh the associated cost.</w:t>
      </w:r>
    </w:p>
    <w:p>
      <w:pPr>
        <w:pStyle w:val="BodyText"/>
      </w:pPr>
      <w:r>
        <w:t xml:space="preserve">260 See CA/05/2015, CA/51/2015, CASG-LP/03/2015</w:t>
      </w:r>
    </w:p>
    <w:p>
      <w:pPr>
        <w:pStyle w:val="BodyText"/>
      </w:pPr>
      <w:r>
        <w:t xml:space="preserve">341</w:t>
      </w:r>
      <w:r>
        <w:t xml:space="preserve"> </w:t>
      </w:r>
      <w:r>
        <w:t xml:space="preserve">An initial cost for transitioning to fold-out labels would be incurred. The chemicals Fitness</w:t>
      </w:r>
      <w:r>
        <w:t xml:space="preserve"> </w:t>
      </w:r>
      <w:r>
        <w:t xml:space="preserve">Check estimates the average cost of re-labelling each substance and mixture to be €388 and</w:t>
      </w:r>
      <w:r>
        <w:t xml:space="preserve"> </w:t>
      </w:r>
      <w:r>
        <w:t xml:space="preserve">€475 respectively. Due to the increased size and material use of fold-out labels as opposed</w:t>
      </w:r>
      <w:r>
        <w:t xml:space="preserve"> </w:t>
      </w:r>
      <w:r>
        <w:t xml:space="preserve">to standard on-pack labels, the cost of producing fold-out labels is likely to be higher. In the</w:t>
      </w:r>
      <w:r>
        <w:t xml:space="preserve"> </w:t>
      </w:r>
      <w:r>
        <w:t xml:space="preserve">chemicals Fitness Check, a significant number of companies indicated re-labelling costs of</w:t>
      </w:r>
      <w:r>
        <w:t xml:space="preserve"> </w:t>
      </w:r>
      <w:r>
        <w:t xml:space="preserve">between €500 - €1,000 per product, which is considered to be more likely to be</w:t>
      </w:r>
      <w:r>
        <w:t xml:space="preserve"> </w:t>
      </w:r>
      <w:r>
        <w:t xml:space="preserve">representative of the cost of producing fold-out labels. The number of products that are sold</w:t>
      </w:r>
      <w:r>
        <w:t xml:space="preserve"> </w:t>
      </w:r>
      <w:r>
        <w:t xml:space="preserve">across Member States is not known so it is not possible to quantify the total cost of</w:t>
      </w:r>
      <w:r>
        <w:t xml:space="preserve"> </w:t>
      </w:r>
      <w:r>
        <w:t xml:space="preserve">transitioning to fold-out labels.</w:t>
      </w:r>
      <w:r>
        <w:br/>
      </w:r>
      <w:r>
        <w:t xml:space="preserve">The use of fold-out labels could provide significant economic advantages: the greater the</w:t>
      </w:r>
      <w:r>
        <w:t xml:space="preserve"> </w:t>
      </w:r>
      <w:r>
        <w:t xml:space="preserve">maximum number of languages allowed, the higher the saving in labelling costs. Assuming</w:t>
      </w:r>
      <w:r>
        <w:t xml:space="preserve"> </w:t>
      </w:r>
      <w:r>
        <w:t xml:space="preserve">a maximum number of six languages to be affixed, the maximum saving in labelling cost</w:t>
      </w:r>
      <w:r>
        <w:t xml:space="preserve"> </w:t>
      </w:r>
      <w:r>
        <w:t xml:space="preserve">would equate to the need to only produce one fold-out label, rather than 6 on-pack labels.</w:t>
      </w:r>
      <w:r>
        <w:t xml:space="preserve"> </w:t>
      </w:r>
      <w:r>
        <w:t xml:space="preserve">Taking the re-labelling costs represented in the Fitness Check, the average cost of producing</w:t>
      </w:r>
      <w:r>
        <w:t xml:space="preserve"> </w:t>
      </w:r>
      <w:r>
        <w:t xml:space="preserve">6 on-pack labels would be €2,328 – €2,850 (depending on whether they are for substance</w:t>
      </w:r>
      <w:r>
        <w:t xml:space="preserve"> </w:t>
      </w:r>
      <w:r>
        <w:t xml:space="preserve">or mixtures), whereas the cost of producing a fold-out label has been estimated to be in the</w:t>
      </w:r>
      <w:r>
        <w:t xml:space="preserve"> </w:t>
      </w:r>
      <w:r>
        <w:t xml:space="preserve">region of €500 to €1,000. This represents a long-term cost saving of between €1,328 –</w:t>
      </w:r>
      <w:r>
        <w:t xml:space="preserve"> </w:t>
      </w:r>
      <w:r>
        <w:t xml:space="preserve">€2,350 per product.</w:t>
      </w:r>
      <w:r>
        <w:t xml:space="preserve"> </w:t>
      </w:r>
      <w:r>
        <w:t xml:space="preserve">Information from poison centre notifications suggest that, on average, hazardous mixtures</w:t>
      </w:r>
      <w:r>
        <w:t xml:space="preserve"> </w:t>
      </w:r>
      <w:r>
        <w:t xml:space="preserve">are supplied to five Member States. Based on the calculations above, this would mean each</w:t>
      </w:r>
      <w:r>
        <w:t xml:space="preserve"> </w:t>
      </w:r>
      <w:r>
        <w:t xml:space="preserve">company on average would have a cost saving of €1,375 to €1,875 (5 x €475 minus €500</w:t>
      </w:r>
      <w:r>
        <w:t xml:space="preserve"> </w:t>
      </w:r>
      <w:r>
        <w:t xml:space="preserve">to €1,000).</w:t>
      </w:r>
      <w:r>
        <w:t xml:space="preserve"> </w:t>
      </w:r>
      <w:r>
        <w:t xml:space="preserve">Consultation with a large supplier of chemical products indicated that their most widely sold</w:t>
      </w:r>
      <w:r>
        <w:t xml:space="preserve"> </w:t>
      </w:r>
      <w:r>
        <w:t xml:space="preserve">products require 15-16 different labels on average. For large enterprises, this is likely to be</w:t>
      </w:r>
      <w:r>
        <w:t xml:space="preserve"> </w:t>
      </w:r>
      <w:r>
        <w:t xml:space="preserve">representative of most products in their portfolios, whilst the estimate of five different labels</w:t>
      </w:r>
      <w:r>
        <w:t xml:space="preserve"> </w:t>
      </w:r>
      <w:r>
        <w:t xml:space="preserve">provided above is likely to be more representative of SME, as most are likely to sell in fewer</w:t>
      </w:r>
      <w:r>
        <w:t xml:space="preserve"> </w:t>
      </w:r>
      <w:r>
        <w:t xml:space="preserve">Member States. If wider use of fold-out labels was introduced, with a maximum number of</w:t>
      </w:r>
      <w:r>
        <w:t xml:space="preserve"> </w:t>
      </w:r>
      <w:r>
        <w:t xml:space="preserve">six languages per label, large enterprises could see the number of different labels required</w:t>
      </w:r>
      <w:r>
        <w:t xml:space="preserve"> </w:t>
      </w:r>
      <w:r>
        <w:t xml:space="preserve">to place each product on the market reduced to 3, while SMEs could use a single label per</w:t>
      </w:r>
      <w:r>
        <w:t xml:space="preserve"> </w:t>
      </w:r>
      <w:r>
        <w:t xml:space="preserve">product. This would lead to a cost saving of €4,125 – €5,625 (15 x €475 minus (€500 to</w:t>
      </w:r>
      <w:r>
        <w:t xml:space="preserve"> </w:t>
      </w:r>
      <w:r>
        <w:t xml:space="preserve">€1,000 x 3)).</w:t>
      </w:r>
      <w:r>
        <w:t xml:space="preserve"> </w:t>
      </w:r>
      <w:r>
        <w:t xml:space="preserve">Taking the detergents industry as a case study, the Evaluation of the Detergents Regulation</w:t>
      </w:r>
      <w:r>
        <w:t xml:space="preserve"> </w:t>
      </w:r>
      <w:r>
        <w:t xml:space="preserve">provides an estimate of the number of large enterprises and SMEs and the number of</w:t>
      </w:r>
      <w:r>
        <w:t xml:space="preserve"> </w:t>
      </w:r>
      <w:r>
        <w:t xml:space="preserve">consumer detergent formulations each places on the market on average. This data has been</w:t>
      </w:r>
      <w:r>
        <w:t xml:space="preserve"> </w:t>
      </w:r>
      <w:r>
        <w:t xml:space="preserve">used to calculate the cost saving per enterprises from wider use of multilingual labels and</w:t>
      </w:r>
      <w:r>
        <w:t xml:space="preserve"> </w:t>
      </w:r>
      <w:r>
        <w:t xml:space="preserve">the total cost for all enterprises.</w:t>
      </w:r>
      <w:r>
        <w:t xml:space="preserve"> </w:t>
      </w:r>
      <w:r>
        <w:t xml:space="preserve">Table 98: Savings estimations based on broader use of fold out labels</w:t>
      </w:r>
    </w:p>
    <w:p>
      <w:pPr>
        <w:pStyle w:val="BodyText"/>
      </w:pPr>
      <w:r>
        <w:t xml:space="preserve">342</w:t>
      </w:r>
      <w:r>
        <w:t xml:space="preserve"> </w:t>
      </w:r>
      <w:r>
        <w:t xml:space="preserve">Enterprise Type</w:t>
      </w:r>
    </w:p>
    <w:p>
      <w:pPr>
        <w:pStyle w:val="BodyText"/>
      </w:pPr>
      <w:r>
        <w:t xml:space="preserve">No. of Enterprises</w:t>
      </w:r>
    </w:p>
    <w:p>
      <w:pPr>
        <w:pStyle w:val="BodyText"/>
      </w:pPr>
      <w:r>
        <w:t xml:space="preserve">No. 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Detergent Formulation</w:t>
      </w:r>
      <w:r>
        <w:t xml:space="preserve"> </w:t>
      </w:r>
      <w:r>
        <w:t xml:space="preserve">per Enterprise</w:t>
      </w:r>
      <w:r>
        <w:t xml:space="preserve"> </w:t>
      </w:r>
      <w:r>
        <w:t xml:space="preserve">Average No. of Labels</w:t>
      </w:r>
      <w:r>
        <w:t xml:space="preserve"> </w:t>
      </w:r>
      <w:r>
        <w:t xml:space="preserve">Required per Product</w:t>
      </w:r>
      <w:r>
        <w:t xml:space="preserve"> </w:t>
      </w:r>
      <w:r>
        <w:t xml:space="preserve">Average</w:t>
      </w:r>
      <w:r>
        <w:t xml:space="preserve"> </w:t>
      </w:r>
      <w:r>
        <w:t xml:space="preserve">No. </w:t>
      </w:r>
      <w:r>
        <w:t xml:space="preserve"> </w:t>
      </w:r>
      <w:r>
        <w:t xml:space="preserve">of</w:t>
      </w:r>
      <w:r>
        <w:t xml:space="preserve"> </w:t>
      </w:r>
      <w:r>
        <w:t xml:space="preserve">multilingual</w:t>
      </w:r>
      <w:r>
        <w:t xml:space="preserve"> </w:t>
      </w:r>
      <w:r>
        <w:t xml:space="preserve">labels</w:t>
      </w:r>
      <w:r>
        <w:t xml:space="preserve"> </w:t>
      </w:r>
      <w:r>
        <w:t xml:space="preserve">Cost</w:t>
      </w:r>
      <w:r>
        <w:t xml:space="preserve"> </w:t>
      </w:r>
      <w:r>
        <w:t xml:space="preserve">Saving</w:t>
      </w:r>
      <w:r>
        <w:t xml:space="preserve"> </w:t>
      </w:r>
      <w:r>
        <w:t xml:space="preserve">per</w:t>
      </w:r>
      <w:r>
        <w:t xml:space="preserve"> </w:t>
      </w:r>
      <w:r>
        <w:t xml:space="preserve">Product</w:t>
      </w:r>
    </w:p>
    <w:p>
      <w:pPr>
        <w:pStyle w:val="BodyText"/>
      </w:pPr>
      <w:r>
        <w:t xml:space="preserve">Total Cost Saving per</w:t>
      </w:r>
      <w:r>
        <w:t xml:space="preserve"> </w:t>
      </w:r>
      <w:r>
        <w:t xml:space="preserve">Enterprise</w:t>
      </w:r>
    </w:p>
    <w:p>
      <w:pPr>
        <w:pStyle w:val="BodyText"/>
      </w:pPr>
      <w:r>
        <w:t xml:space="preserve">Total Cost Saving</w:t>
      </w:r>
    </w:p>
    <w:p>
      <w:pPr>
        <w:pStyle w:val="BodyText"/>
      </w:pPr>
      <w:r>
        <w:t xml:space="preserve">Annualised</w:t>
      </w:r>
      <w:r>
        <w:t xml:space="preserve"> </w:t>
      </w:r>
      <w:r>
        <w:t xml:space="preserve">Cost</w:t>
      </w:r>
      <w:r>
        <w:t xml:space="preserve"> </w:t>
      </w:r>
      <w:r>
        <w:t xml:space="preserve">Saving</w:t>
      </w:r>
    </w:p>
    <w:p>
      <w:pPr>
        <w:pStyle w:val="BodyText"/>
      </w:pPr>
      <w:r>
        <w:t xml:space="preserve">Large</w:t>
      </w:r>
      <w:r>
        <w:t xml:space="preserve"> </w:t>
      </w:r>
      <w:r>
        <w:t xml:space="preserve">enterprise</w:t>
      </w:r>
      <w:r>
        <w:t xml:space="preserve"> </w:t>
      </w:r>
      <w:r>
        <w:t xml:space="preserve">50</w:t>
      </w:r>
      <w:r>
        <w:t xml:space="preserve"> </w:t>
      </w:r>
      <w:r>
        <w:t xml:space="preserve">150-</w:t>
      </w:r>
      <w:r>
        <w:t xml:space="preserve"> </w:t>
      </w:r>
      <w:r>
        <w:t xml:space="preserve">250</w:t>
      </w:r>
      <w:r>
        <w:t xml:space="preserve"> </w:t>
      </w:r>
      <w:r>
        <w:t xml:space="preserve">15</w:t>
      </w:r>
      <w:r>
        <w:t xml:space="preserve"> </w:t>
      </w:r>
      <w:r>
        <w:t xml:space="preserve">3</w:t>
      </w:r>
      <w:r>
        <w:t xml:space="preserve"> </w:t>
      </w:r>
      <w:r>
        <w:t xml:space="preserve">€4,125</w:t>
      </w:r>
      <w:r>
        <w:t xml:space="preserve"> </w:t>
      </w:r>
      <w:r>
        <w:t xml:space="preserve">–</w:t>
      </w:r>
      <w:r>
        <w:t xml:space="preserve"> </w:t>
      </w:r>
      <w:r>
        <w:t xml:space="preserve">€5,625</w:t>
      </w:r>
      <w:r>
        <w:t xml:space="preserve"> </w:t>
      </w:r>
      <w:r>
        <w:t xml:space="preserve">€618,750 –</w:t>
      </w:r>
      <w:r>
        <w:t xml:space="preserve"> </w:t>
      </w:r>
      <w:r>
        <w:t xml:space="preserve">€1,406,250</w:t>
      </w:r>
    </w:p>
    <w:p>
      <w:pPr>
        <w:pStyle w:val="BodyText"/>
      </w:pPr>
      <w:r>
        <w:t xml:space="preserve">€30,937,500</w:t>
      </w:r>
      <w:r>
        <w:t xml:space="preserve"> </w:t>
      </w:r>
      <w:r>
        <w:t xml:space="preserve">–</w:t>
      </w:r>
      <w:r>
        <w:t xml:space="preserve"> </w:t>
      </w:r>
      <w:r>
        <w:t xml:space="preserve">€70,312,500</w:t>
      </w:r>
      <w:r>
        <w:t xml:space="preserve"> </w:t>
      </w:r>
      <w:r>
        <w:t xml:space="preserve">€11,834,000</w:t>
      </w:r>
      <w:r>
        <w:t xml:space="preserve"> </w:t>
      </w:r>
      <w:r>
        <w:t xml:space="preserve">–</w:t>
      </w:r>
      <w:r>
        <w:t xml:space="preserve"> </w:t>
      </w:r>
      <w:r>
        <w:t xml:space="preserve">€26,895,000</w:t>
      </w:r>
      <w:r>
        <w:t xml:space="preserve"> </w:t>
      </w:r>
      <w:r>
        <w:t xml:space="preserve">SME</w:t>
      </w:r>
      <w:r>
        <w:t xml:space="preserve"> </w:t>
      </w:r>
      <w:r>
        <w:t xml:space="preserve">600</w:t>
      </w:r>
      <w:r>
        <w:t xml:space="preserve"> </w:t>
      </w:r>
      <w:r>
        <w:t xml:space="preserve">–</w:t>
      </w:r>
      <w:r>
        <w:t xml:space="preserve"> </w:t>
      </w:r>
      <w:r>
        <w:t xml:space="preserve">650</w:t>
      </w:r>
      <w:r>
        <w:t xml:space="preserve"> </w:t>
      </w:r>
      <w:r>
        <w:t xml:space="preserve">40 – 60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€1,375</w:t>
      </w:r>
      <w:r>
        <w:t xml:space="preserve"> </w:t>
      </w:r>
      <w:r>
        <w:t xml:space="preserve">–</w:t>
      </w:r>
      <w:r>
        <w:t xml:space="preserve"> </w:t>
      </w:r>
      <w:r>
        <w:t xml:space="preserve">€1,875</w:t>
      </w:r>
      <w:r>
        <w:t xml:space="preserve"> </w:t>
      </w:r>
      <w:r>
        <w:t xml:space="preserve">€55,000 –</w:t>
      </w:r>
      <w:r>
        <w:t xml:space="preserve"> </w:t>
      </w:r>
      <w:r>
        <w:t xml:space="preserve">€112,500</w:t>
      </w:r>
      <w:r>
        <w:t xml:space="preserve"> </w:t>
      </w:r>
      <w:r>
        <w:t xml:space="preserve">€33,000,000</w:t>
      </w:r>
      <w:r>
        <w:t xml:space="preserve"> </w:t>
      </w:r>
      <w:r>
        <w:t xml:space="preserve">–</w:t>
      </w:r>
      <w:r>
        <w:t xml:space="preserve"> </w:t>
      </w:r>
      <w:r>
        <w:t xml:space="preserve">€73,125,000</w:t>
      </w:r>
      <w:r>
        <w:t xml:space="preserve"> </w:t>
      </w:r>
      <w:r>
        <w:t xml:space="preserve">€12,623,000</w:t>
      </w:r>
      <w:r>
        <w:t xml:space="preserve"> </w:t>
      </w:r>
      <w:r>
        <w:t xml:space="preserve">–</w:t>
      </w:r>
      <w:r>
        <w:t xml:space="preserve"> </w:t>
      </w:r>
      <w:r>
        <w:t xml:space="preserve">€27,970,000</w:t>
      </w:r>
      <w:r>
        <w:t xml:space="preserve"> </w:t>
      </w:r>
      <w:r>
        <w:t xml:space="preserve">Total</w:t>
      </w:r>
      <w:r>
        <w:br/>
      </w:r>
      <w:r>
        <w:t xml:space="preserve">650</w:t>
      </w:r>
      <w:r>
        <w:t xml:space="preserve"> </w:t>
      </w:r>
      <w:r>
        <w:t xml:space="preserve">-</w:t>
      </w:r>
      <w:r>
        <w:t xml:space="preserve"> </w:t>
      </w:r>
      <w:r>
        <w:t xml:space="preserve">700</w:t>
      </w:r>
      <w:r>
        <w:t xml:space="preserve"> </w:t>
      </w:r>
      <w:r>
        <w:t xml:space="preserve">31,500</w:t>
      </w:r>
      <w:r>
        <w:t xml:space="preserve"> </w:t>
      </w:r>
      <w:r>
        <w:t xml:space="preserve">–</w:t>
      </w:r>
      <w:r>
        <w:t xml:space="preserve"> </w:t>
      </w:r>
      <w:r>
        <w:t xml:space="preserve">51,500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€64,000,000</w:t>
      </w:r>
      <w:r>
        <w:t xml:space="preserve"> </w:t>
      </w:r>
      <w:r>
        <w:t xml:space="preserve">–</w:t>
      </w:r>
      <w:r>
        <w:t xml:space="preserve"> </w:t>
      </w:r>
      <w:r>
        <w:t xml:space="preserve">€144,000,000</w:t>
      </w:r>
      <w:r>
        <w:t xml:space="preserve"> </w:t>
      </w:r>
      <w:r>
        <w:t xml:space="preserve">€24,000,000</w:t>
      </w:r>
      <w:r>
        <w:t xml:space="preserve"> </w:t>
      </w:r>
      <w:r>
        <w:t xml:space="preserve">–</w:t>
      </w:r>
      <w:r>
        <w:t xml:space="preserve"> </w:t>
      </w:r>
      <w:r>
        <w:t xml:space="preserve">€55,000,000</w:t>
      </w:r>
      <w:r>
        <w:t xml:space="preserve"> </w:t>
      </w:r>
      <w:r>
        <w:t xml:space="preserve">Using the detergents sector as an example, multilingual labels with a maximum of five</w:t>
      </w:r>
      <w:r>
        <w:t xml:space="preserve"> </w:t>
      </w:r>
      <w:r>
        <w:t xml:space="preserve">languages would require large enterprises to use three different labels required for each</w:t>
      </w:r>
      <w:r>
        <w:t xml:space="preserve"> </w:t>
      </w:r>
      <w:r>
        <w:t xml:space="preserve">product on the market instead of 15, while SMEs could use one label instead of five (one</w:t>
      </w:r>
      <w:r>
        <w:t xml:space="preserve"> </w:t>
      </w:r>
      <w:r>
        <w:t xml:space="preserve">per product). This is estimated to reduce costs savings (annualised) for the detergents sector</w:t>
      </w:r>
      <w:r>
        <w:t xml:space="preserve"> </w:t>
      </w:r>
      <w:r>
        <w:t xml:space="preserve">only by €24,000,000 to €55,000,000. About half of those savings are related to SMEs</w:t>
      </w:r>
      <w:r>
        <w:t xml:space="preserve"> </w:t>
      </w:r>
      <w:r>
        <w:t xml:space="preserve">(€12,623,000 – €27,970,000).</w:t>
      </w:r>
      <w:r>
        <w:t xml:space="preserve"> </w:t>
      </w:r>
      <w:r>
        <w:t xml:space="preserve">The baseline information show that intra-EU sales of chemical products are in the hundreds</w:t>
      </w:r>
      <w:r>
        <w:t xml:space="preserve"> </w:t>
      </w:r>
      <w:r>
        <w:t xml:space="preserve">of billions of Euros and represent the majority of total sales in the EU. Therefore, it can be</w:t>
      </w:r>
      <w:r>
        <w:t xml:space="preserve"> </w:t>
      </w:r>
      <w:r>
        <w:t xml:space="preserve">assumed that a large number of products are sold across multiple Member States and would</w:t>
      </w:r>
      <w:r>
        <w:t xml:space="preserve"> </w:t>
      </w:r>
      <w:r>
        <w:t xml:space="preserve">benefit from wider use of fold-out labels. The cost savings are thus expected to be significant</w:t>
      </w:r>
      <w:r>
        <w:t xml:space="preserve"> </w:t>
      </w:r>
      <w:r>
        <w:t xml:space="preserve">and a strong positive impact on administrative costs to business is likely.</w:t>
      </w:r>
      <w:r>
        <w:t xml:space="preserve"> </w:t>
      </w:r>
      <w:r>
        <w:t xml:space="preserve">Data from Eurostat261 shows that across the EU-27, on average 56% of intra-EU exports of</w:t>
      </w:r>
      <w:r>
        <w:t xml:space="preserve"> </w:t>
      </w:r>
      <w:r>
        <w:t xml:space="preserve">goods for each Member State were supplied to their three largest EU partners. For</w:t>
      </w:r>
      <w:r>
        <w:t xml:space="preserve"> </w:t>
      </w:r>
      <w:r>
        <w:t xml:space="preserve">Luxembourg and Portugal, 71% and 72% of their intra-EU exports of goods respectively</w:t>
      </w:r>
      <w:r>
        <w:t xml:space="preserve"> </w:t>
      </w:r>
      <w:r>
        <w:t xml:space="preserve">are to their three largest EU partners, while Germany exports only 38% of its intra-EU goods</w:t>
      </w:r>
      <w:r>
        <w:t xml:space="preserve"> </w:t>
      </w:r>
      <w:r>
        <w:t xml:space="preserve">to its three largest EU partners. This highlights that a fold-out label accommodating up to</w:t>
      </w:r>
      <w:r>
        <w:t xml:space="preserve"> </w:t>
      </w:r>
      <w:r>
        <w:t xml:space="preserve">five languages would cover the majority of each Member State’s intra-EU traded goods.</w:t>
      </w:r>
      <w:r>
        <w:t xml:space="preserve"> </w:t>
      </w:r>
      <w:r>
        <w:t xml:space="preserve">No change in public authority costs enforcement costs is expected under policy measure</w:t>
      </w:r>
      <w:r>
        <w:t xml:space="preserve"> </w:t>
      </w:r>
      <w:r>
        <w:t xml:space="preserve">#15 as enforcement is already carried out to check compliance of fold-out labels and</w:t>
      </w:r>
      <w:r>
        <w:t xml:space="preserve"> </w:t>
      </w:r>
      <w:r>
        <w:t xml:space="preserve">compliance of labels with official language requirements, for example as part of various</w:t>
      </w:r>
      <w:r>
        <w:t xml:space="preserve"> </w:t>
      </w:r>
      <w:r>
        <w:t xml:space="preserve">enforcement projects of the European Chemicals Agency.</w:t>
      </w:r>
      <w:r>
        <w:br/>
      </w:r>
      <w:r>
        <w:t xml:space="preserve">Policy measure #15 is expected to have a positive impact on the functioning of the internal</w:t>
      </w:r>
      <w:r>
        <w:t xml:space="preserve"> </w:t>
      </w:r>
      <w:r>
        <w:t xml:space="preserve">market and competition as it will establish readability criteria on labels and clearer rules</w:t>
      </w:r>
      <w:r>
        <w:t xml:space="preserve"> </w:t>
      </w:r>
      <w:r>
        <w:t xml:space="preserve">on multilingual labels and help ensure their implementation is harmonised across all</w:t>
      </w:r>
      <w:r>
        <w:t xml:space="preserve"> </w:t>
      </w:r>
      <w:r>
        <w:t xml:space="preserve">Members States. Allowing wider use of multilingual labels will also level of the cost of</w:t>
      </w:r>
    </w:p>
    <w:p>
      <w:pPr>
        <w:pStyle w:val="BodyText"/>
      </w:pPr>
      <w:r>
        <w:t xml:space="preserve">261</w:t>
      </w:r>
      <w:r>
        <w:t xml:space="preserve"> </w:t>
      </w:r>
      <w:r>
        <w:t xml:space="preserve">See</w:t>
      </w:r>
      <w:r>
        <w:t xml:space="preserve"> </w:t>
      </w:r>
      <w:r>
        <w:t xml:space="preserve">https://ec.europa.eu/eurostat/statistics-explained/index.php?title=Intra-EU_trade_in_goods_-</w:t>
      </w:r>
      <w:r>
        <w:t xml:space="preserve"> </w:t>
      </w:r>
      <w:r>
        <w:t xml:space="preserve">_main_features#Intra-EU_trade_in_goods_by_Member_State</w:t>
      </w:r>
    </w:p>
    <w:p>
      <w:pPr>
        <w:pStyle w:val="BodyText"/>
      </w:pPr>
      <w:r>
        <w:t xml:space="preserve">343</w:t>
      </w:r>
      <w:r>
        <w:t xml:space="preserve"> </w:t>
      </w:r>
      <w:r>
        <w:t xml:space="preserve">business across the EU by reducing the administrative burden on companies, which will</w:t>
      </w:r>
      <w:r>
        <w:t xml:space="preserve"> </w:t>
      </w:r>
      <w:r>
        <w:t xml:space="preserve">have a positive impact on competitiveness of EU businesses and promote the free movement</w:t>
      </w:r>
      <w:r>
        <w:t xml:space="preserve"> </w:t>
      </w:r>
      <w:r>
        <w:t xml:space="preserve">of goods.</w:t>
      </w:r>
      <w:r>
        <w:t xml:space="preserve"> </w:t>
      </w:r>
      <w:r>
        <w:t xml:space="preserve">The wider user of fold-out multilingual labels would bring the greatest benefit to companies</w:t>
      </w:r>
      <w:r>
        <w:t xml:space="preserve"> </w:t>
      </w:r>
      <w:r>
        <w:t xml:space="preserve">operating across many Member States, which are typically large companies. The position</w:t>
      </w:r>
      <w:r>
        <w:t xml:space="preserve"> </w:t>
      </w:r>
      <w:r>
        <w:t xml:space="preserve">of SME operation was discussed during a 2014 workshop organised by the European</w:t>
      </w:r>
      <w:r>
        <w:t xml:space="preserve"> </w:t>
      </w:r>
      <w:r>
        <w:t xml:space="preserve">Commission on the safe use of chemicals by SMEs. This addressed the challenges related</w:t>
      </w:r>
      <w:r>
        <w:t xml:space="preserve"> </w:t>
      </w:r>
      <w:r>
        <w:t xml:space="preserve">to the implementation of CLP by SMEs: The restricted use of multi-lingual fold-out labels</w:t>
      </w:r>
      <w:r>
        <w:t xml:space="preserve"> </w:t>
      </w:r>
      <w:r>
        <w:t xml:space="preserve">was mentioned by stakeholders as an important challenge for SMEs because of the high</w:t>
      </w:r>
      <w:r>
        <w:t xml:space="preserve"> </w:t>
      </w:r>
      <w:r>
        <w:t xml:space="preserve">administrative burden posed by the frequent re-labelling required when distributing a</w:t>
      </w:r>
      <w:r>
        <w:t xml:space="preserve"> </w:t>
      </w:r>
      <w:r>
        <w:t xml:space="preserve">product in multiple Member States. This indicates that wider use of fold-out labels would</w:t>
      </w:r>
      <w:r>
        <w:t xml:space="preserve"> </w:t>
      </w:r>
      <w:r>
        <w:t xml:space="preserve">also bring significant benefit to SMEs: about half of total savings are related to SMEs</w:t>
      </w:r>
      <w:r>
        <w:t xml:space="preserve"> </w:t>
      </w:r>
      <w:r>
        <w:t xml:space="preserve">(€12,623,000 – €27,970,000).</w:t>
      </w:r>
      <w:r>
        <w:t xml:space="preserve"> </w:t>
      </w:r>
      <w:r>
        <w:t xml:space="preserve">As regards to consumers and households price of consumer goods, consumers currently</w:t>
      </w:r>
      <w:r>
        <w:t xml:space="preserve"> </w:t>
      </w:r>
      <w:r>
        <w:t xml:space="preserve">are confronted with the high levels of non-compliance with the requirement under Article</w:t>
      </w:r>
      <w:r>
        <w:t xml:space="preserve"> </w:t>
      </w:r>
      <w:r>
        <w:t xml:space="preserve">17(2) that labels “shall be written in the official language(s) of the Member State(s) where</w:t>
      </w:r>
      <w:r>
        <w:t xml:space="preserve"> </w:t>
      </w:r>
      <w:r>
        <w:t xml:space="preserve">the substance or mixture is placed on the market” (see explanations above). Although the</w:t>
      </w:r>
      <w:r>
        <w:t xml:space="preserve"> </w:t>
      </w:r>
      <w:r>
        <w:t xml:space="preserve">reason for the infringements of Article 17(2) are not known, this may be in part due to the</w:t>
      </w:r>
      <w:r>
        <w:t xml:space="preserve"> </w:t>
      </w:r>
      <w:r>
        <w:t xml:space="preserve">cost of re-labelling a product sold in multiple Member States being perceived as too high.</w:t>
      </w:r>
      <w:r>
        <w:t xml:space="preserve"> </w:t>
      </w:r>
      <w:r>
        <w:t xml:space="preserve">Wider use of fold-out multilingual labels would reduce label costs, which is expected to</w:t>
      </w:r>
      <w:r>
        <w:t xml:space="preserve"> </w:t>
      </w:r>
      <w:r>
        <w:t xml:space="preserve">make it easier for companies to comply with the requirement under Article 17(2). Greater</w:t>
      </w:r>
      <w:r>
        <w:t xml:space="preserve"> </w:t>
      </w:r>
      <w:r>
        <w:t xml:space="preserve">compliance with official language requirements coupled with the establishment of minimum</w:t>
      </w:r>
      <w:r>
        <w:t xml:space="preserve"> </w:t>
      </w:r>
      <w:r>
        <w:t xml:space="preserve">readability criteria will improve communication of hazard information to consumers and</w:t>
      </w:r>
      <w:r>
        <w:t xml:space="preserve"> </w:t>
      </w:r>
      <w:r>
        <w:t xml:space="preserve">empower EU consumers and professional users through better access to more relevant and</w:t>
      </w:r>
      <w:r>
        <w:t xml:space="preserve"> </w:t>
      </w:r>
      <w:r>
        <w:t xml:space="preserve">understandable product information, leading to more informed decision making on the</w:t>
      </w:r>
      <w:r>
        <w:t xml:space="preserve"> </w:t>
      </w:r>
      <w:r>
        <w:t xml:space="preserve">purchase and use of chemical products.</w:t>
      </w:r>
      <w:r>
        <w:br/>
      </w:r>
      <w:r>
        <w:t xml:space="preserve">Table 99: Economic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Conduct of</w:t>
      </w:r>
      <w:r>
        <w:t xml:space="preserve"> </w:t>
      </w:r>
      <w:r>
        <w:t xml:space="preserve">Business</w:t>
      </w:r>
      <w:r>
        <w:t xml:space="preserve"> </w:t>
      </w:r>
      <w:r>
        <w:t xml:space="preserve">Labelling</w:t>
      </w:r>
      <w:r>
        <w:t xml:space="preserve"> </w:t>
      </w:r>
      <w:r>
        <w:t xml:space="preserve">Costs</w:t>
      </w:r>
      <w:r>
        <w:t xml:space="preserve"> </w:t>
      </w:r>
      <w:r>
        <w:t xml:space="preserve">(+)</w:t>
      </w:r>
      <w:r>
        <w:t xml:space="preserve"> </w:t>
      </w:r>
      <w:r>
        <w:t xml:space="preserve">Direct</w:t>
      </w:r>
      <w:r>
        <w:t xml:space="preserve"> </w:t>
      </w:r>
      <w:r>
        <w:t xml:space="preserve">€24-55</w:t>
      </w:r>
      <w:r>
        <w:t xml:space="preserve"> </w:t>
      </w:r>
      <w:r>
        <w:t xml:space="preserve">million</w:t>
      </w:r>
      <w:r>
        <w:t xml:space="preserve"> </w:t>
      </w:r>
      <w:r>
        <w:t xml:space="preserve">annualised</w:t>
      </w:r>
      <w:r>
        <w:br/>
      </w:r>
      <w:r>
        <w:t xml:space="preserve">Recurrent</w:t>
      </w:r>
      <w:r>
        <w:br/>
      </w:r>
      <w:r>
        <w:t xml:space="preserve">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Costs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(o)</w:t>
      </w:r>
      <w:r>
        <w:t xml:space="preserve"> </w:t>
      </w:r>
      <w:r>
        <w:t xml:space="preserve">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Enforcement</w:t>
      </w:r>
      <w:r>
        <w:t xml:space="preserve"> </w:t>
      </w:r>
      <w:r>
        <w:t xml:space="preserve">across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Free</w:t>
      </w:r>
      <w:r>
        <w:t xml:space="preserve"> </w:t>
      </w:r>
      <w:r>
        <w:t xml:space="preserve">Movement of</w:t>
      </w:r>
      <w:r>
        <w:t xml:space="preserve"> </w:t>
      </w:r>
      <w:r>
        <w:t xml:space="preserve">Goods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SMEs</w:t>
      </w:r>
      <w:r>
        <w:t xml:space="preserve"> </w:t>
      </w:r>
      <w:r>
        <w:t xml:space="preserve">Operation of</w:t>
      </w:r>
      <w:r>
        <w:t xml:space="preserve"> </w:t>
      </w:r>
      <w:r>
        <w:t xml:space="preserve">SMEs</w:t>
      </w:r>
      <w:r>
        <w:t xml:space="preserve"> </w:t>
      </w:r>
      <w:r>
        <w:t xml:space="preserve">(+)</w:t>
      </w:r>
      <w:r>
        <w:t xml:space="preserve"> </w:t>
      </w:r>
      <w:r>
        <w:t xml:space="preserve">Direct</w:t>
      </w:r>
      <w:r>
        <w:t xml:space="preserve"> </w:t>
      </w:r>
      <w:r>
        <w:t xml:space="preserve">€12-27.9</w:t>
      </w:r>
      <w:r>
        <w:t xml:space="preserve"> </w:t>
      </w:r>
      <w:r>
        <w:t xml:space="preserve">million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344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  <w:r>
        <w:t xml:space="preserve"> </w:t>
      </w:r>
      <w:r>
        <w:t xml:space="preserve">Consumer</w:t>
      </w:r>
      <w:r>
        <w:t xml:space="preserve"> </w:t>
      </w:r>
      <w:r>
        <w:t xml:space="preserve">Information,</w:t>
      </w:r>
      <w:r>
        <w:t xml:space="preserve"> </w:t>
      </w:r>
      <w:r>
        <w:t xml:space="preserve">Knowledge,</w:t>
      </w:r>
      <w:r>
        <w:t xml:space="preserve"> </w:t>
      </w:r>
      <w:r>
        <w:t xml:space="preserve">Trust</w:t>
      </w:r>
      <w:r>
        <w:t xml:space="preserve"> </w:t>
      </w:r>
      <w:r>
        <w:t xml:space="preserve">or</w:t>
      </w:r>
      <w:r>
        <w:t xml:space="preserve"> </w:t>
      </w:r>
      <w:r>
        <w:t xml:space="preserve">Protection</w:t>
      </w:r>
      <w:r>
        <w:t xml:space="preserve"> </w:t>
      </w:r>
      <w:r>
        <w:t xml:space="preserve">(+)</w:t>
      </w:r>
      <w:r>
        <w:t xml:space="preserve"> </w:t>
      </w:r>
      <w:r>
        <w:t xml:space="preserve">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Greater use of fold-out multilingual labels coupled with improved readability criteria</w:t>
      </w:r>
      <w:r>
        <w:t xml:space="preserve"> </w:t>
      </w:r>
      <w:r>
        <w:t xml:space="preserve">improve the protection of environment. This is because that would allow a greater number</w:t>
      </w:r>
      <w:r>
        <w:t xml:space="preserve"> </w:t>
      </w:r>
      <w:r>
        <w:t xml:space="preserve">of languages to be provided on product labels, which would increase the comprehension</w:t>
      </w:r>
      <w:r>
        <w:t xml:space="preserve"> </w:t>
      </w:r>
      <w:r>
        <w:t xml:space="preserve">rate of labels. Multilingual labels are important in ensuring that purchasers of products on-</w:t>
      </w:r>
      <w:r>
        <w:t xml:space="preserve"> </w:t>
      </w:r>
      <w:r>
        <w:t xml:space="preserve">line from other Member States, and EU workers and citizens in Member States other than</w:t>
      </w:r>
      <w:r>
        <w:t xml:space="preserve"> </w:t>
      </w:r>
      <w:r>
        <w:t xml:space="preserve">their own, receive information on environmental hazards of products in their native</w:t>
      </w:r>
      <w:r>
        <w:t xml:space="preserve"> </w:t>
      </w:r>
      <w:r>
        <w:t xml:space="preserve">language. Policy measure #15 is expected to have a neutral impact on resource use. Fold-</w:t>
      </w:r>
      <w:r>
        <w:t xml:space="preserve"> </w:t>
      </w:r>
      <w:r>
        <w:t xml:space="preserve">out labels consist of multiple pages and subsequently use more paper in their manufacture</w:t>
      </w:r>
      <w:r>
        <w:t xml:space="preserve"> </w:t>
      </w:r>
      <w:r>
        <w:t xml:space="preserve">than on-pack labels. However, as discussed below, fold-out labels improve planning and</w:t>
      </w:r>
      <w:r>
        <w:t xml:space="preserve"> </w:t>
      </w:r>
      <w:r>
        <w:t xml:space="preserve">reduce the amount of surplus labelling and packaging stock.</w:t>
      </w:r>
      <w:r>
        <w:br/>
      </w:r>
      <w:r>
        <w:t xml:space="preserve">Greater use of fold-out labels is expected to lead to a reduction in labelling and packaging</w:t>
      </w:r>
      <w:r>
        <w:t xml:space="preserve"> </w:t>
      </w:r>
      <w:r>
        <w:t xml:space="preserve">waste, as on-pack labels would not have to be re-designed when products are sold in</w:t>
      </w:r>
      <w:r>
        <w:t xml:space="preserve"> </w:t>
      </w:r>
      <w:r>
        <w:t xml:space="preserve">multiple Member States. Greater flexibility in planning and logistics resulting from a single</w:t>
      </w:r>
      <w:r>
        <w:t xml:space="preserve"> </w:t>
      </w:r>
      <w:r>
        <w:t xml:space="preserve">label, as opposed to multiple labels, would result in less labelling and packaging being</w:t>
      </w:r>
      <w:r>
        <w:t xml:space="preserve"> </w:t>
      </w:r>
      <w:r>
        <w:t xml:space="preserve">scrapped. At the same time, a fold-out label can also replace several traditional labels. At</w:t>
      </w:r>
      <w:r>
        <w:t xml:space="preserve"> </w:t>
      </w:r>
      <w:r>
        <w:t xml:space="preserve">previous discussions at CARACAL in 2015 262 on the quality and design of fold-out labels,</w:t>
      </w:r>
      <w:r>
        <w:t xml:space="preserve"> </w:t>
      </w:r>
      <w:r>
        <w:t xml:space="preserve">there was agreement on the importance of ensuring sufficient quality of fold-out labels, with</w:t>
      </w:r>
      <w:r>
        <w:t xml:space="preserve"> </w:t>
      </w:r>
      <w:r>
        <w:t xml:space="preserve">the exact manner in which the quality and robustness is ensured left to the duty holder. It</w:t>
      </w:r>
      <w:r>
        <w:t xml:space="preserve"> </w:t>
      </w:r>
      <w:r>
        <w:t xml:space="preserve">was agreed that guidance should state that the fold-out label should be durable (e.g. by using</w:t>
      </w:r>
      <w:r>
        <w:t xml:space="preserve"> </w:t>
      </w:r>
      <w:r>
        <w:t xml:space="preserve">plasticised pages) and that it should be attached to the packaging in a robust way. Therefore,</w:t>
      </w:r>
      <w:r>
        <w:t xml:space="preserve"> </w:t>
      </w:r>
      <w:r>
        <w:t xml:space="preserve">some level of plasticisation of fold-out labels would be required, which would increase</w:t>
      </w:r>
      <w:r>
        <w:t xml:space="preserve"> </w:t>
      </w:r>
      <w:r>
        <w:t xml:space="preserve">plastic waste. It should also be noted that fold-out labels consist of multiple pages and</w:t>
      </w:r>
      <w:r>
        <w:t xml:space="preserve"> </w:t>
      </w:r>
      <w:r>
        <w:t xml:space="preserve">subsequently will use more paper in their manufacture. Overall, policy measure #15 is</w:t>
      </w:r>
      <w:r>
        <w:t xml:space="preserve"> </w:t>
      </w:r>
      <w:r>
        <w:t xml:space="preserve">expected to have a neutral or small positive impact on labelling and packaging waste.</w:t>
      </w:r>
      <w:r>
        <w:t xml:space="preserve"> </w:t>
      </w:r>
      <w:r>
        <w:t xml:space="preserve">Table 100: Environmental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impacts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</w:t>
      </w:r>
      <w:r>
        <w:t xml:space="preserve"> </w:t>
      </w:r>
      <w:r>
        <w:t xml:space="preserve">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br/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Resource</w:t>
      </w:r>
      <w:r>
        <w:t xml:space="preserve"> </w:t>
      </w:r>
      <w:r>
        <w:t xml:space="preserve">Use</w:t>
      </w:r>
      <w:r>
        <w:t xml:space="preserve"> </w:t>
      </w:r>
      <w:r>
        <w:t xml:space="preserve">(o)</w:t>
      </w:r>
      <w:r>
        <w:t xml:space="preserve"> </w:t>
      </w:r>
      <w:r>
        <w:t xml:space="preserve">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262 European Commission (2015): 18th Meeting of Competent Authorities for REACH and CLP (CARACAL)</w:t>
      </w:r>
      <w:r>
        <w:t xml:space="preserve"> </w:t>
      </w:r>
      <w:r>
        <w:t xml:space="preserve">– 23 – 24 June 2015 CA/51/2015</w:t>
      </w:r>
    </w:p>
    <w:p>
      <w:pPr>
        <w:pStyle w:val="BodyText"/>
      </w:pPr>
      <w:r>
        <w:t xml:space="preserve">345</w:t>
      </w:r>
      <w:r>
        <w:t xml:space="preserve"> </w:t>
      </w:r>
      <w:r>
        <w:t xml:space="preserve">Waste</w:t>
      </w:r>
      <w:r>
        <w:t xml:space="preserve"> </w:t>
      </w:r>
      <w:r>
        <w:t xml:space="preserve">production,</w:t>
      </w:r>
      <w:r>
        <w:t xml:space="preserve"> </w:t>
      </w:r>
      <w:r>
        <w:t xml:space="preserve">generation</w:t>
      </w:r>
      <w:r>
        <w:t xml:space="preserve"> </w:t>
      </w:r>
      <w:r>
        <w:t xml:space="preserve">and</w:t>
      </w:r>
      <w:r>
        <w:t xml:space="preserve"> </w:t>
      </w:r>
      <w:r>
        <w:t xml:space="preserve">recycling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Labelling</w:t>
      </w:r>
      <w:r>
        <w:t xml:space="preserve"> </w:t>
      </w:r>
      <w:r>
        <w:t xml:space="preserve">and</w:t>
      </w:r>
      <w:r>
        <w:t xml:space="preserve"> </w:t>
      </w:r>
      <w:r>
        <w:t xml:space="preserve">Packaging</w:t>
      </w:r>
      <w:r>
        <w:t xml:space="preserve"> </w:t>
      </w:r>
      <w:r>
        <w:t xml:space="preserve">Waste</w:t>
      </w:r>
      <w:r>
        <w:t xml:space="preserve"> </w:t>
      </w:r>
      <w:r>
        <w:t xml:space="preserve">(o)</w:t>
      </w:r>
      <w:r>
        <w:t xml:space="preserve"> </w:t>
      </w:r>
      <w:r>
        <w:t xml:space="preserve">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The impact of the more frequent use of fold-out labels on the public health and safety and</w:t>
      </w:r>
      <w:r>
        <w:t xml:space="preserve"> </w:t>
      </w:r>
      <w:r>
        <w:t xml:space="preserve">health systems is likely to be positive. During previous discussions at CARACAL, the</w:t>
      </w:r>
      <w:r>
        <w:t xml:space="preserve"> </w:t>
      </w:r>
      <w:r>
        <w:t xml:space="preserve">value of multilingual labels has been expressed by several group members, due to the</w:t>
      </w:r>
      <w:r>
        <w:t xml:space="preserve"> </w:t>
      </w:r>
      <w:r>
        <w:t xml:space="preserve">increasing amount of international internet sales and the growing number of workers active</w:t>
      </w:r>
      <w:r>
        <w:t xml:space="preserve"> </w:t>
      </w:r>
      <w:r>
        <w:t xml:space="preserve">across borders within the EU. Multilingual labels are important in ensuring that purchasers</w:t>
      </w:r>
      <w:r>
        <w:t xml:space="preserve"> </w:t>
      </w:r>
      <w:r>
        <w:t xml:space="preserve">of products on-line from other Member States, and EU workers and citizens in Member</w:t>
      </w:r>
      <w:r>
        <w:t xml:space="preserve"> </w:t>
      </w:r>
      <w:r>
        <w:t xml:space="preserve">States other than their own, receive information on the human health hazards of products in</w:t>
      </w:r>
      <w:r>
        <w:t xml:space="preserve"> </w:t>
      </w:r>
      <w:r>
        <w:t xml:space="preserve">their native language. Greater use of fold-out multilingual labels would allow a greater</w:t>
      </w:r>
      <w:r>
        <w:t xml:space="preserve"> </w:t>
      </w:r>
      <w:r>
        <w:t xml:space="preserve">number of languages to be provided on product labels, which would increase the</w:t>
      </w:r>
      <w:r>
        <w:t xml:space="preserve"> </w:t>
      </w:r>
      <w:r>
        <w:t xml:space="preserve">comprehension rate of labels and thereby improve the protection of human health.</w:t>
      </w:r>
      <w:r>
        <w:t xml:space="preserve"> </w:t>
      </w:r>
      <w:r>
        <w:t xml:space="preserve">Policy measure #15 is unlikely to have implications on employment.</w:t>
      </w:r>
      <w:r>
        <w:t xml:space="preserve"> </w:t>
      </w:r>
      <w:r>
        <w:t xml:space="preserve">Table 101: Social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impacts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health</w:t>
      </w:r>
      <w:r>
        <w:t xml:space="preserve"> </w:t>
      </w:r>
      <w:r>
        <w:t xml:space="preserve">systems</w:t>
      </w:r>
      <w:r>
        <w:br/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human health</w:t>
      </w:r>
      <w:r>
        <w:t xml:space="preserve"> </w:t>
      </w:r>
      <w:r>
        <w:t xml:space="preserve">(+)</w:t>
      </w:r>
      <w:r>
        <w:t xml:space="preserve"> </w:t>
      </w:r>
      <w:r>
        <w:t xml:space="preserve">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Employmen</w:t>
      </w:r>
      <w:r>
        <w:t xml:space="preserve"> </w:t>
      </w:r>
      <w:r>
        <w:t xml:space="preserve">t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industry and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jobs</w:t>
      </w:r>
      <w:r>
        <w:t xml:space="preserve"> </w:t>
      </w:r>
      <w:r>
        <w:t xml:space="preserve">(o)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A summary of the cost and benefits of policy option #15 are presented below.</w:t>
      </w:r>
      <w:r>
        <w:t xml:space="preserve"> </w:t>
      </w:r>
      <w:r>
        <w:t xml:space="preserve">Summary of cost and benefits of policy measure #15</w:t>
      </w:r>
      <w:r>
        <w:t xml:space="preserve"> </w:t>
      </w:r>
      <w:r>
        <w:t xml:space="preserve">Costs - businesses</w:t>
      </w:r>
      <w:r>
        <w:t xml:space="preserve"> </w:t>
      </w:r>
      <w:r>
        <w:t xml:space="preserve">Total one-off costs over a 20-year period</w:t>
      </w:r>
      <w:r>
        <w:t xml:space="preserve"> </w:t>
      </w:r>
      <w:r>
        <w:t xml:space="preserve">€64,000,000 – €144,000,000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€104,000,000)</w:t>
      </w:r>
      <w:r>
        <w:t xml:space="preserve"> </w:t>
      </w:r>
      <w:r>
        <w:t xml:space="preserve">Recurring costs every 1 year</w:t>
      </w:r>
      <w:r>
        <w:t xml:space="preserve"> </w:t>
      </w:r>
      <w:r>
        <w:t xml:space="preserve">€24,000,000 – €55,000,000</w:t>
      </w:r>
      <w:r>
        <w:t xml:space="preserve"> </w:t>
      </w:r>
      <w:r>
        <w:t xml:space="preserve">(mid-estimate: €39,500,000)</w:t>
      </w:r>
      <w:r>
        <w:t xml:space="preserve"> </w:t>
      </w:r>
      <w:r>
        <w:t xml:space="preserve">Total recurring costs over a 20-year period</w:t>
      </w:r>
      <w:r>
        <w:t xml:space="preserve"> </w:t>
      </w:r>
      <w:r>
        <w:t xml:space="preserve">€456,000,000 –</w:t>
      </w:r>
      <w:r>
        <w:t xml:space="preserve"> </w:t>
      </w:r>
      <w:r>
        <w:t xml:space="preserve">€1,045,000,000 (mid-</w:t>
      </w:r>
      <w:r>
        <w:t xml:space="preserve"> </w:t>
      </w:r>
      <w:r>
        <w:t xml:space="preserve">estimate: €750,000,000)</w:t>
      </w:r>
    </w:p>
    <w:p>
      <w:pPr>
        <w:pStyle w:val="BodyText"/>
      </w:pPr>
      <w:r>
        <w:t xml:space="preserve">346</w:t>
      </w:r>
      <w:r>
        <w:t xml:space="preserve"> </w:t>
      </w:r>
      <w:r>
        <w:t xml:space="preserve">PV of one-off costs (20 years; 3%)</w:t>
      </w:r>
      <w:r>
        <w:t xml:space="preserve"> </w:t>
      </w:r>
      <w:r>
        <w:t xml:space="preserve">€86,036,106 – €193,581,238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€139,808,672)</w:t>
      </w:r>
      <w:r>
        <w:t xml:space="preserve"> </w:t>
      </w:r>
      <w:r>
        <w:t xml:space="preserve">PV of one-off costs (20 years; 3%) (annualized)</w:t>
      </w:r>
      <w:r>
        <w:t xml:space="preserve"> </w:t>
      </w:r>
      <w:r>
        <w:t xml:space="preserve">€4,301,805 – €9,679,062</w:t>
      </w:r>
      <w:r>
        <w:t xml:space="preserve"> </w:t>
      </w:r>
      <w:r>
        <w:t xml:space="preserve">(mid-estimate: €6,990,434)</w:t>
      </w:r>
      <w:r>
        <w:t xml:space="preserve"> </w:t>
      </w:r>
      <w:r>
        <w:t xml:space="preserve">PV of recurring costs (20 years; 3%)</w:t>
      </w:r>
      <w:r>
        <w:t xml:space="preserve"> </w:t>
      </w:r>
      <w:r>
        <w:t xml:space="preserve">€613,007,253 –</w:t>
      </w:r>
      <w:r>
        <w:t xml:space="preserve"> </w:t>
      </w:r>
      <w:r>
        <w:t xml:space="preserve">€1,404,808,289 (mid-</w:t>
      </w:r>
      <w:r>
        <w:t xml:space="preserve"> </w:t>
      </w:r>
      <w:r>
        <w:t xml:space="preserve">estimate: €1,008,907,771)</w:t>
      </w:r>
      <w:r>
        <w:t xml:space="preserve"> </w:t>
      </w:r>
      <w:r>
        <w:t xml:space="preserve">Total PV – costs - businesses</w:t>
      </w:r>
      <w:r>
        <w:t xml:space="preserve"> </w:t>
      </w:r>
      <w:r>
        <w:t xml:space="preserve">€699,043,359 –</w:t>
      </w:r>
      <w:r>
        <w:t xml:space="preserve"> </w:t>
      </w:r>
      <w:r>
        <w:t xml:space="preserve">€1,598,389,527 (mid-</w:t>
      </w:r>
      <w:r>
        <w:t xml:space="preserve"> </w:t>
      </w:r>
      <w:r>
        <w:t xml:space="preserve">estimate: €1,148,716,443)</w:t>
      </w:r>
      <w:r>
        <w:t xml:space="preserve"> </w:t>
      </w:r>
      <w:r>
        <w:t xml:space="preserve">Costs – public authorities</w:t>
      </w:r>
      <w:r>
        <w:t xml:space="preserve"> </w:t>
      </w:r>
      <w:r>
        <w:t xml:space="preserve">Total one-off costs over a 20-year period</w:t>
      </w:r>
    </w:p>
    <w:p>
      <w:pPr>
        <w:pStyle w:val="BodyText"/>
      </w:pPr>
      <w:r>
        <w:t xml:space="preserve">Recurring costs every 1 year</w:t>
      </w:r>
    </w:p>
    <w:p>
      <w:pPr>
        <w:pStyle w:val="BodyText"/>
      </w:pPr>
      <w:r>
        <w:t xml:space="preserve">Total recurring costs over a 20-year period</w:t>
      </w:r>
    </w:p>
    <w:p>
      <w:pPr>
        <w:pStyle w:val="BodyText"/>
      </w:pPr>
      <w:r>
        <w:t xml:space="preserve">PV of one-off costs (20 years; 3%)</w:t>
      </w:r>
    </w:p>
    <w:p>
      <w:pPr>
        <w:pStyle w:val="BodyText"/>
      </w:pPr>
      <w:r>
        <w:t xml:space="preserve">PV of recurring costs (20 years; 3%)</w:t>
      </w:r>
    </w:p>
    <w:p>
      <w:pPr>
        <w:pStyle w:val="BodyText"/>
      </w:pPr>
      <w:r>
        <w:t xml:space="preserve">Total PV – costs – public authorities</w:t>
      </w:r>
    </w:p>
    <w:p>
      <w:pPr>
        <w:pStyle w:val="BodyText"/>
      </w:pPr>
      <w:r>
        <w:t xml:space="preserve">Total PV cost of policy measure #15</w:t>
      </w:r>
      <w:r>
        <w:t xml:space="preserve"> </w:t>
      </w:r>
      <w:r>
        <w:t xml:space="preserve">€699,043,359 –</w:t>
      </w:r>
      <w:r>
        <w:t xml:space="preserve"> </w:t>
      </w:r>
      <w:r>
        <w:t xml:space="preserve">€1,598,389,527 (mid-</w:t>
      </w:r>
      <w:r>
        <w:t xml:space="preserve"> </w:t>
      </w:r>
      <w:r>
        <w:t xml:space="preserve">estimate: €1,148,716,443)</w:t>
      </w:r>
      <w:r>
        <w:t xml:space="preserve"> </w:t>
      </w:r>
      <w:r>
        <w:t xml:space="preserve">Benefits (cost savings) - businesses</w:t>
      </w:r>
    </w:p>
    <w:p>
      <w:pPr>
        <w:pStyle w:val="BodyText"/>
      </w:pPr>
      <w:r>
        <w:t xml:space="preserve">PV benefits - businesses</w:t>
      </w:r>
    </w:p>
    <w:p>
      <w:pPr>
        <w:pStyle w:val="BodyText"/>
      </w:pPr>
      <w:r>
        <w:t xml:space="preserve">Benefits (cost savings) – public authorities</w:t>
      </w:r>
    </w:p>
    <w:p>
      <w:pPr>
        <w:pStyle w:val="BodyText"/>
      </w:pPr>
      <w:r>
        <w:t xml:space="preserve">PV – benefits – public authorities</w:t>
      </w:r>
    </w:p>
    <w:p>
      <w:pPr>
        <w:pStyle w:val="BodyText"/>
      </w:pPr>
      <w:r>
        <w:t xml:space="preserve">Benefits - society</w:t>
      </w:r>
    </w:p>
    <w:p>
      <w:pPr>
        <w:pStyle w:val="BodyText"/>
      </w:pPr>
      <w:r>
        <w:t xml:space="preserve">PV - benefits - society</w:t>
      </w:r>
    </w:p>
    <w:p>
      <w:pPr>
        <w:pStyle w:val="BodyText"/>
      </w:pPr>
      <w:r>
        <w:t xml:space="preserve">Total OV - benefits</w:t>
      </w:r>
    </w:p>
    <w:p>
      <w:pPr>
        <w:pStyle w:val="BodyText"/>
      </w:pPr>
      <w:r>
        <w:t xml:space="preserve">Net Present Value - NPV (PV benefits – PV costs)</w:t>
      </w:r>
      <w:r>
        <w:t xml:space="preserve"> </w:t>
      </w:r>
      <w:r>
        <w:t xml:space="preserve">€699,043,359 –</w:t>
      </w:r>
      <w:r>
        <w:t xml:space="preserve"> </w:t>
      </w:r>
      <w:r>
        <w:t xml:space="preserve">€1,598,389,527 (mid-</w:t>
      </w:r>
      <w:r>
        <w:t xml:space="preserve"> </w:t>
      </w:r>
      <w:r>
        <w:t xml:space="preserve">estimate: €1,148,716,443)</w:t>
      </w:r>
    </w:p>
    <w:p>
      <w:pPr>
        <w:pStyle w:val="BodyText"/>
      </w:pPr>
      <w:r>
        <w:t xml:space="preserve">A summary of the present value costs (3% discount) for policy measure #15 are provided</w:t>
      </w:r>
      <w:r>
        <w:t xml:space="preserve"> </w:t>
      </w:r>
      <w:r>
        <w:t xml:space="preserve">below.</w:t>
      </w:r>
      <w:r>
        <w:t xml:space="preserve"> </w:t>
      </w:r>
      <w:r>
        <w:t xml:space="preserve">Summary of costs and benefits (PV; 20 years; 3%) of policy option #14 by type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699,043,359 –</w:t>
      </w:r>
      <w:r>
        <w:t xml:space="preserve"> </w:t>
      </w:r>
      <w:r>
        <w:t xml:space="preserve">1,598,389,527 (mid-</w:t>
      </w:r>
      <w:r>
        <w:t xml:space="preserve"> </w:t>
      </w:r>
      <w:r>
        <w:t xml:space="preserve">estimate:</w:t>
      </w:r>
      <w:r>
        <w:t xml:space="preserve"> </w:t>
      </w:r>
      <w:r>
        <w:t xml:space="preserve">1,148,716,443)</w:t>
      </w:r>
    </w:p>
    <w:p>
      <w:pPr>
        <w:pStyle w:val="BodyText"/>
      </w:pPr>
      <w:r>
        <w:t xml:space="preserve">347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POLICY MEASURE #12: IMPROVING READABILITY</w:t>
      </w:r>
      <w:r>
        <w:t xml:space="preserve"> </w:t>
      </w:r>
      <w:r>
        <w:t xml:space="preserve">Note: Policy measure #12 is linked but not limited to policy measure #15.</w:t>
      </w:r>
      <w:r>
        <w:t xml:space="preserve"> </w:t>
      </w:r>
      <w:r>
        <w:t xml:space="preserve">CLP only includes general instructions concerning the formatting of the label. Article 31</w:t>
      </w:r>
      <w:r>
        <w:t xml:space="preserve"> </w:t>
      </w:r>
      <w:r>
        <w:t xml:space="preserve">only specifies that:</w:t>
      </w:r>
      <w:r>
        <w:t xml:space="preserve"> </w:t>
      </w:r>
      <w:r>
        <w:t xml:space="preserve">the colour and presentation of any label shall be such that the hazard pictogram stands out</w:t>
      </w:r>
      <w:r>
        <w:t xml:space="preserve"> </w:t>
      </w:r>
      <w:r>
        <w:t xml:space="preserve">clearly.</w:t>
      </w:r>
      <w:r>
        <w:t xml:space="preserve"> </w:t>
      </w:r>
      <w:r>
        <w:t xml:space="preserve">The label elements referred to in Article 17(1) shall be clearly and indelibly marked. They</w:t>
      </w:r>
      <w:r>
        <w:t xml:space="preserve"> </w:t>
      </w:r>
      <w:r>
        <w:t xml:space="preserve">shall stand out clearly from the background and be of such size and spacing as to be easily</w:t>
      </w:r>
      <w:r>
        <w:t xml:space="preserve"> </w:t>
      </w:r>
      <w:r>
        <w:t xml:space="preserve">read.</w:t>
      </w:r>
      <w:r>
        <w:t xml:space="preserve"> </w:t>
      </w:r>
      <w:r>
        <w:t xml:space="preserve">Guidance263 by the European Chemicals Agency explains that readability is determined by</w:t>
      </w:r>
      <w:r>
        <w:t xml:space="preserve"> </w:t>
      </w:r>
      <w:r>
        <w:t xml:space="preserve">the combination of font size, letter spacing, spacing between lines, stroke width, type colour,</w:t>
      </w:r>
      <w:r>
        <w:t xml:space="preserve"> </w:t>
      </w:r>
      <w:r>
        <w:t xml:space="preserve">typeface, width-height ratio of the letters, the surface of the material and significant contrast</w:t>
      </w:r>
      <w:r>
        <w:t xml:space="preserve"> </w:t>
      </w:r>
      <w:r>
        <w:t xml:space="preserve">between the print and the background.</w:t>
      </w:r>
      <w:r>
        <w:t xml:space="preserve"> </w:t>
      </w:r>
      <w:r>
        <w:t xml:space="preserve">Readability has continuously been point for discussion, as highlighted by the chemicals</w:t>
      </w:r>
      <w:r>
        <w:t xml:space="preserve"> </w:t>
      </w:r>
      <w:r>
        <w:t xml:space="preserve">Fitness Check which found evidence to indicate that labels can become overloaded with</w:t>
      </w:r>
      <w:r>
        <w:t xml:space="preserve"> </w:t>
      </w:r>
      <w:r>
        <w:t xml:space="preserve">information. That makes it difficult for consumers and workers to focus on essential hazard</w:t>
      </w:r>
      <w:r>
        <w:t xml:space="preserve"> </w:t>
      </w:r>
      <w:r>
        <w:t xml:space="preserve">and use information, reducing the effectiveness of hazard communication, particularly on</w:t>
      </w:r>
      <w:r>
        <w:t xml:space="preserve"> </w:t>
      </w:r>
      <w:r>
        <w:t xml:space="preserve">products supplied in small packaging and when multilingual labels are required. It was</w:t>
      </w:r>
      <w:r>
        <w:t xml:space="preserve"> </w:t>
      </w:r>
      <w:r>
        <w:t xml:space="preserve">found that consumers and workers are often faced with unattractive labels with too much</w:t>
      </w:r>
      <w:r>
        <w:t xml:space="preserve"> </w:t>
      </w:r>
      <w:r>
        <w:t xml:space="preserve">text in too small font size, in particular in relation to multilingual labels restricts the</w:t>
      </w:r>
      <w:r>
        <w:t xml:space="preserve"> </w:t>
      </w:r>
      <w:r>
        <w:t xml:space="preserve">comprehensibility of the information displayed.</w:t>
      </w:r>
      <w:r>
        <w:br/>
      </w:r>
      <w:r>
        <w:t xml:space="preserve">In the Commission Expert Group on REACH and CLP further suggestions were made to</w:t>
      </w:r>
      <w:r>
        <w:t xml:space="preserve"> </w:t>
      </w:r>
      <w:r>
        <w:t xml:space="preserve">improve the readability of labels such as grouping information by language, or mandating a</w:t>
      </w:r>
      <w:r>
        <w:t xml:space="preserve"> </w:t>
      </w:r>
      <w:r>
        <w:t xml:space="preserve">logical order of the languages (e.g. alphabetical).</w:t>
      </w:r>
      <w:r>
        <w:t xml:space="preserve"> </w:t>
      </w:r>
      <w:r>
        <w:t xml:space="preserve">The unspecific rules also hamper enforcement efforts as different interpretations are</w:t>
      </w:r>
      <w:r>
        <w:t xml:space="preserve"> </w:t>
      </w:r>
      <w:r>
        <w:t xml:space="preserve">possible e.g. of what “size and spacing as to be easily read” actually means. Despite the</w:t>
      </w:r>
      <w:r>
        <w:t xml:space="preserve"> </w:t>
      </w:r>
      <w:r>
        <w:t xml:space="preserve">existing guidance, the problem persist, as the guidance is not legally binding. Without</w:t>
      </w:r>
      <w:r>
        <w:t xml:space="preserve"> </w:t>
      </w:r>
      <w:r>
        <w:t xml:space="preserve">further action, the problem will persist or even increase.</w:t>
      </w:r>
    </w:p>
    <w:p>
      <w:pPr>
        <w:pStyle w:val="BodyText"/>
      </w:pPr>
      <w:r>
        <w:t xml:space="preserve">263 Guidance on labelling and packaging in accordance with Regulation (EC) No 1272/2008, Version 4.2</w:t>
      </w:r>
      <w:r>
        <w:t xml:space="preserve"> </w:t>
      </w:r>
      <w:r>
        <w:t xml:space="preserve">March 2021, https://echa.europa.eu/documents/10162/2324906/clp_labelling_en.pdf/89628d94-573a-</w:t>
      </w:r>
      <w:r>
        <w:t xml:space="preserve"> </w:t>
      </w:r>
      <w:r>
        <w:t xml:space="preserve">4024-86cc-0b4052a74d65</w:t>
      </w:r>
    </w:p>
    <w:p>
      <w:pPr>
        <w:pStyle w:val="BodyText"/>
      </w:pPr>
      <w:r>
        <w:t xml:space="preserve">348</w:t>
      </w:r>
      <w:r>
        <w:t xml:space="preserve"> </w:t>
      </w:r>
      <w:r>
        <w:t xml:space="preserve">Policy measure aims to improve the readability of the label, thus improving hazard</w:t>
      </w:r>
      <w:r>
        <w:t xml:space="preserve"> </w:t>
      </w:r>
      <w:r>
        <w:t xml:space="preserve">communication, by introducing legally binding rules in CLP. To this extent it is possible</w:t>
      </w:r>
      <w:r>
        <w:t xml:space="preserve"> </w:t>
      </w:r>
      <w:r>
        <w:t xml:space="preserve">Commission to amend Section 1.2 Annex I to introduce general provisions for a minimum</w:t>
      </w:r>
      <w:r>
        <w:t xml:space="preserve"> </w:t>
      </w:r>
      <w:r>
        <w:t xml:space="preserve">font size and other provisions to improve the readability of the label, based on current ECHA</w:t>
      </w:r>
      <w:r>
        <w:t xml:space="preserve"> </w:t>
      </w:r>
      <w:r>
        <w:t xml:space="preserve">guidance.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impacts of this measure have not been separately assessed but in conjunction with</w:t>
      </w:r>
      <w:r>
        <w:t xml:space="preserve"> </w:t>
      </w:r>
      <w:r>
        <w:t xml:space="preserve">policy measure 15. As outlined therein, formatting requirements would come together with</w:t>
      </w:r>
      <w:r>
        <w:t xml:space="preserve"> </w:t>
      </w:r>
      <w:r>
        <w:t xml:space="preserve">allowing a wider use of fold-out labels. However, they would also apply to standard labels.</w:t>
      </w:r>
      <w:r>
        <w:br/>
      </w:r>
      <w:r>
        <w:t xml:space="preserve">The aim of CLP is to ensure both a well-functioning single market for chemicals and a high</w:t>
      </w:r>
      <w:r>
        <w:t xml:space="preserve"> </w:t>
      </w:r>
      <w:r>
        <w:t xml:space="preserve">level of protection of human health and of the environment. To achieve this, information on</w:t>
      </w:r>
      <w:r>
        <w:t xml:space="preserve"> </w:t>
      </w:r>
      <w:r>
        <w:t xml:space="preserve">the hazards and safe use of chemicals must be effectively communicated to consumers and</w:t>
      </w:r>
      <w:r>
        <w:t xml:space="preserve"> </w:t>
      </w:r>
      <w:r>
        <w:t xml:space="preserve">end-users of chemical products, the primary vehicle for which is labelling. To ensure the</w:t>
      </w:r>
      <w:r>
        <w:t xml:space="preserve"> </w:t>
      </w:r>
      <w:r>
        <w:t xml:space="preserve">free circulation of chemicals in the internal market, labelling of chemical products must not</w:t>
      </w:r>
      <w:r>
        <w:t xml:space="preserve"> </w:t>
      </w:r>
      <w:r>
        <w:t xml:space="preserve">be too onerous or represent an undue administrative burden, and labelling requirements</w:t>
      </w:r>
      <w:r>
        <w:t xml:space="preserve"> </w:t>
      </w:r>
      <w:r>
        <w:t xml:space="preserve">must be harmonised across the EU and internationally to prevent the need for different labels</w:t>
      </w:r>
      <w:r>
        <w:t xml:space="preserve"> </w:t>
      </w:r>
      <w:r>
        <w:t xml:space="preserve">for each national market. Setting clearer formatting rules for labels will provide a more level</w:t>
      </w:r>
      <w:r>
        <w:t xml:space="preserve"> </w:t>
      </w:r>
      <w:r>
        <w:t xml:space="preserve">playing field and limit competition over safety.</w:t>
      </w:r>
      <w:r>
        <w:t xml:space="preserve"> </w:t>
      </w:r>
      <w:r>
        <w:t xml:space="preserve">Adjusting to a new labelling format would incur initial conduct of business cost. However,</w:t>
      </w:r>
      <w:r>
        <w:t xml:space="preserve"> </w:t>
      </w:r>
      <w:r>
        <w:t xml:space="preserve">as policy measure 12 is not a stand-alone measure, the cost will occur anyway as a result of</w:t>
      </w:r>
      <w:r>
        <w:t xml:space="preserve"> </w:t>
      </w:r>
      <w:r>
        <w:t xml:space="preserve">other changes. Potential cost could also be compensated by taking advantage of the wider</w:t>
      </w:r>
      <w:r>
        <w:t xml:space="preserve"> </w:t>
      </w:r>
      <w:r>
        <w:t xml:space="preserve">possibilities to use fold-out labels. It is not likely that policy measure 12 would have an</w:t>
      </w:r>
      <w:r>
        <w:t xml:space="preserve"> </w:t>
      </w:r>
      <w:r>
        <w:t xml:space="preserve">impact on the market size.</w:t>
      </w:r>
      <w:r>
        <w:t xml:space="preserve"> </w:t>
      </w:r>
      <w:r>
        <w:t xml:space="preserve">Public Authority Cost are more likely to decrease because policy measure 12 will facilitate</w:t>
      </w:r>
      <w:r>
        <w:t xml:space="preserve"> </w:t>
      </w:r>
      <w:r>
        <w:t xml:space="preserve">enforcement with its clear rules. Clear rules also mean that there is less likelihood for non-</w:t>
      </w:r>
      <w:r>
        <w:t xml:space="preserve"> </w:t>
      </w:r>
      <w:r>
        <w:t xml:space="preserve">compliance.</w:t>
      </w:r>
      <w:r>
        <w:t xml:space="preserve"> </w:t>
      </w:r>
      <w:r>
        <w:t xml:space="preserve">The functioning of the internal market and competition is likely to improve once policy</w:t>
      </w:r>
      <w:r>
        <w:t xml:space="preserve"> </w:t>
      </w:r>
      <w:r>
        <w:t xml:space="preserve">measure #12 enters into force. There may be a slightly positive impact due to an improved</w:t>
      </w:r>
      <w:r>
        <w:t xml:space="preserve"> </w:t>
      </w:r>
      <w:r>
        <w:t xml:space="preserve">level playing field.</w:t>
      </w:r>
      <w:r>
        <w:t xml:space="preserve"> </w:t>
      </w:r>
      <w:r>
        <w:t xml:space="preserve">SME did not express a particular opinion on policy measure #12.</w:t>
      </w:r>
      <w:r>
        <w:t xml:space="preserve"> </w:t>
      </w:r>
      <w:r>
        <w:t xml:space="preserve">Price of consumer goods are unlikely to be significantly influenced by policy measure #12.</w:t>
      </w:r>
      <w:r>
        <w:t xml:space="preserve"> </w:t>
      </w:r>
      <w:r>
        <w:t xml:space="preserve">Table 102: Economic impacts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 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 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Labelling Costs</w:t>
      </w:r>
      <w:r>
        <w:t xml:space="preserve"> </w:t>
      </w:r>
      <w:r>
        <w:t xml:space="preserve">(o)</w:t>
      </w:r>
      <w:r>
        <w:t xml:space="preserve"> </w:t>
      </w:r>
      <w:r>
        <w:t xml:space="preserve">Direct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Impact on</w:t>
      </w:r>
      <w:r>
        <w:t xml:space="preserve"> </w:t>
      </w:r>
      <w:r>
        <w:t xml:space="preserve">market size</w:t>
      </w:r>
      <w:r>
        <w:t xml:space="preserve"> </w:t>
      </w:r>
      <w:r>
        <w:t xml:space="preserve">(o)</w:t>
      </w:r>
      <w:r>
        <w:t xml:space="preserve"> </w:t>
      </w:r>
      <w:r>
        <w:t xml:space="preserve">Indirect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Costs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(-)</w:t>
      </w:r>
      <w:r>
        <w:t xml:space="preserve"> </w:t>
      </w:r>
      <w:r>
        <w:t xml:space="preserve">Direct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349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and Competition</w:t>
      </w:r>
      <w:r>
        <w:t xml:space="preserve"> </w:t>
      </w:r>
      <w:r>
        <w:t xml:space="preserve">Level of</w:t>
      </w:r>
      <w:r>
        <w:t xml:space="preserve"> </w:t>
      </w:r>
      <w:r>
        <w:t xml:space="preserve">Enforcement</w:t>
      </w:r>
      <w:r>
        <w:t xml:space="preserve"> </w:t>
      </w:r>
      <w:r>
        <w:t xml:space="preserve">across Member</w:t>
      </w:r>
      <w:r>
        <w:t xml:space="preserve"> </w:t>
      </w:r>
      <w:r>
        <w:t xml:space="preserve">States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Operation of</w:t>
      </w:r>
      <w:r>
        <w:t xml:space="preserve"> </w:t>
      </w:r>
      <w:r>
        <w:t xml:space="preserve">SMEs</w:t>
      </w:r>
      <w:r>
        <w:t xml:space="preserve"> </w:t>
      </w:r>
      <w:r>
        <w:t xml:space="preserve">(-)</w:t>
      </w:r>
      <w:r>
        <w:t xml:space="preserve"> </w:t>
      </w:r>
      <w:r>
        <w:t xml:space="preserve">Indirect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Consumers and</w:t>
      </w:r>
      <w:r>
        <w:t xml:space="preserve"> </w:t>
      </w:r>
      <w:r>
        <w:t xml:space="preserve">Households</w:t>
      </w:r>
      <w:r>
        <w:t xml:space="preserve"> </w:t>
      </w:r>
      <w:r>
        <w:t xml:space="preserve">Price of</w:t>
      </w:r>
      <w:r>
        <w:t xml:space="preserve"> </w:t>
      </w:r>
      <w:r>
        <w:t xml:space="preserve">Consumer</w:t>
      </w:r>
      <w:r>
        <w:t xml:space="preserve"> </w:t>
      </w:r>
      <w:r>
        <w:t xml:space="preserve">Goods</w:t>
      </w:r>
      <w:r>
        <w:t xml:space="preserve"> </w:t>
      </w:r>
      <w:r>
        <w:t xml:space="preserve">(-)</w:t>
      </w:r>
      <w:r>
        <w:t xml:space="preserve"> </w:t>
      </w:r>
      <w:r>
        <w:t xml:space="preserve">Indirect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Labels that are difficult to read pose a threat to the environment, as consumers and workers</w:t>
      </w:r>
      <w:r>
        <w:t xml:space="preserve"> </w:t>
      </w:r>
      <w:r>
        <w:t xml:space="preserve">may not be able to take note of the use and disposal instructions. In particular if they have</w:t>
      </w:r>
      <w:r>
        <w:t xml:space="preserve"> </w:t>
      </w:r>
      <w:r>
        <w:t xml:space="preserve">visual impairments. While, it is not possible to quantify this effect, it is likely that improved</w:t>
      </w:r>
      <w:r>
        <w:t xml:space="preserve"> </w:t>
      </w:r>
      <w:r>
        <w:t xml:space="preserve">readability will have a neutral or slightly positive impact on the environment and resource</w:t>
      </w:r>
      <w:r>
        <w:t xml:space="preserve"> </w:t>
      </w:r>
      <w:r>
        <w:t xml:space="preserve">use.</w:t>
      </w:r>
      <w:r>
        <w:br/>
      </w:r>
      <w:r>
        <w:t xml:space="preserve">Table 103: Environmental impacts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 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 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impacts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production</w:t>
      </w:r>
      <w:r>
        <w:br/>
      </w:r>
      <w:r>
        <w:t xml:space="preserve">Impact on</w:t>
      </w:r>
      <w:r>
        <w:t xml:space="preserve"> </w:t>
      </w:r>
      <w:r>
        <w:t xml:space="preserve">Resource Use</w:t>
      </w:r>
      <w:r>
        <w:t xml:space="preserve"> </w:t>
      </w:r>
      <w:r>
        <w:t xml:space="preserve">(o)</w:t>
      </w:r>
      <w:r>
        <w:t xml:space="preserve"> </w:t>
      </w:r>
      <w:r>
        <w:t xml:space="preserve">Direct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Impact on the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Waste production,</w:t>
      </w:r>
      <w:r>
        <w:t xml:space="preserve"> </w:t>
      </w:r>
      <w:r>
        <w:t xml:space="preserve">generation and</w:t>
      </w:r>
      <w:r>
        <w:t xml:space="preserve"> </w:t>
      </w:r>
      <w:r>
        <w:t xml:space="preserve">recycling</w:t>
      </w:r>
      <w:r>
        <w:t xml:space="preserve"> </w:t>
      </w:r>
      <w:r>
        <w:t xml:space="preserve">Impact on</w:t>
      </w:r>
      <w:r>
        <w:t xml:space="preserve"> </w:t>
      </w:r>
      <w:r>
        <w:t xml:space="preserve">Labelling and</w:t>
      </w:r>
      <w:r>
        <w:t xml:space="preserve"> </w:t>
      </w:r>
      <w:r>
        <w:t xml:space="preserve">Packaging</w:t>
      </w:r>
      <w:r>
        <w:t xml:space="preserve"> </w:t>
      </w:r>
      <w:r>
        <w:t xml:space="preserve">Waste</w:t>
      </w:r>
      <w:r>
        <w:t xml:space="preserve"> </w:t>
      </w:r>
      <w:r>
        <w:t xml:space="preserve">(o)</w:t>
      </w:r>
      <w:r>
        <w:t xml:space="preserve"> </w:t>
      </w:r>
      <w:r>
        <w:t xml:space="preserve">Direct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Poorly legible labels negatively affect public health and safety and health systems as</w:t>
      </w:r>
      <w:r>
        <w:t xml:space="preserve"> </w:t>
      </w:r>
      <w:r>
        <w:t xml:space="preserve">consumers and workers may not be able to take not of information on the human health</w:t>
      </w:r>
      <w:r>
        <w:t xml:space="preserve"> </w:t>
      </w:r>
      <w:r>
        <w:t xml:space="preserve">hazards of the products they are purchasing and using. In particular when they are having</w:t>
      </w:r>
      <w:r>
        <w:t xml:space="preserve"> </w:t>
      </w:r>
      <w:r>
        <w:t xml:space="preserve">visual impairments. Policy measure #12 aims to ensure labels are legible. Therefore, the</w:t>
      </w:r>
      <w:r>
        <w:t xml:space="preserve"> </w:t>
      </w:r>
      <w:r>
        <w:t xml:space="preserve">policy measure will have a positive impact on the protection of human health, but the</w:t>
      </w:r>
      <w:r>
        <w:t xml:space="preserve"> </w:t>
      </w:r>
      <w:r>
        <w:t xml:space="preserve">quantification is problematic and was not quantified in terms of public health.</w:t>
      </w:r>
      <w:r>
        <w:t xml:space="preserve"> </w:t>
      </w:r>
      <w:r>
        <w:t xml:space="preserve">Policy measure #12 is unlikely to have a noteworthy impact on employment and equally</w:t>
      </w:r>
      <w:r>
        <w:t xml:space="preserve"> </w:t>
      </w:r>
      <w:r>
        <w:t xml:space="preserve">unlikely to have a noteworthy impact on the number of public authority jobs.</w:t>
      </w:r>
      <w:r>
        <w:t xml:space="preserve"> </w:t>
      </w:r>
      <w:r>
        <w:t xml:space="preserve">Table 104: Social impacts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 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 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impacts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Public health and</w:t>
      </w:r>
      <w:r>
        <w:t xml:space="preserve"> </w:t>
      </w:r>
      <w:r>
        <w:t xml:space="preserve">safety and health</w:t>
      </w:r>
      <w:r>
        <w:t xml:space="preserve"> </w:t>
      </w:r>
      <w:r>
        <w:t xml:space="preserve">systems</w:t>
      </w:r>
      <w:r>
        <w:br/>
      </w:r>
      <w:r>
        <w:t xml:space="preserve">Impact on</w:t>
      </w:r>
      <w:r>
        <w:t xml:space="preserve"> </w:t>
      </w:r>
      <w:r>
        <w:t xml:space="preserve">human health</w:t>
      </w:r>
      <w:r>
        <w:t xml:space="preserve"> </w:t>
      </w:r>
      <w:r>
        <w:t xml:space="preserve">(+)</w:t>
      </w:r>
      <w:r>
        <w:t xml:space="preserve"> </w:t>
      </w:r>
      <w:r>
        <w:t xml:space="preserve">Direct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350</w:t>
      </w:r>
      <w:r>
        <w:t xml:space="preserve"> </w:t>
      </w:r>
      <w:r>
        <w:t xml:space="preserve">Employment</w:t>
      </w:r>
      <w:r>
        <w:t xml:space="preserve"> </w:t>
      </w:r>
      <w:r>
        <w:t xml:space="preserve">Impact on</w:t>
      </w:r>
      <w:r>
        <w:t xml:space="preserve"> </w:t>
      </w:r>
      <w:r>
        <w:t xml:space="preserve">industry and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authority jobs</w:t>
      </w:r>
      <w:r>
        <w:t xml:space="preserve"> </w:t>
      </w:r>
      <w:r>
        <w:t xml:space="preserve">(o)</w:t>
      </w:r>
      <w:r>
        <w:t xml:space="preserve"> </w:t>
      </w:r>
      <w:r>
        <w:t xml:space="preserve">Indirect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POLICY MEASURE #16 CHEMICALS SOLD IN BULK TO CONSUMERS</w:t>
      </w:r>
      <w:r>
        <w:t xml:space="preserve"> </w:t>
      </w:r>
      <w:r>
        <w:t xml:space="preserve">Note: policy measure #16 includes actions on labelling exemption for chemicals sold in bulk</w:t>
      </w:r>
      <w:r>
        <w:t xml:space="preserve"> </w:t>
      </w:r>
      <w:r>
        <w:t xml:space="preserve">to consumers and in very small packaging. This chapter only addressed chemicals sold in</w:t>
      </w:r>
      <w:r>
        <w:t xml:space="preserve"> </w:t>
      </w:r>
      <w:r>
        <w:t xml:space="preserve">bulk to consumers. The labelling exemption for very small packaging is addressed in the</w:t>
      </w:r>
      <w:r>
        <w:t xml:space="preserve"> </w:t>
      </w:r>
      <w:r>
        <w:t xml:space="preserve">next chapter.</w:t>
      </w:r>
      <w:r>
        <w:t xml:space="preserve"> </w:t>
      </w:r>
      <w:r>
        <w:t xml:space="preserve">Policy measure #16 grants a derogation from labelling obligations under the CLP</w:t>
      </w:r>
      <w:r>
        <w:t xml:space="preserve"> </w:t>
      </w:r>
      <w:r>
        <w:t xml:space="preserve">Regulation for chemicals sold in bulk to consumers, such as fuel sold at filling stations. This</w:t>
      </w:r>
      <w:r>
        <w:t xml:space="preserve"> </w:t>
      </w:r>
      <w:r>
        <w:t xml:space="preserve">concerns cases where the chemical is directly pumped into a receptacle (such as a vehicle’s</w:t>
      </w:r>
      <w:r>
        <w:t xml:space="preserve"> </w:t>
      </w:r>
      <w:r>
        <w:t xml:space="preserve">fuel tank) from where it is not intended to be removed by the consumer and where the</w:t>
      </w:r>
      <w:r>
        <w:t xml:space="preserve"> </w:t>
      </w:r>
      <w:r>
        <w:t xml:space="preserve">consumer cannot get in touch with the chemical due to the way the chemical is transferred</w:t>
      </w:r>
      <w:r>
        <w:t xml:space="preserve"> </w:t>
      </w:r>
      <w:r>
        <w:t xml:space="preserve">(i.e. nozzle entering the receptacle). Under this derogation, it would suffice to provide a</w:t>
      </w:r>
      <w:r>
        <w:t xml:space="preserve"> </w:t>
      </w:r>
      <w:r>
        <w:t xml:space="preserve">label on the pump for each of the chemicals dispensed via the related nozzles (e.g. one label</w:t>
      </w:r>
      <w:r>
        <w:t xml:space="preserve"> </w:t>
      </w:r>
      <w:r>
        <w:t xml:space="preserve">for petrol and one label for diesel at a fuel pump).</w:t>
      </w:r>
      <w:r>
        <w:br/>
      </w:r>
      <w:r>
        <w:t xml:space="preserve">Economic impacts</w:t>
      </w:r>
      <w:r>
        <w:br/>
      </w:r>
      <w:r>
        <w:t xml:space="preserve">Policy measure #16 aims to clarify the rules how unpackaged chemicals supplied in bulk to</w:t>
      </w:r>
      <w:r>
        <w:t xml:space="preserve"> </w:t>
      </w:r>
      <w:r>
        <w:t xml:space="preserve">consumers should be labelled. While CLP does not discriminate between forms of sale,</w:t>
      </w:r>
      <w:r>
        <w:t xml:space="preserve"> </w:t>
      </w:r>
      <w:r>
        <w:t xml:space="preserve">currently there is no guidance or dedicated legal requirements for the labelling of</w:t>
      </w:r>
      <w:r>
        <w:t xml:space="preserve"> </w:t>
      </w:r>
      <w:r>
        <w:t xml:space="preserve">unpackaged chemicals sold to consumers (except for those covered by Article 29(3) which</w:t>
      </w:r>
      <w:r>
        <w:t xml:space="preserve"> </w:t>
      </w:r>
      <w:r>
        <w:t xml:space="preserve">currently only covers ready mixed cement and concrete in a wet state). Therefore, these</w:t>
      </w:r>
      <w:r>
        <w:t xml:space="preserve"> </w:t>
      </w:r>
      <w:r>
        <w:t xml:space="preserve">chemicals are often not labelled or labelled incorrectly, also because the current provision</w:t>
      </w:r>
      <w:r>
        <w:t xml:space="preserve"> </w:t>
      </w:r>
      <w:r>
        <w:t xml:space="preserve">are difficult to apply to such forms of sales given the absence of a packaging. Policy measure</w:t>
      </w:r>
      <w:r>
        <w:t xml:space="preserve"> </w:t>
      </w:r>
      <w:r>
        <w:t xml:space="preserve">#16 would require suppliers of bulk chemicals to ensure compliance with any specific CLP</w:t>
      </w:r>
      <w:r>
        <w:t xml:space="preserve"> </w:t>
      </w:r>
      <w:r>
        <w:t xml:space="preserve">labelling requirements. As policy measure #16 represents additional conduct of business</w:t>
      </w:r>
      <w:r>
        <w:t xml:space="preserve"> </w:t>
      </w:r>
      <w:r>
        <w:t xml:space="preserve">cost for those suppliers that are currently chemicals in bulk to consumers and not complying</w:t>
      </w:r>
      <w:r>
        <w:t xml:space="preserve"> </w:t>
      </w:r>
      <w:r>
        <w:t xml:space="preserve">to current rules. The assessment of economic impacts below focuses on quantifying the</w:t>
      </w:r>
      <w:r>
        <w:t xml:space="preserve"> </w:t>
      </w:r>
      <w:r>
        <w:t xml:space="preserve">impacts of fuel labelling as a case study. This is believed to be by far the largest share of the</w:t>
      </w:r>
      <w:r>
        <w:t xml:space="preserve"> </w:t>
      </w:r>
      <w:r>
        <w:t xml:space="preserve">market but does not quantify the total impacts of labelling all unpackaged chemicals</w:t>
      </w:r>
      <w:r>
        <w:t xml:space="preserve"> </w:t>
      </w:r>
      <w:r>
        <w:t xml:space="preserve">supplied in bulk (i.e. not including other fluids provided in bulk to consumers such as</w:t>
      </w:r>
      <w:r>
        <w:t xml:space="preserve"> </w:t>
      </w:r>
      <w:r>
        <w:t xml:space="preserve">“AdBlue”).</w:t>
      </w:r>
      <w:r>
        <w:br/>
      </w:r>
      <w:r>
        <w:t xml:space="preserve">A cost-effective option would be providing labelling as an extension to a receipt. However,</w:t>
      </w:r>
      <w:r>
        <w:t xml:space="preserve"> </w:t>
      </w:r>
      <w:r>
        <w:t xml:space="preserve">this may not be sufficient as consumers do not always choose to take a receipt and in these</w:t>
      </w:r>
      <w:r>
        <w:t xml:space="preserve"> </w:t>
      </w:r>
      <w:r>
        <w:t xml:space="preserve">instances, consumers would not receive labelling information. Although this could be</w:t>
      </w:r>
      <w:r>
        <w:t xml:space="preserve"> </w:t>
      </w:r>
      <w:r>
        <w:t xml:space="preserve">combated by removing the option to decline a receipt being issued, this could face backlash</w:t>
      </w:r>
      <w:r>
        <w:t xml:space="preserve"> </w:t>
      </w:r>
      <w:r>
        <w:t xml:space="preserve">from consumers who are moving away from receipt due to environmental concerns. Instead,</w:t>
      </w:r>
      <w:r>
        <w:t xml:space="preserve"> </w:t>
      </w:r>
      <w:r>
        <w:t xml:space="preserve">within CARACAL, the provision of a sticker at a fuel pump with the correct label elements</w:t>
      </w:r>
      <w:r>
        <w:t xml:space="preserve"> </w:t>
      </w:r>
      <w:r>
        <w:t xml:space="preserve">was deemed to represent a sufficient solution, and it would be left to the consumer to take</w:t>
      </w:r>
      <w:r>
        <w:t xml:space="preserve"> </w:t>
      </w:r>
      <w:r>
        <w:t xml:space="preserve">note of the sticker, or take home a copy of the sticker. It was stated at CARACAL that self-</w:t>
      </w:r>
      <w:r>
        <w:t xml:space="preserve"> </w:t>
      </w:r>
      <w:r>
        <w:t xml:space="preserve">service filling stations should not be required to verify that every customer uses the sticker</w:t>
      </w:r>
      <w:r>
        <w:t xml:space="preserve"> </w:t>
      </w:r>
      <w:r>
        <w:t xml:space="preserve">on their jerry can, but they would be required to at least make the sticker available. It is</w:t>
      </w:r>
    </w:p>
    <w:p>
      <w:pPr>
        <w:pStyle w:val="BodyText"/>
      </w:pPr>
      <w:r>
        <w:t xml:space="preserve">351</w:t>
      </w:r>
      <w:r>
        <w:t xml:space="preserve"> </w:t>
      </w:r>
      <w:r>
        <w:t xml:space="preserve">relevant to note that in some Member States it is already obligatory to label the pumps</w:t>
      </w:r>
      <w:r>
        <w:t xml:space="preserve"> </w:t>
      </w:r>
      <w:r>
        <w:t xml:space="preserve">accordingly.</w:t>
      </w:r>
      <w:r>
        <w:t xml:space="preserve"> </w:t>
      </w:r>
      <w:r>
        <w:t xml:space="preserve">As of the end of 2018, there were approximately 67,000 filling stations in the EU-27</w:t>
      </w:r>
      <w:r>
        <w:t xml:space="preserve"> </w:t>
      </w:r>
      <w:r>
        <w:t xml:space="preserve">(FuelsEurope, 2019), the number of individual fuel pumps being several times greater.</w:t>
      </w:r>
      <w:r>
        <w:br/>
      </w:r>
      <w:r>
        <w:t xml:space="preserve">A recent impact assessment by the UK Department of Transport (UK DOT, 2019) on the</w:t>
      </w:r>
      <w:r>
        <w:t xml:space="preserve"> </w:t>
      </w:r>
      <w:r>
        <w:t xml:space="preserve">adoption of standard labels for the type and biofuel content of road transport fuels in</w:t>
      </w:r>
      <w:r>
        <w:t xml:space="preserve"> </w:t>
      </w:r>
      <w:r>
        <w:t xml:space="preserve">response to the EU’s Alternative Fuels Infrastructure Directive (AFID) provides a central</w:t>
      </w:r>
      <w:r>
        <w:t xml:space="preserve"> </w:t>
      </w:r>
      <w:r>
        <w:t xml:space="preserve">estimate of 239,212 for the number of fuel nozzles in the UK in 2019, based on information</w:t>
      </w:r>
      <w:r>
        <w:t xml:space="preserve"> </w:t>
      </w:r>
      <w:r>
        <w:t xml:space="preserve">provided by associations from the automotive and fuel industry. The impact assessment</w:t>
      </w:r>
      <w:r>
        <w:t xml:space="preserve"> </w:t>
      </w:r>
      <w:r>
        <w:t xml:space="preserve">provided a cost range of €0.14 – €1.36 to label a single fuel nozzle, with a mid-point of</w:t>
      </w:r>
      <w:r>
        <w:t xml:space="preserve"> </w:t>
      </w:r>
      <w:r>
        <w:t xml:space="preserve">€0.75 (estimates converted to Euros and 2021 prices).</w:t>
      </w:r>
      <w:r>
        <w:t xml:space="preserve"> </w:t>
      </w:r>
      <w:r>
        <w:t xml:space="preserve">As of 2019, the UK had a population of 66,647,112, which is approximately 15% that of the</w:t>
      </w:r>
      <w:r>
        <w:t xml:space="preserve"> </w:t>
      </w:r>
      <w:r>
        <w:t xml:space="preserve">EU-27 (446,446,444) (Eurostat, 2019). If we use this proportion to extrapolate the number</w:t>
      </w:r>
      <w:r>
        <w:t xml:space="preserve"> </w:t>
      </w:r>
      <w:r>
        <w:t xml:space="preserve">of fuel nozzles in the UK to give as estimate of the number in the EU, it gives an estimate</w:t>
      </w:r>
      <w:r>
        <w:t xml:space="preserve"> </w:t>
      </w:r>
      <w:r>
        <w:t xml:space="preserve">of approximately 1,520,000 million fuel nozzles. When dividing this figure of the number</w:t>
      </w:r>
      <w:r>
        <w:t xml:space="preserve"> </w:t>
      </w:r>
      <w:r>
        <w:t xml:space="preserve">petrol stations in the EU-27 from FuelsEurope, it gives an average of roughly 24 fuel nozzles</w:t>
      </w:r>
      <w:r>
        <w:t xml:space="preserve"> </w:t>
      </w:r>
      <w:r>
        <w:t xml:space="preserve">per station, which based on 3 nozzles per fuel pump (2 petrol; 1 diesel), would give a figure</w:t>
      </w:r>
      <w:r>
        <w:t xml:space="preserve"> </w:t>
      </w:r>
      <w:r>
        <w:t xml:space="preserve">of 8 pump per stations on average, which is considered a realistic estimate. 1.6 million fuel</w:t>
      </w:r>
      <w:r>
        <w:t xml:space="preserve"> </w:t>
      </w:r>
      <w:r>
        <w:t xml:space="preserve">nozzles would give a relabelling cost of €212,800 - €2,067,200 based on the costs provided</w:t>
      </w:r>
      <w:r>
        <w:t xml:space="preserve"> </w:t>
      </w:r>
      <w:r>
        <w:t xml:space="preserve">above, with a central estimate of €1,200,000. The costs of new fuel nozzle labels are</w:t>
      </w:r>
      <w:r>
        <w:t xml:space="preserve"> </w:t>
      </w:r>
      <w:r>
        <w:t xml:space="preserve">expected to be one off cost. Following initial labelling, replacement labels would be factored</w:t>
      </w:r>
      <w:r>
        <w:t xml:space="preserve"> </w:t>
      </w:r>
      <w:r>
        <w:t xml:space="preserve">into maintenance of branding schedules with only marginal additional costs expected.</w:t>
      </w:r>
      <w:r>
        <w:t xml:space="preserve"> </w:t>
      </w:r>
      <w:r>
        <w:t xml:space="preserve">An additional cost incurred by fuel retailers would be the integration of the labels into their</w:t>
      </w:r>
      <w:r>
        <w:t xml:space="preserve"> </w:t>
      </w:r>
      <w:r>
        <w:t xml:space="preserve">existing point of sale branding. Estimates form the UK DOT (2019) give a cost of €374 per</w:t>
      </w:r>
      <w:r>
        <w:t xml:space="preserve"> </w:t>
      </w:r>
      <w:r>
        <w:t xml:space="preserve">fuel station (estimate converted to Euros and 2021 prices), although it notes that smaller</w:t>
      </w:r>
      <w:r>
        <w:t xml:space="preserve"> </w:t>
      </w:r>
      <w:r>
        <w:t xml:space="preserve">filling stations will spend significantly less and not choose to incorporate labels into existing</w:t>
      </w:r>
      <w:r>
        <w:t xml:space="preserve"> </w:t>
      </w:r>
      <w:r>
        <w:t xml:space="preserve">branding. Therefore, a median estimate of €155 per fuel station is provided (estimate</w:t>
      </w:r>
      <w:r>
        <w:t xml:space="preserve"> </w:t>
      </w:r>
      <w:r>
        <w:t xml:space="preserve">converted to Euros and 2021 prices). This would be a cost of €10,385,000, based on 67,000</w:t>
      </w:r>
      <w:r>
        <w:t xml:space="preserve"> </w:t>
      </w:r>
      <w:r>
        <w:t xml:space="preserve">fuels stations across the EU. However, including the label in existing branding would be a</w:t>
      </w:r>
      <w:r>
        <w:t xml:space="preserve"> </w:t>
      </w:r>
      <w:r>
        <w:t xml:space="preserve">voluntary business choice, in addition to a simple label that would suffice to comply with</w:t>
      </w:r>
      <w:r>
        <w:t xml:space="preserve"> </w:t>
      </w:r>
      <w:r>
        <w:t xml:space="preserve">policy measure 16. Therefore, this cost is informative but not relevant for this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A further cost highlighted by the UK DOT (2019) is the cost of training staff to understand</w:t>
      </w:r>
      <w:r>
        <w:t xml:space="preserve"> </w:t>
      </w:r>
      <w:r>
        <w:t xml:space="preserve">the labelling information and help answer any queries from fuel pump customers. Using the</w:t>
      </w:r>
      <w:r>
        <w:t xml:space="preserve"> </w:t>
      </w:r>
      <w:r>
        <w:t xml:space="preserve">time taken for training legal and accounting staff as a proxy for training sales and customer</w:t>
      </w:r>
      <w:r>
        <w:t xml:space="preserve"> </w:t>
      </w:r>
      <w:r>
        <w:t xml:space="preserve">service occupations, the UK DOT arrived at a central estimate of €16.75 per fuel station</w:t>
      </w:r>
      <w:r>
        <w:t xml:space="preserve"> </w:t>
      </w:r>
      <w:r>
        <w:t xml:space="preserve">(estimate converted to Euros and 2021 prices). Based on 67,000 fuel stations across the EU,</w:t>
      </w:r>
      <w:r>
        <w:t xml:space="preserve"> </w:t>
      </w:r>
      <w:r>
        <w:t xml:space="preserve">this would equate to a cost of approximately €1,122,250.</w:t>
      </w:r>
      <w:r>
        <w:t xml:space="preserve"> </w:t>
      </w:r>
      <w:r>
        <w:t xml:space="preserve">The cost outlined above would only occur in Member States that do not already require a</w:t>
      </w:r>
      <w:r>
        <w:t xml:space="preserve"> </w:t>
      </w:r>
      <w:r>
        <w:t xml:space="preserve">labelling of the pump and only where multinational chains do not label their pumps anyway</w:t>
      </w:r>
      <w:r>
        <w:t xml:space="preserve"> </w:t>
      </w:r>
      <w:r>
        <w:t xml:space="preserve">as part of their corporate policy. Furthermore, it needs to be taking into account that policy</w:t>
      </w:r>
      <w:r>
        <w:t xml:space="preserve"> </w:t>
      </w:r>
      <w:r>
        <w:t xml:space="preserve">measure #16 would not mandate a label per nozzle. Typically, one label of petrol and one</w:t>
      </w:r>
      <w:r>
        <w:t xml:space="preserve"> </w:t>
      </w:r>
      <w:r>
        <w:t xml:space="preserve">label for diesel on the pump would suffice, independent of the number of actual nozzles per</w:t>
      </w:r>
      <w:r>
        <w:t xml:space="preserve"> </w:t>
      </w:r>
      <w:r>
        <w:t xml:space="preserve">fuel type. Therefore, those cost estimations constitute a maximum.</w:t>
      </w:r>
    </w:p>
    <w:p>
      <w:pPr>
        <w:pStyle w:val="BodyText"/>
      </w:pPr>
      <w:r>
        <w:t xml:space="preserve">352</w:t>
      </w:r>
      <w:r>
        <w:t xml:space="preserve"> </w:t>
      </w:r>
      <w:r>
        <w:t xml:space="preserve">Public authorities’ enforcement cost are influenced by the fact that there are currently no</w:t>
      </w:r>
      <w:r>
        <w:t xml:space="preserve"> </w:t>
      </w:r>
      <w:r>
        <w:t xml:space="preserve">dedicated labelling obligations for chemicals sold in bulk to consumers under the CLP</w:t>
      </w:r>
      <w:r>
        <w:t xml:space="preserve"> </w:t>
      </w:r>
      <w:r>
        <w:t xml:space="preserve">Regulation. Therefore, enforcement activities in this area are currently dependent on</w:t>
      </w:r>
      <w:r>
        <w:t xml:space="preserve"> </w:t>
      </w:r>
      <w:r>
        <w:t xml:space="preserve">national rules. If labelling obligations are imposed though amendment of the legal text of</w:t>
      </w:r>
      <w:r>
        <w:t xml:space="preserve"> </w:t>
      </w:r>
      <w:r>
        <w:t xml:space="preserve">the CLP Regulation, the supply of fuels will become an additional area in need of</w:t>
      </w:r>
      <w:r>
        <w:t xml:space="preserve"> </w:t>
      </w:r>
      <w:r>
        <w:t xml:space="preserve">enforcement in Member States that do not have such rules yet. Consequently, the level of</w:t>
      </w:r>
      <w:r>
        <w:t xml:space="preserve"> </w:t>
      </w:r>
      <w:r>
        <w:t xml:space="preserve">resources needed by enforcement authorities is expected to increase under policy measure</w:t>
      </w:r>
      <w:r>
        <w:t xml:space="preserve"> </w:t>
      </w:r>
      <w:r>
        <w:t xml:space="preserve">#16.</w:t>
      </w:r>
      <w:r>
        <w:t xml:space="preserve"> </w:t>
      </w:r>
      <w:r>
        <w:t xml:space="preserve">The ECHA (2019f) REACH-EN‐FORCE‐6 (REF 6) project on classification and labelling</w:t>
      </w:r>
      <w:r>
        <w:t xml:space="preserve"> </w:t>
      </w:r>
      <w:r>
        <w:t xml:space="preserve">carried out 194 inspections as part of an option module on exemptions from labelling and</w:t>
      </w:r>
      <w:r>
        <w:t xml:space="preserve"> </w:t>
      </w:r>
      <w:r>
        <w:t xml:space="preserve">packaging requirements. This optional module targeted mixtures supplied in small</w:t>
      </w:r>
      <w:r>
        <w:t xml:space="preserve"> </w:t>
      </w:r>
      <w:r>
        <w:t xml:space="preserve">packaging, which have specific labelling rules under CLP. If specific labelling rules for</w:t>
      </w:r>
      <w:r>
        <w:t xml:space="preserve"> </w:t>
      </w:r>
      <w:r>
        <w:t xml:space="preserve">chemicals sold in bulk to consumers are established, a similar level of enforcement is likely</w:t>
      </w:r>
      <w:r>
        <w:t xml:space="preserve"> </w:t>
      </w:r>
      <w:r>
        <w:t xml:space="preserve">to be sufficient as that carried out on mixtures supplied in small packaging. Therefore, we</w:t>
      </w:r>
      <w:r>
        <w:t xml:space="preserve"> </w:t>
      </w:r>
      <w:r>
        <w:t xml:space="preserve">can use the number of inspections carried out on mixtures supplied in small packaging as a</w:t>
      </w:r>
      <w:r>
        <w:t xml:space="preserve"> </w:t>
      </w:r>
      <w:r>
        <w:t xml:space="preserve">proxy to estimate the cost of enforcement of re-fill chemicals. This gives a recurring cost of</w:t>
      </w:r>
      <w:r>
        <w:t xml:space="preserve"> </w:t>
      </w:r>
      <w:r>
        <w:t xml:space="preserve">€170,526 (194 x €879 per on-site inspection). It is not expected that a specific enforcement</w:t>
      </w:r>
      <w:r>
        <w:t xml:space="preserve"> </w:t>
      </w:r>
      <w:r>
        <w:t xml:space="preserve">project on refill chemicals would occur every year and, therefore, the annual cost would be</w:t>
      </w:r>
      <w:r>
        <w:t xml:space="preserve"> </w:t>
      </w:r>
      <w:r>
        <w:t xml:space="preserve">even lower (a factor 3 is applied providing a cost of approximately €57,000 per year per</w:t>
      </w:r>
      <w:r>
        <w:t xml:space="preserve"> </w:t>
      </w:r>
      <w:r>
        <w:t xml:space="preserve">enforcement project).</w:t>
      </w:r>
      <w:r>
        <w:t xml:space="preserve"> </w:t>
      </w:r>
      <w:r>
        <w:t xml:space="preserve">Policy measure #16 is expected to have a positive impact on the functioning of the internal</w:t>
      </w:r>
      <w:r>
        <w:t xml:space="preserve"> </w:t>
      </w:r>
      <w:r>
        <w:t xml:space="preserve">market and competitiveness. The policy measure aims to clarify rules on the labelling of</w:t>
      </w:r>
      <w:r>
        <w:t xml:space="preserve"> </w:t>
      </w:r>
      <w:r>
        <w:t xml:space="preserve">chemicals sold in bulk to consumers, which will help ensure that all Member States take the</w:t>
      </w:r>
      <w:r>
        <w:t xml:space="preserve"> </w:t>
      </w:r>
      <w:r>
        <w:t xml:space="preserve">same approach regarding compliance of bulk chemicals with CLP. This is expected to help</w:t>
      </w:r>
      <w:r>
        <w:t xml:space="preserve"> </w:t>
      </w:r>
      <w:r>
        <w:t xml:space="preserve">level the playing field for businesses across the EU by ensuring they are all subject to the</w:t>
      </w:r>
      <w:r>
        <w:t xml:space="preserve"> </w:t>
      </w:r>
      <w:r>
        <w:t xml:space="preserve">same compliance costs. The positive impact is expected to be very weak as the oil sector</w:t>
      </w:r>
      <w:r>
        <w:t xml:space="preserve"> </w:t>
      </w:r>
      <w:r>
        <w:t xml:space="preserve">(NACE C19.2) is dominated by a few large companies, with the average turnover in 2018</w:t>
      </w:r>
      <w:r>
        <w:t xml:space="preserve"> </w:t>
      </w:r>
      <w:r>
        <w:t xml:space="preserve">being €562,000,000 (Eurostat, 2018). Therefore, the compliance costs are not expected to</w:t>
      </w:r>
      <w:r>
        <w:t xml:space="preserve"> </w:t>
      </w:r>
      <w:r>
        <w:t xml:space="preserve">be significant to competition.</w:t>
      </w:r>
      <w:r>
        <w:t xml:space="preserve"> </w:t>
      </w:r>
      <w:r>
        <w:t xml:space="preserve">Labelling chemicals sold in bulk to consumers is not expected to have a negative impact on</w:t>
      </w:r>
      <w:r>
        <w:t xml:space="preserve"> </w:t>
      </w:r>
      <w:r>
        <w:t xml:space="preserve">the operation of SME as suppliers of fuel are typically, but not exclusively, large</w:t>
      </w:r>
      <w:r>
        <w:t xml:space="preserve"> </w:t>
      </w:r>
      <w:r>
        <w:t xml:space="preserve">multinational companies or cooperatives and therefore SMEs are not expected to be</w:t>
      </w:r>
      <w:r>
        <w:t xml:space="preserve"> </w:t>
      </w:r>
      <w:r>
        <w:t xml:space="preserve">significantly or disproportionately impacted.</w:t>
      </w:r>
      <w:r>
        <w:br/>
      </w:r>
      <w:r>
        <w:t xml:space="preserve">Table 105: Economic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Conduct of</w:t>
      </w:r>
      <w:r>
        <w:t xml:space="preserve"> </w:t>
      </w:r>
      <w:r>
        <w:t xml:space="preserve">Business</w:t>
      </w:r>
      <w:r>
        <w:t xml:space="preserve"> </w:t>
      </w:r>
      <w:r>
        <w:t xml:space="preserve">Labelling</w:t>
      </w:r>
      <w:r>
        <w:t xml:space="preserve"> </w:t>
      </w:r>
      <w:r>
        <w:t xml:space="preserve">Costs</w:t>
      </w:r>
      <w:r>
        <w:t xml:space="preserve"> </w:t>
      </w:r>
      <w:r>
        <w:t xml:space="preserve">(-)</w:t>
      </w:r>
      <w:r>
        <w:t xml:space="preserve"> </w:t>
      </w:r>
      <w:r>
        <w:t xml:space="preserve">Direct</w:t>
      </w:r>
      <w:r>
        <w:t xml:space="preserve"> </w:t>
      </w:r>
      <w:r>
        <w:t xml:space="preserve">Fuels</w:t>
      </w:r>
      <w:r>
        <w:t xml:space="preserve"> </w:t>
      </w:r>
      <w:r>
        <w:t xml:space="preserve">One-off cost</w:t>
      </w:r>
      <w:r>
        <w:t xml:space="preserve"> </w:t>
      </w:r>
      <w:r>
        <w:t xml:space="preserve">of</w:t>
      </w:r>
      <w:r>
        <w:t xml:space="preserve"> </w:t>
      </w:r>
      <w:r>
        <w:t xml:space="preserve">€11,700,000</w:t>
      </w:r>
      <w:r>
        <w:t xml:space="preserve"> </w:t>
      </w:r>
      <w:r>
        <w:t xml:space="preserve">–</w:t>
      </w:r>
      <w:r>
        <w:t xml:space="preserve"> </w:t>
      </w:r>
      <w:r>
        <w:t xml:space="preserve">€13,700,000</w:t>
      </w:r>
      <w:r>
        <w:t xml:space="preserve"> </w:t>
      </w:r>
      <w:r>
        <w:t xml:space="preserve">One-off</w:t>
      </w:r>
      <w:r>
        <w:br/>
      </w:r>
      <w:r>
        <w:t xml:space="preserve">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Costs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(-)</w:t>
      </w:r>
      <w:r>
        <w:t xml:space="preserve"> </w:t>
      </w:r>
      <w:r>
        <w:t xml:space="preserve">Direct</w:t>
      </w:r>
      <w:r>
        <w:t xml:space="preserve"> </w:t>
      </w:r>
      <w:r>
        <w:t xml:space="preserve">Approx.</w:t>
      </w:r>
      <w:r>
        <w:t xml:space="preserve"> </w:t>
      </w:r>
      <w:r>
        <w:t xml:space="preserve">€57,000 per Recurrent</w:t>
      </w:r>
    </w:p>
    <w:p>
      <w:pPr>
        <w:pStyle w:val="BodyText"/>
      </w:pPr>
      <w:r>
        <w:t xml:space="preserve">353</w:t>
      </w:r>
      <w:r>
        <w:t xml:space="preserve"> </w:t>
      </w:r>
      <w:r>
        <w:t xml:space="preserve">enforcement</w:t>
      </w:r>
      <w:r>
        <w:t xml:space="preserve"> </w:t>
      </w:r>
      <w:r>
        <w:t xml:space="preserve">project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Enforcement</w:t>
      </w:r>
      <w:r>
        <w:t xml:space="preserve"> </w:t>
      </w:r>
      <w:r>
        <w:t xml:space="preserve">across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SMEs</w:t>
      </w:r>
      <w:r>
        <w:t xml:space="preserve"> </w:t>
      </w:r>
      <w:r>
        <w:t xml:space="preserve">Operation of</w:t>
      </w:r>
      <w:r>
        <w:t xml:space="preserve"> </w:t>
      </w:r>
      <w:r>
        <w:t xml:space="preserve">SMEs</w:t>
      </w:r>
      <w:r>
        <w:t xml:space="preserve"> </w:t>
      </w:r>
      <w:r>
        <w:t xml:space="preserve">(o)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Environmental impact</w:t>
      </w:r>
      <w:r>
        <w:t xml:space="preserve"> </w:t>
      </w:r>
      <w:r>
        <w:t xml:space="preserve">So far, legal clarity on the labelling of unpackaged chemicals is only provided by Article</w:t>
      </w:r>
      <w:r>
        <w:t xml:space="preserve"> </w:t>
      </w:r>
      <w:r>
        <w:t xml:space="preserve">29(3) and guidance by the European Chemicals Agency on labelling and packaging related</w:t>
      </w:r>
      <w:r>
        <w:t xml:space="preserve"> </w:t>
      </w:r>
      <w:r>
        <w:t xml:space="preserve">to that provision. Since no specific provisions exist for fuels and similar cases, these</w:t>
      </w:r>
      <w:r>
        <w:t xml:space="preserve"> </w:t>
      </w:r>
      <w:r>
        <w:t xml:space="preserve">chemicals are often not labelled or labelled incorrectly. This increases the environmental</w:t>
      </w:r>
      <w:r>
        <w:t xml:space="preserve"> </w:t>
      </w:r>
      <w:r>
        <w:t xml:space="preserve">impact of such sales as consumers are not provided with information on the environmental</w:t>
      </w:r>
      <w:r>
        <w:t xml:space="preserve"> </w:t>
      </w:r>
      <w:r>
        <w:t xml:space="preserve">hazards of the products they are purchasing. Policy measure #16 would require all suppliers</w:t>
      </w:r>
      <w:r>
        <w:t xml:space="preserve"> </w:t>
      </w:r>
      <w:r>
        <w:t xml:space="preserve">of bulk chemicals to ensure they are labelled and packaged correctly. Thereby, policy</w:t>
      </w:r>
      <w:r>
        <w:t xml:space="preserve"> </w:t>
      </w:r>
      <w:r>
        <w:t xml:space="preserve">measure #16 will have a slightly positive impact on the protection of the environment.</w:t>
      </w:r>
      <w:r>
        <w:t xml:space="preserve"> </w:t>
      </w:r>
      <w:r>
        <w:t xml:space="preserve">Policy measure #16 is expected to have a neutral impact on sustainable consumption and</w:t>
      </w:r>
      <w:r>
        <w:t xml:space="preserve"> </w:t>
      </w:r>
      <w:r>
        <w:t xml:space="preserve">resource use, as it foresees the requirement for suppliers of chemicals in bulk to ensure</w:t>
      </w:r>
      <w:r>
        <w:t xml:space="preserve"> </w:t>
      </w:r>
      <w:r>
        <w:t xml:space="preserve">their products are appropriately labelled and packaged. As this would happen once at the</w:t>
      </w:r>
      <w:r>
        <w:t xml:space="preserve"> </w:t>
      </w:r>
      <w:r>
        <w:t xml:space="preserve">level of fuel pump, it is not expected to create a noteworthy impact in the resource use and</w:t>
      </w:r>
      <w:r>
        <w:t xml:space="preserve"> </w:t>
      </w:r>
      <w:r>
        <w:t xml:space="preserve">packaging waste.</w:t>
      </w:r>
    </w:p>
    <w:p>
      <w:pPr>
        <w:pStyle w:val="BodyText"/>
      </w:pPr>
      <w:r>
        <w:t xml:space="preserve">354</w:t>
      </w:r>
      <w:r>
        <w:t xml:space="preserve"> </w:t>
      </w:r>
      <w:r>
        <w:t xml:space="preserve">Table 106: Environmental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impacts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</w:t>
      </w:r>
      <w:r>
        <w:t xml:space="preserve"> </w:t>
      </w:r>
      <w:r>
        <w:t xml:space="preserve">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br/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Resource</w:t>
      </w:r>
      <w:r>
        <w:t xml:space="preserve"> </w:t>
      </w:r>
      <w:r>
        <w:t xml:space="preserve">Use</w:t>
      </w:r>
      <w:r>
        <w:t xml:space="preserve"> </w:t>
      </w:r>
      <w:r>
        <w:t xml:space="preserve">(neutral)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Social impacts</w:t>
      </w:r>
      <w:r>
        <w:br/>
      </w:r>
      <w:r>
        <w:t xml:space="preserve">Currently public health and safety and health systems can be negatively affected because</w:t>
      </w:r>
      <w:r>
        <w:t xml:space="preserve"> </w:t>
      </w:r>
      <w:r>
        <w:t xml:space="preserve">there is no dedicated guidance or legal requirements for the labelling of chemicals sold to</w:t>
      </w:r>
      <w:r>
        <w:t xml:space="preserve"> </w:t>
      </w:r>
      <w:r>
        <w:t xml:space="preserve">consumers in bulk. Therefore, these chemicals are often not labelled or labelled incorrectly.</w:t>
      </w:r>
      <w:r>
        <w:t xml:space="preserve"> </w:t>
      </w:r>
      <w:r>
        <w:t xml:space="preserve">This reduces the level of protection for human health as consumers are not provided with</w:t>
      </w:r>
      <w:r>
        <w:t xml:space="preserve"> </w:t>
      </w:r>
      <w:r>
        <w:t xml:space="preserve">information on the human health hazards of the products they are purchasing.</w:t>
      </w:r>
      <w:r>
        <w:br/>
      </w:r>
      <w:r>
        <w:t xml:space="preserve">Policy measure #16 is not likely to have any significant impact on employment levels. The</w:t>
      </w:r>
      <w:r>
        <w:t xml:space="preserve"> </w:t>
      </w:r>
      <w:r>
        <w:t xml:space="preserve">additional cost of conducting business is expected to be negligible.</w:t>
      </w:r>
      <w:r>
        <w:t xml:space="preserve"> </w:t>
      </w:r>
      <w:r>
        <w:t xml:space="preserve">A summary of the costs and benefits of introducing labelling for fuels is provided below</w:t>
      </w:r>
      <w:r>
        <w:t xml:space="preserve"> </w:t>
      </w:r>
      <w:r>
        <w:t xml:space="preserve">Summary of cost and benefits of policy measure #16 (fuel labelling)</w:t>
      </w:r>
      <w:r>
        <w:t xml:space="preserve"> </w:t>
      </w:r>
      <w:r>
        <w:t xml:space="preserve">Costs - businesses</w:t>
      </w:r>
      <w:r>
        <w:t xml:space="preserve"> </w:t>
      </w:r>
      <w:r>
        <w:t xml:space="preserve">Total one-off costs over a 20-year period</w:t>
      </w:r>
      <w:r>
        <w:t xml:space="preserve"> </w:t>
      </w:r>
      <w:r>
        <w:t xml:space="preserve">€11,700,000 – €13,700,000</w:t>
      </w:r>
      <w:r>
        <w:t xml:space="preserve"> </w:t>
      </w:r>
      <w:r>
        <w:t xml:space="preserve">(mid-estimate: €12,700,000)</w:t>
      </w:r>
      <w:r>
        <w:t xml:space="preserve"> </w:t>
      </w:r>
      <w:r>
        <w:t xml:space="preserve">Recurring costs every 1 year</w:t>
      </w:r>
    </w:p>
    <w:p>
      <w:pPr>
        <w:pStyle w:val="BodyText"/>
      </w:pPr>
      <w:r>
        <w:t xml:space="preserve">Total recurring costs over a 20-year period</w:t>
      </w:r>
    </w:p>
    <w:p>
      <w:pPr>
        <w:pStyle w:val="BodyText"/>
      </w:pPr>
      <w:r>
        <w:t xml:space="preserve">PV of one-off costs (20 years; 3%)</w:t>
      </w:r>
      <w:r>
        <w:t xml:space="preserve"> </w:t>
      </w:r>
      <w:r>
        <w:t xml:space="preserve">€15,728,476 – €18,417,104</w:t>
      </w:r>
      <w:r>
        <w:t xml:space="preserve"> </w:t>
      </w:r>
      <w:r>
        <w:t xml:space="preserve">(mid-estimate: €17,072,790)</w:t>
      </w:r>
      <w:r>
        <w:t xml:space="preserve"> </w:t>
      </w:r>
      <w:r>
        <w:t xml:space="preserve">PV of one-off costs (20 years; 3%) (annualized)</w:t>
      </w:r>
      <w:r>
        <w:t xml:space="preserve"> </w:t>
      </w:r>
      <w:r>
        <w:t xml:space="preserve">€786,424 – €920,855 (mid-</w:t>
      </w:r>
      <w:r>
        <w:t xml:space="preserve"> </w:t>
      </w:r>
      <w:r>
        <w:t xml:space="preserve">estimate: €853,639)</w:t>
      </w:r>
      <w:r>
        <w:t xml:space="preserve"> </w:t>
      </w:r>
      <w:r>
        <w:t xml:space="preserve">PV of recurring costs (20 years; 3%)</w:t>
      </w:r>
    </w:p>
    <w:p>
      <w:pPr>
        <w:pStyle w:val="BodyText"/>
      </w:pPr>
      <w:r>
        <w:t xml:space="preserve">Total PV – costs - businesses</w:t>
      </w:r>
      <w:r>
        <w:t xml:space="preserve"> </w:t>
      </w:r>
      <w:r>
        <w:t xml:space="preserve">€15,728,476 – €18,417,104</w:t>
      </w:r>
      <w:r>
        <w:t xml:space="preserve"> </w:t>
      </w:r>
      <w:r>
        <w:t xml:space="preserve">(mid-estimate: €17,072,790)</w:t>
      </w:r>
      <w:r>
        <w:t xml:space="preserve"> </w:t>
      </w:r>
      <w:r>
        <w:t xml:space="preserve">Costs – public authorities</w:t>
      </w:r>
      <w:r>
        <w:t xml:space="preserve"> </w:t>
      </w:r>
      <w:r>
        <w:t xml:space="preserve">Total one-off costs over a 20-year period</w:t>
      </w:r>
    </w:p>
    <w:p>
      <w:pPr>
        <w:pStyle w:val="BodyText"/>
      </w:pPr>
      <w:r>
        <w:t xml:space="preserve">Recurring costs every 1 year</w:t>
      </w:r>
      <w:r>
        <w:t xml:space="preserve"> </w:t>
      </w:r>
      <w:r>
        <w:t xml:space="preserve">€57,000</w:t>
      </w:r>
      <w:r>
        <w:t xml:space="preserve"> </w:t>
      </w:r>
      <w:r>
        <w:t xml:space="preserve">Total recurring costs over a 20-year period</w:t>
      </w:r>
      <w:r>
        <w:t xml:space="preserve"> </w:t>
      </w:r>
      <w:r>
        <w:t xml:space="preserve">€1,083,000</w:t>
      </w:r>
      <w:r>
        <w:t xml:space="preserve"> </w:t>
      </w:r>
      <w:r>
        <w:t xml:space="preserve">PV of one-off costs (20 years; 3%)</w:t>
      </w:r>
    </w:p>
    <w:p>
      <w:pPr>
        <w:pStyle w:val="BodyText"/>
      </w:pPr>
      <w:r>
        <w:t xml:space="preserve">PV of recurring costs (20 years; 3%)</w:t>
      </w:r>
      <w:r>
        <w:t xml:space="preserve"> </w:t>
      </w:r>
      <w:r>
        <w:t xml:space="preserve">€1,455,892</w:t>
      </w:r>
      <w:r>
        <w:t xml:space="preserve"> </w:t>
      </w:r>
      <w:r>
        <w:t xml:space="preserve">PV of recurring costs (20 years; 3%) (annualized)</w:t>
      </w:r>
      <w:r>
        <w:t xml:space="preserve"> </w:t>
      </w:r>
      <w:r>
        <w:t xml:space="preserve">€76,626</w:t>
      </w:r>
      <w:r>
        <w:t xml:space="preserve"> </w:t>
      </w:r>
      <w:r>
        <w:t xml:space="preserve">Total PV – costs – public authorities</w:t>
      </w:r>
    </w:p>
    <w:p>
      <w:pPr>
        <w:pStyle w:val="BodyText"/>
      </w:pPr>
      <w:r>
        <w:t xml:space="preserve">355</w:t>
      </w:r>
      <w:r>
        <w:t xml:space="preserve"> </w:t>
      </w:r>
      <w:r>
        <w:t xml:space="preserve">Total PV cost of policy measure #16 (fuel labelling)</w:t>
      </w:r>
      <w:r>
        <w:t xml:space="preserve"> </w:t>
      </w:r>
      <w:r>
        <w:t xml:space="preserve">€17,260,994 – €19,949,622</w:t>
      </w:r>
      <w:r>
        <w:t xml:space="preserve"> </w:t>
      </w:r>
      <w:r>
        <w:t xml:space="preserve">(mid-estimate: €1,455,892)</w:t>
      </w:r>
      <w:r>
        <w:t xml:space="preserve"> </w:t>
      </w:r>
      <w:r>
        <w:t xml:space="preserve">Benefits (cost savings) - businesses</w:t>
      </w:r>
    </w:p>
    <w:p>
      <w:pPr>
        <w:pStyle w:val="BodyText"/>
      </w:pPr>
      <w:r>
        <w:t xml:space="preserve">PV benefits - businesses</w:t>
      </w:r>
    </w:p>
    <w:p>
      <w:pPr>
        <w:pStyle w:val="BodyText"/>
      </w:pPr>
      <w:r>
        <w:t xml:space="preserve">Benefits (cost savings) – public authorities</w:t>
      </w:r>
    </w:p>
    <w:p>
      <w:pPr>
        <w:pStyle w:val="BodyText"/>
      </w:pPr>
      <w:r>
        <w:t xml:space="preserve">PV – benefits – public authorities</w:t>
      </w:r>
    </w:p>
    <w:p>
      <w:pPr>
        <w:pStyle w:val="BodyText"/>
      </w:pPr>
      <w:r>
        <w:t xml:space="preserve">Benefits - society</w:t>
      </w:r>
    </w:p>
    <w:p>
      <w:pPr>
        <w:pStyle w:val="BodyText"/>
      </w:pPr>
      <w:r>
        <w:t xml:space="preserve">PV - benefits - society</w:t>
      </w:r>
    </w:p>
    <w:p>
      <w:pPr>
        <w:pStyle w:val="BodyText"/>
      </w:pPr>
      <w:r>
        <w:t xml:space="preserve">Total OV - benefits</w:t>
      </w:r>
    </w:p>
    <w:p>
      <w:pPr>
        <w:pStyle w:val="BodyText"/>
      </w:pPr>
      <w:r>
        <w:t xml:space="preserve">Net Present Value - NPV (PV benefits – PV costs)</w:t>
      </w:r>
      <w:r>
        <w:t xml:space="preserve"> </w:t>
      </w:r>
      <w:r>
        <w:t xml:space="preserve">€17,260,994 – €19,949,622</w:t>
      </w:r>
      <w:r>
        <w:t xml:space="preserve"> </w:t>
      </w:r>
      <w:r>
        <w:t xml:space="preserve">(mid-estimate: €1,455,892)</w:t>
      </w:r>
    </w:p>
    <w:p>
      <w:pPr>
        <w:pStyle w:val="BodyText"/>
      </w:pPr>
      <w:r>
        <w:t xml:space="preserve">A summary of the present value (3% discount) costs and benefits of introducing labelling</w:t>
      </w:r>
      <w:r>
        <w:t xml:space="preserve"> </w:t>
      </w:r>
      <w:r>
        <w:t xml:space="preserve">for fuels is provided below.</w:t>
      </w:r>
      <w:r>
        <w:t xml:space="preserve"> </w:t>
      </w:r>
      <w:r>
        <w:t xml:space="preserve">Summary of costs and benefits (PV; 20 years; 3%) of policy measure #16 (labelling fuels)</w:t>
      </w:r>
      <w:r>
        <w:t xml:space="preserve"> </w:t>
      </w:r>
      <w:r>
        <w:t xml:space="preserve">by type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€15,728,476 –</w:t>
      </w:r>
      <w:r>
        <w:t xml:space="preserve"> </w:t>
      </w:r>
      <w:r>
        <w:t xml:space="preserve">€18,417,104 (mid-</w:t>
      </w:r>
      <w:r>
        <w:t xml:space="preserve"> </w:t>
      </w:r>
      <w:r>
        <w:t xml:space="preserve">estimate: €17,072,790)</w:t>
      </w:r>
      <w:r>
        <w:t xml:space="preserve"> </w:t>
      </w:r>
      <w:r>
        <w:t xml:space="preserve">€1,455,892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POLICY MEASURE #16 CHEMICALS IN VERY SMALL PACKAGING</w:t>
      </w:r>
      <w:r>
        <w:t xml:space="preserve"> </w:t>
      </w:r>
      <w:r>
        <w:t xml:space="preserve">Note: policy measure #16 includes actions on labelling exemption for chemicals sold in bulk</w:t>
      </w:r>
      <w:r>
        <w:t xml:space="preserve"> </w:t>
      </w:r>
      <w:r>
        <w:t xml:space="preserve">to consumers and in very small packaging. This chapter only addresses the labelling</w:t>
      </w:r>
      <w:r>
        <w:t xml:space="preserve"> </w:t>
      </w:r>
      <w:r>
        <w:t xml:space="preserve">exemption for very small packaging. The labelling exemption for chemicals sold in bulk to</w:t>
      </w:r>
      <w:r>
        <w:t xml:space="preserve"> </w:t>
      </w:r>
      <w:r>
        <w:t xml:space="preserve">consumers is addressed in the previous chapter.</w:t>
      </w:r>
      <w:r>
        <w:t xml:space="preserve"> </w:t>
      </w:r>
      <w:r>
        <w:t xml:space="preserve">CLP currently requires that chemicals in very small packaging should be labelled and the</w:t>
      </w:r>
      <w:r>
        <w:t xml:space="preserve"> </w:t>
      </w:r>
      <w:r>
        <w:t xml:space="preserve">environmental hazards communicated to end-users. However, the applicability of CLP to</w:t>
      </w:r>
      <w:r>
        <w:t xml:space="preserve"> </w:t>
      </w:r>
      <w:r>
        <w:t xml:space="preserve">some chemicals in very small packaging is contested by some industry actors. For example,</w:t>
      </w:r>
      <w:r>
        <w:t xml:space="preserve"> </w:t>
      </w:r>
      <w:r>
        <w:t xml:space="preserve">EWIMA is of the opinion that writing instruments (e.g. single-use pens/markers) are</w:t>
      </w:r>
      <w:r>
        <w:t xml:space="preserve"> </w:t>
      </w:r>
      <w:r>
        <w:t xml:space="preserve">considered as articles according to the definition laid down in the EU regulation REACH,</w:t>
      </w:r>
      <w:r>
        <w:t xml:space="preserve"> </w:t>
      </w:r>
      <w:r>
        <w:t xml:space="preserve">and, therefore, CLP would not apply (EWIMA, 2017). Whereas it is of the understanding</w:t>
      </w:r>
    </w:p>
    <w:p>
      <w:pPr>
        <w:pStyle w:val="BodyText"/>
      </w:pPr>
      <w:r>
        <w:t xml:space="preserve">356</w:t>
      </w:r>
      <w:r>
        <w:t xml:space="preserve"> </w:t>
      </w:r>
      <w:r>
        <w:t xml:space="preserve">of the European Chemicals Agency and the Commission that writing instruments are</w:t>
      </w:r>
      <w:r>
        <w:t xml:space="preserve"> </w:t>
      </w:r>
      <w:r>
        <w:t xml:space="preserve">‘mixtures in containers’, following a discussion in the 27th Meeting of Competent</w:t>
      </w:r>
      <w:r>
        <w:t xml:space="preserve"> </w:t>
      </w:r>
      <w:r>
        <w:t xml:space="preserve">Authorities for REACH and CLP264, “COM replied that it is of the opinion that writing</w:t>
      </w:r>
      <w:r>
        <w:t xml:space="preserve"> </w:t>
      </w:r>
      <w:r>
        <w:t xml:space="preserve">instruments are mixtures in a container and that the container constitutes packaging</w:t>
      </w:r>
      <w:r>
        <w:t xml:space="preserve"> </w:t>
      </w:r>
      <w:r>
        <w:t xml:space="preserve">pursuant to Article 2(36) of CLP. However, the notion of packaging under CLP does not</w:t>
      </w:r>
      <w:r>
        <w:t xml:space="preserve"> </w:t>
      </w:r>
      <w:r>
        <w:t xml:space="preserve">necessarily spill over in the Waste Packaging Directive”. The Commission subsequently</w:t>
      </w:r>
      <w:r>
        <w:t xml:space="preserve"> </w:t>
      </w:r>
      <w:r>
        <w:t xml:space="preserve">followed up by stating that they would not re-open this discussion in CARACAL as long as</w:t>
      </w:r>
      <w:r>
        <w:t xml:space="preserve"> </w:t>
      </w:r>
      <w:r>
        <w:t xml:space="preserve">no new information becomes available which could change COM’s conclusion.</w:t>
      </w:r>
      <w:r>
        <w:br/>
      </w:r>
      <w:r>
        <w:t xml:space="preserve">Policy measure #16 grants an exemption from labelling obligations under the CLP</w:t>
      </w:r>
      <w:r>
        <w:t xml:space="preserve"> </w:t>
      </w:r>
      <w:r>
        <w:t xml:space="preserve">Regulation for the inner packaging of chemicals supplied in very small packaging (below</w:t>
      </w:r>
      <w:r>
        <w:t xml:space="preserve"> </w:t>
      </w:r>
      <w:r>
        <w:t xml:space="preserve">10 ml), by extending the current exemption provided under Article 29, which currently only</w:t>
      </w:r>
      <w:r>
        <w:t xml:space="preserve"> </w:t>
      </w:r>
      <w:r>
        <w:t xml:space="preserve">applies to chemicals used for scientific R&amp;D or quality control analysis, to all chemicals</w:t>
      </w:r>
      <w:r>
        <w:t xml:space="preserve"> </w:t>
      </w:r>
      <w:r>
        <w:t xml:space="preserve">that exhibit less severe hazards. As it is currently already the case for chemicals used for</w:t>
      </w:r>
      <w:r>
        <w:t xml:space="preserve"> </w:t>
      </w:r>
      <w:r>
        <w:t xml:space="preserve">scientific R&amp;D or quality control analysis, the exemption would be granted subject to the</w:t>
      </w:r>
      <w:r>
        <w:t xml:space="preserve"> </w:t>
      </w:r>
      <w:r>
        <w:t xml:space="preserve">condition that the inner packaging is contained within an outer packaging that meets the</w:t>
      </w:r>
      <w:r>
        <w:t xml:space="preserve"> </w:t>
      </w:r>
      <w:r>
        <w:t xml:space="preserve">requirements of Article 17. Writing instruments and other chemicals supplied in very small</w:t>
      </w:r>
      <w:r>
        <w:t xml:space="preserve"> </w:t>
      </w:r>
      <w:r>
        <w:t xml:space="preserve">packaging that contain chemicals that exhibit more severe hazards remain covered by all</w:t>
      </w:r>
      <w:r>
        <w:t xml:space="preserve"> </w:t>
      </w:r>
      <w:r>
        <w:t xml:space="preserve">current obligations in CLP (i.e. Article 29). However, it is assumed that only a small</w:t>
      </w:r>
      <w:r>
        <w:t xml:space="preserve"> </w:t>
      </w:r>
      <w:r>
        <w:t xml:space="preserve">proportion of writing instruments contain chemicals that exhibit more severe hazards.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 position paper by EWIMA (2017) provided information on the cost of conducting</w:t>
      </w:r>
      <w:r>
        <w:t xml:space="preserve"> </w:t>
      </w:r>
      <w:r>
        <w:t xml:space="preserve">business, in response to discussion held previously on the labelling of writing instruments</w:t>
      </w:r>
      <w:r>
        <w:t xml:space="preserve"> </w:t>
      </w:r>
      <w:r>
        <w:t xml:space="preserve">at CARACAL. The paper reports that manufacturers of writing instruments would have one-</w:t>
      </w:r>
      <w:r>
        <w:t xml:space="preserve"> </w:t>
      </w:r>
      <w:r>
        <w:t xml:space="preserve">off costs of between €500,000 – €7,000,000 and annual recurring costs of €4,000,000 –</w:t>
      </w:r>
      <w:r>
        <w:t xml:space="preserve"> </w:t>
      </w:r>
      <w:r>
        <w:t xml:space="preserve">€14,000,000 to comply with CLP labelling provisions.</w:t>
      </w:r>
      <w:r>
        <w:br/>
      </w:r>
      <w:r>
        <w:t xml:space="preserve">Assuming the costs identified for writing instruments would apply to other products</w:t>
      </w:r>
      <w:r>
        <w:t xml:space="preserve"> </w:t>
      </w:r>
      <w:r>
        <w:t xml:space="preserve">containing hazardous chemicals in very small packaging that are currently unlabelled,</w:t>
      </w:r>
      <w:r>
        <w:t xml:space="preserve"> </w:t>
      </w:r>
      <w:r>
        <w:t xml:space="preserve">policy measure #16 would lead to a cost saving estimate of between €500,000 - €14,000,000</w:t>
      </w:r>
      <w:r>
        <w:t xml:space="preserve"> </w:t>
      </w:r>
      <w:r>
        <w:t xml:space="preserve">per manufacturer.</w:t>
      </w:r>
      <w:r>
        <w:t xml:space="preserve"> </w:t>
      </w:r>
      <w:r>
        <w:t xml:space="preserve">Data received from the Open Public Consultation estimated the number of products placed</w:t>
      </w:r>
      <w:r>
        <w:t xml:space="preserve"> </w:t>
      </w:r>
      <w:r>
        <w:t xml:space="preserve">on the market which contain hazardous chemicals in very small packaging to be between</w:t>
      </w:r>
      <w:r>
        <w:t xml:space="preserve"> </w:t>
      </w:r>
      <w:r>
        <w:t xml:space="preserve">735 million and 898 million, which would all not require labelling under this policy option.</w:t>
      </w:r>
      <w:r>
        <w:t xml:space="preserve"> </w:t>
      </w:r>
      <w:r>
        <w:t xml:space="preserve">Over 95% of these are writing instruments, such as pens. Therefore, a labelling exemption</w:t>
      </w:r>
      <w:r>
        <w:t xml:space="preserve"> </w:t>
      </w:r>
      <w:r>
        <w:t xml:space="preserve">will significantly reduce labelling costs.</w:t>
      </w:r>
      <w:r>
        <w:t xml:space="preserve"> </w:t>
      </w:r>
      <w:r>
        <w:t xml:space="preserve">EWIMA (2017) also reports that because of the low sale price of pens, typically around</w:t>
      </w:r>
      <w:r>
        <w:t xml:space="preserve"> </w:t>
      </w:r>
      <w:r>
        <w:t xml:space="preserve">€0.15 per pen, and the long-term practice of selling them as single items, labelling and</w:t>
      </w:r>
      <w:r>
        <w:t xml:space="preserve"> </w:t>
      </w:r>
      <w:r>
        <w:t xml:space="preserve">packaging costs would be too expensive and would mean that certain single-sold writing</w:t>
      </w:r>
      <w:r>
        <w:t xml:space="preserve"> </w:t>
      </w:r>
      <w:r>
        <w:t xml:space="preserve">instruments would have to be withdrawn from the market.</w:t>
      </w:r>
      <w:r>
        <w:t xml:space="preserve"> </w:t>
      </w:r>
      <w:r>
        <w:t xml:space="preserve">Public authority cost are the result of enforcement activities that are currently carried out</w:t>
      </w:r>
      <w:r>
        <w:t xml:space="preserve"> </w:t>
      </w:r>
      <w:r>
        <w:t xml:space="preserve">to check the compliance of chemicals sold in small packaging. For example, the REF-6</w:t>
      </w:r>
    </w:p>
    <w:p>
      <w:pPr>
        <w:pStyle w:val="BodyText"/>
      </w:pPr>
      <w:r>
        <w:t xml:space="preserve">264 European Commission (2018): 27th Meeting of Competent Authorities for REACH and CLP (CARACAL)</w:t>
      </w:r>
      <w:r>
        <w:t xml:space="preserve"> </w:t>
      </w:r>
      <w:r>
        <w:t xml:space="preserve">–18 June 2018 CA/72/2018</w:t>
      </w:r>
    </w:p>
    <w:p>
      <w:pPr>
        <w:pStyle w:val="BodyText"/>
      </w:pPr>
      <w:r>
        <w:t xml:space="preserve">357</w:t>
      </w:r>
      <w:r>
        <w:t xml:space="preserve"> </w:t>
      </w:r>
      <w:r>
        <w:t xml:space="preserve">enforcement project carried out 194 checks on mixtures sold in small packaging. If an</w:t>
      </w:r>
      <w:r>
        <w:t xml:space="preserve"> </w:t>
      </w:r>
      <w:r>
        <w:t xml:space="preserve">exemption was granted for these products, enforcement in this area could be reduced and</w:t>
      </w:r>
      <w:r>
        <w:t xml:space="preserve"> </w:t>
      </w:r>
      <w:r>
        <w:t xml:space="preserve">resources could be diverted to areas of higher relevance for health and the environment.</w:t>
      </w:r>
      <w:r>
        <w:t xml:space="preserve"> </w:t>
      </w:r>
      <w:r>
        <w:t xml:space="preserve">Based on the cost estimate of €879 for carrying out an on-site inspection, the REF-6 project</w:t>
      </w:r>
      <w:r>
        <w:t xml:space="preserve"> </w:t>
      </w:r>
      <w:r>
        <w:t xml:space="preserve">on mixtures in small packaging is estimated to cost approximately €170,000, which would</w:t>
      </w:r>
      <w:r>
        <w:t xml:space="preserve"> </w:t>
      </w:r>
      <w:r>
        <w:t xml:space="preserve">present the cost saved on enforcement under policy measure #16. It is not expected that a</w:t>
      </w:r>
      <w:r>
        <w:t xml:space="preserve"> </w:t>
      </w:r>
      <w:r>
        <w:t xml:space="preserve">specific enforcement project on refill chemicals would occur every year and, therefore, the</w:t>
      </w:r>
      <w:r>
        <w:t xml:space="preserve"> </w:t>
      </w:r>
      <w:r>
        <w:t xml:space="preserve">annual cost would be even lower (a factor 3 is applied providing a cost of €57,000 per year</w:t>
      </w:r>
      <w:r>
        <w:t xml:space="preserve"> </w:t>
      </w:r>
      <w:r>
        <w:t xml:space="preserve">per enforcement project).</w:t>
      </w:r>
      <w:r>
        <w:t xml:space="preserve"> </w:t>
      </w:r>
      <w:r>
        <w:t xml:space="preserve">The introduction of a labelling exemption and a clarification of the applicable rules</w:t>
      </w:r>
      <w:r>
        <w:t xml:space="preserve"> </w:t>
      </w:r>
      <w:r>
        <w:t xml:space="preserve">chemicals in very small packaging is expected to have a positive impact on the functioning</w:t>
      </w:r>
      <w:r>
        <w:t xml:space="preserve"> </w:t>
      </w:r>
      <w:r>
        <w:t xml:space="preserve">of the internal market, as labelling rules would be more harmoniously applied across all</w:t>
      </w:r>
      <w:r>
        <w:t xml:space="preserve"> </w:t>
      </w:r>
      <w:r>
        <w:t xml:space="preserve">Member States. The removal of the labelling obligation would also reduce the cost of</w:t>
      </w:r>
      <w:r>
        <w:t xml:space="preserve"> </w:t>
      </w:r>
      <w:r>
        <w:t xml:space="preserve">business and reduce barrier to trade, particular for small items such as pens sold in multiple</w:t>
      </w:r>
      <w:r>
        <w:t xml:space="preserve"> </w:t>
      </w:r>
      <w:r>
        <w:t xml:space="preserve">Member States, as it is practically not possible to apply multilingual labels to the inner</w:t>
      </w:r>
      <w:r>
        <w:t xml:space="preserve"> </w:t>
      </w:r>
      <w:r>
        <w:t xml:space="preserve">packaging of such small items due to the limited space.</w:t>
      </w:r>
      <w:r>
        <w:br/>
      </w:r>
      <w:r>
        <w:t xml:space="preserve">The position of SME is that the costs of complying with current CLP labelling provisions</w:t>
      </w:r>
      <w:r>
        <w:t xml:space="preserve"> </w:t>
      </w:r>
      <w:r>
        <w:t xml:space="preserve">are significant, and place a very high administrative burden on any SME. Policy measure</w:t>
      </w:r>
      <w:r>
        <w:t xml:space="preserve"> </w:t>
      </w:r>
      <w:r>
        <w:t xml:space="preserve">#16 provides an exemption from labelling and would, therefore, have a significant positive</w:t>
      </w:r>
      <w:r>
        <w:t xml:space="preserve"> </w:t>
      </w:r>
      <w:r>
        <w:t xml:space="preserve">impact on SMEs.</w:t>
      </w:r>
      <w:r>
        <w:t xml:space="preserve"> </w:t>
      </w:r>
      <w:r>
        <w:t xml:space="preserve">As mentioned previously, the cost of complying with current CLP labelling provisions</w:t>
      </w:r>
      <w:r>
        <w:t xml:space="preserve"> </w:t>
      </w:r>
      <w:r>
        <w:t xml:space="preserve">would lead to an increase in the price of writing instruments and could see certain writing</w:t>
      </w:r>
      <w:r>
        <w:t xml:space="preserve"> </w:t>
      </w:r>
      <w:r>
        <w:t xml:space="preserve">instruments withdrawn from the market and no longer available to consumers. Policy</w:t>
      </w:r>
      <w:r>
        <w:t xml:space="preserve"> </w:t>
      </w:r>
      <w:r>
        <w:t xml:space="preserve">measure #16 would, therefore, have a positive impact on the price of consumer goods as</w:t>
      </w:r>
      <w:r>
        <w:t xml:space="preserve"> </w:t>
      </w:r>
      <w:r>
        <w:t xml:space="preserve">price increases would no longer be necessary. Price increases for other products containing</w:t>
      </w:r>
      <w:r>
        <w:t xml:space="preserve"> </w:t>
      </w:r>
      <w:r>
        <w:t xml:space="preserve">chemicals in small packaging (e.g. essential oils, superglues, lighters, printing inks) have</w:t>
      </w:r>
      <w:r>
        <w:t xml:space="preserve"> </w:t>
      </w:r>
      <w:r>
        <w:t xml:space="preserve">higher price points and therefore are not expected to be impacted by increased consumer</w:t>
      </w:r>
      <w:r>
        <w:t xml:space="preserve"> </w:t>
      </w:r>
      <w:r>
        <w:t xml:space="preserve">prices, and the increased production costs due to labelling can be more easily absorbed.</w:t>
      </w:r>
    </w:p>
    <w:p>
      <w:pPr>
        <w:pStyle w:val="BodyText"/>
      </w:pPr>
      <w:r>
        <w:t xml:space="preserve">358</w:t>
      </w:r>
      <w:r>
        <w:t xml:space="preserve"> </w:t>
      </w:r>
      <w:r>
        <w:t xml:space="preserve">Table 107: Economic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Conduct of</w:t>
      </w:r>
      <w:r>
        <w:t xml:space="preserve"> </w:t>
      </w:r>
      <w:r>
        <w:t xml:space="preserve">Business</w:t>
      </w:r>
      <w:r>
        <w:t xml:space="preserve"> </w:t>
      </w:r>
      <w:r>
        <w:t xml:space="preserve">Labelling</w:t>
      </w:r>
      <w:r>
        <w:t xml:space="preserve"> </w:t>
      </w:r>
      <w:r>
        <w:t xml:space="preserve">Costs</w:t>
      </w:r>
      <w:r>
        <w:t xml:space="preserve"> </w:t>
      </w:r>
      <w:r>
        <w:t xml:space="preserve">(+)</w:t>
      </w:r>
      <w:r>
        <w:t xml:space="preserve"> </w:t>
      </w:r>
      <w:r>
        <w:t xml:space="preserve">Direct</w:t>
      </w:r>
      <w:r>
        <w:t xml:space="preserve"> </w:t>
      </w:r>
      <w:r>
        <w:t xml:space="preserve">One-off cost</w:t>
      </w:r>
      <w:r>
        <w:t xml:space="preserve"> </w:t>
      </w:r>
      <w:r>
        <w:t xml:space="preserve">saving</w:t>
      </w:r>
      <w:r>
        <w:t xml:space="preserve"> </w:t>
      </w:r>
      <w:r>
        <w:t xml:space="preserve">of</w:t>
      </w:r>
      <w:r>
        <w:t xml:space="preserve"> </w:t>
      </w:r>
      <w:r>
        <w:t xml:space="preserve">€500,000</w:t>
      </w:r>
      <w:r>
        <w:t xml:space="preserve"> </w:t>
      </w:r>
      <w:r>
        <w:t xml:space="preserve">–</w:t>
      </w:r>
      <w:r>
        <w:t xml:space="preserve"> </w:t>
      </w:r>
      <w:r>
        <w:t xml:space="preserve">€7,000,000</w:t>
      </w:r>
      <w:r>
        <w:t xml:space="preserve"> </w:t>
      </w:r>
      <w:r>
        <w:t xml:space="preserve">per</w:t>
      </w:r>
      <w:r>
        <w:t xml:space="preserve"> </w:t>
      </w:r>
      <w:r>
        <w:t xml:space="preserve">manufacturer</w:t>
      </w:r>
      <w:r>
        <w:t xml:space="preserve"> </w:t>
      </w:r>
      <w:r>
        <w:t xml:space="preserve">Annual cost</w:t>
      </w:r>
      <w:r>
        <w:t xml:space="preserve"> </w:t>
      </w:r>
      <w:r>
        <w:t xml:space="preserve">savings</w:t>
      </w:r>
      <w:r>
        <w:t xml:space="preserve"> </w:t>
      </w:r>
      <w:r>
        <w:t xml:space="preserve">of</w:t>
      </w:r>
      <w:r>
        <w:t xml:space="preserve"> </w:t>
      </w:r>
      <w:r>
        <w:t xml:space="preserve">€4,000,000 –</w:t>
      </w:r>
      <w:r>
        <w:t xml:space="preserve"> </w:t>
      </w:r>
      <w:r>
        <w:t xml:space="preserve">€14,000,000</w:t>
      </w:r>
      <w:r>
        <w:t xml:space="preserve"> </w:t>
      </w:r>
      <w:r>
        <w:t xml:space="preserve">One-off</w:t>
      </w:r>
      <w:r>
        <w:t xml:space="preserve"> </w:t>
      </w:r>
      <w:r>
        <w:t xml:space="preserve">&amp;</w:t>
      </w:r>
      <w:r>
        <w:t xml:space="preserve"> </w:t>
      </w:r>
      <w:r>
        <w:t xml:space="preserve">Recurrent</w:t>
      </w:r>
      <w:r>
        <w:t xml:space="preserve"> </w:t>
      </w:r>
      <w:r>
        <w:t xml:space="preserve">Product</w:t>
      </w:r>
      <w:r>
        <w:t xml:space="preserve"> </w:t>
      </w:r>
      <w:r>
        <w:t xml:space="preserve">Withdrawal</w:t>
      </w:r>
      <w:r>
        <w:br/>
      </w:r>
      <w:r>
        <w:t xml:space="preserve">(+)</w:t>
      </w:r>
      <w:r>
        <w:t xml:space="preserve"> </w:t>
      </w:r>
      <w:r>
        <w:t xml:space="preserve">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Costs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(+)</w:t>
      </w:r>
      <w:r>
        <w:t xml:space="preserve"> </w:t>
      </w:r>
      <w:r>
        <w:t xml:space="preserve">Direct</w:t>
      </w:r>
      <w:r>
        <w:t xml:space="preserve"> </w:t>
      </w:r>
      <w:r>
        <w:t xml:space="preserve">Approx.</w:t>
      </w:r>
      <w:r>
        <w:t xml:space="preserve"> </w:t>
      </w:r>
      <w:r>
        <w:t xml:space="preserve">€57,000 cost</w:t>
      </w:r>
      <w:r>
        <w:t xml:space="preserve"> </w:t>
      </w:r>
      <w:r>
        <w:t xml:space="preserve">saving</w:t>
      </w:r>
      <w:r>
        <w:t xml:space="preserve"> </w:t>
      </w:r>
      <w:r>
        <w:t xml:space="preserve">Recurrent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Enforcement</w:t>
      </w:r>
      <w:r>
        <w:t xml:space="preserve"> </w:t>
      </w:r>
      <w:r>
        <w:t xml:space="preserve">across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SMEs</w:t>
      </w:r>
      <w:r>
        <w:t xml:space="preserve"> </w:t>
      </w:r>
      <w:r>
        <w:t xml:space="preserve">Operation of</w:t>
      </w:r>
      <w:r>
        <w:t xml:space="preserve"> </w:t>
      </w:r>
      <w:r>
        <w:t xml:space="preserve">SMEs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Goods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Environmental impact</w:t>
      </w:r>
      <w:r>
        <w:t xml:space="preserve"> </w:t>
      </w:r>
      <w:r>
        <w:t xml:space="preserve">Policy measure #16 would have a positive impact on resource use and packaging and</w:t>
      </w:r>
      <w:r>
        <w:t xml:space="preserve"> </w:t>
      </w:r>
      <w:r>
        <w:t xml:space="preserve">labelling waste, as the use of stickers, leaflets, blister cards, and additional packaging would</w:t>
      </w:r>
      <w:r>
        <w:t xml:space="preserve"> </w:t>
      </w:r>
      <w:r>
        <w:t xml:space="preserve">in most cases no longer be needed to meet CLP labelling provisions. Information presented</w:t>
      </w:r>
      <w:r>
        <w:t xml:space="preserve"> </w:t>
      </w:r>
      <w:r>
        <w:t xml:space="preserve">in previous sections estimated that between 734 and 898 million products containing</w:t>
      </w:r>
      <w:r>
        <w:t xml:space="preserve"> </w:t>
      </w:r>
      <w:r>
        <w:t xml:space="preserve">chemicals in very small packaging were placed on the EU market in 2019. Over 95% of</w:t>
      </w:r>
      <w:r>
        <w:t xml:space="preserve"> </w:t>
      </w:r>
      <w:r>
        <w:t xml:space="preserve">these are pens and writing instruments. Although the quantity of these products that are</w:t>
      </w:r>
      <w:r>
        <w:t xml:space="preserve"> </w:t>
      </w:r>
      <w:r>
        <w:t xml:space="preserve">currently sold as single unpackaged and unlabelled items is not known, if this was even a</w:t>
      </w:r>
      <w:r>
        <w:t xml:space="preserve"> </w:t>
      </w:r>
      <w:r>
        <w:t xml:space="preserve">small percentage of the total, a significant amount of additional packaging and labelling</w:t>
      </w:r>
      <w:r>
        <w:t xml:space="preserve"> </w:t>
      </w:r>
      <w:r>
        <w:t xml:space="preserve">material would be required for them to remain on the market without policy measure #16.</w:t>
      </w:r>
      <w:r>
        <w:t xml:space="preserve"> </w:t>
      </w:r>
      <w:r>
        <w:t xml:space="preserve">The CLP Regulation currently requires that all chemicals in very small packaging should</w:t>
      </w:r>
      <w:r>
        <w:t xml:space="preserve"> </w:t>
      </w:r>
      <w:r>
        <w:t xml:space="preserve">be labelled and the environmental hazards communicated to consumers. Policy measure #16</w:t>
      </w:r>
      <w:r>
        <w:t xml:space="preserve"> </w:t>
      </w:r>
      <w:r>
        <w:t xml:space="preserve">sets exemptions for certain chemicals meaning information on environmental hazards will</w:t>
      </w:r>
      <w:r>
        <w:t xml:space="preserve"> </w:t>
      </w:r>
      <w:r>
        <w:t xml:space="preserve">no longer be communicated in cases where environmental hazards are relevant (unless the</w:t>
      </w:r>
      <w:r>
        <w:t xml:space="preserve"> </w:t>
      </w:r>
      <w:r>
        <w:t xml:space="preserve">hazards of the chemical in question exhibits severe hazards), which might reduce the level</w:t>
      </w:r>
      <w:r>
        <w:t xml:space="preserve"> </w:t>
      </w:r>
      <w:r>
        <w:t xml:space="preserve">of protection for the environment, as end-users would have limited information on safe use</w:t>
      </w:r>
    </w:p>
    <w:p>
      <w:pPr>
        <w:pStyle w:val="BodyText"/>
      </w:pPr>
      <w:r>
        <w:t xml:space="preserve">359</w:t>
      </w:r>
      <w:r>
        <w:t xml:space="preserve"> </w:t>
      </w:r>
      <w:r>
        <w:t xml:space="preserve">and disposal. This may have a slight negative impact on environmental protection is</w:t>
      </w:r>
      <w:r>
        <w:t xml:space="preserve"> </w:t>
      </w:r>
      <w:r>
        <w:t xml:space="preserve">expected. However, this impact is expected to be small in reality because these items are</w:t>
      </w:r>
      <w:r>
        <w:t xml:space="preserve"> </w:t>
      </w:r>
      <w:r>
        <w:t xml:space="preserve">already today largely sold without a label and the quantities in question are small (although</w:t>
      </w:r>
      <w:r>
        <w:t xml:space="preserve"> </w:t>
      </w:r>
      <w:r>
        <w:t xml:space="preserve">accumulated, e.g. over all writing instruments, not insignificant). Furthermore, the</w:t>
      </w:r>
      <w:r>
        <w:t xml:space="preserve"> </w:t>
      </w:r>
      <w:r>
        <w:t xml:space="preserve">exemption would not apply for chemicals with more severe hazards. On the flip-side, this</w:t>
      </w:r>
      <w:r>
        <w:t xml:space="preserve"> </w:t>
      </w:r>
      <w:r>
        <w:t xml:space="preserve">small reduction of the level of protection for the environment is probably offset by the</w:t>
      </w:r>
      <w:r>
        <w:t xml:space="preserve"> </w:t>
      </w:r>
      <w:r>
        <w:t xml:space="preserve">significant savings on resource use and waste that would be necessary when ensuring</w:t>
      </w:r>
      <w:r>
        <w:t xml:space="preserve"> </w:t>
      </w:r>
      <w:r>
        <w:t xml:space="preserve">compliance with CLP without policy measure #16. As policy measure #16 would clarify</w:t>
      </w:r>
      <w:r>
        <w:t xml:space="preserve"> </w:t>
      </w:r>
      <w:r>
        <w:t xml:space="preserve">rules on these chemicals and, therefore, a greater rate of labelling is expected for the</w:t>
      </w:r>
      <w:r>
        <w:t xml:space="preserve"> </w:t>
      </w:r>
      <w:r>
        <w:t xml:space="preserve">chemicals that remain subject to labelling because they exhibit more severe hazards. This</w:t>
      </w:r>
      <w:r>
        <w:t xml:space="preserve"> </w:t>
      </w:r>
      <w:r>
        <w:t xml:space="preserve">means better communication of information on environmental hazards, which will increase</w:t>
      </w:r>
      <w:r>
        <w:t xml:space="preserve"> </w:t>
      </w:r>
      <w:r>
        <w:t xml:space="preserve">the level of protection for the environment, as end-users will have more information on safe</w:t>
      </w:r>
      <w:r>
        <w:t xml:space="preserve"> </w:t>
      </w:r>
      <w:r>
        <w:t xml:space="preserve">use and disposal. Furthermore, producers or producers of writing instruments that contain</w:t>
      </w:r>
      <w:r>
        <w:t xml:space="preserve"> </w:t>
      </w:r>
      <w:r>
        <w:t xml:space="preserve">chemicals with more severe hazards might be encouraged to substitute those chemicals due</w:t>
      </w:r>
      <w:r>
        <w:t xml:space="preserve"> </w:t>
      </w:r>
      <w:r>
        <w:t xml:space="preserve">to market pressures. Therefore, overall, a positive impact on environmental protection is</w:t>
      </w:r>
      <w:r>
        <w:t xml:space="preserve"> </w:t>
      </w:r>
      <w:r>
        <w:t xml:space="preserve">expected.</w:t>
      </w:r>
      <w:r>
        <w:t xml:space="preserve"> </w:t>
      </w:r>
      <w:r>
        <w:t xml:space="preserve">Table 108: Environmental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Monetised</w:t>
      </w:r>
      <w:r>
        <w:t xml:space="preserve"> </w:t>
      </w:r>
      <w:r>
        <w:t xml:space="preserve">impacts</w:t>
      </w:r>
      <w:r>
        <w:t xml:space="preserve"> </w:t>
      </w:r>
      <w:r>
        <w:t xml:space="preserve">One off or</w:t>
      </w:r>
      <w:r>
        <w:t xml:space="preserve"> </w:t>
      </w:r>
      <w:r>
        <w:t xml:space="preserve">recurrent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</w:t>
      </w:r>
      <w:r>
        <w:t xml:space="preserve"> </w:t>
      </w:r>
      <w:r>
        <w:t xml:space="preserve">n and</w:t>
      </w:r>
      <w:r>
        <w:t xml:space="preserve"> </w:t>
      </w:r>
      <w:r>
        <w:t xml:space="preserve">production</w:t>
      </w:r>
      <w:r>
        <w:br/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Resource</w:t>
      </w:r>
      <w:r>
        <w:t xml:space="preserve"> </w:t>
      </w:r>
      <w:r>
        <w:t xml:space="preserve">Use</w:t>
      </w:r>
      <w:r>
        <w:t xml:space="preserve"> </w:t>
      </w:r>
      <w:r>
        <w:t xml:space="preserve">(+)</w:t>
      </w:r>
      <w:r>
        <w:t xml:space="preserve"> </w:t>
      </w:r>
      <w:r>
        <w:t xml:space="preserve">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(+)</w:t>
      </w:r>
      <w:r>
        <w:t xml:space="preserve"> </w:t>
      </w:r>
      <w:r>
        <w:t xml:space="preserve">Indirect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  <w:r>
        <w:t xml:space="preserve"> </w:t>
      </w:r>
      <w:r>
        <w:t xml:space="preserve">Waste</w:t>
      </w:r>
      <w:r>
        <w:t xml:space="preserve"> </w:t>
      </w:r>
      <w:r>
        <w:t xml:space="preserve">production,</w:t>
      </w:r>
      <w:r>
        <w:t xml:space="preserve"> </w:t>
      </w:r>
      <w:r>
        <w:t xml:space="preserve">generation</w:t>
      </w:r>
      <w:r>
        <w:t xml:space="preserve"> </w:t>
      </w:r>
      <w:r>
        <w:t xml:space="preserve">and</w:t>
      </w:r>
      <w:r>
        <w:t xml:space="preserve"> </w:t>
      </w:r>
      <w:r>
        <w:t xml:space="preserve">recycling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Packaging</w:t>
      </w:r>
      <w:r>
        <w:t xml:space="preserve"> </w:t>
      </w:r>
      <w:r>
        <w:t xml:space="preserve">and</w:t>
      </w:r>
      <w:r>
        <w:t xml:space="preserve"> </w:t>
      </w:r>
      <w:r>
        <w:t xml:space="preserve">Labelling</w:t>
      </w:r>
      <w:r>
        <w:t xml:space="preserve"> </w:t>
      </w:r>
      <w:r>
        <w:t xml:space="preserve">Waste</w:t>
      </w:r>
      <w:r>
        <w:t xml:space="preserve"> </w:t>
      </w:r>
      <w:r>
        <w:t xml:space="preserve">(+)</w:t>
      </w:r>
      <w:r>
        <w:t xml:space="preserve"> </w:t>
      </w:r>
      <w:r>
        <w:t xml:space="preserve">Direct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A summary of the costs and benefits of exempting labelling of items in very small packaging</w:t>
      </w:r>
      <w:r>
        <w:t xml:space="preserve"> </w:t>
      </w:r>
      <w:r>
        <w:t xml:space="preserve">are presented below:</w:t>
      </w:r>
      <w:r>
        <w:t xml:space="preserve"> </w:t>
      </w:r>
      <w:r>
        <w:t xml:space="preserve">Summary of cost and benefits of policy measure #16 (labelling of very small packaging)</w:t>
      </w:r>
      <w:r>
        <w:t xml:space="preserve"> </w:t>
      </w:r>
      <w:r>
        <w:t xml:space="preserve">Costs - businesses</w:t>
      </w:r>
      <w:r>
        <w:t xml:space="preserve"> </w:t>
      </w:r>
      <w:r>
        <w:t xml:space="preserve">Total one-off costs over a 20-year period</w:t>
      </w:r>
    </w:p>
    <w:p>
      <w:pPr>
        <w:pStyle w:val="BodyText"/>
      </w:pPr>
      <w:r>
        <w:t xml:space="preserve">Recurring costs every 1 year</w:t>
      </w:r>
    </w:p>
    <w:p>
      <w:pPr>
        <w:pStyle w:val="BodyText"/>
      </w:pPr>
      <w:r>
        <w:t xml:space="preserve">Total recurring costs over a 20-year period</w:t>
      </w:r>
    </w:p>
    <w:p>
      <w:pPr>
        <w:pStyle w:val="BodyText"/>
      </w:pPr>
      <w:r>
        <w:t xml:space="preserve">PV of one-off costs (20 years; 3%)</w:t>
      </w:r>
    </w:p>
    <w:p>
      <w:pPr>
        <w:pStyle w:val="BodyText"/>
      </w:pPr>
      <w:r>
        <w:t xml:space="preserve">PV of recurring costs (20 years; 3%)</w:t>
      </w:r>
    </w:p>
    <w:p>
      <w:pPr>
        <w:pStyle w:val="BodyText"/>
      </w:pPr>
      <w:r>
        <w:t xml:space="preserve">Total PV – costs - businesses</w:t>
      </w:r>
    </w:p>
    <w:p>
      <w:pPr>
        <w:pStyle w:val="BodyText"/>
      </w:pPr>
      <w:r>
        <w:t xml:space="preserve">Costs – public authorities</w:t>
      </w:r>
      <w:r>
        <w:t xml:space="preserve"> </w:t>
      </w:r>
      <w:r>
        <w:t xml:space="preserve">Total one-off costs over a 20-year period</w:t>
      </w:r>
    </w:p>
    <w:p>
      <w:pPr>
        <w:pStyle w:val="BodyText"/>
      </w:pPr>
      <w:r>
        <w:t xml:space="preserve">360</w:t>
      </w:r>
      <w:r>
        <w:t xml:space="preserve"> </w:t>
      </w:r>
      <w:r>
        <w:t xml:space="preserve">Recurring costs every 1 year</w:t>
      </w:r>
    </w:p>
    <w:p>
      <w:pPr>
        <w:pStyle w:val="BodyText"/>
      </w:pPr>
      <w:r>
        <w:t xml:space="preserve">Total recurring costs over a 20-year period</w:t>
      </w:r>
    </w:p>
    <w:p>
      <w:pPr>
        <w:pStyle w:val="BodyText"/>
      </w:pPr>
      <w:r>
        <w:t xml:space="preserve">PV of one-off costs (20 years; 3%)</w:t>
      </w:r>
    </w:p>
    <w:p>
      <w:pPr>
        <w:pStyle w:val="BodyText"/>
      </w:pPr>
      <w:r>
        <w:t xml:space="preserve">PV of recurring costs (20 years; 3%)</w:t>
      </w:r>
    </w:p>
    <w:p>
      <w:pPr>
        <w:pStyle w:val="BodyText"/>
      </w:pPr>
      <w:r>
        <w:t xml:space="preserve">PV of recurring costs (20 years; 3%) (annualized)</w:t>
      </w:r>
    </w:p>
    <w:p>
      <w:pPr>
        <w:pStyle w:val="BodyText"/>
      </w:pPr>
      <w:r>
        <w:t xml:space="preserve">Total PV – costs – public authorities</w:t>
      </w:r>
    </w:p>
    <w:p>
      <w:pPr>
        <w:pStyle w:val="BodyText"/>
      </w:pPr>
      <w:r>
        <w:t xml:space="preserve">Total PV cost of policy measure #16 (labelling of very small</w:t>
      </w:r>
      <w:r>
        <w:t xml:space="preserve"> </w:t>
      </w:r>
      <w:r>
        <w:t xml:space="preserve">packaging)</w:t>
      </w:r>
    </w:p>
    <w:p>
      <w:pPr>
        <w:pStyle w:val="BodyText"/>
      </w:pPr>
      <w:r>
        <w:t xml:space="preserve">Benefits (cost savings) - businesses</w:t>
      </w:r>
      <w:r>
        <w:t xml:space="preserve"> </w:t>
      </w:r>
      <w:r>
        <w:t xml:space="preserve">€76,500,000 – €273,000,000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€174,750,000)</w:t>
      </w:r>
      <w:r>
        <w:t xml:space="preserve"> </w:t>
      </w:r>
      <w:r>
        <w:t xml:space="preserve">PV benefits - businesses</w:t>
      </w:r>
      <w:r>
        <w:t xml:space="preserve"> </w:t>
      </w:r>
      <w:r>
        <w:t xml:space="preserve">€102,840,033 –</w:t>
      </w:r>
      <w:r>
        <w:t xml:space="preserve"> </w:t>
      </w:r>
      <w:r>
        <w:t xml:space="preserve">€366,997,763 (mid-estimate:</w:t>
      </w:r>
      <w:r>
        <w:t xml:space="preserve"> </w:t>
      </w:r>
      <w:r>
        <w:t xml:space="preserve">€234,918,898)</w:t>
      </w:r>
      <w:r>
        <w:t xml:space="preserve"> </w:t>
      </w:r>
      <w:r>
        <w:t xml:space="preserve">PV benefits – businesses (annualized)</w:t>
      </w:r>
      <w:r>
        <w:t xml:space="preserve"> </w:t>
      </w:r>
      <w:r>
        <w:t xml:space="preserve">€5,142,002 – €18,349,888</w:t>
      </w:r>
      <w:r>
        <w:t xml:space="preserve"> </w:t>
      </w:r>
      <w:r>
        <w:t xml:space="preserve">(mid-estimate: €11,745,945)</w:t>
      </w:r>
      <w:r>
        <w:t xml:space="preserve"> </w:t>
      </w:r>
      <w:r>
        <w:t xml:space="preserve">Benefits (cost savings) – public authorities</w:t>
      </w:r>
      <w:r>
        <w:t xml:space="preserve"> </w:t>
      </w:r>
      <w:r>
        <w:t xml:space="preserve">€1,083,000</w:t>
      </w:r>
      <w:r>
        <w:t xml:space="preserve"> </w:t>
      </w:r>
      <w:r>
        <w:t xml:space="preserve">PV – benefits – public authorities</w:t>
      </w:r>
      <w:r>
        <w:t xml:space="preserve"> </w:t>
      </w:r>
      <w:r>
        <w:t xml:space="preserve">€1,455,892</w:t>
      </w:r>
      <w:r>
        <w:t xml:space="preserve"> </w:t>
      </w:r>
      <w:r>
        <w:t xml:space="preserve">Benefits - society</w:t>
      </w:r>
    </w:p>
    <w:p>
      <w:pPr>
        <w:pStyle w:val="BodyText"/>
      </w:pPr>
      <w:r>
        <w:t xml:space="preserve">PV - benefits - society</w:t>
      </w:r>
    </w:p>
    <w:p>
      <w:pPr>
        <w:pStyle w:val="BodyText"/>
      </w:pPr>
      <w:r>
        <w:t xml:space="preserve">Total OV - benefits</w:t>
      </w:r>
    </w:p>
    <w:p>
      <w:pPr>
        <w:pStyle w:val="BodyText"/>
      </w:pPr>
      <w:r>
        <w:t xml:space="preserve">Net Present Value - NPV (PV benefits – PV costs)</w:t>
      </w:r>
      <w:r>
        <w:t xml:space="preserve"> </w:t>
      </w:r>
      <w:r>
        <w:t xml:space="preserve">€104,295,925 –</w:t>
      </w:r>
      <w:r>
        <w:t xml:space="preserve"> </w:t>
      </w:r>
      <w:r>
        <w:t xml:space="preserve">€368,453,656 (mid-estimate:</w:t>
      </w:r>
      <w:r>
        <w:t xml:space="preserve"> </w:t>
      </w:r>
      <w:r>
        <w:t xml:space="preserve">€236,374,790)</w:t>
      </w:r>
    </w:p>
    <w:p>
      <w:pPr>
        <w:pStyle w:val="BodyText"/>
      </w:pPr>
      <w:r>
        <w:t xml:space="preserve">A summary of the present value (3% discount) costs and benefits of exempting labelling of</w:t>
      </w:r>
      <w:r>
        <w:t xml:space="preserve"> </w:t>
      </w:r>
      <w:r>
        <w:t xml:space="preserve">items in very small packaging are presented below:</w:t>
      </w:r>
      <w:r>
        <w:t xml:space="preserve"> </w:t>
      </w:r>
      <w:r>
        <w:t xml:space="preserve">Summary of costs and benefits (PV; 20 years; 3%) of policy measure #16 (labelling fuels)</w:t>
      </w:r>
      <w:r>
        <w:t xml:space="preserve"> </w:t>
      </w:r>
      <w:r>
        <w:t xml:space="preserve">by type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361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savings</w:t>
      </w:r>
      <w:r>
        <w:t xml:space="preserve"> </w:t>
      </w:r>
      <w:r>
        <w:t xml:space="preserve">€102,840,033 –</w:t>
      </w:r>
      <w:r>
        <w:t xml:space="preserve"> </w:t>
      </w:r>
      <w:r>
        <w:t xml:space="preserve">€366,997,763 (mid-</w:t>
      </w:r>
      <w:r>
        <w:t xml:space="preserve"> </w:t>
      </w:r>
      <w:r>
        <w:t xml:space="preserve">estimate: €234,918,898</w:t>
      </w:r>
      <w:r>
        <w:t xml:space="preserve"> </w:t>
      </w:r>
      <w:r>
        <w:t xml:space="preserve">€1,455,892</w:t>
      </w:r>
    </w:p>
    <w:p>
      <w:pPr>
        <w:pStyle w:val="BodyText"/>
      </w:pPr>
      <w:r>
        <w:t xml:space="preserve">STAKEHOLDERS VIEWS ON POLICY OPTION 2</w:t>
      </w:r>
      <w:r>
        <w:t xml:space="preserve"> </w:t>
      </w:r>
      <w:r>
        <w:t xml:space="preserve">With regard the policy options 2 related to hazard communication, the respondents to the</w:t>
      </w:r>
      <w:r>
        <w:t xml:space="preserve"> </w:t>
      </w:r>
      <w:r>
        <w:t xml:space="preserve">open public consultation generally welcomed the consideration to allow a broader use of</w:t>
      </w:r>
      <w:r>
        <w:t xml:space="preserve"> </w:t>
      </w:r>
      <w:r>
        <w:t xml:space="preserve">multilingual fold-out labels and introduce tailored labelling rules where there is insufficient</w:t>
      </w:r>
      <w:r>
        <w:t xml:space="preserve"> </w:t>
      </w:r>
      <w:r>
        <w:t xml:space="preserve">space on the packaging. The open public consultation, targeted stakeholder surveys and</w:t>
      </w:r>
      <w:r>
        <w:t xml:space="preserve"> </w:t>
      </w:r>
      <w:r>
        <w:t xml:space="preserve">interview respondents emphasised the importance of proper arrangement of content on</w:t>
      </w:r>
      <w:r>
        <w:t xml:space="preserve"> </w:t>
      </w:r>
      <w:r>
        <w:t xml:space="preserve">labels – effectively using small packaging space by prioritising visual information, reducing</w:t>
      </w:r>
      <w:r>
        <w:t xml:space="preserve"> </w:t>
      </w:r>
      <w:r>
        <w:t xml:space="preserve">the volume of information on the label, etc.</w:t>
      </w:r>
      <w:r>
        <w:t xml:space="preserve"> </w:t>
      </w:r>
      <w:r>
        <w:t xml:space="preserve">Furthermore, targeted stakeholder surveys and interview respondents emphasised the</w:t>
      </w:r>
      <w:r>
        <w:t xml:space="preserve"> </w:t>
      </w:r>
      <w:r>
        <w:t xml:space="preserve">importance of proper CLP labelling of refill chemicals to ensure that customers get all safety</w:t>
      </w:r>
      <w:r>
        <w:t xml:space="preserve"> </w:t>
      </w:r>
      <w:r>
        <w:t xml:space="preserve">information. Similar concerns were raised in the discussion during CARACAL meeting and</w:t>
      </w:r>
      <w:r>
        <w:t xml:space="preserve"> </w:t>
      </w:r>
      <w:r>
        <w:t xml:space="preserve">in the written feedback.</w:t>
      </w:r>
    </w:p>
    <w:p>
      <w:pPr>
        <w:pStyle w:val="BodyText"/>
      </w:pPr>
      <w:r>
        <w:t xml:space="preserve">STAKEHOLDERS</w:t>
      </w:r>
      <w:r>
        <w:t xml:space="preserve"> </w:t>
      </w:r>
      <w:r>
        <w:t xml:space="preserve">VIEWS</w:t>
      </w:r>
      <w:r>
        <w:t xml:space="preserve"> </w:t>
      </w:r>
      <w:r>
        <w:t xml:space="preserve">ON</w:t>
      </w:r>
      <w:r>
        <w:t xml:space="preserve"> </w:t>
      </w:r>
      <w:r>
        <w:t xml:space="preserve">SPECIFIC</w:t>
      </w:r>
      <w:r>
        <w:t xml:space="preserve"> </w:t>
      </w:r>
      <w:r>
        <w:t xml:space="preserve">PRODUCTS: CLP</w:t>
      </w:r>
      <w:r>
        <w:t xml:space="preserve"> </w:t>
      </w:r>
      <w:r>
        <w:t xml:space="preserve">LABELLING</w:t>
      </w:r>
      <w:r>
        <w:t xml:space="preserve"> </w:t>
      </w:r>
      <w:r>
        <w:t xml:space="preserve">OF</w:t>
      </w:r>
      <w:r>
        <w:t xml:space="preserve"> </w:t>
      </w:r>
      <w:r>
        <w:t xml:space="preserve">AMMUNITION</w:t>
      </w:r>
      <w:r>
        <w:t xml:space="preserve"> </w:t>
      </w:r>
      <w:r>
        <w:t xml:space="preserve">Under the public consultation, the defence industry sector provided a position paper related</w:t>
      </w:r>
      <w:r>
        <w:t xml:space="preserve"> </w:t>
      </w:r>
      <w:r>
        <w:t xml:space="preserve">to CLP labelling of ammunition and requested to:</w:t>
      </w:r>
      <w:r>
        <w:br/>
      </w:r>
      <w:r>
        <w:t xml:space="preserve"> Have a general exemption to place UFI code(s) on ammunition since there would be</w:t>
      </w:r>
      <w:r>
        <w:t xml:space="preserve"> </w:t>
      </w:r>
      <w:r>
        <w:t xml:space="preserve">no added value in terms of providing emergency health response;</w:t>
      </w:r>
      <w:r>
        <w:br/>
      </w:r>
      <w:r>
        <w:t xml:space="preserve"> Adjust the labelling requirements for ammunition in order not to label the immediate</w:t>
      </w:r>
      <w:r>
        <w:t xml:space="preserve"> </w:t>
      </w:r>
      <w:r>
        <w:t xml:space="preserve">packaging layer containing it, but the outer one, to ensure good functioning and</w:t>
      </w:r>
      <w:r>
        <w:t xml:space="preserve"> </w:t>
      </w:r>
      <w:r>
        <w:t xml:space="preserve">security;</w:t>
      </w:r>
      <w:r>
        <w:br/>
      </w:r>
      <w:r>
        <w:t xml:space="preserve"> Provide for a CLP labelling exemption in deployment scenarios of camouflage</w:t>
      </w:r>
      <w:r>
        <w:t xml:space="preserve"> </w:t>
      </w:r>
      <w:r>
        <w:t xml:space="preserve">needs;</w:t>
      </w:r>
      <w:r>
        <w:t xml:space="preserve"> </w:t>
      </w:r>
      <w:r>
        <w:t xml:space="preserve"> Better regulate the SDS requirements applying to articles by proposing a specific</w:t>
      </w:r>
      <w:r>
        <w:t xml:space="preserve"> </w:t>
      </w:r>
      <w:r>
        <w:t xml:space="preserve">format.</w:t>
      </w:r>
      <w:r>
        <w:br/>
      </w:r>
      <w:r>
        <w:t xml:space="preserve">The Commission did not assess the specific impacts of this request since it wanted to keep</w:t>
      </w:r>
      <w:r>
        <w:t xml:space="preserve"> </w:t>
      </w:r>
      <w:r>
        <w:t xml:space="preserve">policy options at a general basis – and not sector limited – as well as due to time constraints.</w:t>
      </w:r>
      <w:r>
        <w:br/>
      </w:r>
      <w:r>
        <w:t xml:space="preserve">Moreover, the Commission understands that this request is very sector specific and does not</w:t>
      </w:r>
      <w:r>
        <w:t xml:space="preserve"> </w:t>
      </w:r>
      <w:r>
        <w:t xml:space="preserve">have impacts on the overall CLP labelling system.</w:t>
      </w:r>
    </w:p>
    <w:p>
      <w:pPr>
        <w:pStyle w:val="BodyText"/>
      </w:pPr>
      <w:r>
        <w:t xml:space="preserve">MONITORING</w:t>
      </w:r>
      <w:r>
        <w:br/>
      </w:r>
      <w:r>
        <w:t xml:space="preserve">For some specific objectives of the revision of the CLP Regulation, a number of additional</w:t>
      </w:r>
      <w:r>
        <w:t xml:space="preserve"> </w:t>
      </w:r>
      <w:r>
        <w:t xml:space="preserve">streams will also be important:</w:t>
      </w:r>
    </w:p>
    <w:p>
      <w:pPr>
        <w:pStyle w:val="BodyText"/>
      </w:pPr>
      <w:r>
        <w:t xml:space="preserve">362</w:t>
      </w:r>
      <w:r>
        <w:t xml:space="preserve"> </w:t>
      </w:r>
      <w:r>
        <w:t xml:space="preserve">EU barometer surveys: these surveys provide very useful information on how well informed</w:t>
      </w:r>
      <w:r>
        <w:t xml:space="preserve"> </w:t>
      </w:r>
      <w:r>
        <w:t xml:space="preserve">citizens/consumers feel about the dangers and safety of chemicals and on their level of</w:t>
      </w:r>
      <w:r>
        <w:t xml:space="preserve"> </w:t>
      </w:r>
      <w:r>
        <w:t xml:space="preserve">understanding of labelling. As the last EU barometer survey found that about 55% of the</w:t>
      </w:r>
      <w:r>
        <w:t xml:space="preserve"> </w:t>
      </w:r>
      <w:r>
        <w:t xml:space="preserve">interviewers felt not well informed, it is proposed that after 5 years from the entry into force</w:t>
      </w:r>
      <w:r>
        <w:t xml:space="preserve"> </w:t>
      </w:r>
      <w:r>
        <w:t xml:space="preserve">of the new measures a new survey includes corresponding questions to assess progress.</w:t>
      </w:r>
      <w:r>
        <w:br/>
      </w:r>
      <w:r>
        <w:t xml:space="preserve">EU enforcement projects: the level of compliance with CLP rules is regularly monitored by</w:t>
      </w:r>
      <w:r>
        <w:t xml:space="preserve"> </w:t>
      </w:r>
      <w:r>
        <w:t xml:space="preserve">the Forum for Exchange of Information on Enforcement (the Forum), a network of</w:t>
      </w:r>
      <w:r>
        <w:t xml:space="preserve"> </w:t>
      </w:r>
      <w:r>
        <w:t xml:space="preserve">authorities responsible for the enforcement of the REACH, CLP, PIC, POP and Biocidal</w:t>
      </w:r>
      <w:r>
        <w:t xml:space="preserve"> </w:t>
      </w:r>
      <w:r>
        <w:t xml:space="preserve">Product regulations. The Forum has been driving in the past years a number of EU wide</w:t>
      </w:r>
      <w:r>
        <w:t xml:space="preserve"> </w:t>
      </w:r>
      <w:r>
        <w:t xml:space="preserve">enforcement studies (led by the European Chemical Agency), which have been instrumental</w:t>
      </w:r>
      <w:r>
        <w:t xml:space="preserve"> </w:t>
      </w:r>
      <w:r>
        <w:t xml:space="preserve">to identify the level of non-compliance with the CLP Regulation across Member States.</w:t>
      </w:r>
      <w:r>
        <w:t xml:space="preserve"> </w:t>
      </w:r>
      <w:r>
        <w:t xml:space="preserve">Those studies were also widely used for the evidence collected for this impact assessment,</w:t>
      </w:r>
      <w:r>
        <w:t xml:space="preserve"> </w:t>
      </w:r>
      <w:r>
        <w:t xml:space="preserve">in particular to identify the communication gaps on labelling and the implementation gaps</w:t>
      </w:r>
      <w:r>
        <w:t xml:space="preserve"> </w:t>
      </w:r>
      <w:r>
        <w:t xml:space="preserve">for online sales and imported articles. As the Chemicals Strategy for Sustainability also</w:t>
      </w:r>
      <w:r>
        <w:t xml:space="preserve"> </w:t>
      </w:r>
      <w:r>
        <w:t xml:space="preserve">prioritises those areas for further action by Member States and the Forum, monitoring</w:t>
      </w:r>
      <w:r>
        <w:t xml:space="preserve"> </w:t>
      </w:r>
      <w:r>
        <w:t xml:space="preserve">progress on those areas through targeted Forum’s activities should take place. Those data</w:t>
      </w:r>
      <w:r>
        <w:t xml:space="preserve"> </w:t>
      </w:r>
      <w:r>
        <w:t xml:space="preserve">will also feed the overall enforcement and compliance indicators that are currently under</w:t>
      </w:r>
      <w:r>
        <w:t xml:space="preserve"> </w:t>
      </w:r>
      <w:r>
        <w:t xml:space="preserve">development as part of the future framework of indicators on chemicals.</w:t>
      </w:r>
    </w:p>
    <w:p>
      <w:pPr>
        <w:pStyle w:val="BodyText"/>
      </w:pPr>
      <w:r>
        <w:t xml:space="preserve">PRACTICAL IMPLICATIONS OF THE OPTION OR SUB-OPTION</w:t>
      </w:r>
      <w:r>
        <w:br/>
      </w:r>
      <w:r>
        <w:t xml:space="preserve">Summary of costs and benefits</w:t>
      </w:r>
      <w:r>
        <w:t xml:space="preserve"> </w:t>
      </w:r>
      <w:r>
        <w:t xml:space="preserve">Table 109: Comparison of measures for hazard communication.</w:t>
      </w:r>
      <w:r>
        <w:t xml:space="preserve"> </w:t>
      </w:r>
      <w:r>
        <w:t xml:space="preserve">Options</w:t>
      </w:r>
      <w:r>
        <w:br/>
      </w:r>
      <w:r>
        <w:t xml:space="preserve">Effectiveness</w:t>
      </w:r>
      <w:r>
        <w:br/>
      </w:r>
      <w:r>
        <w:t xml:space="preserve">Key impacts</w:t>
      </w:r>
      <w:r>
        <w:br/>
      </w:r>
      <w:r>
        <w:t xml:space="preserve">Benefit/cost</w:t>
      </w:r>
      <w:r>
        <w:t xml:space="preserve"> </w:t>
      </w:r>
      <w:r>
        <w:t xml:space="preserve">ratio</w:t>
      </w:r>
      <w:r>
        <w:br/>
      </w:r>
      <w:r>
        <w:t xml:space="preserve">Efficiency Coherance</w:t>
      </w:r>
      <w:r>
        <w:br/>
      </w:r>
      <w:r>
        <w:t xml:space="preserve">Economic</w:t>
      </w:r>
      <w:r>
        <w:br/>
      </w:r>
      <w:r>
        <w:t xml:space="preserve">Social</w:t>
      </w:r>
      <w:r>
        <w:br/>
      </w:r>
      <w:r>
        <w:t xml:space="preserve">Environmental</w:t>
      </w:r>
      <w:r>
        <w:br/>
      </w:r>
      <w:r>
        <w:t xml:space="preserve">PO2a</w:t>
      </w:r>
      <w:r>
        <w:t xml:space="preserve"> </w:t>
      </w:r>
      <w:r>
        <w:t xml:space="preserve">Update/prepare</w:t>
      </w:r>
      <w:r>
        <w:t xml:space="preserve"> </w:t>
      </w:r>
      <w:r>
        <w:t xml:space="preserve">guidance</w:t>
      </w:r>
      <w:r>
        <w:br/>
      </w:r>
      <w:r>
        <w:t xml:space="preserve">Limited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clarifications</w:t>
      </w:r>
      <w:r>
        <w:br/>
      </w:r>
      <w:r>
        <w:t xml:space="preserve">Minimal</w:t>
      </w:r>
      <w:r>
        <w:t xml:space="preserve"> </w:t>
      </w:r>
      <w:r>
        <w:t xml:space="preserve">positive</w:t>
      </w:r>
      <w:r>
        <w:br/>
      </w:r>
      <w:r>
        <w:t xml:space="preserve">Minimal</w:t>
      </w:r>
      <w:r>
        <w:t xml:space="preserve"> </w:t>
      </w:r>
      <w:r>
        <w:t xml:space="preserve">positive</w:t>
      </w:r>
      <w:r>
        <w:br/>
      </w:r>
      <w:r>
        <w:t xml:space="preserve">Minimal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Very</w:t>
      </w:r>
      <w:r>
        <w:t xml:space="preserve"> </w:t>
      </w:r>
      <w:r>
        <w:t xml:space="preserve">limited</w:t>
      </w:r>
      <w:r>
        <w:t xml:space="preserve"> </w:t>
      </w:r>
      <w:r>
        <w:t xml:space="preserve">benefits with very</w:t>
      </w:r>
      <w:r>
        <w:t xml:space="preserve"> </w:t>
      </w:r>
      <w:r>
        <w:t xml:space="preserve">limited costs</w:t>
      </w:r>
      <w:r>
        <w:br/>
      </w:r>
      <w:r>
        <w:t xml:space="preserve">Low</w:t>
      </w:r>
      <w:r>
        <w:br/>
      </w:r>
      <w:r>
        <w:t xml:space="preserve">Not relevant</w:t>
      </w:r>
      <w:r>
        <w:t xml:space="preserve"> </w:t>
      </w:r>
      <w:r>
        <w:t xml:space="preserve">PO2b</w:t>
      </w:r>
      <w:r>
        <w:t xml:space="preserve"> </w:t>
      </w:r>
      <w:r>
        <w:t xml:space="preserve">Improving and</w:t>
      </w:r>
      <w:r>
        <w:t xml:space="preserve"> </w:t>
      </w:r>
      <w:r>
        <w:t xml:space="preserve">making</w:t>
      </w:r>
      <w:r>
        <w:t xml:space="preserve"> </w:t>
      </w:r>
      <w:r>
        <w:t xml:space="preserve">more</w:t>
      </w:r>
      <w:r>
        <w:t xml:space="preserve"> </w:t>
      </w:r>
      <w:r>
        <w:t xml:space="preserve">flexible existing</w:t>
      </w:r>
      <w:r>
        <w:t xml:space="preserve"> </w:t>
      </w:r>
      <w:r>
        <w:t xml:space="preserve">labels</w:t>
      </w:r>
      <w:r>
        <w:br/>
      </w:r>
      <w:r>
        <w:t xml:space="preserve">High</w:t>
      </w:r>
      <w:r>
        <w:t xml:space="preserve"> </w:t>
      </w:r>
      <w:r>
        <w:t xml:space="preserve">–</w:t>
      </w:r>
      <w:r>
        <w:t xml:space="preserve"> </w:t>
      </w:r>
      <w:r>
        <w:t xml:space="preserve">in</w:t>
      </w:r>
      <w:r>
        <w:t xml:space="preserve"> </w:t>
      </w:r>
      <w:r>
        <w:t xml:space="preserve">tackling absence</w:t>
      </w:r>
      <w:r>
        <w:t xml:space="preserve"> </w:t>
      </w:r>
      <w:r>
        <w:t xml:space="preserve">of</w:t>
      </w:r>
      <w:r>
        <w:t xml:space="preserve"> </w:t>
      </w:r>
      <w:r>
        <w:t xml:space="preserve">labels</w:t>
      </w:r>
      <w:r>
        <w:t xml:space="preserve"> </w:t>
      </w:r>
      <w:r>
        <w:t xml:space="preserve">and</w:t>
      </w:r>
      <w:r>
        <w:t xml:space="preserve"> </w:t>
      </w:r>
      <w:r>
        <w:t xml:space="preserve">improved hazard</w:t>
      </w:r>
      <w:r>
        <w:t xml:space="preserve"> </w:t>
      </w:r>
      <w:r>
        <w:t xml:space="preserve">communication</w:t>
      </w:r>
      <w:r>
        <w:br/>
      </w:r>
      <w:r>
        <w:t xml:space="preserve">Negative costs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€0.34-0.6</w:t>
      </w:r>
      <w:r>
        <w:t xml:space="preserve"> </w:t>
      </w:r>
      <w:r>
        <w:t xml:space="preserve">million</w:t>
      </w:r>
      <w:r>
        <w:br/>
      </w:r>
      <w:r>
        <w:t xml:space="preserve">Negative</w:t>
      </w:r>
      <w:r>
        <w:t xml:space="preserve"> </w:t>
      </w:r>
      <w:r>
        <w:t xml:space="preserve">impacts for font</w:t>
      </w:r>
      <w:r>
        <w:t xml:space="preserve"> </w:t>
      </w:r>
      <w:r>
        <w:t xml:space="preserve">size</w:t>
      </w:r>
      <w:r>
        <w:t xml:space="preserve"> </w:t>
      </w:r>
      <w:r>
        <w:t xml:space="preserve">(undetermined)</w:t>
      </w:r>
      <w:r>
        <w:br/>
      </w:r>
      <w:r>
        <w:t xml:space="preserve">Highly</w:t>
      </w:r>
      <w:r>
        <w:t xml:space="preserve"> </w:t>
      </w:r>
      <w:r>
        <w:t xml:space="preserve">positive</w:t>
      </w:r>
      <w:r>
        <w:t xml:space="preserve"> </w:t>
      </w:r>
      <w:r>
        <w:t xml:space="preserve">(increased</w:t>
      </w:r>
      <w:r>
        <w:t xml:space="preserve"> </w:t>
      </w:r>
      <w:r>
        <w:t xml:space="preserve">safety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users)</w:t>
      </w:r>
      <w:r>
        <w:br/>
      </w:r>
      <w:r>
        <w:t xml:space="preserve">Slightly</w:t>
      </w:r>
      <w:r>
        <w:t xml:space="preserve"> </w:t>
      </w:r>
      <w:r>
        <w:t xml:space="preserve">positive (more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users)</w:t>
      </w:r>
      <w:r>
        <w:br/>
      </w:r>
      <w:r>
        <w:t xml:space="preserve">Positive</w:t>
      </w:r>
      <w:r>
        <w:br/>
      </w:r>
      <w:r>
        <w:t xml:space="preserve">High</w:t>
      </w:r>
      <w:r>
        <w:br/>
      </w:r>
      <w:r>
        <w:t xml:space="preserve">Not relevant</w:t>
      </w:r>
    </w:p>
    <w:p>
      <w:pPr>
        <w:pStyle w:val="BodyText"/>
      </w:pPr>
      <w:r>
        <w:t xml:space="preserve">363</w:t>
      </w:r>
      <w:r>
        <w:t xml:space="preserve"> </w:t>
      </w:r>
      <w:r>
        <w:t xml:space="preserve">Annex 13 – Digital labelling</w:t>
      </w:r>
    </w:p>
    <w:p>
      <w:pPr>
        <w:pStyle w:val="BodyText"/>
      </w:pPr>
      <w:r>
        <w:t xml:space="preserve">INTRODUCTION &amp; CONTEXT</w:t>
      </w:r>
      <w:r>
        <w:br/>
      </w:r>
      <w:r>
        <w:t xml:space="preserve">On top of the detailed section on labelling (Annex 12), this Annex focusses specifically on</w:t>
      </w:r>
      <w:r>
        <w:t xml:space="preserve"> </w:t>
      </w:r>
      <w:r>
        <w:t xml:space="preserve">a new area of amendment to the CLP Regulation, which looks at possibilities of providing</w:t>
      </w:r>
      <w:r>
        <w:t xml:space="preserve"> </w:t>
      </w:r>
      <w:r>
        <w:t xml:space="preserve">certain labelling elements digitally. As this area of labelling intervention was supported by</w:t>
      </w:r>
      <w:r>
        <w:t xml:space="preserve"> </w:t>
      </w:r>
      <w:r>
        <w:t xml:space="preserve">a comprehensive and separate Impact Assessment supporting study, it is presented in a</w:t>
      </w:r>
      <w:r>
        <w:t xml:space="preserve"> </w:t>
      </w:r>
      <w:r>
        <w:t xml:space="preserve">stand-alone Annex.</w:t>
      </w:r>
      <w:r>
        <w:t xml:space="preserve"> </w:t>
      </w:r>
      <w:r>
        <w:t xml:space="preserve">Context</w:t>
      </w:r>
      <w:r>
        <w:t xml:space="preserve"> </w:t>
      </w:r>
      <w:r>
        <w:t xml:space="preserve">During the course of 2019, the European Commission published the Fitness Check of the</w:t>
      </w:r>
      <w:r>
        <w:t xml:space="preserve"> </w:t>
      </w:r>
      <w:r>
        <w:t xml:space="preserve">most relevant chemicals legislation265 (excluding REACH, hereafter ‘the Fitness Check’).</w:t>
      </w:r>
      <w:r>
        <w:t xml:space="preserve"> </w:t>
      </w:r>
      <w:r>
        <w:t xml:space="preserve">This evaluation provides a comprehensive assessment regarding the performance of the EU</w:t>
      </w:r>
      <w:r>
        <w:t xml:space="preserve"> </w:t>
      </w:r>
      <w:r>
        <w:t xml:space="preserve">chemicals legislation in light of its objectives of protecting human health and the</w:t>
      </w:r>
      <w:r>
        <w:t xml:space="preserve"> </w:t>
      </w:r>
      <w:r>
        <w:t xml:space="preserve">environment, ensuring the efficient functioning of the single market and enhancing</w:t>
      </w:r>
      <w:r>
        <w:t xml:space="preserve"> </w:t>
      </w:r>
      <w:r>
        <w:t xml:space="preserve">competitiveness and innovation. While concluding that legislation is overall fit for purpose,</w:t>
      </w:r>
      <w:r>
        <w:t xml:space="preserve"> </w:t>
      </w:r>
      <w:r>
        <w:t xml:space="preserve">it also pointed to several issues with current labelling requirements and hazard</w:t>
      </w:r>
      <w:r>
        <w:t xml:space="preserve"> </w:t>
      </w:r>
      <w:r>
        <w:t xml:space="preserve">communication measures. Certain findings (among others) showed that:</w:t>
      </w:r>
      <w:r>
        <w:br/>
      </w:r>
      <w:r>
        <w:t xml:space="preserve">1. there is room for simplification in the communication of hazard and safety</w:t>
      </w:r>
      <w:r>
        <w:t xml:space="preserve"> </w:t>
      </w:r>
      <w:r>
        <w:t xml:space="preserve">information to consumers and for improvement in terms of its effectiveness and</w:t>
      </w:r>
      <w:r>
        <w:t xml:space="preserve"> </w:t>
      </w:r>
      <w:r>
        <w:t xml:space="preserve">efficiency; and</w:t>
      </w:r>
      <w:r>
        <w:t xml:space="preserve"> </w:t>
      </w:r>
      <w:r>
        <w:t xml:space="preserve">2. the use of innovative digital tools for the communication of such information is</w:t>
      </w:r>
      <w:r>
        <w:t xml:space="preserve"> </w:t>
      </w:r>
      <w:r>
        <w:t xml:space="preserve">currently suboptimal.</w:t>
      </w:r>
      <w:r>
        <w:br/>
      </w:r>
      <w:r>
        <w:t xml:space="preserve">3. there are some regulatory overlaps, which lead to confusing and overloaded labels.</w:t>
      </w:r>
      <w:r>
        <w:t xml:space="preserve"> </w:t>
      </w:r>
      <w:r>
        <w:t xml:space="preserve">Digital labelling under the CLP Regulation was investigated in the broader context of the</w:t>
      </w:r>
      <w:r>
        <w:t xml:space="preserve"> </w:t>
      </w:r>
      <w:r>
        <w:t xml:space="preserve">European Green Deal266, the European Union’s strategy to set up a sustainable climate</w:t>
      </w:r>
      <w:r>
        <w:t xml:space="preserve"> </w:t>
      </w:r>
      <w:r>
        <w:t xml:space="preserve">neutral and circular economy by 2050 and the EU industrial strategy267 for a competitive,</w:t>
      </w:r>
      <w:r>
        <w:t xml:space="preserve"> </w:t>
      </w:r>
      <w:r>
        <w:t xml:space="preserve">green and digital Europe which published on 10 March 2020 to address the twin challenge</w:t>
      </w:r>
      <w:r>
        <w:t xml:space="preserve"> </w:t>
      </w:r>
      <w:r>
        <w:t xml:space="preserve">of the green and the digital transformation. Further, this initiative aims to contribute to the</w:t>
      </w:r>
      <w:r>
        <w:t xml:space="preserve"> </w:t>
      </w:r>
      <w:r>
        <w:t xml:space="preserve">high level European Commission priority (2019-2024) of a ‘Europe fit for the digital age’,</w:t>
      </w:r>
      <w:r>
        <w:t xml:space="preserve"> </w:t>
      </w:r>
      <w:r>
        <w:t xml:space="preserve">as the Commission is determined to make this Europe’s “Digital Decade”. As a priority,</w:t>
      </w:r>
    </w:p>
    <w:p>
      <w:pPr>
        <w:pStyle w:val="BodyText"/>
      </w:pPr>
      <w:r>
        <w:t xml:space="preserve">265 REPORT FROM THE COMMISSION TO THE EUROPEAN PARLIAMENT, THE COUNCIL, THE</w:t>
      </w:r>
      <w:r>
        <w:t xml:space="preserve"> </w:t>
      </w:r>
      <w:r>
        <w:t xml:space="preserve">EUROPEAN ECONOMIC AND SOCIAL COMMITTEE AND THE COMMITTEE OF THE REGIONS</w:t>
      </w:r>
      <w:r>
        <w:t xml:space="preserve"> </w:t>
      </w:r>
      <w:r>
        <w:t xml:space="preserve">Findings of the Fitness Check of the most relevant chemicals legislation (excluding REACH) and identified</w:t>
      </w:r>
      <w:r>
        <w:t xml:space="preserve"> </w:t>
      </w:r>
      <w:r>
        <w:t xml:space="preserve">challenges,</w:t>
      </w:r>
      <w:r>
        <w:t xml:space="preserve"> </w:t>
      </w:r>
      <w:r>
        <w:t xml:space="preserve">gaps</w:t>
      </w:r>
      <w:r>
        <w:t xml:space="preserve"> </w:t>
      </w:r>
      <w:r>
        <w:t xml:space="preserve">and</w:t>
      </w:r>
      <w:r>
        <w:t xml:space="preserve"> </w:t>
      </w:r>
      <w:r>
        <w:t xml:space="preserve">weaknesses</w:t>
      </w:r>
      <w:r>
        <w:t xml:space="preserve"> </w:t>
      </w:r>
      <w:r>
        <w:t xml:space="preserve">(COM/2019/264</w:t>
      </w:r>
      <w:r>
        <w:t xml:space="preserve"> </w:t>
      </w:r>
      <w:r>
        <w:t xml:space="preserve">final):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content/EN/TXT/?qid=1561530857605&amp;uri=COM:2019:264:FIN</w:t>
      </w:r>
      <w:r>
        <w:t xml:space="preserve"> </w:t>
      </w:r>
      <w:r>
        <w:t xml:space="preserve">266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2019,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Green</w:t>
      </w:r>
      <w:r>
        <w:t xml:space="preserve"> </w:t>
      </w:r>
      <w:r>
        <w:t xml:space="preserve">Deal.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lex.europa.eu/resource.html?uri=cellar:b828d165-1c22-11ea-8c1f-</w:t>
      </w:r>
      <w:r>
        <w:t xml:space="preserve"> </w:t>
      </w:r>
      <w:r>
        <w:t xml:space="preserve">01aa75ed71a1.0002.02/DOC_1&amp;format=PDF.</w:t>
      </w:r>
      <w:r>
        <w:t xml:space="preserve"> </w:t>
      </w:r>
      <w:r>
        <w:t xml:space="preserve">267 European Commission, 2020, A New Industrial Strategy for Europe. Available at: https://eur-</w:t>
      </w:r>
      <w:r>
        <w:t xml:space="preserve"> </w:t>
      </w:r>
      <w:r>
        <w:t xml:space="preserve">lex.europa.eu/legal-content/EN/TXT/?uri=CELEX%3A52020DC0102</w:t>
      </w:r>
    </w:p>
    <w:p>
      <w:pPr>
        <w:pStyle w:val="BodyText"/>
      </w:pPr>
      <w:r>
        <w:t xml:space="preserve">364</w:t>
      </w:r>
      <w:r>
        <w:t xml:space="preserve"> </w:t>
      </w:r>
      <w:r>
        <w:t xml:space="preserve">Europe is strengthening its digital sovereignty and setting standards with a focus on data,</w:t>
      </w:r>
      <w:r>
        <w:t xml:space="preserve"> </w:t>
      </w:r>
      <w:r>
        <w:t xml:space="preserve">technology, and infrastructure.</w:t>
      </w:r>
      <w:r>
        <w:t xml:space="preserve"> </w:t>
      </w:r>
      <w:r>
        <w:t xml:space="preserve">Further, in the context of the European Green Deal, the European Union’s strategy to set up</w:t>
      </w:r>
      <w:r>
        <w:t xml:space="preserve"> </w:t>
      </w:r>
      <w:r>
        <w:t xml:space="preserve">a sustainable climate neutral and circular economy by 2050, the EU industrial strategy for</w:t>
      </w:r>
      <w:r>
        <w:t xml:space="preserve"> </w:t>
      </w:r>
      <w:r>
        <w:t xml:space="preserve">a competitive, green and digital Europe was published on 10 March 2020 to address the</w:t>
      </w:r>
      <w:r>
        <w:t xml:space="preserve"> </w:t>
      </w:r>
      <w:r>
        <w:t xml:space="preserve">twin challenge of the green and the digital transformation. Also in the context of the</w:t>
      </w:r>
      <w:r>
        <w:t xml:space="preserve"> </w:t>
      </w:r>
      <w:r>
        <w:t xml:space="preserve">European Green Deal, the Chemicals Strategy on Sustainability was published on 14</w:t>
      </w:r>
      <w:r>
        <w:t xml:space="preserve"> </w:t>
      </w:r>
      <w:r>
        <w:t xml:space="preserve">October 2020 and it sets objectives to ensure a better protection of human health and the</w:t>
      </w:r>
      <w:r>
        <w:t xml:space="preserve"> </w:t>
      </w:r>
      <w:r>
        <w:t xml:space="preserve">environment from hazardous chemicals, as well as to boost innovation for safe and</w:t>
      </w:r>
      <w:r>
        <w:t xml:space="preserve"> </w:t>
      </w:r>
      <w:r>
        <w:t xml:space="preserve">sustainable chemicals, and to enable a transition to chemicals that are safe and sustainable</w:t>
      </w:r>
      <w:r>
        <w:t xml:space="preserve"> </w:t>
      </w:r>
      <w:r>
        <w:t xml:space="preserve">by design. In order to further achieve the goals of the European Green Deal, the Circular</w:t>
      </w:r>
      <w:r>
        <w:t xml:space="preserve"> </w:t>
      </w:r>
      <w:r>
        <w:t xml:space="preserve">Economy package and the proposal for a Regulation on Eco-design for Sustainable Products</w:t>
      </w:r>
      <w:r>
        <w:t xml:space="preserve"> </w:t>
      </w:r>
      <w:r>
        <w:t xml:space="preserve">was adopted on 30 March 2022268. The proposal establishes a Digital Product Passport</w:t>
      </w:r>
      <w:r>
        <w:t xml:space="preserve"> </w:t>
      </w:r>
      <w:r>
        <w:t xml:space="preserve">(DPP) which will hold information on all regulated products and their value chains. The</w:t>
      </w:r>
      <w:r>
        <w:t xml:space="preserve"> </w:t>
      </w:r>
      <w:r>
        <w:t xml:space="preserve">objective of the DPP is to support sustainable production, to enable the transition to circular</w:t>
      </w:r>
      <w:r>
        <w:t xml:space="preserve"> </w:t>
      </w:r>
      <w:r>
        <w:t xml:space="preserve">economy, to provide new business opportunities to economic actors, to support consumers</w:t>
      </w:r>
      <w:r>
        <w:t xml:space="preserve"> </w:t>
      </w:r>
      <w:r>
        <w:t xml:space="preserve">in making sustainable choices and to allow authorities to verify compliance with legal</w:t>
      </w:r>
      <w:r>
        <w:t xml:space="preserve"> </w:t>
      </w:r>
      <w:r>
        <w:t xml:space="preserve">obligations. This initiative is particularly relevant for digital labelling under CLP, because</w:t>
      </w:r>
      <w:r>
        <w:t xml:space="preserve"> </w:t>
      </w:r>
      <w:r>
        <w:t xml:space="preserve">it foresees the mandatory adoption of digital ways of communicating information about</w:t>
      </w:r>
      <w:r>
        <w:t xml:space="preserve"> </w:t>
      </w:r>
      <w:r>
        <w:t xml:space="preserve">products, including those covered by CLP.</w:t>
      </w:r>
      <w:r>
        <w:br/>
      </w:r>
      <w:r>
        <w:t xml:space="preserve">The safe and sustainable use of chemicals within the Sustainable Development Goals</w:t>
      </w:r>
      <w:r>
        <w:t xml:space="preserve"> </w:t>
      </w:r>
      <w:r>
        <w:t xml:space="preserve">Improving the regulatory framework of chemicals to better protect human health and the</w:t>
      </w:r>
      <w:r>
        <w:t xml:space="preserve"> </w:t>
      </w:r>
      <w:r>
        <w:t xml:space="preserve">environment is also in line with larger economic, societal and environmental challenges and</w:t>
      </w:r>
      <w:r>
        <w:t xml:space="preserve"> </w:t>
      </w:r>
      <w:r>
        <w:t xml:space="preserve">objectives, such as the United Nations’ 2030 Agenda for Sustainable Development which</w:t>
      </w:r>
      <w:r>
        <w:t xml:space="preserve"> </w:t>
      </w:r>
      <w:r>
        <w:t xml:space="preserve">defines the Sustainable Development Goals (SDGs).</w:t>
      </w:r>
      <w:r>
        <w:br/>
      </w:r>
      <w:r>
        <w:t xml:space="preserve">Firstly, protecting consumer health as set out in the European Union’s Chemical Strategy</w:t>
      </w:r>
      <w:r>
        <w:t xml:space="preserve"> </w:t>
      </w:r>
      <w:r>
        <w:t xml:space="preserve">for Sustainability, contributes to the SDG 3 which aims to ensure healthy lives and promotes</w:t>
      </w:r>
      <w:r>
        <w:t xml:space="preserve"> </w:t>
      </w:r>
      <w:r>
        <w:t xml:space="preserve">well-being for all, at all ages. More specifically, target 3.9 sets a goal to substantially reduce</w:t>
      </w:r>
      <w:r>
        <w:t xml:space="preserve"> </w:t>
      </w:r>
      <w:r>
        <w:t xml:space="preserve">the number of deaths and illnesses from hazardous chemicals and air, water, and soil</w:t>
      </w:r>
      <w:r>
        <w:t xml:space="preserve"> </w:t>
      </w:r>
      <w:r>
        <w:t xml:space="preserve">pollution and contamination by 2030. Digitalisation offers opportunities to reach more and</w:t>
      </w:r>
      <w:r>
        <w:t xml:space="preserve"> </w:t>
      </w:r>
      <w:r>
        <w:t xml:space="preserve">in particular vulnerable consumer better. Digital labels would facilitate the integration of</w:t>
      </w:r>
      <w:r>
        <w:t xml:space="preserve"> </w:t>
      </w:r>
      <w:r>
        <w:t xml:space="preserve">labelling information in digital tools that assist e.g. elderly or disabled consumers.</w:t>
      </w:r>
      <w:r>
        <w:t xml:space="preserve"> </w:t>
      </w:r>
      <w:r>
        <w:t xml:space="preserve">Digitalisation also offers opportunities to provide more language versions of labels, in</w:t>
      </w:r>
      <w:r>
        <w:t xml:space="preserve"> </w:t>
      </w:r>
      <w:r>
        <w:t xml:space="preserve">addition to those that are obligatory on the physical label.</w:t>
      </w:r>
      <w:r>
        <w:t xml:space="preserve"> </w:t>
      </w:r>
      <w:r>
        <w:t xml:space="preserve">Secondly, the objectives of the Chemical Strategy for sustainability is to better protect the</w:t>
      </w:r>
      <w:r>
        <w:t xml:space="preserve"> </w:t>
      </w:r>
      <w:r>
        <w:t xml:space="preserve">environment also relate to SDG 6 which aims to ensure the availability and sustainable</w:t>
      </w:r>
      <w:r>
        <w:t xml:space="preserve"> </w:t>
      </w:r>
      <w:r>
        <w:t xml:space="preserve">management of water and sanitation for all, and more specifically to target 6.3, to improve</w:t>
      </w:r>
      <w:r>
        <w:t xml:space="preserve"> </w:t>
      </w:r>
      <w:r>
        <w:t xml:space="preserve">water quality by, among other things, eliminating dumping and minimizing the release of</w:t>
      </w:r>
      <w:r>
        <w:t xml:space="preserve"> </w:t>
      </w:r>
      <w:r>
        <w:t xml:space="preserve">hazardous chemicals and materials by 2030.</w:t>
      </w:r>
      <w:r>
        <w:br/>
      </w:r>
      <w:r>
        <w:t xml:space="preserve">Finally, the regulatory framework for chemicals should also contribute to the fulfilment of</w:t>
      </w:r>
      <w:r>
        <w:t xml:space="preserve"> </w:t>
      </w:r>
      <w:r>
        <w:t xml:space="preserve">SDG 12, to ensure sustainable consumption and production patterns, and more specifically,</w:t>
      </w:r>
    </w:p>
    <w:p>
      <w:pPr>
        <w:pStyle w:val="BodyText"/>
      </w:pPr>
      <w:r>
        <w:t xml:space="preserve">268 European Commission, 2022, Communication on making sustainable products the norm. Available at:</w:t>
      </w:r>
      <w:r>
        <w:t xml:space="preserve"> </w:t>
      </w:r>
      <w:r>
        <w:t xml:space="preserve">https://ec.europa.eu/environment/publications/communication-making-sustainable-products-norm_en</w:t>
      </w:r>
    </w:p>
    <w:p>
      <w:pPr>
        <w:pStyle w:val="BodyText"/>
      </w:pPr>
      <w:r>
        <w:t xml:space="preserve">365</w:t>
      </w:r>
      <w:r>
        <w:t xml:space="preserve"> </w:t>
      </w:r>
      <w:r>
        <w:t xml:space="preserve">to target 12.4 which aims for environmentally sound management of chemicals throughout</w:t>
      </w:r>
      <w:r>
        <w:t xml:space="preserve"> </w:t>
      </w:r>
      <w:r>
        <w:t xml:space="preserve">their cycle and to reduce their release into air, water, and soil in order to minimize adverse</w:t>
      </w:r>
      <w:r>
        <w:t xml:space="preserve"> </w:t>
      </w:r>
      <w:r>
        <w:t xml:space="preserve">impacts on human health and the environment.</w:t>
      </w:r>
      <w:r>
        <w:br/>
      </w:r>
      <w:r>
        <w:t xml:space="preserve">The importance of chemicals and waste management to achieve the SDGs is also aligned</w:t>
      </w:r>
      <w:r>
        <w:t xml:space="preserve"> </w:t>
      </w:r>
      <w:r>
        <w:t xml:space="preserve">with the overall objective of the Strategic Approach to International Chemicals</w:t>
      </w:r>
      <w:r>
        <w:t xml:space="preserve"> </w:t>
      </w:r>
      <w:r>
        <w:t xml:space="preserve">Management (SAICM).269 Supported by the United Nations Environment Programme, the</w:t>
      </w:r>
      <w:r>
        <w:t xml:space="preserve"> </w:t>
      </w:r>
      <w:r>
        <w:t xml:space="preserve">SAICM is an international policy framework to promote chemical safety around the world,</w:t>
      </w:r>
      <w:r>
        <w:t xml:space="preserve"> </w:t>
      </w:r>
      <w:r>
        <w:t xml:space="preserve">and support the sound management of chemicals throughout their life cycle to minimise</w:t>
      </w:r>
      <w:r>
        <w:t xml:space="preserve"> </w:t>
      </w:r>
      <w:r>
        <w:t xml:space="preserve">their adverse impacts on the environment and human health.</w:t>
      </w:r>
      <w:r>
        <w:br/>
      </w:r>
      <w:r>
        <w:t xml:space="preserve">Legal basis:</w:t>
      </w:r>
      <w:r>
        <w:t xml:space="preserve"> </w:t>
      </w:r>
      <w:r>
        <w:t xml:space="preserve">Article 114 of the Treaty on the Functioning of the European Union (TFEU)270 confers upon</w:t>
      </w:r>
      <w:r>
        <w:t xml:space="preserve"> </w:t>
      </w:r>
      <w:r>
        <w:t xml:space="preserve">the EU institutions the competence to lay down appropriate provisions which have as their</w:t>
      </w:r>
      <w:r>
        <w:t xml:space="preserve"> </w:t>
      </w:r>
      <w:r>
        <w:t xml:space="preserve">object the establishment and functioning of the internal market.</w:t>
      </w:r>
      <w:r>
        <w:br/>
      </w:r>
      <w:r>
        <w:t xml:space="preserve">Regarding consumer protection, Article 169 TFEU provides that, to promote the interests</w:t>
      </w:r>
      <w:r>
        <w:t xml:space="preserve"> </w:t>
      </w:r>
      <w:r>
        <w:t xml:space="preserve">of consumers and ensure a high level of consumer protection, the Union shall contribute to</w:t>
      </w:r>
      <w:r>
        <w:t xml:space="preserve"> </w:t>
      </w:r>
      <w:r>
        <w:t xml:space="preserve">protecting the health, safety and economic interests of consumers, as well as to promoting</w:t>
      </w:r>
      <w:r>
        <w:t xml:space="preserve"> </w:t>
      </w:r>
      <w:r>
        <w:t xml:space="preserve">their right to information, education and to organise themselves in order to safeguard their</w:t>
      </w:r>
      <w:r>
        <w:t xml:space="preserve"> </w:t>
      </w:r>
      <w:r>
        <w:t xml:space="preserve">interests, and that these objectives can be reached through measures adopted pursuant to</w:t>
      </w:r>
      <w:r>
        <w:t xml:space="preserve"> </w:t>
      </w:r>
      <w:r>
        <w:t xml:space="preserve">Article 114 in the context of the completion of the internal market.</w:t>
      </w:r>
      <w:r>
        <w:br/>
      </w:r>
      <w:r>
        <w:t xml:space="preserve">Therefore, according to Article 114 TFEU introducing any digital labelling under the CLP</w:t>
      </w:r>
      <w:r>
        <w:t xml:space="preserve"> </w:t>
      </w:r>
      <w:r>
        <w:t xml:space="preserve">regulation is subject to the shared competence of the EU. In this situation, Article 5 TEU</w:t>
      </w:r>
      <w:r>
        <w:t xml:space="preserve"> </w:t>
      </w:r>
      <w:r>
        <w:t xml:space="preserve">and the principle of subsidiarity271 provide that the Union shall act only if, and in so far as,</w:t>
      </w:r>
      <w:r>
        <w:t xml:space="preserve"> </w:t>
      </w:r>
      <w:r>
        <w:t xml:space="preserve">the objectives can be better achieved at Union level than by Member States. Since the</w:t>
      </w:r>
      <w:r>
        <w:t xml:space="preserve"> </w:t>
      </w:r>
      <w:r>
        <w:t xml:space="preserve">objectives of the regulations concerned in this study necessitate common provisions</w:t>
      </w:r>
      <w:r>
        <w:t xml:space="preserve"> </w:t>
      </w:r>
      <w:r>
        <w:t xml:space="preserve">throughout the EU, Article 114 TFEU can serve as the appropriate legal basis for this</w:t>
      </w:r>
      <w:r>
        <w:t xml:space="preserve"> </w:t>
      </w:r>
      <w:r>
        <w:t xml:space="preserve">initiative.272</w:t>
      </w:r>
      <w:r>
        <w:br/>
      </w:r>
      <w:r>
        <w:t xml:space="preserve">Subsidiarity: Necessity of EU Action</w:t>
      </w:r>
      <w:r>
        <w:t xml:space="preserve"> </w:t>
      </w:r>
      <w:r>
        <w:t xml:space="preserve">The simplification of labelling requirements for chemicals and the use of digital labelling</w:t>
      </w:r>
      <w:r>
        <w:t xml:space="preserve"> </w:t>
      </w:r>
      <w:r>
        <w:t xml:space="preserve">aim at improving consumer understanding and awareness of chemical labels, by making</w:t>
      </w:r>
      <w:r>
        <w:t xml:space="preserve"> </w:t>
      </w:r>
      <w:r>
        <w:t xml:space="preserve">optimal use of digital tools to communicate product information. The overarching objectives</w:t>
      </w:r>
      <w:r>
        <w:t xml:space="preserve"> </w:t>
      </w:r>
      <w:r>
        <w:t xml:space="preserve">are to ensure that all consumers in the EU enjoy a high level of protection when using</w:t>
      </w:r>
      <w:r>
        <w:t xml:space="preserve"> </w:t>
      </w:r>
      <w:r>
        <w:t xml:space="preserve">chemical products while taking into account the current digitalisation trend.</w:t>
      </w:r>
    </w:p>
    <w:p>
      <w:pPr>
        <w:pStyle w:val="BodyText"/>
      </w:pPr>
      <w:r>
        <w:t xml:space="preserve">270</w:t>
      </w:r>
      <w:r>
        <w:t xml:space="preserve"> </w:t>
      </w:r>
      <w:r>
        <w:t xml:space="preserve">Treaty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lex.europa.eu/resource.html?uri=cellar:2bf140bf-a3f8-4ab2-b506-</w:t>
      </w:r>
      <w:r>
        <w:t xml:space="preserve"> </w:t>
      </w:r>
      <w:r>
        <w:t xml:space="preserve">fd71826e6da6.0023.02/DOC_2&amp;format=PDF.</w:t>
      </w:r>
      <w:r>
        <w:t xml:space="preserve"> </w:t>
      </w:r>
      <w:r>
        <w:t xml:space="preserve">271 Treaty on European Union. Available at: https://eur-lex.europa.eu/resource.html?uri=cellar:2bf140bf-a3f8-</w:t>
      </w:r>
      <w:r>
        <w:t xml:space="preserve"> </w:t>
      </w:r>
      <w:r>
        <w:t xml:space="preserve">4ab2-b506-fd71826e6da6.0023.02/DOC_1&amp;format=PDF.</w:t>
      </w:r>
      <w:r>
        <w:t xml:space="preserve"> </w:t>
      </w:r>
      <w:r>
        <w:t xml:space="preserve">272 Recital 2 of the CLP Regulation provides that “the efficient functioning of the internal market for</w:t>
      </w:r>
      <w:r>
        <w:t xml:space="preserve"> </w:t>
      </w:r>
      <w:r>
        <w:t xml:space="preserve">substances, mixtures and those articles can be achieved only if the requirements applicable to them do not</w:t>
      </w:r>
      <w:r>
        <w:t xml:space="preserve"> </w:t>
      </w:r>
      <w:r>
        <w:t xml:space="preserve">differ significantly between Member States”. This reasoning can also be find in Recital 2 of the Detergents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366</w:t>
      </w:r>
      <w:r>
        <w:t xml:space="preserve"> </w:t>
      </w:r>
      <w:r>
        <w:t xml:space="preserve">Currently, there is room for improvement in terms of the understanding and awareness of</w:t>
      </w:r>
      <w:r>
        <w:t xml:space="preserve"> </w:t>
      </w:r>
      <w:r>
        <w:t xml:space="preserve">chemical labels across the EU. Especially as the classification, labelling and packaging of</w:t>
      </w:r>
      <w:r>
        <w:t xml:space="preserve"> </w:t>
      </w:r>
      <w:r>
        <w:t xml:space="preserve">substances and mixtures under the CLP Regulation is harmonised at Union level, it is</w:t>
      </w:r>
      <w:r>
        <w:t xml:space="preserve"> </w:t>
      </w:r>
      <w:r>
        <w:t xml:space="preserve">appropriate that the digital labelling under the same regulation continue to be regulated at</w:t>
      </w:r>
      <w:r>
        <w:t xml:space="preserve"> </w:t>
      </w:r>
      <w:r>
        <w:t xml:space="preserve">EU level to achieve their objectives, i.e. to increase the protection of consumers while</w:t>
      </w:r>
      <w:r>
        <w:t xml:space="preserve"> </w:t>
      </w:r>
      <w:r>
        <w:t xml:space="preserve">ensuring the free movement of chemicals in the internal market.</w:t>
      </w:r>
      <w:r>
        <w:br/>
      </w:r>
      <w:r>
        <w:t xml:space="preserve">At the same time, national action and/or absence of EU level action could create inequalities</w:t>
      </w:r>
      <w:r>
        <w:t xml:space="preserve"> </w:t>
      </w:r>
      <w:r>
        <w:t xml:space="preserve">and asymmetries between the protection of consumers in different Member States. It could</w:t>
      </w:r>
      <w:r>
        <w:t xml:space="preserve"> </w:t>
      </w:r>
      <w:r>
        <w:t xml:space="preserve">also increase costs for industry to adapt to different labelling requirements in different</w:t>
      </w:r>
      <w:r>
        <w:t xml:space="preserve"> </w:t>
      </w:r>
      <w:r>
        <w:t xml:space="preserve">Member States and hinder the good functioning of the internal market for chemical</w:t>
      </w:r>
      <w:r>
        <w:t xml:space="preserve"> </w:t>
      </w:r>
      <w:r>
        <w:t xml:space="preserve">products. Differing approaches would also make it more difficult for consumer to obtain the</w:t>
      </w:r>
      <w:r>
        <w:t xml:space="preserve"> </w:t>
      </w:r>
      <w:r>
        <w:t xml:space="preserve">relevant information.</w:t>
      </w:r>
      <w:r>
        <w:t xml:space="preserve"> </w:t>
      </w:r>
      <w:r>
        <w:t xml:space="preserve">EU action is also needed because of the strong cross-border dimension of the problem: as</w:t>
      </w:r>
      <w:r>
        <w:t xml:space="preserve"> </w:t>
      </w:r>
      <w:r>
        <w:t xml:space="preserve">explained above, Europe is the second largest chemicals producer in the world and</w:t>
      </w:r>
      <w:r>
        <w:t xml:space="preserve"> </w:t>
      </w:r>
      <w:r>
        <w:t xml:space="preserve">chemicals products supply almost all sectors of the economy. It is estimated that around 543</w:t>
      </w:r>
      <w:r>
        <w:t xml:space="preserve"> </w:t>
      </w:r>
      <w:r>
        <w:t xml:space="preserve">€ billion worth of chemicals are produced annually and move freely within the EU thanks</w:t>
      </w:r>
      <w:r>
        <w:t xml:space="preserve"> </w:t>
      </w:r>
      <w:r>
        <w:t xml:space="preserve">in part to the CLP Regulation, and to sector-specific regulations such as the Detergents</w:t>
      </w:r>
      <w:r>
        <w:t xml:space="preserve"> </w:t>
      </w:r>
      <w:r>
        <w:t xml:space="preserve">Regulation. The magnitude and cross-border nature of the sector indicate that action in this</w:t>
      </w:r>
      <w:r>
        <w:t xml:space="preserve"> </w:t>
      </w:r>
      <w:r>
        <w:t xml:space="preserve">sector should be taken at EU level.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added value of EU action is to improve the current legislative framework at the EU</w:t>
      </w:r>
      <w:r>
        <w:t xml:space="preserve"> </w:t>
      </w:r>
      <w:r>
        <w:t xml:space="preserve">level to address the problems identified in this Annex, while also taking into account the</w:t>
      </w:r>
      <w:r>
        <w:t xml:space="preserve"> </w:t>
      </w:r>
      <w:r>
        <w:t xml:space="preserve">current market developments of the sector.</w:t>
      </w:r>
      <w:r>
        <w:t xml:space="preserve"> </w:t>
      </w:r>
      <w:r>
        <w:t xml:space="preserve">Specifically, the digital readiness of the EU regulatory framework surrounding chemical</w:t>
      </w:r>
      <w:r>
        <w:t xml:space="preserve"> </w:t>
      </w:r>
      <w:r>
        <w:t xml:space="preserve">products cannot be efficiently tackled at national level and needs to be harmonised in order</w:t>
      </w:r>
      <w:r>
        <w:t xml:space="preserve"> </w:t>
      </w:r>
      <w:r>
        <w:t xml:space="preserve">for industry to reap the benefits of digitalisation in the communication of product</w:t>
      </w:r>
      <w:r>
        <w:t xml:space="preserve"> </w:t>
      </w:r>
      <w:r>
        <w:t xml:space="preserve">information. Also EU action will ensure that consumers have the same access to information</w:t>
      </w:r>
      <w:r>
        <w:t xml:space="preserve"> </w:t>
      </w:r>
      <w:r>
        <w:t xml:space="preserve">wherever they purchase or use chemical products in the EU. The use of digital tools is not</w:t>
      </w:r>
      <w:r>
        <w:t xml:space="preserve"> </w:t>
      </w:r>
      <w:r>
        <w:t xml:space="preserve">limited to a single Member State, and rules fit for the digital age are needed across all of</w:t>
      </w:r>
      <w:r>
        <w:t xml:space="preserve"> </w:t>
      </w:r>
      <w:r>
        <w:t xml:space="preserve">Europe to foster cross-border activity and competition. Digital improvements to the current</w:t>
      </w:r>
      <w:r>
        <w:t xml:space="preserve"> </w:t>
      </w:r>
      <w:r>
        <w:t xml:space="preserve">legislation, such as including the possibility for some labelling requirements to be provided</w:t>
      </w:r>
      <w:r>
        <w:t xml:space="preserve"> </w:t>
      </w:r>
      <w:r>
        <w:t xml:space="preserve">digitally, could improve the functioning of the internal market and the protection of</w:t>
      </w:r>
      <w:r>
        <w:t xml:space="preserve"> </w:t>
      </w:r>
      <w:r>
        <w:t xml:space="preserve">consumers if they are undertaken at EU level.</w:t>
      </w:r>
      <w:r>
        <w:t xml:space="preserve"> </w:t>
      </w:r>
      <w:r>
        <w:t xml:space="preserve">Finally, the added value of EU action also lies in the existence of economies of scale in the</w:t>
      </w:r>
      <w:r>
        <w:t xml:space="preserve"> </w:t>
      </w:r>
      <w:r>
        <w:t xml:space="preserve">chemical industry. The harmonisation of labelling requirements across the EU allows</w:t>
      </w:r>
      <w:r>
        <w:t xml:space="preserve"> </w:t>
      </w:r>
      <w:r>
        <w:t xml:space="preserve">manufacturers to use multi-lingual labels and to distribute the same products (with the same</w:t>
      </w:r>
      <w:r>
        <w:t xml:space="preserve"> </w:t>
      </w:r>
      <w:r>
        <w:t xml:space="preserve">label) in more than one Member State.</w:t>
      </w:r>
    </w:p>
    <w:p>
      <w:pPr>
        <w:pStyle w:val="BodyText"/>
      </w:pPr>
      <w:r>
        <w:t xml:space="preserve">PROBLEMS AND DRIVERS</w:t>
      </w:r>
      <w:r>
        <w:t xml:space="preserve"> </w:t>
      </w:r>
      <w:r>
        <w:t xml:space="preserve">As demonstrated by the Fitness Check, even if chemicals legislation is overall fit for</w:t>
      </w:r>
      <w:r>
        <w:t xml:space="preserve"> </w:t>
      </w:r>
      <w:r>
        <w:t xml:space="preserve">purpose, there are still several issues with current labelling requirements, reducing the</w:t>
      </w:r>
      <w:r>
        <w:t xml:space="preserve"> </w:t>
      </w:r>
      <w:r>
        <w:t xml:space="preserve">effective communication of hazard and safety information.</w:t>
      </w:r>
    </w:p>
    <w:p>
      <w:pPr>
        <w:pStyle w:val="BodyText"/>
      </w:pPr>
      <w:r>
        <w:t xml:space="preserve">367</w:t>
      </w:r>
      <w:r>
        <w:t xml:space="preserve"> </w:t>
      </w:r>
      <w:r>
        <w:t xml:space="preserve">The link between problems identified their drivers and consequences is visualised in the</w:t>
      </w:r>
      <w:r>
        <w:t xml:space="preserve"> </w:t>
      </w:r>
      <w:r>
        <w:t xml:space="preserve">problem tree below:</w:t>
      </w:r>
      <w:r>
        <w:br/>
      </w:r>
      <w:r>
        <w:t xml:space="preserve">Figure 80: Problem tree</w:t>
      </w:r>
    </w:p>
    <w:p>
      <w:pPr>
        <w:pStyle w:val="BodyText"/>
      </w:pPr>
      <w:r>
        <w:t xml:space="preserve">Findings of the Fitness Check</w:t>
      </w:r>
      <w:r>
        <w:t xml:space="preserve"> </w:t>
      </w:r>
      <w:r>
        <w:t xml:space="preserve">The Findings of the Fitness Check showed that chemical legislation is overall fit for purpose,</w:t>
      </w:r>
      <w:r>
        <w:t xml:space="preserve"> </w:t>
      </w:r>
      <w:r>
        <w:t xml:space="preserve">but proposed several suggestions for improvement, including in the communication of</w:t>
      </w:r>
      <w:r>
        <w:t xml:space="preserve"> </w:t>
      </w:r>
      <w:r>
        <w:t xml:space="preserve">hazard and safety information. Based on the Special Eurobarometer survey273 number 456</w:t>
      </w:r>
      <w:r>
        <w:t xml:space="preserve"> </w:t>
      </w:r>
      <w:r>
        <w:t xml:space="preserve">the Fitness Check reports that “a low level of understanding of certain pictograms, labels,</w:t>
      </w:r>
      <w:r>
        <w:t xml:space="preserve"> </w:t>
      </w:r>
      <w:r>
        <w:t xml:space="preserve">and precautionary statements partially due to the overload of information”274.</w:t>
      </w:r>
      <w:r>
        <w:t xml:space="preserve"> </w:t>
      </w:r>
      <w:r>
        <w:t xml:space="preserve">The level of understanding is influenced by the amount of information on chemical labels.</w:t>
      </w:r>
      <w:r>
        <w:t xml:space="preserve"> </w:t>
      </w:r>
      <w:r>
        <w:t xml:space="preserve">This is affected by having too much text or technical language that consumers are not</w:t>
      </w:r>
      <w:r>
        <w:t xml:space="preserve"> </w:t>
      </w:r>
      <w:r>
        <w:t xml:space="preserve">familiar with, text in multiple languages, as well as repeating text caused by overlaps in</w:t>
      </w:r>
      <w:r>
        <w:t xml:space="preserve"> </w:t>
      </w:r>
      <w:r>
        <w:t xml:space="preserve">legal requirements (e.g. between, CLP and Detergents Regulation and/or the Cosmetic</w:t>
      </w:r>
      <w:r>
        <w:t xml:space="preserve"> </w:t>
      </w:r>
      <w:r>
        <w:t xml:space="preserve">Products Regulation). The Fitness Check also pointed out that the current approach to the</w:t>
      </w:r>
      <w:r>
        <w:t xml:space="preserve"> </w:t>
      </w:r>
      <w:r>
        <w:t xml:space="preserve">labelling of allergens could be improved so that consumers are better protected and informed</w:t>
      </w:r>
      <w:r>
        <w:t xml:space="preserve"> </w:t>
      </w:r>
      <w:r>
        <w:t xml:space="preserve">in case of allergies. The Fitness Check further identified the opportunity to improve the</w:t>
      </w:r>
      <w:r>
        <w:t xml:space="preserve"> </w:t>
      </w:r>
      <w:r>
        <w:t xml:space="preserve">communication of product information by including the use of technologies such as QR</w:t>
      </w:r>
      <w:r>
        <w:t xml:space="preserve"> </w:t>
      </w:r>
      <w:r>
        <w:t xml:space="preserve">codes. Potential burden reduction for SMEs, were also presented as potential benefits of</w:t>
      </w:r>
    </w:p>
    <w:p>
      <w:pPr>
        <w:pStyle w:val="BodyText"/>
      </w:pPr>
      <w:r>
        <w:t xml:space="preserve">273 Special Eurobarometer 456, 2017. Available at: https://europa.eu/eurobarometer/surveys/detail/2111.</w:t>
      </w:r>
      <w:r>
        <w:t xml:space="preserve"> </w:t>
      </w:r>
      <w:r>
        <w:t xml:space="preserve">274 Findings of the Fitness Check of the most relevant chemicals legislation (excluding</w:t>
      </w:r>
      <w:r>
        <w:br/>
      </w:r>
      <w:r>
        <w:t xml:space="preserve">REACH) and identified challenges, gaps and weaknesses, p.9. Available at: https://eur-lex.europa.eu/legal-</w:t>
      </w:r>
      <w:r>
        <w:t xml:space="preserve"> </w:t>
      </w:r>
      <w:r>
        <w:t xml:space="preserve">content/EN/TXT/PDF/?uri=CELEX:52019DC0264&amp;from=EN</w:t>
      </w:r>
    </w:p>
    <w:p>
      <w:pPr>
        <w:pStyle w:val="BodyText"/>
      </w:pPr>
      <w:r>
        <w:t xml:space="preserve">368</w:t>
      </w:r>
      <w:r>
        <w:t xml:space="preserve"> </w:t>
      </w:r>
      <w:r>
        <w:t xml:space="preserve">increased use of digital technologies. Potential burden reduction for SMEs, as well as an</w:t>
      </w:r>
      <w:r>
        <w:t xml:space="preserve"> </w:t>
      </w:r>
      <w:r>
        <w:t xml:space="preserve">improvement of enforcement and compliance by the relevant competent authorities (e.g. </w:t>
      </w:r>
      <w:r>
        <w:t xml:space="preserve"> </w:t>
      </w:r>
      <w:r>
        <w:t xml:space="preserve">Market Surveillance Authorities, customs) were also presented as potential benefits of such</w:t>
      </w:r>
      <w:r>
        <w:t xml:space="preserve"> </w:t>
      </w:r>
      <w:r>
        <w:t xml:space="preserve">improvements.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Three key problem drivers to the current labelling requirements of CLP, in the context of</w:t>
      </w:r>
      <w:r>
        <w:t xml:space="preserve"> </w:t>
      </w:r>
      <w:r>
        <w:t xml:space="preserve">digital labelling have been identified:</w:t>
      </w:r>
      <w:r>
        <w:br/>
      </w:r>
      <w:r>
        <w:t xml:space="preserve">1. Market development:</w:t>
      </w:r>
      <w:r>
        <w:t xml:space="preserve"> </w:t>
      </w:r>
      <w:r>
        <w:t xml:space="preserve">Since the entry into force of the CLP regulation, digitalisation has led to the development</w:t>
      </w:r>
      <w:r>
        <w:t xml:space="preserve"> </w:t>
      </w:r>
      <w:r>
        <w:t xml:space="preserve">of new labelling technologies which are not adequately captured by the current scope of the</w:t>
      </w:r>
      <w:r>
        <w:t xml:space="preserve"> </w:t>
      </w:r>
      <w:r>
        <w:t xml:space="preserve">regulatory framework. Currently no mention is made in the regulation of the possibility to</w:t>
      </w:r>
      <w:r>
        <w:t xml:space="preserve"> </w:t>
      </w:r>
      <w:r>
        <w:t xml:space="preserve">use e-labelling solutions to communicate product information to users. This is despite the</w:t>
      </w:r>
      <w:r>
        <w:t xml:space="preserve"> </w:t>
      </w:r>
      <w:r>
        <w:t xml:space="preserve">increasing use in Europe of mobile devices and internet.275 The digital readiness of the</w:t>
      </w:r>
      <w:r>
        <w:t xml:space="preserve"> </w:t>
      </w:r>
      <w:r>
        <w:t xml:space="preserve">regulatory framework surrounding chemical products needs to be addressed in order for</w:t>
      </w:r>
      <w:r>
        <w:t xml:space="preserve"> </w:t>
      </w:r>
      <w:r>
        <w:t xml:space="preserve">industry and consumers to reap the benefits of digitalisation in the communication of</w:t>
      </w:r>
      <w:r>
        <w:t xml:space="preserve"> </w:t>
      </w:r>
      <w:r>
        <w:t xml:space="preserve">product information.</w:t>
      </w:r>
      <w:r>
        <w:br/>
      </w:r>
      <w:r>
        <w:t xml:space="preserve">2. Sub-optimal framing of information on labels, discouraging consumers from reading</w:t>
      </w:r>
      <w:r>
        <w:t xml:space="preserve"> </w:t>
      </w:r>
      <w:r>
        <w:t xml:space="preserve">and using it:</w:t>
      </w:r>
      <w:r>
        <w:t xml:space="preserve"> </w:t>
      </w:r>
      <w:r>
        <w:t xml:space="preserve">A second driver identified in this study is the sub-optimal framing of the information on</w:t>
      </w:r>
      <w:r>
        <w:t xml:space="preserve"> </w:t>
      </w:r>
      <w:r>
        <w:t xml:space="preserve">chemical labels discouraging consumers from looking at the information and using it.</w:t>
      </w:r>
      <w:r>
        <w:t xml:space="preserve"> </w:t>
      </w:r>
      <w:r>
        <w:t xml:space="preserve">In particular, two characteristics have been identified: the complexity of information</w:t>
      </w:r>
      <w:r>
        <w:t xml:space="preserve"> </w:t>
      </w:r>
      <w:r>
        <w:t xml:space="preserve">provided for the average consumers, and the use of multi-lingual labels leading to the need</w:t>
      </w:r>
      <w:r>
        <w:t xml:space="preserve"> </w:t>
      </w:r>
      <w:r>
        <w:t xml:space="preserve">for small font size.</w:t>
      </w:r>
      <w:r>
        <w:br/>
      </w:r>
      <w:r>
        <w:t xml:space="preserve">Some of the information provided on chemical labels contains technical and scientific</w:t>
      </w:r>
      <w:r>
        <w:t xml:space="preserve"> </w:t>
      </w:r>
      <w:r>
        <w:t xml:space="preserve">terminology, not used in the day-to-day lives of consumers. This creates a lack of</w:t>
      </w:r>
      <w:r>
        <w:t xml:space="preserve"> </w:t>
      </w:r>
      <w:r>
        <w:t xml:space="preserve">understanding of the link between this chemical terminology and their meaning in the</w:t>
      </w:r>
      <w:r>
        <w:t xml:space="preserve"> </w:t>
      </w:r>
      <w:r>
        <w:t xml:space="preserve">context of the label (i.e. their properties in the product). In particular, the use of chemical</w:t>
      </w:r>
      <w:r>
        <w:t xml:space="preserve"> </w:t>
      </w:r>
      <w:r>
        <w:t xml:space="preserve">names can sometimes be seen as an obstacle for consumer understanding of chemical labels.</w:t>
      </w:r>
      <w:r>
        <w:br/>
      </w:r>
      <w:r>
        <w:t xml:space="preserve">At the same time, the behavioural experiment conducted for this study shows that, overall,</w:t>
      </w:r>
      <w:r>
        <w:t xml:space="preserve"> </w:t>
      </w:r>
      <w:r>
        <w:t xml:space="preserve">consumers are able to interpret the Status Quo Label correctly (i.e. regarding hazards) and</w:t>
      </w:r>
      <w:r>
        <w:t xml:space="preserve"> </w:t>
      </w:r>
      <w:r>
        <w:t xml:space="preserve">that CLP-relevant information items are rated as both easy to understand as well as easy to</w:t>
      </w:r>
      <w:r>
        <w:t xml:space="preserve"> </w:t>
      </w:r>
      <w:r>
        <w:t xml:space="preserve">find. These results can also be explained by the fact that in the experiment, consumers were</w:t>
      </w:r>
      <w:r>
        <w:t xml:space="preserve"> </w:t>
      </w:r>
      <w:r>
        <w:t xml:space="preserve">incentivised to read the label, thus increasing their understanding in comparison to day-to-</w:t>
      </w:r>
      <w:r>
        <w:t xml:space="preserve"> </w:t>
      </w:r>
      <w:r>
        <w:t xml:space="preserve">day situations. This suggests that one attention is paid to finding the relevant labelling</w:t>
      </w:r>
      <w:r>
        <w:t xml:space="preserve"> </w:t>
      </w:r>
      <w:r>
        <w:t xml:space="preserve">elements and reading them carefully, overall they are effective. Digitalisation could help</w:t>
      </w:r>
      <w:r>
        <w:t xml:space="preserve"> </w:t>
      </w:r>
      <w:r>
        <w:t xml:space="preserve">with that by moving less critical information from the physical label to the digital label, so</w:t>
      </w:r>
      <w:r>
        <w:t xml:space="preserve"> </w:t>
      </w:r>
      <w:r>
        <w:t xml:space="preserve">that information can better be found.</w:t>
      </w:r>
      <w:r>
        <w:t xml:space="preserve"> </w:t>
      </w:r>
      <w:r>
        <w:t xml:space="preserve">Secondly, the Fitness Check pointed out that consumers and workers do not understand</w:t>
      </w:r>
      <w:r>
        <w:t xml:space="preserve"> </w:t>
      </w:r>
      <w:r>
        <w:t xml:space="preserve">some of the CLP pictograms (in particular GHS04 – gas cylinder and GHS07 – exclamation</w:t>
      </w:r>
    </w:p>
    <w:p>
      <w:pPr>
        <w:pStyle w:val="BodyText"/>
      </w:pPr>
      <w:r>
        <w:t xml:space="preserve">275 Eurostat, Digital Society statistics at regional</w:t>
      </w:r>
      <w:r>
        <w:t xml:space="preserve"> </w:t>
      </w:r>
      <w:r>
        <w:t xml:space="preserve">level.</w:t>
      </w:r>
      <w:r>
        <w:t xml:space="preserve"> </w:t>
      </w:r>
      <w:r>
        <w:t xml:space="preserve">https://ec.europa.eu/eurostat/statistics-</w:t>
      </w:r>
      <w:r>
        <w:t xml:space="preserve"> </w:t>
      </w:r>
      <w:r>
        <w:t xml:space="preserve">explained/index.php?title=Digital_society_statistics_at_regional_level#Internet_users</w:t>
      </w:r>
    </w:p>
    <w:p>
      <w:pPr>
        <w:pStyle w:val="BodyText"/>
      </w:pPr>
      <w:r>
        <w:t xml:space="preserve">369</w:t>
      </w:r>
      <w:r>
        <w:t xml:space="preserve"> </w:t>
      </w:r>
      <w:r>
        <w:t xml:space="preserve">mark pictograms). Similarly, in the Special Eurobarometer participants were least familiar</w:t>
      </w:r>
      <w:r>
        <w:t xml:space="preserve"> </w:t>
      </w:r>
      <w:r>
        <w:t xml:space="preserve">with the serious health hazard symbol – 20% reported having seen the symbol before – and</w:t>
      </w:r>
      <w:r>
        <w:t xml:space="preserve"> </w:t>
      </w:r>
      <w:r>
        <w:t xml:space="preserve">only 17% understood the exclamation mark symbol. This was confirmed by some</w:t>
      </w:r>
      <w:r>
        <w:t xml:space="preserve"> </w:t>
      </w:r>
      <w:r>
        <w:t xml:space="preserve">stakeholders during the interviews for this study. At the same time, it should be noted that</w:t>
      </w:r>
      <w:r>
        <w:t xml:space="preserve"> </w:t>
      </w:r>
      <w:r>
        <w:t xml:space="preserve">the purpose of pictograms is to catch attention and complement the text on the label. They</w:t>
      </w:r>
      <w:r>
        <w:t xml:space="preserve"> </w:t>
      </w:r>
      <w:r>
        <w:t xml:space="preserve">also work, to a certain degree, on their own, for people that are illiterate, so that they realise</w:t>
      </w:r>
      <w:r>
        <w:t xml:space="preserve"> </w:t>
      </w:r>
      <w:r>
        <w:t xml:space="preserve">that they may have to seek more information. Therefore, it is not necessary that the</w:t>
      </w:r>
      <w:r>
        <w:t xml:space="preserve"> </w:t>
      </w:r>
      <w:r>
        <w:t xml:space="preserve">pictogram is fully understood. Additionally, for professional users who should be more</w:t>
      </w:r>
      <w:r>
        <w:t xml:space="preserve"> </w:t>
      </w:r>
      <w:r>
        <w:t xml:space="preserve">knowledgeable about pictograms, they can provide a quicker means of communication</w:t>
      </w:r>
      <w:r>
        <w:t xml:space="preserve"> </w:t>
      </w:r>
      <w:r>
        <w:t xml:space="preserve">compared to reading the text.</w:t>
      </w:r>
      <w:r>
        <w:br/>
      </w:r>
      <w:r>
        <w:t xml:space="preserve">Furthermore, under the CLP Regulation, the legal requirements specify that information on</w:t>
      </w:r>
      <w:r>
        <w:t xml:space="preserve"> </w:t>
      </w:r>
      <w:r>
        <w:t xml:space="preserve">labels should be available in the official language(s) of the country in which the product is</w:t>
      </w:r>
      <w:r>
        <w:t xml:space="preserve"> </w:t>
      </w:r>
      <w:r>
        <w:t xml:space="preserve">distributed. While this makes multilingual labels mandatory only in countries with more</w:t>
      </w:r>
      <w:r>
        <w:t xml:space="preserve"> </w:t>
      </w:r>
      <w:r>
        <w:t xml:space="preserve">than one official language, such labels are a common practice in the industry across all EU</w:t>
      </w:r>
      <w:r>
        <w:t xml:space="preserve"> </w:t>
      </w:r>
      <w:r>
        <w:t xml:space="preserve">countries.</w:t>
      </w:r>
      <w:r>
        <w:t xml:space="preserve"> </w:t>
      </w:r>
      <w:r>
        <w:t xml:space="preserve">Multilingual labels are used to achieve economies of scale, by allowing the industry to</w:t>
      </w:r>
      <w:r>
        <w:t xml:space="preserve"> </w:t>
      </w:r>
      <w:r>
        <w:t xml:space="preserve">distribute one product with the same label across several countries. This is especially useful</w:t>
      </w:r>
      <w:r>
        <w:t xml:space="preserve"> </w:t>
      </w:r>
      <w:r>
        <w:t xml:space="preserve">in smaller countries (e.g. in the Baltic countries). Thus, multilingual labels save money and</w:t>
      </w:r>
      <w:r>
        <w:t xml:space="preserve"> </w:t>
      </w:r>
      <w:r>
        <w:t xml:space="preserve">material, they allow for flexibility in planning, and they reduce waste. In addition, it was</w:t>
      </w:r>
      <w:r>
        <w:t xml:space="preserve"> </w:t>
      </w:r>
      <w:r>
        <w:t xml:space="preserve">highlighted that separate production for each market might be so complex that companies</w:t>
      </w:r>
      <w:r>
        <w:t xml:space="preserve"> </w:t>
      </w:r>
      <w:r>
        <w:t xml:space="preserve">could decide to abandon smaller markets. However, the use of several languages to comply</w:t>
      </w:r>
      <w:r>
        <w:t xml:space="preserve"> </w:t>
      </w:r>
      <w:r>
        <w:t xml:space="preserve">with labelling requirements also takes more space on labels and leads to a smaller font size</w:t>
      </w:r>
      <w:r>
        <w:t xml:space="preserve"> </w:t>
      </w:r>
      <w:r>
        <w:t xml:space="preserve">to be used to communicate information, and makes information more difficult to find.</w:t>
      </w:r>
      <w:r>
        <w:br/>
      </w:r>
      <w:r>
        <w:t xml:space="preserve">3. Regulation overlaps, duplications and inconsistencies</w:t>
      </w:r>
      <w:r>
        <w:t xml:space="preserve"> </w:t>
      </w:r>
      <w:r>
        <w:t xml:space="preserve">The third driver concerns legal overlaps, duplications, and inconsistencies between the</w:t>
      </w:r>
      <w:r>
        <w:t xml:space="preserve"> </w:t>
      </w:r>
      <w:r>
        <w:t xml:space="preserve">CLP and Detergents regulations276. These issues are due to the fact that the Detergents</w:t>
      </w:r>
      <w:r>
        <w:t xml:space="preserve"> </w:t>
      </w:r>
      <w:r>
        <w:t xml:space="preserve">Regulation was designed before GHS was developed by the United Nations, and therefore,</w:t>
      </w:r>
      <w:r>
        <w:t xml:space="preserve"> </w:t>
      </w:r>
      <w:r>
        <w:t xml:space="preserve">before the CLP Regulation entered into force. These overlaps are explained below to</w:t>
      </w:r>
      <w:r>
        <w:t xml:space="preserve"> </w:t>
      </w:r>
      <w:r>
        <w:t xml:space="preserve">extensively illustrate the problem of understanding chemicals labels, however, it should be</w:t>
      </w:r>
      <w:r>
        <w:t xml:space="preserve"> </w:t>
      </w:r>
      <w:r>
        <w:t xml:space="preserve">noted that such overlaps will be addressed in the sectorial legislation (i.e. in this case in the</w:t>
      </w:r>
      <w:r>
        <w:t xml:space="preserve"> </w:t>
      </w:r>
      <w:r>
        <w:t xml:space="preserve">Detergents Regulation277) and not in the horizontal regulation (CLP).</w:t>
      </w:r>
      <w:r>
        <w:br/>
      </w:r>
      <w:r>
        <w:t xml:space="preserve">This driver can be divided into 3 issues:</w:t>
      </w:r>
      <w:r>
        <w:t xml:space="preserve"> </w:t>
      </w:r>
      <w:r>
        <w:t xml:space="preserve">First of all, under the CLP, ingredient substances that present certain hazards must be</w:t>
      </w:r>
      <w:r>
        <w:t xml:space="preserve"> </w:t>
      </w:r>
      <w:r>
        <w:t xml:space="preserve">included on the product label using a chemical name (e.g., MEA-dodecylbenzene</w:t>
      </w:r>
      <w:r>
        <w:t xml:space="preserve"> </w:t>
      </w:r>
      <w:r>
        <w:t xml:space="preserve">sulfonate), whereas under the Detergents Regulation ingredients can be listed under a</w:t>
      </w:r>
      <w:r>
        <w:t xml:space="preserve"> </w:t>
      </w:r>
      <w:r>
        <w:t xml:space="preserve">generic name (e.g., anionic surfactant). Complying with the labelling requirements of both</w:t>
      </w:r>
      <w:r>
        <w:t xml:space="preserve"> </w:t>
      </w:r>
      <w:r>
        <w:t xml:space="preserve">Regulations results in the listing of the same ingredient twice, and in some cases using</w:t>
      </w:r>
      <w:r>
        <w:t xml:space="preserve"> </w:t>
      </w:r>
      <w:r>
        <w:t xml:space="preserve">different names.</w:t>
      </w:r>
    </w:p>
    <w:p>
      <w:pPr>
        <w:pStyle w:val="BodyText"/>
      </w:pPr>
      <w:r>
        <w:t xml:space="preserve">276 A full legal analysis was conducted during this study and is available in Annex 13c.</w:t>
      </w:r>
      <w:r>
        <w:t xml:space="preserve"> </w:t>
      </w:r>
      <w:r>
        <w:t xml:space="preserve">277 Regulation (EC) No 648/2004 of the European Parliament and of the Council of 31 March 2004 on</w:t>
      </w:r>
      <w:r>
        <w:t xml:space="preserve"> </w:t>
      </w:r>
      <w:r>
        <w:t xml:space="preserve">detergents.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content/EN/TXT/PDF/?uri=CELEX:32004R0648&amp;from=EN.</w:t>
      </w:r>
    </w:p>
    <w:p>
      <w:pPr>
        <w:pStyle w:val="BodyText"/>
      </w:pPr>
      <w:r>
        <w:t xml:space="preserve">370</w:t>
      </w:r>
      <w:r>
        <w:t xml:space="preserve"> </w:t>
      </w:r>
      <w:r>
        <w:t xml:space="preserve">Secondly, the Detergents Evaluation revealed some legislative overlaps between the</w:t>
      </w:r>
      <w:r>
        <w:t xml:space="preserve"> </w:t>
      </w:r>
      <w:r>
        <w:t xml:space="preserve">Detergents Regulation and the CLP with regard to the labelling of allergenic fragrances.</w:t>
      </w:r>
      <w:r>
        <w:t xml:space="preserve"> </w:t>
      </w:r>
      <w:r>
        <w:t xml:space="preserve">Other overlaps also exist e.g., on the labelling of surfactants278 and allergenic preservatives</w:t>
      </w:r>
      <w:r>
        <w:t xml:space="preserve"> </w:t>
      </w:r>
      <w:r>
        <w:t xml:space="preserve">when CLP thresholds are met.</w:t>
      </w:r>
      <w:r>
        <w:br/>
      </w:r>
      <w:r>
        <w:t xml:space="preserve">Thirdly, the Detergents Regulation requires the label to include the allergenic fragrances</w:t>
      </w:r>
      <w:r>
        <w:t xml:space="preserve"> </w:t>
      </w:r>
      <w:r>
        <w:t xml:space="preserve">listed in Annex III to the CPR and which are added to detergents at concentrations exceeding</w:t>
      </w:r>
      <w:r>
        <w:t xml:space="preserve"> </w:t>
      </w:r>
      <w:r>
        <w:t xml:space="preserve">0.01% by weight. The labelling of these fragrances shall be done using the International</w:t>
      </w:r>
      <w:r>
        <w:t xml:space="preserve"> </w:t>
      </w:r>
      <w:r>
        <w:t xml:space="preserve">Nomenclature of Cosmetic Ingredients (</w:t>
      </w:r>
      <w:r>
        <w:t xml:space="preserve">“INCI names”</w:t>
      </w:r>
      <w:r>
        <w:t xml:space="preserve">). In parallel, the CLP requires the</w:t>
      </w:r>
      <w:r>
        <w:t xml:space="preserve"> </w:t>
      </w:r>
      <w:r>
        <w:t xml:space="preserve">inclusion of skin sensitisers279 (i.e., allergenic substances like preservatives and fragrances)</w:t>
      </w:r>
      <w:r>
        <w:t xml:space="preserve"> </w:t>
      </w:r>
      <w:r>
        <w:t xml:space="preserve">in the list of ingredients that need to figure on the product label when they are present above</w:t>
      </w:r>
      <w:r>
        <w:t xml:space="preserve"> </w:t>
      </w:r>
      <w:r>
        <w:t xml:space="preserve">certain thresholds.1 These thresholds are different from the thresholds provided in the</w:t>
      </w:r>
      <w:r>
        <w:t xml:space="preserve"> </w:t>
      </w:r>
      <w:r>
        <w:t xml:space="preserve">Detergents Regulation. As most allergenic fragrance ingredients under the Cosmetic</w:t>
      </w:r>
      <w:r>
        <w:t xml:space="preserve"> </w:t>
      </w:r>
      <w:r>
        <w:t xml:space="preserve">Products Regulation are also classified as skin sensitisers under the CLP, this may lead to</w:t>
      </w:r>
      <w:r>
        <w:t xml:space="preserve"> </w:t>
      </w:r>
      <w:r>
        <w:t xml:space="preserve">the labelling of the same substance twice, once following the Detergents Regulation and</w:t>
      </w:r>
      <w:r>
        <w:t xml:space="preserve"> </w:t>
      </w:r>
      <w:r>
        <w:t xml:space="preserve">once following the CLP.</w:t>
      </w:r>
      <w:r>
        <w:t xml:space="preserve"> </w:t>
      </w:r>
      <w:r>
        <w:t xml:space="preserve">The three drivers above lead to three overarching problems:</w:t>
      </w:r>
      <w:r>
        <w:br/>
      </w:r>
      <w:r>
        <w:t xml:space="preserve">The potential of electronic labels is not fully exploited in the market of chemical products</w:t>
      </w:r>
      <w:r>
        <w:t xml:space="preserve"> </w:t>
      </w:r>
      <w:r>
        <w:t xml:space="preserve">and detergents.</w:t>
      </w:r>
      <w:r>
        <w:t xml:space="preserve"> </w:t>
      </w:r>
      <w:r>
        <w:t xml:space="preserve">There is a certain lack of awareness and understanding of chemical labels in the EU,</w:t>
      </w:r>
      <w:r>
        <w:t xml:space="preserve"> </w:t>
      </w:r>
      <w:r>
        <w:t xml:space="preserve">which can be an issue for consumer health.</w:t>
      </w:r>
      <w:r>
        <w:br/>
      </w:r>
      <w:r>
        <w:t xml:space="preserve">Chemical labels can become overloaded with information and they could be streamlined</w:t>
      </w:r>
      <w:r>
        <w:t xml:space="preserve"> </w:t>
      </w:r>
      <w:r>
        <w:t xml:space="preserve">and simplified to facilitate their understanding and reduce the administrative burden for</w:t>
      </w:r>
      <w:r>
        <w:t xml:space="preserve"> </w:t>
      </w:r>
      <w:r>
        <w:t xml:space="preserve">industry related to labelling requirements.</w:t>
      </w:r>
      <w:r>
        <w:br/>
      </w:r>
      <w:r>
        <w:t xml:space="preserve">Each of these problems are described below.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Problem 1: The potential of electronic labels is not fully exploited in the market of chemical</w:t>
      </w:r>
      <w:r>
        <w:t xml:space="preserve"> </w:t>
      </w:r>
      <w:r>
        <w:t xml:space="preserve">products and detergents.</w:t>
      </w:r>
      <w:r>
        <w:t xml:space="preserve"> </w:t>
      </w:r>
      <w:r>
        <w:t xml:space="preserve">Due to the lack of regulations or incentives in the chemical legislative framework to use</w:t>
      </w:r>
      <w:r>
        <w:t xml:space="preserve"> </w:t>
      </w:r>
      <w:r>
        <w:t xml:space="preserve">digital tools, the use of electronic labels is currently inferior to is potential use in the market</w:t>
      </w:r>
      <w:r>
        <w:t xml:space="preserve"> </w:t>
      </w:r>
      <w:r>
        <w:t xml:space="preserve">of chemical products and detergents.</w:t>
      </w:r>
      <w:r>
        <w:t xml:space="preserve"> </w:t>
      </w:r>
      <w:r>
        <w:t xml:space="preserve">Indeed, besides the obligation for manufacturers to provide a full ingredient list on a website</w:t>
      </w:r>
      <w:r>
        <w:t xml:space="preserve"> </w:t>
      </w:r>
      <w:r>
        <w:t xml:space="preserve">under the detergents regulation, the CLP and the Detergents regulations do not include the</w:t>
      </w:r>
      <w:r>
        <w:t xml:space="preserve"> </w:t>
      </w:r>
      <w:r>
        <w:t xml:space="preserve">possibility to use digital labelling solutions to communicate product information to users.</w:t>
      </w:r>
      <w:r>
        <w:br/>
      </w:r>
      <w:r>
        <w:t xml:space="preserve">Therefore, the current use of digital labelling for chemical products, including detergents,</w:t>
      </w:r>
      <w:r>
        <w:t xml:space="preserve"> </w:t>
      </w:r>
      <w:r>
        <w:t xml:space="preserve">is only limited to ad hoc voluntary initiatives by manufacturers, and it remains</w:t>
      </w:r>
      <w:r>
        <w:t xml:space="preserve"> </w:t>
      </w:r>
      <w:r>
        <w:t xml:space="preserve">unharmonised across Europe.</w:t>
      </w:r>
    </w:p>
    <w:p>
      <w:pPr>
        <w:pStyle w:val="BodyText"/>
      </w:pPr>
      <w:r>
        <w:t xml:space="preserve">278 A full legal analysis was conducted during this study and is available in Annex 13c.</w:t>
      </w:r>
      <w:r>
        <w:t xml:space="preserve"> </w:t>
      </w:r>
      <w:r>
        <w:t xml:space="preserve">279 Special Eurobarometer 456, 2017. Available at: https://europa.eu/eurobarometer/surveys/detail/2111.</w:t>
      </w:r>
    </w:p>
    <w:p>
      <w:pPr>
        <w:pStyle w:val="BodyText"/>
      </w:pPr>
      <w:r>
        <w:t xml:space="preserve">371</w:t>
      </w:r>
      <w:r>
        <w:t xml:space="preserve"> </w:t>
      </w:r>
      <w:r>
        <w:t xml:space="preserve">Problem 2: Difficulty for consumers to understand the hazard and safety communication on</w:t>
      </w:r>
      <w:r>
        <w:t xml:space="preserve"> </w:t>
      </w:r>
      <w:r>
        <w:t xml:space="preserve">chemical labels</w:t>
      </w:r>
      <w:r>
        <w:t xml:space="preserve"> </w:t>
      </w:r>
      <w:r>
        <w:t xml:space="preserve">One of the problems that needs to be tackled is the current low understanding of chemical</w:t>
      </w:r>
      <w:r>
        <w:t xml:space="preserve"> </w:t>
      </w:r>
      <w:r>
        <w:t xml:space="preserve">labels among consumers in Europe, with significant variation across user groups and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In Special Eurobarometer 456, less than half of respondents (45%) felt informed about the</w:t>
      </w:r>
      <w:r>
        <w:t xml:space="preserve"> </w:t>
      </w:r>
      <w:r>
        <w:t xml:space="preserve">potential dangers of chemicals in consumer products. In consultations carried out for this</w:t>
      </w:r>
      <w:r>
        <w:t xml:space="preserve"> </w:t>
      </w:r>
      <w:r>
        <w:t xml:space="preserve">study, all stakeholder groups (except public authorities) indicated that the clarity and</w:t>
      </w:r>
      <w:r>
        <w:t xml:space="preserve"> </w:t>
      </w:r>
      <w:r>
        <w:t xml:space="preserve">understanding of chemical labels could be improved. Similarly, during interviews, a</w:t>
      </w:r>
      <w:r>
        <w:t xml:space="preserve"> </w:t>
      </w:r>
      <w:r>
        <w:t xml:space="preserve">majority of stakeholders from both the business sectors and consumer associations stated</w:t>
      </w:r>
      <w:r>
        <w:t xml:space="preserve"> </w:t>
      </w:r>
      <w:r>
        <w:t xml:space="preserve">that chemical labels as they are now are not well understood by consumers, for a variety of</w:t>
      </w:r>
      <w:r>
        <w:t xml:space="preserve"> </w:t>
      </w:r>
      <w:r>
        <w:t xml:space="preserve">reasons.</w:t>
      </w:r>
      <w:r>
        <w:br/>
      </w:r>
      <w:r>
        <w:t xml:space="preserve">Furthermore, consumer understanding of chemical labels is very heterogeneous across</w:t>
      </w:r>
      <w:r>
        <w:t xml:space="preserve"> </w:t>
      </w:r>
      <w:r>
        <w:t xml:space="preserve">Europe. Indeed, in the Special Eurobarometer survey, Northern Europeans reported feeling</w:t>
      </w:r>
      <w:r>
        <w:t xml:space="preserve"> </w:t>
      </w:r>
      <w:r>
        <w:t xml:space="preserve">more informed compared with Southern Europeans. This heterogeneity was also highlighted</w:t>
      </w:r>
      <w:r>
        <w:t xml:space="preserve"> </w:t>
      </w:r>
      <w:r>
        <w:t xml:space="preserve">during the interviews where, for example, two stakeholders from both the business and</w:t>
      </w:r>
      <w:r>
        <w:t xml:space="preserve"> </w:t>
      </w:r>
      <w:r>
        <w:t xml:space="preserve">consumer sectors highlighted the fact that in Denmark there is a high awareness and</w:t>
      </w:r>
      <w:r>
        <w:t xml:space="preserve"> </w:t>
      </w:r>
      <w:r>
        <w:t xml:space="preserve">understanding of chemical labels among consumers. This can be explained by a highly-</w:t>
      </w:r>
      <w:r>
        <w:t xml:space="preserve"> </w:t>
      </w:r>
      <w:r>
        <w:t xml:space="preserve">educated population, consumer associations and national authorities that actively inform</w:t>
      </w:r>
      <w:r>
        <w:t xml:space="preserve"> </w:t>
      </w:r>
      <w:r>
        <w:t xml:space="preserve">consumers, and a high-level of digital literacy with consumers willing to look for further</w:t>
      </w:r>
      <w:r>
        <w:t xml:space="preserve"> </w:t>
      </w:r>
      <w:r>
        <w:t xml:space="preserve">information online.</w:t>
      </w:r>
      <w:r>
        <w:t xml:space="preserve"> </w:t>
      </w:r>
      <w:r>
        <w:t xml:space="preserve">Finally, understanding of chemical labels also varies between consumers and professional</w:t>
      </w:r>
      <w:r>
        <w:t xml:space="preserve"> </w:t>
      </w:r>
      <w:r>
        <w:t xml:space="preserve">users and industrial workers. All categories of stakeholders pointed out that there is a clear</w:t>
      </w:r>
      <w:r>
        <w:t xml:space="preserve"> </w:t>
      </w:r>
      <w:r>
        <w:t xml:space="preserve">difference in understanding of hazard and safety instructions communicated on chemical</w:t>
      </w:r>
      <w:r>
        <w:t xml:space="preserve"> </w:t>
      </w:r>
      <w:r>
        <w:t xml:space="preserve">labels between these different user groups. This difference is explained by the fact that</w:t>
      </w:r>
      <w:r>
        <w:t xml:space="preserve"> </w:t>
      </w:r>
      <w:r>
        <w:t xml:space="preserve">professional and industrial workers are trained to understand the information on the label</w:t>
      </w:r>
      <w:r>
        <w:t xml:space="preserve"> </w:t>
      </w:r>
      <w:r>
        <w:t xml:space="preserve">and that they have access to additional tools (e.g. the Safety Data Sheet). Moreover, around</w:t>
      </w:r>
      <w:r>
        <w:t xml:space="preserve"> </w:t>
      </w:r>
      <w:r>
        <w:t xml:space="preserve">two-thirds of companies also provide additional training on chemical products or</w:t>
      </w:r>
      <w:r>
        <w:t xml:space="preserve"> </w:t>
      </w:r>
      <w:r>
        <w:t xml:space="preserve">substances, e.g. on hazards or precautions of safely using these products. A combination of</w:t>
      </w:r>
      <w:r>
        <w:t xml:space="preserve"> </w:t>
      </w:r>
      <w:r>
        <w:t xml:space="preserve">these measures explains the higher level of understanding of chemical labels among</w:t>
      </w:r>
      <w:r>
        <w:t xml:space="preserve"> </w:t>
      </w:r>
      <w:r>
        <w:t xml:space="preserve">professional users and industrial workers compared to the consumers.</w:t>
      </w:r>
      <w:r>
        <w:br/>
      </w:r>
      <w:r>
        <w:t xml:space="preserve">Problem 3: Labels overloaded with information</w:t>
      </w:r>
      <w:r>
        <w:t xml:space="preserve"> </w:t>
      </w:r>
      <w:r>
        <w:t xml:space="preserve">Sub-problem 1: Overlapping and duplicated ingredients</w:t>
      </w:r>
      <w:r>
        <w:br/>
      </w:r>
      <w:r>
        <w:t xml:space="preserve">The current labelling requirements in the CLP Regulation can lead, in some cases, to an</w:t>
      </w:r>
      <w:r>
        <w:t xml:space="preserve"> </w:t>
      </w:r>
      <w:r>
        <w:t xml:space="preserve">overlap or a redundancy of information between ingredients. Under CLP, ingredients</w:t>
      </w:r>
      <w:r>
        <w:t xml:space="preserve"> </w:t>
      </w:r>
      <w:r>
        <w:t xml:space="preserve">that present a chemical hazard should be included on the product label using the chemical</w:t>
      </w:r>
      <w:r>
        <w:t xml:space="preserve"> </w:t>
      </w:r>
      <w:r>
        <w:t xml:space="preserve">name (e.g., MEA-dodecylbenzene sulfonate), whereas under the Detergents Regulation</w:t>
      </w:r>
      <w:r>
        <w:t xml:space="preserve"> </w:t>
      </w:r>
      <w:r>
        <w:t xml:space="preserve">ingredients can be listed under a generic name (e.g., anionic surfactant). Complying with</w:t>
      </w:r>
      <w:r>
        <w:t xml:space="preserve"> </w:t>
      </w:r>
      <w:r>
        <w:t xml:space="preserve">the labelling requirements of both Regulations results in the labelling of the same ingredient</w:t>
      </w:r>
      <w:r>
        <w:t xml:space="preserve"> </w:t>
      </w:r>
      <w:r>
        <w:t xml:space="preserve">twice, and in some cases using different names.</w:t>
      </w:r>
      <w:r>
        <w:br/>
      </w:r>
      <w:r>
        <w:t xml:space="preserve">The Detergents Regulation requires the label to include the allergenic fragrances listed in</w:t>
      </w:r>
      <w:r>
        <w:t xml:space="preserve"> </w:t>
      </w:r>
      <w:r>
        <w:t xml:space="preserve">Annex III to the CPR and which are added to detergents at concentrations exceeding 0.01%</w:t>
      </w:r>
    </w:p>
    <w:p>
      <w:pPr>
        <w:pStyle w:val="BodyText"/>
      </w:pPr>
      <w:r>
        <w:t xml:space="preserve">372</w:t>
      </w:r>
      <w:r>
        <w:t xml:space="preserve"> </w:t>
      </w:r>
      <w:r>
        <w:t xml:space="preserve">by weight on detergents’ labels. The labelling of these fragrances shall be done by using the</w:t>
      </w:r>
      <w:r>
        <w:t xml:space="preserve"> </w:t>
      </w:r>
      <w:r>
        <w:t xml:space="preserve">International Nomenclature of Cosmetic Ingredients (</w:t>
      </w:r>
      <w:r>
        <w:t xml:space="preserve">“INCI names”</w:t>
      </w:r>
      <w:r>
        <w:t xml:space="preserve">).</w:t>
      </w:r>
      <w:r>
        <w:br/>
      </w:r>
      <w:r>
        <w:t xml:space="preserve">In parallel, the CLP requires the inclusion of skin sensitisers (i.e., allergenic substances like</w:t>
      </w:r>
      <w:r>
        <w:t xml:space="preserve"> </w:t>
      </w:r>
      <w:r>
        <w:t xml:space="preserve">preservatives and fragrances) in the list of ingredients that need to figure on the product</w:t>
      </w:r>
      <w:r>
        <w:t xml:space="preserve"> </w:t>
      </w:r>
      <w:r>
        <w:t xml:space="preserve">label when they are present above certain thresholds. These thresholds are different from</w:t>
      </w:r>
      <w:r>
        <w:t xml:space="preserve"> </w:t>
      </w:r>
      <w:r>
        <w:t xml:space="preserve">the thresholds provided in the Detergents Regulation, the latter being lower than the former.</w:t>
      </w:r>
      <w:r>
        <w:t xml:space="preserve"> </w:t>
      </w:r>
      <w:r>
        <w:t xml:space="preserve">As most allergenic fragrance ingredients under the Cosmetic Products Regulation are also</w:t>
      </w:r>
      <w:r>
        <w:t xml:space="preserve"> </w:t>
      </w:r>
      <w:r>
        <w:t xml:space="preserve">classified as skin sensitisers under the CLP this may lead to the labelling of the same</w:t>
      </w:r>
      <w:r>
        <w:t xml:space="preserve"> </w:t>
      </w:r>
      <w:r>
        <w:t xml:space="preserve">substance twice, once with its INCI name following the Detergents Regulation and once</w:t>
      </w:r>
      <w:r>
        <w:t xml:space="preserve"> </w:t>
      </w:r>
      <w:r>
        <w:t xml:space="preserve">following the CLP with its chemical name.</w:t>
      </w:r>
      <w:r>
        <w:t xml:space="preserve"> </w:t>
      </w:r>
      <w:r>
        <w:t xml:space="preserve">Addressing this redundancy could increase the efficiency of hazard and safety</w:t>
      </w:r>
      <w:r>
        <w:t xml:space="preserve"> </w:t>
      </w:r>
      <w:r>
        <w:t xml:space="preserve">communication on chemical labels and improve their understanding, and reduce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A full analysis of the legal overlaps, inconsistencies and duplications can be found in Annex</w:t>
      </w:r>
      <w:r>
        <w:t xml:space="preserve"> </w:t>
      </w:r>
      <w:r>
        <w:t xml:space="preserve">10c.</w:t>
      </w:r>
      <w:r>
        <w:t xml:space="preserve"> </w:t>
      </w:r>
      <w:r>
        <w:t xml:space="preserve">Sub-problem 2: A lot of information communicated through written texts</w:t>
      </w:r>
      <w:r>
        <w:br/>
      </w:r>
      <w:r>
        <w:t xml:space="preserve">In addition to legal inconsistencies, the sub-optimal framing of information as described in</w:t>
      </w:r>
      <w:r>
        <w:t xml:space="preserve"> </w:t>
      </w:r>
      <w:r>
        <w:t xml:space="preserve">driver 2 also contributes to overloaded labels because a lot of information is communicated</w:t>
      </w:r>
      <w:r>
        <w:t xml:space="preserve"> </w:t>
      </w:r>
      <w:r>
        <w:t xml:space="preserve">through written text which takes a lot of space on labels.</w:t>
      </w:r>
      <w:r>
        <w:t xml:space="preserve"> </w:t>
      </w:r>
      <w:r>
        <w:t xml:space="preserve">Information overload makes it difficult for users to focus on the most relevant information</w:t>
      </w:r>
      <w:r>
        <w:t xml:space="preserve"> </w:t>
      </w:r>
      <w:r>
        <w:t xml:space="preserve">on the label. In particular, the long hazard (H) and precautionary (P) statements on multi-</w:t>
      </w:r>
      <w:r>
        <w:t xml:space="preserve"> </w:t>
      </w:r>
      <w:r>
        <w:t xml:space="preserve">lingual labels can result in a significant amount of information that can become difficult to</w:t>
      </w:r>
      <w:r>
        <w:t xml:space="preserve"> </w:t>
      </w:r>
      <w:r>
        <w:t xml:space="preserve">read and understand. In addition, the overload of labels lead to texts being written in very</w:t>
      </w:r>
      <w:r>
        <w:t xml:space="preserve"> </w:t>
      </w:r>
      <w:r>
        <w:t xml:space="preserve">small print/font size which hampers readability. While multi-lingual labels foster the single</w:t>
      </w:r>
      <w:r>
        <w:t xml:space="preserve"> </w:t>
      </w:r>
      <w:r>
        <w:t xml:space="preserve">market and they can be beneficial economically for businesses, the overloaded label clashes</w:t>
      </w:r>
      <w:r>
        <w:t xml:space="preserve"> </w:t>
      </w:r>
      <w:r>
        <w:t xml:space="preserve">with consumer protection by hindering labels’ readability.</w:t>
      </w:r>
      <w:r>
        <w:t xml:space="preserve"> </w:t>
      </w:r>
      <w:r>
        <w:t xml:space="preserve">Furthermore, while a lot of information are written on the labels, it can be argued that</w:t>
      </w:r>
      <w:r>
        <w:t xml:space="preserve"> </w:t>
      </w:r>
      <w:r>
        <w:t xml:space="preserve">consumers spend little time reading the information provided on chemical labels. According</w:t>
      </w:r>
      <w:r>
        <w:t xml:space="preserve"> </w:t>
      </w:r>
      <w:r>
        <w:t xml:space="preserve">to a study commissioned by A.I.S.E, consumers spend 22 seconds on average to read</w:t>
      </w:r>
      <w:r>
        <w:t xml:space="preserve"> </w:t>
      </w:r>
      <w:r>
        <w:t xml:space="preserve">chemical labels, irrespective of the content.280 Interviews conducted for this study</w:t>
      </w:r>
      <w:r>
        <w:t xml:space="preserve"> </w:t>
      </w:r>
      <w:r>
        <w:t xml:space="preserve">confirmed that consumers usually spend only a few seconds reading labels, except in case</w:t>
      </w:r>
      <w:r>
        <w:t xml:space="preserve"> </w:t>
      </w:r>
      <w:r>
        <w:t xml:space="preserve">of accidents. In comparison, the behavioural experiment for this study showed that, on</w:t>
      </w:r>
      <w:r>
        <w:t xml:space="preserve"> </w:t>
      </w:r>
      <w:r>
        <w:t xml:space="preserve">average, 62 seconds for laundry detergent and 78 seconds for the glue were required for</w:t>
      </w:r>
      <w:r>
        <w:t xml:space="preserve"> </w:t>
      </w:r>
      <w:r>
        <w:t xml:space="preserve">consumers to answer a set of questions about the content of the label. For both products,</w:t>
      </w:r>
      <w:r>
        <w:t xml:space="preserve"> </w:t>
      </w:r>
      <w:r>
        <w:t xml:space="preserve">there was a positive and significant relationship between the time spent reading the label</w:t>
      </w:r>
      <w:r>
        <w:t xml:space="preserve"> </w:t>
      </w:r>
      <w:r>
        <w:t xml:space="preserve">and the chances of a correct answer to questions on product hazards. In summary, without</w:t>
      </w:r>
      <w:r>
        <w:t xml:space="preserve"> </w:t>
      </w:r>
      <w:r>
        <w:t xml:space="preserve">an incentive to do so, consumers do not spend sufficient time reading the current chemical</w:t>
      </w:r>
      <w:r>
        <w:t xml:space="preserve"> </w:t>
      </w:r>
      <w:r>
        <w:t xml:space="preserve">labels to understand them. This can lead to gaps in consumer protection, especially in</w:t>
      </w:r>
    </w:p>
    <w:p>
      <w:pPr>
        <w:pStyle w:val="BodyText"/>
      </w:pPr>
      <w:r>
        <w:t xml:space="preserve">280 Maggie Geuens, Dominic Byrne, Geert Boeije, Virginie Peeters and Bert Vandecasteele, 2021,</w:t>
      </w:r>
      <w:r>
        <w:t xml:space="preserve"> </w:t>
      </w:r>
      <w:r>
        <w:t xml:space="preserve">“Investigating the effectiveness of simplified labels for safe use communication: The case of household</w:t>
      </w:r>
      <w:r>
        <w:t xml:space="preserve"> </w:t>
      </w:r>
      <w:r>
        <w:t xml:space="preserve">detergents”. International Journal of Consumer Studies, DOI: 10.1111/ijcs.12662.</w:t>
      </w:r>
    </w:p>
    <w:p>
      <w:pPr>
        <w:pStyle w:val="BodyText"/>
      </w:pPr>
      <w:r>
        <w:t xml:space="preserve">373</w:t>
      </w:r>
      <w:r>
        <w:t xml:space="preserve"> </w:t>
      </w:r>
      <w:r>
        <w:t xml:space="preserve">conjunction with some labelling requirements, such as long written statements, that are</w:t>
      </w:r>
      <w:r>
        <w:t xml:space="preserve"> </w:t>
      </w:r>
      <w:r>
        <w:t xml:space="preserve">difficult to understand quickly.</w:t>
      </w:r>
      <w:r>
        <w:t xml:space="preserve"> </w:t>
      </w:r>
      <w:r>
        <w:t xml:space="preserve">Magnitude and EU dimension of the problem</w:t>
      </w:r>
      <w:r>
        <w:t xml:space="preserve"> </w:t>
      </w:r>
      <w:r>
        <w:t xml:space="preserve">The magnitude of the problems described above can be first assessed by looking at the size</w:t>
      </w:r>
      <w:r>
        <w:t xml:space="preserve"> </w:t>
      </w:r>
      <w:r>
        <w:t xml:space="preserve">of the chemicals sector in Europe, and therefore at the size of the market of impacted</w:t>
      </w:r>
      <w:r>
        <w:t xml:space="preserve"> </w:t>
      </w:r>
      <w:r>
        <w:t xml:space="preserve">products. Europe is the second largest chemicals producer in the world with 499 billion</w:t>
      </w:r>
      <w:r>
        <w:t xml:space="preserve"> </w:t>
      </w:r>
      <w:r>
        <w:t xml:space="preserve">euros (7,5% of EU manufacturing by turnover ) and 14,4% of global sales. In terms of</w:t>
      </w:r>
      <w:r>
        <w:t xml:space="preserve"> </w:t>
      </w:r>
      <w:r>
        <w:t xml:space="preserve">allocation across Europe, two thirds of these sales are made in four Member States:</w:t>
      </w:r>
      <w:r>
        <w:t xml:space="preserve"> </w:t>
      </w:r>
      <w:r>
        <w:t xml:space="preserve">Germany (32,1%), France (13,5%), Italy (10,7%) and the Netherlands (8,9%). In addition,</w:t>
      </w:r>
      <w:r>
        <w:t xml:space="preserve"> </w:t>
      </w:r>
      <w:r>
        <w:t xml:space="preserve">the sector is responsible for the direct employment of about 1,2 million people in Europe</w:t>
      </w:r>
      <w:r>
        <w:t xml:space="preserve"> </w:t>
      </w:r>
      <w:r>
        <w:t xml:space="preserve">and it supplies almost all sectors of the economy (textiles, construction, agriculture,</w:t>
      </w:r>
      <w:r>
        <w:t xml:space="preserve"> </w:t>
      </w:r>
      <w:r>
        <w:t xml:space="preserve">transport, health, hygiene, housing, food…) because 56% of EU chemicals are sold as an</w:t>
      </w:r>
      <w:r>
        <w:t xml:space="preserve"> </w:t>
      </w:r>
      <w:r>
        <w:t xml:space="preserve">input to other industrial sectors.</w:t>
      </w:r>
      <w:r>
        <w:br/>
      </w:r>
      <w:r>
        <w:t xml:space="preserve">The important place of the chemical sector in the European economy and the use of</w:t>
      </w:r>
      <w:r>
        <w:t xml:space="preserve"> </w:t>
      </w:r>
      <w:r>
        <w:t xml:space="preserve">multilingual labels to allow for economies of scale and to foster the internal market in</w:t>
      </w:r>
      <w:r>
        <w:t xml:space="preserve"> </w:t>
      </w:r>
      <w:r>
        <w:t xml:space="preserve">Europe contribute to the EU dimension of the problems described above. More information</w:t>
      </w:r>
      <w:r>
        <w:t xml:space="preserve"> </w:t>
      </w:r>
      <w:r>
        <w:t xml:space="preserve">on the size of the market of chemical products in EU is provided under the description of</w:t>
      </w:r>
      <w:r>
        <w:t xml:space="preserve"> </w:t>
      </w:r>
      <w:r>
        <w:t xml:space="preserve">the baseline in Chapter 5.</w:t>
      </w:r>
      <w:r>
        <w:t xml:space="preserve"> </w:t>
      </w:r>
      <w:r>
        <w:t xml:space="preserve">The extent to which European consumers are impacted by the above mentioned problems</w:t>
      </w:r>
      <w:r>
        <w:t xml:space="preserve"> </w:t>
      </w:r>
      <w:r>
        <w:t xml:space="preserve">also needs to be considered. According to the Special Eurobarometer 456, less than half of</w:t>
      </w:r>
      <w:r>
        <w:t xml:space="preserve"> </w:t>
      </w:r>
      <w:r>
        <w:t xml:space="preserve">respondents (45%) felt informed about the potential dangers of chemicals in consumer</w:t>
      </w:r>
      <w:r>
        <w:t xml:space="preserve"> </w:t>
      </w:r>
      <w:r>
        <w:t xml:space="preserve">products. Similarly, the behavioural experiment shows that for the current label, the</w:t>
      </w:r>
      <w:r>
        <w:t xml:space="preserve"> </w:t>
      </w:r>
      <w:r>
        <w:t xml:space="preserve">objective understanding of product hazards, precautionary measures and ingredients were</w:t>
      </w:r>
      <w:r>
        <w:t xml:space="preserve"> </w:t>
      </w:r>
      <w:r>
        <w:t xml:space="preserve">rather poor.</w:t>
      </w:r>
      <w:r>
        <w:br/>
      </w:r>
      <w:r>
        <w:t xml:space="preserve">Finally, since only voluntary industry initiatives exist at EU level to use digital labels, there</w:t>
      </w:r>
      <w:r>
        <w:t xml:space="preserve"> </w:t>
      </w:r>
      <w:r>
        <w:t xml:space="preserve">are only ad hoc practices by manufacturers, and therefore a very limited and inconsistent</w:t>
      </w:r>
      <w:r>
        <w:t xml:space="preserve"> </w:t>
      </w:r>
      <w:r>
        <w:t xml:space="preserve">use of such labels across all EU Member States.</w:t>
      </w:r>
      <w:r>
        <w:t xml:space="preserve"> </w:t>
      </w:r>
      <w:r>
        <w:t xml:space="preserve">Stakeholders affected by the problem</w:t>
      </w:r>
      <w:r>
        <w:t xml:space="preserve"> </w:t>
      </w:r>
      <w:r>
        <w:t xml:space="preserve">The (sub)problems identified lead to a variety of consequences:</w:t>
      </w:r>
      <w:r>
        <w:t xml:space="preserve"> </w:t>
      </w:r>
      <w:r>
        <w:t xml:space="preserve">Consumers: the apparent lack of understanding of the information on chemical labels is a</w:t>
      </w:r>
      <w:r>
        <w:t xml:space="preserve"> </w:t>
      </w:r>
      <w:r>
        <w:t xml:space="preserve">significant issue as these are the primary tool for communicating the hazards associated with</w:t>
      </w:r>
      <w:r>
        <w:t xml:space="preserve"> </w:t>
      </w:r>
      <w:r>
        <w:t xml:space="preserve">the use of certain products. Misunderstanding of their meaning may lead to the inappropriate</w:t>
      </w:r>
      <w:r>
        <w:t xml:space="preserve"> </w:t>
      </w:r>
      <w:r>
        <w:t xml:space="preserve">use of products, potentially resulting in negative impacts to human health and/or the</w:t>
      </w:r>
      <w:r>
        <w:t xml:space="preserve"> </w:t>
      </w:r>
      <w:r>
        <w:t xml:space="preserve">environment. Indeed, the main sources of information for consumers on the potential</w:t>
      </w:r>
      <w:r>
        <w:t xml:space="preserve"> </w:t>
      </w:r>
      <w:r>
        <w:t xml:space="preserve">dangers of chemicals are product labels (used by 70%) and the media (53%).281 A lack of</w:t>
      </w:r>
      <w:r>
        <w:t xml:space="preserve"> </w:t>
      </w:r>
      <w:r>
        <w:t xml:space="preserve">understanding of chemical labels by consumers, leads to a lack of awareness about the</w:t>
      </w:r>
      <w:r>
        <w:t xml:space="preserve"> </w:t>
      </w:r>
      <w:r>
        <w:t xml:space="preserve">dangers of chemicals, with a potential detriment for their health and safety.</w:t>
      </w:r>
      <w:r>
        <w:br/>
      </w:r>
      <w:r>
        <w:t xml:space="preserve">Environment: in addition to the impacts on consumers’ health, the inappropriate use of</w:t>
      </w:r>
      <w:r>
        <w:t xml:space="preserve"> </w:t>
      </w:r>
      <w:r>
        <w:t xml:space="preserve">products can have negative effects on the environment, especially if the rules on dosage or</w:t>
      </w:r>
    </w:p>
    <w:p>
      <w:pPr>
        <w:pStyle w:val="BodyText"/>
      </w:pPr>
      <w:r>
        <w:t xml:space="preserve">281 Special Eurobarometer 456, 2017. Available at: https://europa.eu/eurobarometer/surveys/detail/2111.</w:t>
      </w:r>
    </w:p>
    <w:p>
      <w:pPr>
        <w:pStyle w:val="BodyText"/>
      </w:pPr>
      <w:r>
        <w:t xml:space="preserve">374</w:t>
      </w:r>
      <w:r>
        <w:t xml:space="preserve"> </w:t>
      </w:r>
      <w:r>
        <w:t xml:space="preserve">disposal of the product, as communicated on the label, are not respected. Understanding of</w:t>
      </w:r>
      <w:r>
        <w:t xml:space="preserve"> </w:t>
      </w:r>
      <w:r>
        <w:t xml:space="preserve">chemical labels is therefore of primordial importance to ensure a sustainable use of chemical</w:t>
      </w:r>
      <w:r>
        <w:t xml:space="preserve"> </w:t>
      </w:r>
      <w:r>
        <w:t xml:space="preserve">products in the environment.</w:t>
      </w:r>
      <w:r>
        <w:t xml:space="preserve"> </w:t>
      </w:r>
      <w:r>
        <w:t xml:space="preserve">Industry: a cumulative costs assessment study found that certain chemical industries, in this</w:t>
      </w:r>
      <w:r>
        <w:t xml:space="preserve"> </w:t>
      </w:r>
      <w:r>
        <w:t xml:space="preserve">case the detergents industry, faces a relatively high administrative burden to comply with</w:t>
      </w:r>
      <w:r>
        <w:t xml:space="preserve"> </w:t>
      </w:r>
      <w:r>
        <w:t xml:space="preserve">EU legislation compared with other sub-sectors within the EU chemicals industry.282</w:t>
      </w:r>
      <w:r>
        <w:t xml:space="preserve"> </w:t>
      </w:r>
      <w:r>
        <w:t xml:space="preserve">Further, an evaluation of the detergents regulation283 found that labelling requirements are</w:t>
      </w:r>
      <w:r>
        <w:t xml:space="preserve"> </w:t>
      </w:r>
      <w:r>
        <w:t xml:space="preserve">an important part of such administrative burdens and concluded that, in light of the above</w:t>
      </w:r>
      <w:r>
        <w:t xml:space="preserve"> </w:t>
      </w:r>
      <w:r>
        <w:t xml:space="preserve">challenges, there may be a need to consider more innovative communication approaches to</w:t>
      </w:r>
      <w:r>
        <w:t xml:space="preserve"> </w:t>
      </w:r>
      <w:r>
        <w:t xml:space="preserve">reduce information overload and to enable consumers to access additional information on</w:t>
      </w:r>
      <w:r>
        <w:t xml:space="preserve"> </w:t>
      </w:r>
      <w:r>
        <w:t xml:space="preserve">the properties of products and on their safe use. In particular, the use of digital tools was put</w:t>
      </w:r>
      <w:r>
        <w:t xml:space="preserve"> </w:t>
      </w:r>
      <w:r>
        <w:t xml:space="preserve">forward as a possible solution.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Without any interventions, the problems described above will continue to exist, and to have</w:t>
      </w:r>
      <w:r>
        <w:t xml:space="preserve"> </w:t>
      </w:r>
      <w:r>
        <w:t xml:space="preserve">social, economic, and environmental consequences.</w:t>
      </w:r>
      <w:r>
        <w:br/>
      </w:r>
      <w:r>
        <w:t xml:space="preserve">The foreseen revisions of CLP and the Detergents Regulation could have a positive impact</w:t>
      </w:r>
      <w:r>
        <w:t xml:space="preserve"> </w:t>
      </w:r>
      <w:r>
        <w:t xml:space="preserve">and contribute to diminishing the problems related to the understanding of hazard and safety</w:t>
      </w:r>
      <w:r>
        <w:t xml:space="preserve"> </w:t>
      </w:r>
      <w:r>
        <w:t xml:space="preserve">information by consumers and labels overloaded with information in the future. However,</w:t>
      </w:r>
      <w:r>
        <w:t xml:space="preserve"> </w:t>
      </w:r>
      <w:r>
        <w:t xml:space="preserve">without any interventions to regulate and promote digital labelling, its use will remain</w:t>
      </w:r>
      <w:r>
        <w:t xml:space="preserve"> </w:t>
      </w:r>
      <w:r>
        <w:t xml:space="preserve">inferior to its potential, with dispersed ad hoc practices by manufacturers across Europe.</w:t>
      </w:r>
      <w:r>
        <w:br/>
      </w:r>
      <w:r>
        <w:t xml:space="preserve">The description of how the problems will evolve in the future without intervention is further</w:t>
      </w:r>
      <w:r>
        <w:t xml:space="preserve"> </w:t>
      </w:r>
      <w:r>
        <w:t xml:space="preserve">expanded in the Chapter 5, in the description of policy option 0.</w:t>
      </w:r>
      <w:r>
        <w:t xml:space="preserve"> </w:t>
      </w:r>
      <w:r>
        <w:t xml:space="preserve">The ongoing developments in the context of the Digital Product Passport and the</w:t>
      </w:r>
      <w:r>
        <w:t xml:space="preserve"> </w:t>
      </w:r>
      <w:r>
        <w:t xml:space="preserve">development of a GHS framework for digitalisation means that eventually there would the</w:t>
      </w:r>
      <w:r>
        <w:t xml:space="preserve"> </w:t>
      </w:r>
      <w:r>
        <w:t xml:space="preserve">risk of future inconsistencies or shortcomings in EU legislation.</w:t>
      </w:r>
    </w:p>
    <w:p>
      <w:pPr>
        <w:pStyle w:val="BodyText"/>
      </w:pPr>
      <w:r>
        <w:t xml:space="preserve">OBJECTIVES</w:t>
      </w:r>
      <w:r>
        <w:t xml:space="preserve"> </w:t>
      </w:r>
      <w:r>
        <w:t xml:space="preserve">The general objective of the digitalisation of labelling requirements under the CLP</w:t>
      </w:r>
      <w:r>
        <w:t xml:space="preserve"> </w:t>
      </w:r>
      <w:r>
        <w:t xml:space="preserve">regulation is to ensure and improve consumer safety, in light of the digitalisation trend.</w:t>
      </w:r>
      <w:r>
        <w:t xml:space="preserve"> </w:t>
      </w:r>
      <w:r>
        <w:t xml:space="preserve">In other words, the policy options developed under this initiative must ensure a higher or at</w:t>
      </w:r>
      <w:r>
        <w:t xml:space="preserve"> </w:t>
      </w:r>
      <w:r>
        <w:t xml:space="preserve">least the same level of safety for consumers using chemical products, while allowing</w:t>
      </w:r>
      <w:r>
        <w:t xml:space="preserve"> </w:t>
      </w:r>
      <w:r>
        <w:t xml:space="preserve">industry and society to reap the benefits of digitalisation for chemical labels.</w:t>
      </w:r>
      <w:r>
        <w:br/>
      </w:r>
      <w:r>
        <w:t xml:space="preserve">This general objective is in line with the objectives of the CLP Regulation, to ensure a high</w:t>
      </w:r>
      <w:r>
        <w:t xml:space="preserve"> </w:t>
      </w:r>
      <w:r>
        <w:t xml:space="preserve">level of protection of human health and environment as well as the free movement of</w:t>
      </w:r>
    </w:p>
    <w:p>
      <w:pPr>
        <w:pStyle w:val="BodyText"/>
      </w:pPr>
      <w:r>
        <w:t xml:space="preserve">282 European Commission, 2016, Cumulative cost assessment for the EU Chemical Industry. Final Report.</w:t>
      </w:r>
      <w:r>
        <w:t xml:space="preserve"> </w:t>
      </w:r>
      <w:r>
        <w:t xml:space="preserve">https://ec.europa.eu/docsroom/documents/17784/attachments/1/translations/en/renditions/pdf.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A.I.S.E</w:t>
      </w:r>
      <w:r>
        <w:t xml:space="preserve"> </w:t>
      </w:r>
      <w:r>
        <w:t xml:space="preserve">Factsheet,</w:t>
      </w:r>
      <w:r>
        <w:t xml:space="preserve"> </w:t>
      </w:r>
      <w:r>
        <w:t xml:space="preserve">Findings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detergents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products</w:t>
      </w:r>
      <w:r>
        <w:t xml:space="preserve"> </w:t>
      </w:r>
      <w:r>
        <w:t xml:space="preserve">industry.</w:t>
      </w:r>
      <w:r>
        <w:t xml:space="preserve"> </w:t>
      </w:r>
      <w:r>
        <w:t xml:space="preserve">https://www.aise.eu/documents/document/20161024164027-</w:t>
      </w:r>
      <w:r>
        <w:t xml:space="preserve"> </w:t>
      </w:r>
      <w:r>
        <w:t xml:space="preserve">cumulative_cost_assessment_aise_factsheet_oct_2016_final.pdf</w:t>
      </w:r>
      <w:r>
        <w:br/>
      </w:r>
      <w:r>
        <w:t xml:space="preserve">283 Commission Staff Working Document, Evaluation of Regulation (EC) No 648/2004 of the 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31</w:t>
      </w:r>
      <w:r>
        <w:t xml:space="preserve"> </w:t>
      </w:r>
      <w:r>
        <w:t xml:space="preserve">March</w:t>
      </w:r>
      <w:r>
        <w:t xml:space="preserve"> </w:t>
      </w:r>
      <w:r>
        <w:t xml:space="preserve">2004</w:t>
      </w:r>
      <w:r>
        <w:t xml:space="preserve"> </w:t>
      </w:r>
      <w:r>
        <w:t xml:space="preserve">on</w:t>
      </w:r>
      <w:r>
        <w:t xml:space="preserve"> </w:t>
      </w:r>
      <w:r>
        <w:t xml:space="preserve">detergents:</w:t>
      </w:r>
      <w:r>
        <w:t xml:space="preserve"> </w:t>
      </w:r>
      <w:r>
        <w:t xml:space="preserve">https://ec.europa.eu/docsroom/documents/36289</w:t>
      </w:r>
    </w:p>
    <w:p>
      <w:pPr>
        <w:pStyle w:val="BodyText"/>
      </w:pPr>
      <w:r>
        <w:t xml:space="preserve">375</w:t>
      </w:r>
      <w:r>
        <w:t xml:space="preserve"> </w:t>
      </w:r>
      <w:r>
        <w:t xml:space="preserve">chemical substances, mixtures and certain specific articles, while enhancing</w:t>
      </w:r>
      <w:r>
        <w:t xml:space="preserve"> </w:t>
      </w:r>
      <w:r>
        <w:t xml:space="preserve">competitiveness and innovation.284</w:t>
      </w:r>
      <w:r>
        <w:br/>
      </w:r>
      <w:r>
        <w:t xml:space="preserve">This general objective is also aligned with the general Treaty-based objective of good</w:t>
      </w:r>
      <w:r>
        <w:t xml:space="preserve"> </w:t>
      </w:r>
      <w:r>
        <w:t xml:space="preserve">functioning of the internal market and protection of consumers as enshrined in the TFEU</w:t>
      </w:r>
      <w:r>
        <w:t xml:space="preserve"> </w:t>
      </w:r>
      <w:r>
        <w:t xml:space="preserve">and with the Commission’s long-term objective to make Europe fit for the digital age,</w:t>
      </w:r>
      <w:r>
        <w:t xml:space="preserve"> </w:t>
      </w:r>
      <w:r>
        <w:t xml:space="preserve">allowing citizens and businesses in Europe to seize the potential of digitalisation.285</w:t>
      </w:r>
      <w:r>
        <w:t xml:space="preserve"> </w:t>
      </w:r>
      <w:r>
        <w:t xml:space="preserve">More specifically, the objective of this annex is to explore the possibilities of setting up a</w:t>
      </w:r>
      <w:r>
        <w:t xml:space="preserve"> </w:t>
      </w:r>
      <w:r>
        <w:t xml:space="preserve">future proof regulatory framework allowing the use of digital tools, and to improve</w:t>
      </w:r>
      <w:r>
        <w:t xml:space="preserve"> </w:t>
      </w:r>
      <w:r>
        <w:t xml:space="preserve">consumer understanding and awareness through improved communication of product</w:t>
      </w:r>
      <w:r>
        <w:t xml:space="preserve"> </w:t>
      </w:r>
      <w:r>
        <w:t xml:space="preserve">information.</w:t>
      </w:r>
      <w:r>
        <w:br/>
      </w:r>
      <w:r>
        <w:t xml:space="preserve">The public consultation on the revision of the CLP Regulation found that respondents across</w:t>
      </w:r>
      <w:r>
        <w:t xml:space="preserve"> </w:t>
      </w:r>
      <w:r>
        <w:t xml:space="preserve">all stakeholder groups believe the inclusion of digital labels such as QR codes to be useful,</w:t>
      </w:r>
      <w:r>
        <w:t xml:space="preserve"> </w:t>
      </w:r>
      <w:r>
        <w:t xml:space="preserve">and agreed that there would be cost savings from providing some mandatory information</w:t>
      </w:r>
      <w:r>
        <w:t xml:space="preserve"> </w:t>
      </w:r>
      <w:r>
        <w:t xml:space="preserve">digitally rather than physically on the packaging. In particular, respondents providing</w:t>
      </w:r>
      <w:r>
        <w:t xml:space="preserve"> </w:t>
      </w:r>
      <w:r>
        <w:t xml:space="preserve">position papers across all stakeholder groups (except for ‘EU and Non-EU citizens’)</w:t>
      </w:r>
      <w:r>
        <w:t xml:space="preserve"> </w:t>
      </w:r>
      <w:r>
        <w:t xml:space="preserve">supported digitalisation of labels to improve communication of relevant product</w:t>
      </w:r>
      <w:r>
        <w:t xml:space="preserve"> </w:t>
      </w:r>
      <w:r>
        <w:t xml:space="preserve">information, even though it was highlighted that care must be taken as not all users may</w:t>
      </w:r>
      <w:r>
        <w:t xml:space="preserve"> </w:t>
      </w:r>
      <w:r>
        <w:t xml:space="preserve">have access to digital information.</w:t>
      </w:r>
      <w:r>
        <w:br/>
      </w:r>
      <w:r>
        <w:t xml:space="preserve">Furthermore, concerning chemical labelling in general, the public consultation on the</w:t>
      </w:r>
      <w:r>
        <w:t xml:space="preserve"> </w:t>
      </w:r>
      <w:r>
        <w:t xml:space="preserve">revision of the CLP Regulation found that, when given the option to provide less but clearer</w:t>
      </w:r>
      <w:r>
        <w:t xml:space="preserve"> </w:t>
      </w:r>
      <w:r>
        <w:t xml:space="preserve">information on labels or ‘as much information as possible’, most respondents (80%)</w:t>
      </w:r>
      <w:r>
        <w:t xml:space="preserve"> </w:t>
      </w:r>
      <w:r>
        <w:t xml:space="preserve">indicated that they would prefer less but clearer information. In addition, companies and</w:t>
      </w:r>
      <w:r>
        <w:t xml:space="preserve"> </w:t>
      </w:r>
      <w:r>
        <w:t xml:space="preserve">business associations in particular (but also some citizens, public authorities and civil</w:t>
      </w:r>
      <w:r>
        <w:t xml:space="preserve"> </w:t>
      </w:r>
      <w:r>
        <w:t xml:space="preserve">society organisations) expressed concern that hazard and precautionary statements need to</w:t>
      </w:r>
      <w:r>
        <w:t xml:space="preserve"> </w:t>
      </w:r>
      <w:r>
        <w:t xml:space="preserve">be simplified.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Establishing a baseline</w:t>
      </w:r>
      <w:r>
        <w:t xml:space="preserve"> </w:t>
      </w:r>
      <w:r>
        <w:t xml:space="preserve">The baseline scenario allows for a comparison of the expected effects of the identified policy</w:t>
      </w:r>
      <w:r>
        <w:t xml:space="preserve"> </w:t>
      </w:r>
      <w:r>
        <w:t xml:space="preserve">options against environmental, economic and social trends, as well as legal and political</w:t>
      </w:r>
      <w:r>
        <w:t xml:space="preserve"> </w:t>
      </w:r>
      <w:r>
        <w:t xml:space="preserve">developments, including on global level. In particular, the implementation, in the European</w:t>
      </w:r>
      <w:r>
        <w:t xml:space="preserve"> </w:t>
      </w:r>
      <w:r>
        <w:t xml:space="preserve">Union, of the latest GHS revision and the activities stemming from the Strategic Approach</w:t>
      </w:r>
      <w:r>
        <w:t xml:space="preserve"> </w:t>
      </w:r>
      <w:r>
        <w:t xml:space="preserve">to International Chemical Management, in particular related to waste management.</w:t>
      </w:r>
      <w:r>
        <w:t xml:space="preserve"> </w:t>
      </w:r>
      <w:r>
        <w:t xml:space="preserve">For the forecast analysis, a 20-year period for the projections has been considered.</w:t>
      </w:r>
      <w:r>
        <w:t xml:space="preserve"> </w:t>
      </w:r>
      <w:r>
        <w:t xml:space="preserve">The following chapters describe the current situation concerning the critical developments</w:t>
      </w:r>
      <w:r>
        <w:t xml:space="preserve"> </w:t>
      </w:r>
      <w:r>
        <w:t xml:space="preserve">in the EU population, technological uptake of consumers and enterprises and the size of the</w:t>
      </w:r>
      <w:r>
        <w:t xml:space="preserve"> </w:t>
      </w:r>
      <w:r>
        <w:t xml:space="preserve">chemical industry in the EU.</w:t>
      </w:r>
    </w:p>
    <w:p>
      <w:pPr>
        <w:pStyle w:val="BodyText"/>
      </w:pPr>
      <w:r>
        <w:t xml:space="preserve">284 Recital 1 of the CLP Regulation.</w:t>
      </w:r>
      <w:r>
        <w:br/>
      </w:r>
      <w:r>
        <w:t xml:space="preserve">285 European Commission, A Europe fit for the digital age. https://ec.europa.eu/info/strategy/priorities-2019-</w:t>
      </w:r>
      <w:r>
        <w:t xml:space="preserve"> </w:t>
      </w:r>
      <w:r>
        <w:t xml:space="preserve">2024/europe-fit-digital-age_en</w:t>
      </w:r>
    </w:p>
    <w:p>
      <w:pPr>
        <w:pStyle w:val="BodyText"/>
      </w:pPr>
      <w:r>
        <w:t xml:space="preserve">376</w:t>
      </w:r>
      <w:r>
        <w:t xml:space="preserve"> </w:t>
      </w:r>
      <w:r>
        <w:t xml:space="preserve">Population</w:t>
      </w:r>
      <w:r>
        <w:t xml:space="preserve"> </w:t>
      </w:r>
      <w:r>
        <w:t xml:space="preserve">Developments in the EU population described in the paragraph below are highly important</w:t>
      </w:r>
      <w:r>
        <w:t xml:space="preserve"> </w:t>
      </w:r>
      <w:r>
        <w:t xml:space="preserve">to this study considering the prospects of using digital labels in the future by vulnerable</w:t>
      </w:r>
      <w:r>
        <w:t xml:space="preserve"> </w:t>
      </w:r>
      <w:r>
        <w:t xml:space="preserve">consumers. Analysis of using digital labels needs to be performed in terms of considering</w:t>
      </w:r>
      <w:r>
        <w:t xml:space="preserve"> </w:t>
      </w:r>
      <w:r>
        <w:t xml:space="preserve">the impact of digital labels to the consumers with visual, hearing and mobility impairments</w:t>
      </w:r>
      <w:r>
        <w:t xml:space="preserve"> </w:t>
      </w:r>
      <w:r>
        <w:t xml:space="preserve">as well as older consumers, or consumer with limited to no access to the internet.</w:t>
      </w:r>
      <w:r>
        <w:t xml:space="preserve"> </w:t>
      </w:r>
      <w:r>
        <w:t xml:space="preserve">Concerning vulnerable consumers, the population of the European Union is ageing rapidly.</w:t>
      </w:r>
      <w:r>
        <w:t xml:space="preserve"> </w:t>
      </w:r>
      <w:r>
        <w:t xml:space="preserve">According to Eurostat data, physical and sensory functional limitations increase by age</w:t>
      </w:r>
      <w:r>
        <w:t xml:space="preserve"> </w:t>
      </w:r>
      <w:r>
        <w:t xml:space="preserve">group: on an average 26.8% of population experience a form of limitation (e.g. seeing,</w:t>
      </w:r>
      <w:r>
        <w:t xml:space="preserve"> </w:t>
      </w:r>
      <w:r>
        <w:t xml:space="preserve">hearing or walking). This share increases to 37.1% for the age group above 75 years old286.</w:t>
      </w:r>
      <w:r>
        <w:t xml:space="preserve"> </w:t>
      </w:r>
      <w:r>
        <w:t xml:space="preserve">As an example, at current projections, assuming a constant share of over 75 years olds with</w:t>
      </w:r>
      <w:r>
        <w:t xml:space="preserve"> </w:t>
      </w:r>
      <w:r>
        <w:t xml:space="preserve">physical and sensory functional limitations, the number of EU citizens affected would</w:t>
      </w:r>
      <w:r>
        <w:t xml:space="preserve"> </w:t>
      </w:r>
      <w:r>
        <w:t xml:space="preserve">increase from 16.2 million in 2020, to 20 million in 2030 and 25 million in 2040. This trend</w:t>
      </w:r>
      <w:r>
        <w:t xml:space="preserve"> </w:t>
      </w:r>
      <w:r>
        <w:t xml:space="preserve">is in line with one of the “megatrends” identified Commission’s Megatrends Hub namely</w:t>
      </w:r>
      <w:r>
        <w:t xml:space="preserve"> </w:t>
      </w:r>
      <w:r>
        <w:t xml:space="preserve">“Increasing demographic imbalances”287</w:t>
      </w:r>
      <w:r>
        <w:br/>
      </w:r>
      <w:r>
        <w:t xml:space="preserve">According to Eurostat projections, the overall population in the EU27 is expected to slightly</w:t>
      </w:r>
      <w:r>
        <w:t xml:space="preserve"> </w:t>
      </w:r>
      <w:r>
        <w:t xml:space="preserve">decrease in the 20-year period taken into account, from around 447,7 million (2020) to 446,7</w:t>
      </w:r>
      <w:r>
        <w:t xml:space="preserve"> </w:t>
      </w:r>
      <w:r>
        <w:t xml:space="preserve">(2040). However, more significant changes are expected in terms of age composition. In</w:t>
      </w:r>
      <w:r>
        <w:t xml:space="preserve"> </w:t>
      </w:r>
      <w:r>
        <w:t xml:space="preserve">particular, the share of the population above 65 years old, which in 2020 accounts for 21%</w:t>
      </w:r>
      <w:r>
        <w:t xml:space="preserve"> </w:t>
      </w:r>
      <w:r>
        <w:t xml:space="preserve">of the overall population, is expected to increase to 28% in 2040. In particular, the</w:t>
      </w:r>
      <w:r>
        <w:t xml:space="preserve"> </w:t>
      </w:r>
      <w:r>
        <w:t xml:space="preserve">population above 75 years old, which today accounts for 45 million citizens, should increase</w:t>
      </w:r>
      <w:r>
        <w:t xml:space="preserve"> </w:t>
      </w:r>
      <w:r>
        <w:t xml:space="preserve">by 11 million by 2040.</w:t>
      </w:r>
      <w:r>
        <w:t xml:space="preserve"> </w:t>
      </w:r>
      <w:r>
        <w:t xml:space="preserve">Figure 71: Physical and sensory functional limitations by sex, age and educational attainment level</w:t>
      </w:r>
    </w:p>
    <w:p>
      <w:pPr>
        <w:pStyle w:val="BodyText"/>
      </w:pPr>
      <w:r>
        <w:t xml:space="preserve">Source: Eurostat ([hlth_ehis_pl1e]), VVA elaboration</w:t>
      </w:r>
    </w:p>
    <w:p>
      <w:pPr>
        <w:pStyle w:val="BodyText"/>
      </w:pPr>
      <w:r>
        <w:t xml:space="preserve">Technological uptake of consumers</w:t>
      </w:r>
      <w:r>
        <w:t xml:space="preserve"> </w:t>
      </w:r>
      <w:r>
        <w:t xml:space="preserve">Technological uptake is relevant for the analysis of a regulatory intervention that would</w:t>
      </w:r>
      <w:r>
        <w:t xml:space="preserve"> </w:t>
      </w:r>
      <w:r>
        <w:t xml:space="preserve">entail the use of electronic labels on chemical products. For this analysis we have considered</w:t>
      </w:r>
      <w:r>
        <w:t xml:space="preserve"> </w:t>
      </w:r>
      <w:r>
        <w:t xml:space="preserve">statistics on the use of the internet in the last 3 months. The trends that are described in more</w:t>
      </w:r>
    </w:p>
    <w:p>
      <w:pPr>
        <w:pStyle w:val="BodyText"/>
      </w:pPr>
      <w:r>
        <w:t xml:space="preserve">286 Most recent Eurostat data available for the year 2014.</w:t>
      </w:r>
      <w:r>
        <w:t xml:space="preserve"> </w:t>
      </w:r>
      <w:r>
        <w:t xml:space="preserve">287 See: Increasing demographic imbalances | Knowledge for policy (europa.eu)</w:t>
      </w:r>
      <w:r>
        <w:br/>
      </w:r>
      <w:r>
        <w:t xml:space="preserve">0,0</w:t>
      </w:r>
      <w:r>
        <w:t xml:space="preserve"> </w:t>
      </w:r>
      <w:r>
        <w:t xml:space="preserve">10,0</w:t>
      </w:r>
      <w:r>
        <w:t xml:space="preserve"> </w:t>
      </w:r>
      <w:r>
        <w:t xml:space="preserve">20,0</w:t>
      </w:r>
      <w:r>
        <w:t xml:space="preserve"> </w:t>
      </w:r>
      <w:r>
        <w:t xml:space="preserve">30,0</w:t>
      </w:r>
      <w:r>
        <w:t xml:space="preserve"> </w:t>
      </w:r>
      <w:r>
        <w:t xml:space="preserve">40,0</w:t>
      </w:r>
      <w:r>
        <w:t xml:space="preserve"> </w:t>
      </w:r>
      <w:r>
        <w:t xml:space="preserve">Seeing</w:t>
      </w:r>
      <w:r>
        <w:t xml:space="preserve"> </w:t>
      </w:r>
      <w:r>
        <w:t xml:space="preserve">Hearing</w:t>
      </w:r>
      <w:r>
        <w:t xml:space="preserve"> </w:t>
      </w:r>
      <w:r>
        <w:t xml:space="preserve">Walking</w:t>
      </w:r>
      <w:r>
        <w:t xml:space="preserve"> </w:t>
      </w:r>
      <w:r>
        <w:t xml:space="preserve">Total</w:t>
      </w:r>
      <w:r>
        <w:t xml:space="preserve"> </w:t>
      </w:r>
      <w:r>
        <w:t xml:space="preserve">From 45 to 54 years</w:t>
      </w:r>
      <w:r>
        <w:t xml:space="preserve"> </w:t>
      </w:r>
      <w:r>
        <w:t xml:space="preserve">From 55 to 64 years</w:t>
      </w:r>
      <w:r>
        <w:t xml:space="preserve"> </w:t>
      </w:r>
      <w:r>
        <w:t xml:space="preserve">From 65 to 74 years</w:t>
      </w:r>
      <w:r>
        <w:t xml:space="preserve"> </w:t>
      </w:r>
      <w:r>
        <w:t xml:space="preserve">75 years or over</w:t>
      </w:r>
    </w:p>
    <w:p>
      <w:pPr>
        <w:pStyle w:val="BodyText"/>
      </w:pPr>
      <w:r>
        <w:t xml:space="preserve">377</w:t>
      </w:r>
      <w:r>
        <w:t xml:space="preserve"> </w:t>
      </w:r>
      <w:r>
        <w:t xml:space="preserve">detail in the paragraphs below correspond to one of the megatrends in the Commission’s</w:t>
      </w:r>
      <w:r>
        <w:t xml:space="preserve"> </w:t>
      </w:r>
      <w:r>
        <w:t xml:space="preserve">Megatrends Hub namely “Accelerating technological change and hyperconnectivity”.</w:t>
      </w:r>
      <w:r>
        <w:t xml:space="preserve"> </w:t>
      </w:r>
      <w:r>
        <w:t xml:space="preserve">According to the latest Eurostat data288, the percentage of individuals increased</w:t>
      </w:r>
      <w:r>
        <w:t xml:space="preserve"> </w:t>
      </w:r>
      <w:r>
        <w:t xml:space="preserve">considerably in the last 10 years, going from 72% of the EU27 population in 2012 to 89%</w:t>
      </w:r>
      <w:r>
        <w:t xml:space="preserve"> </w:t>
      </w:r>
      <w:r>
        <w:t xml:space="preserve">in 2021. This technology update has seen a strong increase also amongst older groups of</w:t>
      </w:r>
      <w:r>
        <w:t xml:space="preserve"> </w:t>
      </w:r>
      <w:r>
        <w:t xml:space="preserve">citizens. The percentage of individuals in the age group between 55 and 64 years old</w:t>
      </w:r>
      <w:r>
        <w:t xml:space="preserve"> </w:t>
      </w:r>
      <w:r>
        <w:t xml:space="preserve">increased by 34% between 2012 and 2021 and doubled the percentage of individuals in the</w:t>
      </w:r>
      <w:r>
        <w:t xml:space="preserve"> </w:t>
      </w:r>
      <w:r>
        <w:t xml:space="preserve">age group between 65 and 74 years old (from 28% in 2011 to 61% in 2021). According to</w:t>
      </w:r>
      <w:r>
        <w:t xml:space="preserve"> </w:t>
      </w:r>
      <w:r>
        <w:t xml:space="preserve">this trend, it is expected that in the next 10 to 20 years nearly the whole EU27 population</w:t>
      </w:r>
      <w:r>
        <w:t xml:space="preserve"> </w:t>
      </w:r>
      <w:r>
        <w:t xml:space="preserve">will use the internet regularly. Further, digital inclusion is an EU-wide effort to ensure that</w:t>
      </w:r>
      <w:r>
        <w:t xml:space="preserve"> </w:t>
      </w:r>
      <w:r>
        <w:t xml:space="preserve">everybody can contribute to and benefit from the digital world. The EU is fostering digital</w:t>
      </w:r>
      <w:r>
        <w:t xml:space="preserve"> </w:t>
      </w:r>
      <w:r>
        <w:t xml:space="preserve">inclusion through several policy areas, including digital skills and social inclusion. The use</w:t>
      </w:r>
      <w:r>
        <w:t xml:space="preserve"> </w:t>
      </w:r>
      <w:r>
        <w:t xml:space="preserve">of electronic labels could be of particular relevance for online purchases. According to most</w:t>
      </w:r>
      <w:r>
        <w:t xml:space="preserve"> </w:t>
      </w:r>
      <w:r>
        <w:t xml:space="preserve">recent data on e-commerce , the share of European population that reported having made</w:t>
      </w:r>
      <w:r>
        <w:t xml:space="preserve"> </w:t>
      </w:r>
      <w:r>
        <w:t xml:space="preserve">an online purchase in the previous 12 months, in 2021 was 66%. A share that decreases</w:t>
      </w:r>
      <w:r>
        <w:t xml:space="preserve"> </w:t>
      </w:r>
      <w:r>
        <w:t xml:space="preserve">from an average of 81% for the age groups between 16 and 34 years old, to 54% for the</w:t>
      </w:r>
      <w:r>
        <w:t xml:space="preserve"> </w:t>
      </w:r>
      <w:r>
        <w:t xml:space="preserve">age group 55-64 and around 35% for the age group 65-74. According to a trend analysis,</w:t>
      </w:r>
      <w:r>
        <w:t xml:space="preserve"> </w:t>
      </w:r>
      <w:r>
        <w:t xml:space="preserve">however, it is expected that, at this rate, the share should increase up to 100% in less than</w:t>
      </w:r>
      <w:r>
        <w:t xml:space="preserve"> </w:t>
      </w:r>
      <w:r>
        <w:t xml:space="preserve">15 years from now.</w:t>
      </w:r>
      <w:r>
        <w:t xml:space="preserve"> </w:t>
      </w:r>
      <w:r>
        <w:t xml:space="preserve">Another relevant aspect of the technological uptake relevant for the definition of the baseline</w:t>
      </w:r>
      <w:r>
        <w:t xml:space="preserve"> </w:t>
      </w:r>
      <w:r>
        <w:t xml:space="preserve">for this study is the percentage of EU27 population that uses a smartphone. This is</w:t>
      </w:r>
      <w:r>
        <w:t xml:space="preserve"> </w:t>
      </w:r>
      <w:r>
        <w:t xml:space="preserve">particularly relevant if the proposed electronic labels would require the use of these devices</w:t>
      </w:r>
      <w:r>
        <w:t xml:space="preserve"> </w:t>
      </w:r>
      <w:r>
        <w:t xml:space="preserve">able to scan and access data provided online.</w:t>
      </w:r>
      <w:r>
        <w:t xml:space="preserve"> </w:t>
      </w:r>
      <w:r>
        <w:t xml:space="preserve">According to the latest available data289 the percentage of EU27 population that accessed</w:t>
      </w:r>
      <w:r>
        <w:t xml:space="preserve"> </w:t>
      </w:r>
      <w:r>
        <w:t xml:space="preserve">internet with the use of a mobile phone was 71%. Lower shares for older groups of citizens</w:t>
      </w:r>
      <w:r>
        <w:t xml:space="preserve"> </w:t>
      </w:r>
      <w:r>
        <w:t xml:space="preserve">(i.e. 45% in the age group 55-74 years old). Also this indicator has shown a steady increase</w:t>
      </w:r>
      <w:r>
        <w:t xml:space="preserve"> </w:t>
      </w:r>
      <w:r>
        <w:t xml:space="preserve">in the last 10 years. However, the data in this case are also strongly influenced by the</w:t>
      </w:r>
      <w:r>
        <w:t xml:space="preserve"> </w:t>
      </w:r>
      <w:r>
        <w:t xml:space="preserve">availability on the market of mobile devices with internet capabilities.</w:t>
      </w:r>
      <w:r>
        <w:br/>
      </w:r>
      <w:r>
        <w:t xml:space="preserve">These trends suggest that, in the next 10-20 years, the share of the population accessing the</w:t>
      </w:r>
      <w:r>
        <w:t xml:space="preserve"> </w:t>
      </w:r>
      <w:r>
        <w:t xml:space="preserve">internet via mobile phone will increase substantially. This assumption, however, does not</w:t>
      </w:r>
      <w:r>
        <w:t xml:space="preserve"> </w:t>
      </w:r>
      <w:r>
        <w:t xml:space="preserve">necessarily imply universal access or smartphone use: as mentioned by a consumer</w:t>
      </w:r>
      <w:r>
        <w:t xml:space="preserve"> </w:t>
      </w:r>
      <w:r>
        <w:t xml:space="preserve">organisation, people living in remote areas where internet is not available, or economic</w:t>
      </w:r>
      <w:r>
        <w:t xml:space="preserve"> </w:t>
      </w:r>
      <w:r>
        <w:t xml:space="preserve">reasons may mean that some population groups remain digitally excluded. Any regulatory</w:t>
      </w:r>
      <w:r>
        <w:t xml:space="preserve"> </w:t>
      </w:r>
      <w:r>
        <w:t xml:space="preserve">change, must therefore ensure that safety standards are not lowered, for any category of</w:t>
      </w:r>
      <w:r>
        <w:t xml:space="preserve"> </w:t>
      </w:r>
      <w:r>
        <w:t xml:space="preserve">stakeholder.</w:t>
      </w:r>
      <w:r>
        <w:t xml:space="preserve"> </w:t>
      </w:r>
      <w:r>
        <w:t xml:space="preserve">Technological uptake of enterprises</w:t>
      </w:r>
      <w:r>
        <w:t xml:space="preserve"> </w:t>
      </w:r>
      <w:r>
        <w:t xml:space="preserve">Digitalisation of businesses is a critical aspect for the uptake of electronic labels by</w:t>
      </w:r>
      <w:r>
        <w:t xml:space="preserve"> </w:t>
      </w:r>
      <w:r>
        <w:t xml:space="preserve">enterprises. As for consumers, the trends described below are related to the Commission’s</w:t>
      </w:r>
      <w:r>
        <w:t xml:space="preserve"> </w:t>
      </w:r>
      <w:r>
        <w:t xml:space="preserve">Megatrends Hub namely “Accelerating technological change and hyperconnectivity” .</w:t>
      </w:r>
      <w:r>
        <w:t xml:space="preserve"> </w:t>
      </w:r>
      <w:r>
        <w:t xml:space="preserve">Statistics show a small, but steady, increase of the share of companies that have a website.</w:t>
      </w:r>
      <w:r>
        <w:t xml:space="preserve"> </w:t>
      </w:r>
      <w:r>
        <w:t xml:space="preserve">More importantly, is the data on the percentage of enterprises that use their website to</w:t>
      </w:r>
    </w:p>
    <w:p>
      <w:pPr>
        <w:pStyle w:val="BodyText"/>
      </w:pPr>
      <w:r>
        <w:t xml:space="preserve">288 Eurostat, Individuals - internet use [isoc_ci_ifp_iu]</w:t>
      </w:r>
      <w:r>
        <w:t xml:space="preserve"> </w:t>
      </w:r>
      <w:r>
        <w:t xml:space="preserve">289 Eurostat, Individuals - mobile internet access [isoc_ci_im_i]</w:t>
      </w:r>
    </w:p>
    <w:p>
      <w:pPr>
        <w:pStyle w:val="BodyText"/>
      </w:pPr>
      <w:r>
        <w:t xml:space="preserve">378</w:t>
      </w:r>
      <w:r>
        <w:t xml:space="preserve"> </w:t>
      </w:r>
      <w:r>
        <w:t xml:space="preserve">provide description of goods and services and price lists amounts to 62% across all sectors,</w:t>
      </w:r>
      <w:r>
        <w:t xml:space="preserve"> </w:t>
      </w:r>
      <w:r>
        <w:t xml:space="preserve">and 76% for chemical manufacturers. This is a good indicator of the potential readiness of</w:t>
      </w:r>
      <w:r>
        <w:t xml:space="preserve"> </w:t>
      </w:r>
      <w:r>
        <w:t xml:space="preserve">businesses for the uptake of electronic labels.</w:t>
      </w:r>
      <w:r>
        <w:t xml:space="preserve"> </w:t>
      </w:r>
      <w:r>
        <w:t xml:space="preserve">Figure 81: Digitalisation of enterprises</w:t>
      </w:r>
    </w:p>
    <w:p>
      <w:pPr>
        <w:pStyle w:val="BodyText"/>
      </w:pPr>
      <w:r>
        <w:t xml:space="preserve">Moreover, data from 2021 shows that 78%290 of businesses use websites to provide</w:t>
      </w:r>
      <w:r>
        <w:t xml:space="preserve"> </w:t>
      </w:r>
      <w:r>
        <w:t xml:space="preserve">information about their products or services and their prices. This share increases to 94%</w:t>
      </w:r>
      <w:r>
        <w:t xml:space="preserve"> </w:t>
      </w:r>
      <w:r>
        <w:t xml:space="preserve">amongst manufacturers of chemical products291. In addition, 76% of manufacturers in the</w:t>
      </w:r>
      <w:r>
        <w:t xml:space="preserve"> </w:t>
      </w:r>
      <w:r>
        <w:t xml:space="preserve">chemical sector, provide online descriptions of their goods and/or price lists.</w:t>
      </w:r>
      <w:r>
        <w:t xml:space="preserve"> </w:t>
      </w:r>
      <w:r>
        <w:t xml:space="preserve">For what concerns digital tools and innovative communication methods, it is important to</w:t>
      </w:r>
      <w:r>
        <w:t xml:space="preserve"> </w:t>
      </w:r>
      <w:r>
        <w:t xml:space="preserve">take into account the following aspects:</w:t>
      </w:r>
      <w:r>
        <w:br/>
      </w:r>
      <w:r>
        <w:t xml:space="preserve">1. Industry experience with online ingredient information: according to the</w:t>
      </w:r>
      <w:r>
        <w:t xml:space="preserve"> </w:t>
      </w:r>
      <w:r>
        <w:t xml:space="preserve">Detergents Regulation, manufacturers already have the obligation to publish on a</w:t>
      </w:r>
      <w:r>
        <w:t xml:space="preserve"> </w:t>
      </w:r>
      <w:r>
        <w:t xml:space="preserve">website the ingredient datasheet of their products. This means that manufacturers</w:t>
      </w:r>
      <w:r>
        <w:t xml:space="preserve"> </w:t>
      </w:r>
      <w:r>
        <w:t xml:space="preserve">already deliver activities related to the collection of information and publication of</w:t>
      </w:r>
      <w:r>
        <w:t xml:space="preserve"> </w:t>
      </w:r>
      <w:r>
        <w:t xml:space="preserve">these data online. The costs related to the collection of these information should not</w:t>
      </w:r>
      <w:r>
        <w:t xml:space="preserve"> </w:t>
      </w:r>
      <w:r>
        <w:t xml:space="preserve">be additional for the provision of electronic labels;</w:t>
      </w:r>
      <w:r>
        <w:br/>
      </w:r>
      <w:r>
        <w:t xml:space="preserve">2. Increased market penetration of digital tools such as barcodes, QR codes and</w:t>
      </w:r>
      <w:r>
        <w:t xml:space="preserve"> </w:t>
      </w:r>
      <w:r>
        <w:t xml:space="preserve">websites to convey product information. This trend has increased the awareness of</w:t>
      </w:r>
      <w:r>
        <w:t xml:space="preserve"> </w:t>
      </w:r>
      <w:r>
        <w:t xml:space="preserve">consumers on the use of these tools. In particular, during the recent pandemic, QR</w:t>
      </w:r>
      <w:r>
        <w:t xml:space="preserve"> </w:t>
      </w:r>
      <w:r>
        <w:t xml:space="preserve">codes have been widely used, for example as an integral part of the EU Digital</w:t>
      </w:r>
      <w:r>
        <w:t xml:space="preserve"> </w:t>
      </w:r>
      <w:r>
        <w:t xml:space="preserve">COVID certificate. It can, therefore, be assumed that a large share of the population</w:t>
      </w:r>
      <w:r>
        <w:t xml:space="preserve"> </w:t>
      </w:r>
      <w:r>
        <w:t xml:space="preserve">is familiar with the use of this technology;</w:t>
      </w:r>
      <w:r>
        <w:t xml:space="preserve"> </w:t>
      </w:r>
      <w:r>
        <w:t xml:space="preserve">3. The GHS has embarked on defining a framework for digital labelling which</w:t>
      </w:r>
      <w:r>
        <w:t xml:space="preserve"> </w:t>
      </w:r>
      <w:r>
        <w:t xml:space="preserve">would be followed by implementation at EU level. Discussions started in 2019</w:t>
      </w:r>
      <w:r>
        <w:t xml:space="preserve"> </w:t>
      </w:r>
      <w:r>
        <w:t xml:space="preserve">regarding the possibility of digitalisation of information for chemical products.</w:t>
      </w:r>
      <w:r>
        <w:t xml:space="preserve"> </w:t>
      </w:r>
      <w:r>
        <w:t xml:space="preserve">Thus, even in the absence of a direct intervention at EU level now, digital labels</w:t>
      </w:r>
      <w:r>
        <w:t xml:space="preserve"> </w:t>
      </w:r>
      <w:r>
        <w:t xml:space="preserve">might eventually be introduced in the EU market through a revision of GHS</w:t>
      </w:r>
      <w:r>
        <w:t xml:space="preserve"> </w:t>
      </w:r>
      <w:r>
        <w:t xml:space="preserve">standards. Preparing EU businesses early will allow spreading investments over a</w:t>
      </w:r>
    </w:p>
    <w:p>
      <w:pPr>
        <w:pStyle w:val="BodyText"/>
      </w:pPr>
      <w:r>
        <w:t xml:space="preserve">290 Digital economy and society statistics, Enterprises with a website [isoc_ciweb]</w:t>
      </w:r>
      <w:r>
        <w:t xml:space="preserve"> </w:t>
      </w:r>
      <w:r>
        <w:t xml:space="preserve">291 Digital economy and society statistics, Enterprises with a website [isoc_ciweb], Manufacture of chemicals</w:t>
      </w:r>
      <w:r>
        <w:t xml:space="preserve"> </w:t>
      </w:r>
      <w:r>
        <w:t xml:space="preserve">and chemical products (10 or more employees and self-employed persons).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Enterprises with a website (%)</w:t>
      </w:r>
      <w:r>
        <w:t xml:space="preserve"> </w:t>
      </w:r>
      <w:r>
        <w:t xml:space="preserve">Enterprises where the website provided description of goods or services, price lists (%)</w:t>
      </w:r>
    </w:p>
    <w:p>
      <w:pPr>
        <w:pStyle w:val="BodyText"/>
      </w:pPr>
      <w:r>
        <w:t xml:space="preserve">379</w:t>
      </w:r>
      <w:r>
        <w:t xml:space="preserve"> </w:t>
      </w:r>
      <w:r>
        <w:t xml:space="preserve">longer period of time and provide a competitive advantages once the relevant GHS</w:t>
      </w:r>
      <w:r>
        <w:t xml:space="preserve"> </w:t>
      </w:r>
      <w:r>
        <w:t xml:space="preserve">standards become applicable;</w:t>
      </w:r>
      <w:r>
        <w:br/>
      </w:r>
      <w:r>
        <w:t xml:space="preserve">4. Increased rules at EU level on communication of product information via</w:t>
      </w:r>
      <w:r>
        <w:t xml:space="preserve"> </w:t>
      </w:r>
      <w:r>
        <w:t xml:space="preserve">digital tools (i.e. for the labelling of wine , electronic instructions for use of medical</w:t>
      </w:r>
      <w:r>
        <w:t xml:space="preserve"> </w:t>
      </w:r>
      <w:r>
        <w:t xml:space="preserve">devices and digital labelling for batteries ), as well as the upcoming Digital Product</w:t>
      </w:r>
      <w:r>
        <w:t xml:space="preserve"> </w:t>
      </w:r>
      <w:r>
        <w:t xml:space="preserve">Passport (under the Sustainable Products Initiative) will set out the rules for digital</w:t>
      </w:r>
      <w:r>
        <w:t xml:space="preserve"> </w:t>
      </w:r>
      <w:r>
        <w:t xml:space="preserve">provision of suitability criteria of products. These parallel initiatives on the</w:t>
      </w:r>
      <w:r>
        <w:t xml:space="preserve"> </w:t>
      </w:r>
      <w:r>
        <w:t xml:space="preserve">introduction of digital labels in the EU suggest that electronic labelling would be</w:t>
      </w:r>
      <w:r>
        <w:t xml:space="preserve"> </w:t>
      </w:r>
      <w:r>
        <w:t xml:space="preserve">introduced for chemical products even if not directly related to a revision of the CLP</w:t>
      </w:r>
      <w:r>
        <w:t xml:space="preserve"> </w:t>
      </w:r>
      <w:r>
        <w:t xml:space="preserve">or Detergents regulations; and</w:t>
      </w:r>
      <w:r>
        <w:t xml:space="preserve"> </w:t>
      </w:r>
      <w:r>
        <w:t xml:space="preserve">5. The industry is already starting to voluntarily develop and use digital labels which</w:t>
      </w:r>
      <w:r>
        <w:t xml:space="preserve"> </w:t>
      </w:r>
      <w:r>
        <w:t xml:space="preserve">could lead to market fragmentation (i.e. a multitude of different systems at national</w:t>
      </w:r>
      <w:r>
        <w:t xml:space="preserve"> </w:t>
      </w:r>
      <w:r>
        <w:t xml:space="preserve">level or even at company level) if no common framework is established.</w:t>
      </w:r>
      <w:r>
        <w:t xml:space="preserve"> </w:t>
      </w:r>
      <w:r>
        <w:t xml:space="preserve">Chemical Sector Statistics</w:t>
      </w:r>
      <w:r>
        <w:t xml:space="preserve"> </w:t>
      </w:r>
      <w:r>
        <w:t xml:space="preserve">Analysis of the current size and magnitude of the chemical industry in the EU is crucial to</w:t>
      </w:r>
      <w:r>
        <w:t xml:space="preserve"> </w:t>
      </w:r>
      <w:r>
        <w:t xml:space="preserve">understand the market that is affected by the problems outlined in Chapter 2 and would be</w:t>
      </w:r>
      <w:r>
        <w:t xml:space="preserve"> </w:t>
      </w:r>
      <w:r>
        <w:t xml:space="preserve">subject to the policy options. The size and structure of this market will have a strong impact</w:t>
      </w:r>
      <w:r>
        <w:t xml:space="preserve"> </w:t>
      </w:r>
      <w:r>
        <w:t xml:space="preserve">on the economic costs and benefits that any regulatory intervention entails. As described in</w:t>
      </w:r>
      <w:r>
        <w:t xml:space="preserve"> </w:t>
      </w:r>
      <w:r>
        <w:t xml:space="preserve">more detail in the tables below, throughout the EU, there are over 21 thousand chemical</w:t>
      </w:r>
      <w:r>
        <w:t xml:space="preserve"> </w:t>
      </w:r>
      <w:r>
        <w:t xml:space="preserve">enterprises, directly employing over a million of EU citizens and generating over a billion</w:t>
      </w:r>
      <w:r>
        <w:t xml:space="preserve"> </w:t>
      </w:r>
      <w:r>
        <w:t xml:space="preserve">EUR of turnover annually. These statistics, however, do not take into account the businesses</w:t>
      </w:r>
      <w:r>
        <w:t xml:space="preserve"> </w:t>
      </w:r>
      <w:r>
        <w:t xml:space="preserve">that are indirectly linked to the chemical industry, either up- or downstream in the supply</w:t>
      </w:r>
      <w:r>
        <w:t xml:space="preserve"> </w:t>
      </w:r>
      <w:r>
        <w:t xml:space="preserve">chain (e.g. retailers) and should therefore be seen as a very conservative estimate of the</w:t>
      </w:r>
      <w:r>
        <w:t xml:space="preserve"> </w:t>
      </w:r>
      <w:r>
        <w:t xml:space="preserve">market size.</w:t>
      </w:r>
      <w:r>
        <w:br/>
      </w:r>
      <w:r>
        <w:t xml:space="preserve">For the analysis conducted in this study, in particular concerning impacts on costs, the</w:t>
      </w:r>
      <w:r>
        <w:t xml:space="preserve"> </w:t>
      </w:r>
      <w:r>
        <w:t xml:space="preserve">sectors in scope are the ones subject to CLP and Detergents Regulations, in particular</w:t>
      </w:r>
      <w:r>
        <w:t xml:space="preserve"> </w:t>
      </w:r>
      <w:r>
        <w:t xml:space="preserve">manufacturers of chemicals and chemical products (NACE C20), manufacturers of coke</w:t>
      </w:r>
      <w:r>
        <w:t xml:space="preserve"> </w:t>
      </w:r>
      <w:r>
        <w:t xml:space="preserve">and refined petroleum products (NACE C19), manufacturers of rubber and plastic products</w:t>
      </w:r>
      <w:r>
        <w:t xml:space="preserve"> </w:t>
      </w:r>
      <w:r>
        <w:t xml:space="preserve">(NACE C22).</w:t>
      </w:r>
      <w:r>
        <w:br/>
      </w:r>
      <w:r>
        <w:t xml:space="preserve">In particular, according to the NACE rev.2 classification, the sectors in scope are:</w:t>
      </w:r>
    </w:p>
    <w:p>
      <w:pPr>
        <w:pStyle w:val="BodyText"/>
      </w:pPr>
      <w:r>
        <w:t xml:space="preserve">Manufacture of refined petroleum products (CLP)</w:t>
      </w:r>
    </w:p>
    <w:p>
      <w:pPr>
        <w:pStyle w:val="BodyText"/>
      </w:pPr>
      <w:r>
        <w:t xml:space="preserve">Manufacture of other inorganic basic chemicals (CLP)</w:t>
      </w:r>
    </w:p>
    <w:p>
      <w:pPr>
        <w:pStyle w:val="BodyText"/>
      </w:pPr>
      <w:r>
        <w:t xml:space="preserve">Manufacture of other organic basic chemicals (CLP)</w:t>
      </w:r>
    </w:p>
    <w:p>
      <w:pPr>
        <w:pStyle w:val="BodyText"/>
      </w:pPr>
      <w:r>
        <w:t xml:space="preserve">Manufacture of plastics in primary forms (CLP)</w:t>
      </w:r>
    </w:p>
    <w:p>
      <w:pPr>
        <w:pStyle w:val="BodyText"/>
      </w:pPr>
      <w:r>
        <w:t xml:space="preserve">Manufacture of synthetic rubber in primary forms (CLP)</w:t>
      </w:r>
    </w:p>
    <w:p>
      <w:pPr>
        <w:pStyle w:val="BodyText"/>
      </w:pPr>
      <w:r>
        <w:t xml:space="preserve">Manufacture of paints, varnishes and similar coatings, printing ink and mastics</w:t>
      </w:r>
      <w:r>
        <w:t xml:space="preserve"> </w:t>
      </w:r>
      <w:r>
        <w:t xml:space="preserve">(CLP)</w:t>
      </w:r>
    </w:p>
    <w:p>
      <w:pPr>
        <w:pStyle w:val="BodyText"/>
      </w:pPr>
      <w:r>
        <w:t xml:space="preserve">Manufacture of soap and detergents, cleaning and polishing preparations (CLP and</w:t>
      </w:r>
      <w:r>
        <w:t xml:space="preserve"> </w:t>
      </w:r>
      <w:r>
        <w:t xml:space="preserve">Detergents)</w:t>
      </w:r>
    </w:p>
    <w:p>
      <w:pPr>
        <w:pStyle w:val="BodyText"/>
      </w:pPr>
      <w:r>
        <w:t xml:space="preserve">Manufacture of explosives (CLP)</w:t>
      </w:r>
    </w:p>
    <w:p>
      <w:pPr>
        <w:pStyle w:val="BodyText"/>
      </w:pPr>
      <w:r>
        <w:t xml:space="preserve">Manufacture of glues (CLP)</w:t>
      </w:r>
    </w:p>
    <w:p>
      <w:pPr>
        <w:pStyle w:val="BodyText"/>
      </w:pPr>
      <w:r>
        <w:t xml:space="preserve">Manufacture of essential oils (CLP)</w:t>
      </w:r>
    </w:p>
    <w:p>
      <w:pPr>
        <w:pStyle w:val="BodyText"/>
      </w:pPr>
      <w:r>
        <w:t xml:space="preserve">Manufacture of other chemical products n.e.c (CLP).</w:t>
      </w:r>
    </w:p>
    <w:p>
      <w:pPr>
        <w:pStyle w:val="BodyText"/>
      </w:pPr>
      <w:r>
        <w:t xml:space="preserve">380</w:t>
      </w:r>
      <w:r>
        <w:t xml:space="preserve"> </w:t>
      </w:r>
      <w:r>
        <w:t xml:space="preserve">Manufacture of basic iron and steel and of ferro-alloys (CLP)</w:t>
      </w:r>
      <w:r>
        <w:t xml:space="preserve"> </w:t>
      </w:r>
      <w:r>
        <w:t xml:space="preserve">The table below presents market data in terms of the number of enterprises, turnover,</w:t>
      </w:r>
      <w:r>
        <w:t xml:space="preserve"> </w:t>
      </w:r>
      <w:r>
        <w:t xml:space="preserve">production value, value added and persons employed.</w:t>
      </w:r>
    </w:p>
    <w:p>
      <w:pPr>
        <w:pStyle w:val="BodyText"/>
      </w:pPr>
      <w:r>
        <w:t xml:space="preserve">381</w:t>
      </w:r>
      <w:r>
        <w:t xml:space="preserve"> </w:t>
      </w:r>
      <w:r>
        <w:t xml:space="preserve">Table 110: Chemical sector statistics 2018</w:t>
      </w:r>
      <w:r>
        <w:t xml:space="preserve"> </w:t>
      </w:r>
      <w:r>
        <w:t xml:space="preserve">Enterpr</w:t>
      </w:r>
      <w:r>
        <w:t xml:space="preserve"> </w:t>
      </w:r>
      <w:r>
        <w:t xml:space="preserve">ises</w:t>
      </w:r>
      <w:r>
        <w:t xml:space="preserve"> </w:t>
      </w:r>
      <w:r>
        <w:t xml:space="preserve">-</w:t>
      </w:r>
      <w:r>
        <w:t xml:space="preserve"> </w:t>
      </w:r>
      <w:r>
        <w:t xml:space="preserve">number</w:t>
      </w:r>
      <w:r>
        <w:t xml:space="preserve"> </w:t>
      </w:r>
      <w:r>
        <w:t xml:space="preserve">Turnove</w:t>
      </w:r>
      <w:r>
        <w:t xml:space="preserve"> </w:t>
      </w:r>
      <w:r>
        <w:t xml:space="preserve">r</w:t>
      </w:r>
      <w:r>
        <w:t xml:space="preserve"> </w:t>
      </w:r>
      <w:r>
        <w:t xml:space="preserve">-</w:t>
      </w:r>
      <w:r>
        <w:t xml:space="preserve"> </w:t>
      </w:r>
      <w:r>
        <w:t xml:space="preserve">million</w:t>
      </w:r>
      <w:r>
        <w:t xml:space="preserve"> </w:t>
      </w:r>
      <w:r>
        <w:t xml:space="preserve">euro</w:t>
      </w:r>
      <w:r>
        <w:t xml:space="preserve"> </w:t>
      </w:r>
      <w:r>
        <w:t xml:space="preserve">Production</w:t>
      </w:r>
      <w:r>
        <w:t xml:space="preserve"> </w:t>
      </w:r>
      <w:r>
        <w:t xml:space="preserve">value</w:t>
      </w:r>
      <w:r>
        <w:t xml:space="preserve"> </w:t>
      </w:r>
      <w:r>
        <w:t xml:space="preserve">-</w:t>
      </w:r>
      <w:r>
        <w:t xml:space="preserve"> </w:t>
      </w:r>
      <w:r>
        <w:t xml:space="preserve">million euro</w:t>
      </w:r>
      <w:r>
        <w:t xml:space="preserve"> </w:t>
      </w:r>
      <w:r>
        <w:t xml:space="preserve">Value added at</w:t>
      </w:r>
      <w:r>
        <w:t xml:space="preserve"> </w:t>
      </w:r>
      <w:r>
        <w:t xml:space="preserve">factor</w:t>
      </w:r>
      <w:r>
        <w:t xml:space="preserve"> </w:t>
      </w:r>
      <w:r>
        <w:t xml:space="preserve">cost</w:t>
      </w:r>
      <w:r>
        <w:t xml:space="preserve"> </w:t>
      </w:r>
      <w:r>
        <w:t xml:space="preserve">-</w:t>
      </w:r>
      <w:r>
        <w:t xml:space="preserve"> </w:t>
      </w:r>
      <w:r>
        <w:t xml:space="preserve">million euro</w:t>
      </w:r>
      <w:r>
        <w:t xml:space="preserve"> </w:t>
      </w:r>
      <w:r>
        <w:t xml:space="preserve">Persons</w:t>
      </w:r>
      <w:r>
        <w:t xml:space="preserve"> </w:t>
      </w:r>
      <w:r>
        <w:t xml:space="preserve">employed -</w:t>
      </w:r>
      <w:r>
        <w:t xml:space="preserve"> </w:t>
      </w:r>
      <w:r>
        <w:t xml:space="preserve">number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refined</w:t>
      </w:r>
      <w:r>
        <w:t xml:space="preserve"> </w:t>
      </w:r>
      <w:r>
        <w:t xml:space="preserve">petroleum products</w:t>
      </w:r>
      <w:r>
        <w:t xml:space="preserve"> </w:t>
      </w:r>
      <w:r>
        <w:t xml:space="preserve">814</w:t>
      </w:r>
      <w:r>
        <w:t xml:space="preserve"> </w:t>
      </w:r>
      <w:r>
        <w:t xml:space="preserve">457.631,</w:t>
      </w:r>
      <w:r>
        <w:t xml:space="preserve"> </w:t>
      </w:r>
      <w:r>
        <w:t xml:space="preserve">4</w:t>
      </w:r>
      <w:r>
        <w:t xml:space="preserve"> </w:t>
      </w:r>
      <w:r>
        <w:t xml:space="preserve">381.931</w:t>
      </w:r>
      <w:r>
        <w:t xml:space="preserve"> </w:t>
      </w:r>
      <w:r>
        <w:t xml:space="preserve">30.119,7</w:t>
      </w:r>
      <w:r>
        <w:t xml:space="preserve"> </w:t>
      </w:r>
      <w:r>
        <w:t xml:space="preserve">161.678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inorganic basic chemicals</w:t>
      </w:r>
      <w:r>
        <w:t xml:space="preserve"> </w:t>
      </w:r>
      <w:r>
        <w:t xml:space="preserve">912</w:t>
      </w:r>
      <w:r>
        <w:t xml:space="preserve"> </w:t>
      </w:r>
      <w:r>
        <w:t xml:space="preserve">26.166,5</w:t>
      </w:r>
      <w:r>
        <w:t xml:space="preserve"> </w:t>
      </w:r>
      <w:r>
        <w:t xml:space="preserve">24.620</w:t>
      </w:r>
      <w:r>
        <w:t xml:space="preserve"> </w:t>
      </w:r>
      <w:r>
        <w:t xml:space="preserve">7.651,0</w:t>
      </w:r>
      <w:r>
        <w:t xml:space="preserve"> </w:t>
      </w:r>
      <w:r>
        <w:t xml:space="preserve">63.508</w:t>
      </w:r>
      <w:r>
        <w:t xml:space="preserve"> </w:t>
      </w:r>
      <w:r>
        <w:t xml:space="preserve">Manufacture of other organic</w:t>
      </w:r>
      <w:r>
        <w:t xml:space="preserve"> </w:t>
      </w:r>
      <w:r>
        <w:t xml:space="preserve">basic chemicals</w:t>
      </w:r>
      <w:r>
        <w:t xml:space="preserve"> </w:t>
      </w:r>
      <w:r>
        <w:t xml:space="preserve">1.885</w:t>
      </w:r>
      <w:r>
        <w:t xml:space="preserve"> </w:t>
      </w:r>
      <w:r>
        <w:t xml:space="preserve">185.876,</w:t>
      </w:r>
      <w:r>
        <w:t xml:space="preserve"> </w:t>
      </w:r>
      <w:r>
        <w:t xml:space="preserve">6</w:t>
      </w:r>
      <w:r>
        <w:t xml:space="preserve"> </w:t>
      </w:r>
      <w:r>
        <w:t xml:space="preserve">159.483</w:t>
      </w:r>
      <w:r>
        <w:t xml:space="preserve"> </w:t>
      </w:r>
      <w:r>
        <w:t xml:space="preserve">44.264,4</w:t>
      </w:r>
      <w:r>
        <w:t xml:space="preserve"> </w:t>
      </w:r>
      <w:r>
        <w:t xml:space="preserve">224.137</w:t>
      </w:r>
      <w:r>
        <w:t xml:space="preserve"> </w:t>
      </w:r>
      <w:r>
        <w:t xml:space="preserve">Manufacture of plastics in</w:t>
      </w:r>
      <w:r>
        <w:t xml:space="preserve"> </w:t>
      </w:r>
      <w:r>
        <w:t xml:space="preserve">primary forms</w:t>
      </w:r>
      <w:r>
        <w:t xml:space="preserve"> </w:t>
      </w:r>
      <w:r>
        <w:t xml:space="preserve">2.263</w:t>
      </w:r>
      <w:r>
        <w:t xml:space="preserve"> </w:t>
      </w:r>
      <w:r>
        <w:t xml:space="preserve">99.386,4</w:t>
      </w:r>
      <w:r>
        <w:t xml:space="preserve"> </w:t>
      </w:r>
      <w:r>
        <w:t xml:space="preserve">92.239</w:t>
      </w:r>
      <w:r>
        <w:t xml:space="preserve"> </w:t>
      </w:r>
      <w:r>
        <w:t xml:space="preserve">18.892,0</w:t>
      </w:r>
      <w:r>
        <w:t xml:space="preserve"> </w:t>
      </w:r>
      <w:r>
        <w:t xml:space="preserve">133.112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synthetic</w:t>
      </w:r>
      <w:r>
        <w:t xml:space="preserve"> </w:t>
      </w:r>
      <w:r>
        <w:t xml:space="preserve">rubber in primary forms</w:t>
      </w:r>
      <w:r>
        <w:t xml:space="preserve"> </w:t>
      </w:r>
      <w:r>
        <w:t xml:space="preserve">179</w:t>
      </w:r>
      <w:r>
        <w:t xml:space="preserve"> </w:t>
      </w:r>
      <w:r>
        <w:t xml:space="preserve">4.755,5</w:t>
      </w:r>
      <w:r>
        <w:t xml:space="preserve"> </w:t>
      </w:r>
      <w:r>
        <w:t xml:space="preserve">4.569</w:t>
      </w:r>
      <w:r>
        <w:t xml:space="preserve"> </w:t>
      </w:r>
      <w:r>
        <w:t xml:space="preserve">1.167,2</w:t>
      </w:r>
      <w:r>
        <w:t xml:space="preserve"> </w:t>
      </w:r>
      <w:r>
        <w:t xml:space="preserve">7.225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paints,</w:t>
      </w:r>
      <w:r>
        <w:t xml:space="preserve"> </w:t>
      </w:r>
      <w:r>
        <w:t xml:space="preserve">varnishes and similar coatings,</w:t>
      </w:r>
      <w:r>
        <w:t xml:space="preserve"> </w:t>
      </w:r>
      <w:r>
        <w:t xml:space="preserve">printing ink and mastics</w:t>
      </w:r>
      <w:r>
        <w:t xml:space="preserve"> </w:t>
      </w:r>
      <w:r>
        <w:t xml:space="preserve">3.356</w:t>
      </w:r>
      <w:r>
        <w:t xml:space="preserve"> </w:t>
      </w:r>
      <w:r>
        <w:t xml:space="preserve">41.987,8</w:t>
      </w:r>
      <w:r>
        <w:t xml:space="preserve"> </w:t>
      </w:r>
      <w:r>
        <w:t xml:space="preserve">37.859</w:t>
      </w:r>
      <w:r>
        <w:t xml:space="preserve"> </w:t>
      </w:r>
      <w:r>
        <w:t xml:space="preserve">11.266,8</w:t>
      </w:r>
      <w:r>
        <w:t xml:space="preserve"> </w:t>
      </w:r>
      <w:r>
        <w:t xml:space="preserve">150.384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soap</w:t>
      </w:r>
      <w:r>
        <w:t xml:space="preserve"> </w:t>
      </w:r>
      <w:r>
        <w:t xml:space="preserve">and</w:t>
      </w:r>
      <w:r>
        <w:t xml:space="preserve"> </w:t>
      </w:r>
      <w:r>
        <w:t xml:space="preserve">detergents,</w:t>
      </w:r>
      <w:r>
        <w:t xml:space="preserve"> </w:t>
      </w:r>
      <w:r>
        <w:t xml:space="preserve">cleaning</w:t>
      </w:r>
      <w:r>
        <w:t xml:space="preserve"> </w:t>
      </w:r>
      <w:r>
        <w:t xml:space="preserve">and</w:t>
      </w:r>
      <w:r>
        <w:t xml:space="preserve"> </w:t>
      </w:r>
      <w:r>
        <w:t xml:space="preserve">polishing preparations</w:t>
      </w:r>
      <w:r>
        <w:t xml:space="preserve"> </w:t>
      </w:r>
      <w:r>
        <w:t xml:space="preserve">3.877</w:t>
      </w:r>
      <w:r>
        <w:t xml:space="preserve"> </w:t>
      </w:r>
      <w:r>
        <w:t xml:space="preserve">21.903,4</w:t>
      </w:r>
      <w:r>
        <w:t xml:space="preserve"> </w:t>
      </w:r>
      <w:r>
        <w:t xml:space="preserve">19.855</w:t>
      </w:r>
      <w:r>
        <w:t xml:space="preserve"> </w:t>
      </w:r>
      <w:r>
        <w:t xml:space="preserve">5.904,9</w:t>
      </w:r>
      <w:r>
        <w:t xml:space="preserve"> </w:t>
      </w:r>
      <w:r>
        <w:t xml:space="preserve">85.544</w:t>
      </w:r>
      <w:r>
        <w:t xml:space="preserve"> </w:t>
      </w:r>
      <w:r>
        <w:t xml:space="preserve">Manufacture of explosives</w:t>
      </w:r>
      <w:r>
        <w:t xml:space="preserve"> </w:t>
      </w:r>
      <w:r>
        <w:t xml:space="preserve">501</w:t>
      </w:r>
      <w:r>
        <w:t xml:space="preserve"> </w:t>
      </w:r>
      <w:r>
        <w:t xml:space="preserve">2.080,6</w:t>
      </w:r>
      <w:r>
        <w:t xml:space="preserve"> </w:t>
      </w:r>
      <w:r>
        <w:t xml:space="preserve">1.936</w:t>
      </w:r>
      <w:r>
        <w:t xml:space="preserve"> </w:t>
      </w:r>
      <w:r>
        <w:t xml:space="preserve">830,2</w:t>
      </w:r>
      <w:r>
        <w:t xml:space="preserve"> </w:t>
      </w:r>
      <w:r>
        <w:t xml:space="preserve">12.983</w:t>
      </w:r>
      <w:r>
        <w:t xml:space="preserve"> </w:t>
      </w:r>
      <w:r>
        <w:t xml:space="preserve">Manufacture of glues</w:t>
      </w:r>
      <w:r>
        <w:t xml:space="preserve"> </w:t>
      </w:r>
      <w:r>
        <w:t xml:space="preserve">481</w:t>
      </w:r>
      <w:r>
        <w:t xml:space="preserve"> </w:t>
      </w:r>
      <w:r>
        <w:t xml:space="preserve">4.360,8</w:t>
      </w:r>
      <w:r>
        <w:t xml:space="preserve"> </w:t>
      </w:r>
      <w:r>
        <w:t xml:space="preserve">3.962</w:t>
      </w:r>
      <w:r>
        <w:t xml:space="preserve"> </w:t>
      </w:r>
      <w:r>
        <w:t xml:space="preserve">1.152,7</w:t>
      </w:r>
      <w:r>
        <w:t xml:space="preserve"> </w:t>
      </w:r>
      <w:r>
        <w:t xml:space="preserve">13.977</w:t>
      </w:r>
      <w:r>
        <w:t xml:space="preserve"> </w:t>
      </w:r>
      <w:r>
        <w:t xml:space="preserve">Manufacture of essential oils</w:t>
      </w:r>
      <w:r>
        <w:t xml:space="preserve"> </w:t>
      </w:r>
      <w:r>
        <w:t xml:space="preserve">773</w:t>
      </w:r>
      <w:r>
        <w:t xml:space="preserve"> </w:t>
      </w:r>
      <w:r>
        <w:t xml:space="preserve">7.379,7</w:t>
      </w:r>
      <w:r>
        <w:t xml:space="preserve"> </w:t>
      </w:r>
      <w:r>
        <w:t xml:space="preserve">7.085</w:t>
      </w:r>
      <w:r>
        <w:t xml:space="preserve"> </w:t>
      </w:r>
      <w:r>
        <w:t xml:space="preserve">2.257,7</w:t>
      </w:r>
      <w:r>
        <w:t xml:space="preserve"> </w:t>
      </w:r>
      <w:r>
        <w:t xml:space="preserve">20.655</w:t>
      </w:r>
      <w:r>
        <w:t xml:space="preserve"> </w:t>
      </w:r>
      <w:r>
        <w:t xml:space="preserve">Manufacture of other chemical</w:t>
      </w:r>
      <w:r>
        <w:t xml:space="preserve"> </w:t>
      </w:r>
      <w:r>
        <w:t xml:space="preserve">products n.e.c.</w:t>
      </w:r>
      <w:r>
        <w:t xml:space="preserve"> </w:t>
      </w:r>
      <w:r>
        <w:t xml:space="preserve">3.968</w:t>
      </w:r>
      <w:r>
        <w:t xml:space="preserve"> </w:t>
      </w:r>
      <w:r>
        <w:t xml:space="preserve">62.203,8</w:t>
      </w:r>
      <w:r>
        <w:t xml:space="preserve"> </w:t>
      </w:r>
      <w:r>
        <w:t xml:space="preserve">52.499</w:t>
      </w:r>
      <w:r>
        <w:t xml:space="preserve"> </w:t>
      </w:r>
      <w:r>
        <w:t xml:space="preserve">15.230,5</w:t>
      </w:r>
      <w:r>
        <w:t xml:space="preserve"> </w:t>
      </w:r>
      <w:r>
        <w:t xml:space="preserve">119.762</w:t>
      </w:r>
      <w:r>
        <w:t xml:space="preserve"> </w:t>
      </w:r>
      <w:r>
        <w:t xml:space="preserve">Manufacture of basic iron and</w:t>
      </w:r>
      <w:r>
        <w:t xml:space="preserve"> </w:t>
      </w:r>
      <w:r>
        <w:t xml:space="preserve">steel and of ferro-alloys</w:t>
      </w:r>
      <w:r>
        <w:t xml:space="preserve"> </w:t>
      </w:r>
      <w:r>
        <w:t xml:space="preserve">2.616</w:t>
      </w:r>
      <w:r>
        <w:t xml:space="preserve"> </w:t>
      </w:r>
      <w:r>
        <w:t xml:space="preserve">161.636,</w:t>
      </w:r>
      <w:r>
        <w:t xml:space="preserve"> </w:t>
      </w:r>
      <w:r>
        <w:t xml:space="preserve">4</w:t>
      </w:r>
      <w:r>
        <w:t xml:space="preserve"> </w:t>
      </w:r>
      <w:r>
        <w:t xml:space="preserve">159.856</w:t>
      </w:r>
      <w:r>
        <w:t xml:space="preserve"> </w:t>
      </w:r>
      <w:r>
        <w:t xml:space="preserve">29.308,0</w:t>
      </w:r>
      <w:r>
        <w:t xml:space="preserve"> </w:t>
      </w:r>
      <w:r>
        <w:t xml:space="preserve">331.670</w:t>
      </w:r>
      <w:r>
        <w:t xml:space="preserve"> </w:t>
      </w:r>
      <w:r>
        <w:t xml:space="preserve">Source: Eurostat</w:t>
      </w:r>
      <w:r>
        <w:t xml:space="preserve"> </w:t>
      </w:r>
      <w:r>
        <w:t xml:space="preserve">Amongst the sectors in scope, the manufacture of chemicals and chemical products is the</w:t>
      </w:r>
      <w:r>
        <w:t xml:space="preserve"> </w:t>
      </w:r>
      <w:r>
        <w:t xml:space="preserve">largest with a total number of enterprises close to 28.000 in 2018. Most of these companies</w:t>
      </w:r>
      <w:r>
        <w:t xml:space="preserve"> </w:t>
      </w:r>
      <w:r>
        <w:t xml:space="preserve">are SMEs as shown in the table below.</w:t>
      </w:r>
    </w:p>
    <w:p>
      <w:pPr>
        <w:pStyle w:val="BodyText"/>
      </w:pPr>
      <w:r>
        <w:t xml:space="preserve">382</w:t>
      </w:r>
      <w:r>
        <w:t xml:space="preserve"> </w:t>
      </w:r>
      <w:r>
        <w:t xml:space="preserve">Table 111: Number of enterprises by size (2018)</w:t>
      </w:r>
      <w:r>
        <w:t xml:space="preserve"> </w:t>
      </w:r>
      <w:r>
        <w:t xml:space="preserve">Enterprise number</w:t>
      </w:r>
      <w:r>
        <w:t xml:space="preserve"> </w:t>
      </w:r>
      <w:r>
        <w:t xml:space="preserve">Total</w:t>
      </w:r>
      <w:r>
        <w:t xml:space="preserve"> </w:t>
      </w:r>
      <w:r>
        <w:t xml:space="preserve">From 0 to</w:t>
      </w:r>
      <w:r>
        <w:t xml:space="preserve"> </w:t>
      </w:r>
      <w:r>
        <w:t xml:space="preserve">9 persons</w:t>
      </w:r>
      <w:r>
        <w:t xml:space="preserve"> </w:t>
      </w:r>
      <w:r>
        <w:t xml:space="preserve">employe</w:t>
      </w:r>
      <w:r>
        <w:t xml:space="preserve"> </w:t>
      </w:r>
      <w:r>
        <w:t xml:space="preserve">d</w:t>
      </w:r>
      <w:r>
        <w:t xml:space="preserve"> </w:t>
      </w:r>
      <w:r>
        <w:t xml:space="preserve">From 10</w:t>
      </w:r>
      <w:r>
        <w:t xml:space="preserve"> </w:t>
      </w:r>
      <w:r>
        <w:t xml:space="preserve">to</w:t>
      </w:r>
      <w:r>
        <w:t xml:space="preserve"> </w:t>
      </w:r>
      <w:r>
        <w:t xml:space="preserve">19</w:t>
      </w:r>
      <w:r>
        <w:t xml:space="preserve"> </w:t>
      </w:r>
      <w:r>
        <w:t xml:space="preserve">persons</w:t>
      </w:r>
      <w:r>
        <w:t xml:space="preserve"> </w:t>
      </w:r>
      <w:r>
        <w:t xml:space="preserve">employe</w:t>
      </w:r>
      <w:r>
        <w:t xml:space="preserve"> </w:t>
      </w:r>
      <w:r>
        <w:t xml:space="preserve">d</w:t>
      </w:r>
      <w:r>
        <w:t xml:space="preserve"> </w:t>
      </w:r>
      <w:r>
        <w:t xml:space="preserve">From 20</w:t>
      </w:r>
      <w:r>
        <w:t xml:space="preserve"> </w:t>
      </w:r>
      <w:r>
        <w:t xml:space="preserve">to</w:t>
      </w:r>
      <w:r>
        <w:t xml:space="preserve"> </w:t>
      </w:r>
      <w:r>
        <w:t xml:space="preserve">49</w:t>
      </w:r>
      <w:r>
        <w:t xml:space="preserve"> </w:t>
      </w:r>
      <w:r>
        <w:t xml:space="preserve">persons</w:t>
      </w:r>
      <w:r>
        <w:t xml:space="preserve"> </w:t>
      </w:r>
      <w:r>
        <w:t xml:space="preserve">employe</w:t>
      </w:r>
      <w:r>
        <w:t xml:space="preserve"> </w:t>
      </w:r>
      <w:r>
        <w:t xml:space="preserve">d</w:t>
      </w:r>
      <w:r>
        <w:t xml:space="preserve"> </w:t>
      </w:r>
      <w:r>
        <w:t xml:space="preserve">From 50</w:t>
      </w:r>
      <w:r>
        <w:t xml:space="preserve"> </w:t>
      </w:r>
      <w:r>
        <w:t xml:space="preserve">to</w:t>
      </w:r>
      <w:r>
        <w:t xml:space="preserve"> </w:t>
      </w:r>
      <w:r>
        <w:t xml:space="preserve">249</w:t>
      </w:r>
      <w:r>
        <w:t xml:space="preserve"> </w:t>
      </w:r>
      <w:r>
        <w:t xml:space="preserve">persons</w:t>
      </w:r>
      <w:r>
        <w:t xml:space="preserve"> </w:t>
      </w:r>
      <w:r>
        <w:t xml:space="preserve">employe</w:t>
      </w:r>
      <w:r>
        <w:t xml:space="preserve"> </w:t>
      </w:r>
      <w:r>
        <w:t xml:space="preserve">d</w:t>
      </w:r>
      <w:r>
        <w:t xml:space="preserve"> </w:t>
      </w:r>
      <w:r>
        <w:t xml:space="preserve">250</w:t>
      </w:r>
      <w:r>
        <w:t xml:space="preserve"> </w:t>
      </w:r>
      <w:r>
        <w:t xml:space="preserve">persons</w:t>
      </w:r>
      <w:r>
        <w:t xml:space="preserve"> </w:t>
      </w:r>
      <w:r>
        <w:t xml:space="preserve">employe</w:t>
      </w:r>
      <w:r>
        <w:t xml:space="preserve"> </w:t>
      </w:r>
      <w:r>
        <w:t xml:space="preserve">d or more</w:t>
      </w:r>
      <w:r>
        <w:t xml:space="preserve"> </w:t>
      </w:r>
      <w:r>
        <w:t xml:space="preserve">Manufacture of coke and</w:t>
      </w:r>
      <w:r>
        <w:t xml:space="preserve"> </w:t>
      </w:r>
      <w:r>
        <w:t xml:space="preserve">refined petroleum products</w:t>
      </w:r>
      <w:r>
        <w:t xml:space="preserve"> </w:t>
      </w:r>
      <w:r>
        <w:t xml:space="preserve">868</w:t>
      </w:r>
      <w:r>
        <w:t xml:space="preserve"> </w:t>
      </w:r>
      <w:r>
        <w:t xml:space="preserve">522</w:t>
      </w:r>
      <w:r>
        <w:t xml:space="preserve"> </w:t>
      </w:r>
      <w:r>
        <w:t xml:space="preserve">92</w:t>
      </w:r>
      <w:r>
        <w:t xml:space="preserve"> </w:t>
      </w:r>
      <w:r>
        <w:t xml:space="preserve">97</w:t>
      </w:r>
      <w:r>
        <w:t xml:space="preserve"> </w:t>
      </w:r>
      <w:r>
        <w:t xml:space="preserve">78</w:t>
      </w:r>
      <w:r>
        <w:t xml:space="preserve"> </w:t>
      </w:r>
      <w:r>
        <w:t xml:space="preserve">79</w:t>
      </w:r>
      <w:r>
        <w:t xml:space="preserve"> </w:t>
      </w:r>
      <w:r>
        <w:t xml:space="preserve">Manufacture of chemicals</w:t>
      </w:r>
      <w:r>
        <w:t xml:space="preserve"> </w:t>
      </w:r>
      <w:r>
        <w:t xml:space="preserve">and chemical products</w:t>
      </w:r>
      <w:r>
        <w:t xml:space="preserve"> </w:t>
      </w:r>
      <w:r>
        <w:t xml:space="preserve">27.986</w:t>
      </w:r>
      <w:r>
        <w:t xml:space="preserve"> </w:t>
      </w:r>
      <w:r>
        <w:t xml:space="preserve">19.447</w:t>
      </w:r>
      <w:r>
        <w:t xml:space="preserve"> </w:t>
      </w:r>
      <w:r>
        <w:t xml:space="preserve">2.732</w:t>
      </w:r>
      <w:r>
        <w:t xml:space="preserve"> </w:t>
      </w:r>
      <w:r>
        <w:t xml:space="preserve">2.510</w:t>
      </w:r>
      <w:r>
        <w:t xml:space="preserve"> </w:t>
      </w:r>
      <w:r>
        <w:t xml:space="preserve">2.504</w:t>
      </w:r>
      <w:r>
        <w:t xml:space="preserve"> </w:t>
      </w:r>
      <w:r>
        <w:t xml:space="preserve">793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basic</w:t>
      </w:r>
      <w:r>
        <w:t xml:space="preserve"> </w:t>
      </w:r>
      <w:r>
        <w:t xml:space="preserve">chemicals, fertilisers and</w:t>
      </w:r>
      <w:r>
        <w:t xml:space="preserve"> </w:t>
      </w:r>
      <w:r>
        <w:t xml:space="preserve">nitrogen</w:t>
      </w:r>
      <w:r>
        <w:t xml:space="preserve"> </w:t>
      </w:r>
      <w:r>
        <w:t xml:space="preserve">compounds,</w:t>
      </w:r>
      <w:r>
        <w:t xml:space="preserve"> </w:t>
      </w:r>
      <w:r>
        <w:t xml:space="preserve">plastics</w:t>
      </w:r>
      <w:r>
        <w:t xml:space="preserve"> </w:t>
      </w:r>
      <w:r>
        <w:t xml:space="preserve">and</w:t>
      </w:r>
      <w:r>
        <w:t xml:space="preserve"> </w:t>
      </w:r>
      <w:r>
        <w:t xml:space="preserve">synthetic</w:t>
      </w:r>
      <w:r>
        <w:t xml:space="preserve"> </w:t>
      </w:r>
      <w:r>
        <w:t xml:space="preserve">rubber in primary forms</w:t>
      </w:r>
      <w:r>
        <w:t xml:space="preserve"> </w:t>
      </w:r>
      <w:r>
        <w:t xml:space="preserve">8.346</w:t>
      </w:r>
      <w:r>
        <w:t xml:space="preserve"> </w:t>
      </w:r>
      <w:r>
        <w:t xml:space="preserve">5.549</w:t>
      </w:r>
      <w:r>
        <w:t xml:space="preserve"> </w:t>
      </w:r>
      <w:r>
        <w:t xml:space="preserve">813</w:t>
      </w:r>
      <w:r>
        <w:t xml:space="preserve"> </w:t>
      </w:r>
      <w:r>
        <w:t xml:space="preserve">793</w:t>
      </w:r>
      <w:r>
        <w:t xml:space="preserve"> </w:t>
      </w:r>
      <w:r>
        <w:t xml:space="preserve">861</w:t>
      </w:r>
      <w:r>
        <w:t xml:space="preserve"> </w:t>
      </w:r>
      <w:r>
        <w:t xml:space="preserve">330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paints,</w:t>
      </w:r>
      <w:r>
        <w:t xml:space="preserve"> </w:t>
      </w:r>
      <w:r>
        <w:t xml:space="preserve">varnishes</w:t>
      </w:r>
      <w:r>
        <w:t xml:space="preserve"> </w:t>
      </w:r>
      <w:r>
        <w:t xml:space="preserve">and</w:t>
      </w:r>
      <w:r>
        <w:t xml:space="preserve"> </w:t>
      </w:r>
      <w:r>
        <w:t xml:space="preserve">similar</w:t>
      </w:r>
      <w:r>
        <w:t xml:space="preserve"> </w:t>
      </w:r>
      <w:r>
        <w:t xml:space="preserve">coatings, printing ink and</w:t>
      </w:r>
      <w:r>
        <w:t xml:space="preserve"> </w:t>
      </w:r>
      <w:r>
        <w:t xml:space="preserve">mastics</w:t>
      </w:r>
      <w:r>
        <w:t xml:space="preserve"> </w:t>
      </w:r>
      <w:r>
        <w:t xml:space="preserve">3.356</w:t>
      </w:r>
      <w:r>
        <w:t xml:space="preserve"> </w:t>
      </w:r>
      <w:r>
        <w:t xml:space="preserve">1.998</w:t>
      </w:r>
      <w:r>
        <w:t xml:space="preserve"> </w:t>
      </w:r>
      <w:r>
        <w:t xml:space="preserve">468</w:t>
      </w:r>
      <w:r>
        <w:t xml:space="preserve"> </w:t>
      </w:r>
      <w:r>
        <w:t xml:space="preserve">408</w:t>
      </w:r>
      <w:r>
        <w:t xml:space="preserve"> </w:t>
      </w:r>
      <w:r>
        <w:t xml:space="preserve">364</w:t>
      </w:r>
      <w:r>
        <w:t xml:space="preserve"> </w:t>
      </w:r>
      <w:r>
        <w:t xml:space="preserve">119</w:t>
      </w:r>
      <w:r>
        <w:t xml:space="preserve"> </w:t>
      </w:r>
      <w:r>
        <w:t xml:space="preserve">Manufacture of soap and</w:t>
      </w:r>
      <w:r>
        <w:t xml:space="preserve"> </w:t>
      </w:r>
      <w:r>
        <w:t xml:space="preserve">detergents, cleaning and</w:t>
      </w:r>
      <w:r>
        <w:t xml:space="preserve"> </w:t>
      </w:r>
      <w:r>
        <w:t xml:space="preserve">polishing</w:t>
      </w:r>
      <w:r>
        <w:t xml:space="preserve"> </w:t>
      </w:r>
      <w:r>
        <w:t xml:space="preserve">preparations,</w:t>
      </w:r>
      <w:r>
        <w:t xml:space="preserve"> </w:t>
      </w:r>
      <w:r>
        <w:t xml:space="preserve">perfumes</w:t>
      </w:r>
      <w:r>
        <w:t xml:space="preserve"> </w:t>
      </w:r>
      <w:r>
        <w:t xml:space="preserve">and</w:t>
      </w:r>
      <w:r>
        <w:t xml:space="preserve"> </w:t>
      </w:r>
      <w:r>
        <w:t xml:space="preserve">toilet</w:t>
      </w:r>
      <w:r>
        <w:t xml:space="preserve"> </w:t>
      </w:r>
      <w:r>
        <w:t xml:space="preserve">preparations</w:t>
      </w:r>
      <w:r>
        <w:t xml:space="preserve"> </w:t>
      </w:r>
      <w:r>
        <w:t xml:space="preserve">9.765</w:t>
      </w:r>
      <w:r>
        <w:t xml:space="preserve"> </w:t>
      </w:r>
      <w:r>
        <w:t xml:space="preserve">7.568</w:t>
      </w:r>
      <w:r>
        <w:t xml:space="preserve"> </w:t>
      </w:r>
      <w:r>
        <w:t xml:space="preserve">793</w:t>
      </w:r>
      <w:r>
        <w:t xml:space="preserve"> </w:t>
      </w:r>
      <w:r>
        <w:t xml:space="preserve">617</w:t>
      </w:r>
      <w:r>
        <w:t xml:space="preserve"> </w:t>
      </w:r>
      <w:r>
        <w:t xml:space="preserve">609</w:t>
      </w:r>
      <w:r>
        <w:t xml:space="preserve"> </w:t>
      </w:r>
      <w:r>
        <w:t xml:space="preserve">178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chemical products</w:t>
      </w:r>
      <w:r>
        <w:t xml:space="preserve"> </w:t>
      </w:r>
      <w:r>
        <w:t xml:space="preserve">5.723</w:t>
      </w:r>
      <w:r>
        <w:t xml:space="preserve"> </w:t>
      </w:r>
      <w:r>
        <w:t xml:space="preserve">3.863</w:t>
      </w:r>
      <w:r>
        <w:t xml:space="preserve"> </w:t>
      </w:r>
      <w:r>
        <w:t xml:space="preserve">586</w:t>
      </w:r>
      <w:r>
        <w:t xml:space="preserve"> </w:t>
      </w:r>
      <w:r>
        <w:t xml:space="preserve">607</w:t>
      </w:r>
      <w:r>
        <w:t xml:space="preserve"> </w:t>
      </w:r>
      <w:r>
        <w:t xml:space="preserve">549</w:t>
      </w:r>
      <w:r>
        <w:t xml:space="preserve"> </w:t>
      </w:r>
      <w:r>
        <w:t xml:space="preserve">119</w:t>
      </w:r>
      <w:r>
        <w:t xml:space="preserve"> </w:t>
      </w:r>
      <w:r>
        <w:t xml:space="preserve">Source: Eurostat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Under the baseline scenario no further policy intervention would be introduced. The purpose</w:t>
      </w:r>
      <w:r>
        <w:t xml:space="preserve"> </w:t>
      </w:r>
      <w:r>
        <w:t xml:space="preserve">of the baseline is to have a comparison for the estimate for the impacts of the other policy</w:t>
      </w:r>
      <w:r>
        <w:t xml:space="preserve"> </w:t>
      </w:r>
      <w:r>
        <w:t xml:space="preserve">options and assess the costs and benefits of the “status quo” to which other policy options</w:t>
      </w:r>
      <w:r>
        <w:t xml:space="preserve"> </w:t>
      </w:r>
      <w:r>
        <w:t xml:space="preserve">are compared to.</w:t>
      </w:r>
      <w:r>
        <w:t xml:space="preserve"> </w:t>
      </w:r>
      <w:r>
        <w:t xml:space="preserve">The findings of a legal analysis, the interviews, and the behavioural experiment, conducted</w:t>
      </w:r>
      <w:r>
        <w:t xml:space="preserve"> </w:t>
      </w:r>
      <w:r>
        <w:t xml:space="preserve">under the VVA 2021 study on digital labelling292, findings indicate that the labelling</w:t>
      </w:r>
      <w:r>
        <w:t xml:space="preserve"> </w:t>
      </w:r>
      <w:r>
        <w:t xml:space="preserve">requirements of the CLP Regulation are still relevant in fulfilling their objective of</w:t>
      </w:r>
      <w:r>
        <w:t xml:space="preserve"> </w:t>
      </w:r>
      <w:r>
        <w:t xml:space="preserve">communicating hazard and safety information as well as use instructions to users. More</w:t>
      </w:r>
      <w:r>
        <w:t xml:space="preserve"> </w:t>
      </w:r>
      <w:r>
        <w:t xml:space="preserve">specifically, the legal analysis shows that the labelling provisions of the Detergents</w:t>
      </w:r>
      <w:r>
        <w:t xml:space="preserve"> </w:t>
      </w:r>
      <w:r>
        <w:t xml:space="preserve">Regulation are “without prejudice” to the provisions of the CLP and, where applicable, they</w:t>
      </w:r>
      <w:r>
        <w:t xml:space="preserve"> </w:t>
      </w:r>
      <w:r>
        <w:t xml:space="preserve">will be added to the CLP requirements.</w:t>
      </w:r>
      <w:r>
        <w:br/>
      </w:r>
      <w:r>
        <w:t xml:space="preserve">For what concerns digital tools and innovative communication methods, it is important to</w:t>
      </w:r>
      <w:r>
        <w:t xml:space="preserve"> </w:t>
      </w:r>
      <w:r>
        <w:t xml:space="preserve">take into account the following aspects:</w:t>
      </w:r>
    </w:p>
    <w:p>
      <w:pPr>
        <w:pStyle w:val="BodyText"/>
      </w:pPr>
      <w:r>
        <w:t xml:space="preserve">292 VVA (2022) Impact Assessment Study on the simplification of the labelling requirements for chemicals</w:t>
      </w:r>
      <w:r>
        <w:t xml:space="preserve"> </w:t>
      </w:r>
      <w:r>
        <w:t xml:space="preserve">and use of e-labelling</w:t>
      </w:r>
    </w:p>
    <w:p>
      <w:pPr>
        <w:pStyle w:val="BodyText"/>
      </w:pPr>
      <w:r>
        <w:t xml:space="preserve">383</w:t>
      </w:r>
      <w:r>
        <w:t xml:space="preserve"> </w:t>
      </w:r>
      <w:r>
        <w:t xml:space="preserve">1. The increased market penetration of digital tools such as barcodes, QR codes and</w:t>
      </w:r>
      <w:r>
        <w:t xml:space="preserve"> </w:t>
      </w:r>
      <w:r>
        <w:t xml:space="preserve">websites to convey product information. This trend has increased the awareness of</w:t>
      </w:r>
      <w:r>
        <w:t xml:space="preserve"> </w:t>
      </w:r>
      <w:r>
        <w:t xml:space="preserve">consumers on the use of these tools. In particular, during the recent pandemic, the</w:t>
      </w:r>
      <w:r>
        <w:t xml:space="preserve"> </w:t>
      </w:r>
      <w:r>
        <w:t xml:space="preserve">use of QR codes has been widely used, for example as integral part of the EU Digital</w:t>
      </w:r>
      <w:r>
        <w:t xml:space="preserve"> </w:t>
      </w:r>
      <w:r>
        <w:t xml:space="preserve">COVID certificate.293</w:t>
      </w:r>
      <w:r>
        <w:t xml:space="preserve"> </w:t>
      </w:r>
      <w:r>
        <w:t xml:space="preserve">2. The GHS has embarked on defining a framework for digital labelling. Potentially,</w:t>
      </w:r>
      <w:r>
        <w:t xml:space="preserve"> </w:t>
      </w:r>
      <w:r>
        <w:t xml:space="preserve">in case of a definition of an international GHS framework on digital labelling, a</w:t>
      </w:r>
      <w:r>
        <w:t xml:space="preserve"> </w:t>
      </w:r>
      <w:r>
        <w:t xml:space="preserve">subsequential implementation at EU level would follow up. Discussions have started</w:t>
      </w:r>
      <w:r>
        <w:t xml:space="preserve"> </w:t>
      </w:r>
      <w:r>
        <w:t xml:space="preserve">in 2019 regarding the possibility of digitalisation of information for chemical</w:t>
      </w:r>
      <w:r>
        <w:t xml:space="preserve"> </w:t>
      </w:r>
      <w:r>
        <w:t xml:space="preserve">products.294 Development on this topic suggest that, even in absence of a direct</w:t>
      </w:r>
      <w:r>
        <w:t xml:space="preserve"> </w:t>
      </w:r>
      <w:r>
        <w:t xml:space="preserve">intervention at EU level, the use of digital labels will have to be introduced in the</w:t>
      </w:r>
      <w:r>
        <w:t xml:space="preserve"> </w:t>
      </w:r>
      <w:r>
        <w:t xml:space="preserve">EU market though a revision of the GHS standards.</w:t>
      </w:r>
      <w:r>
        <w:t xml:space="preserve"> </w:t>
      </w:r>
      <w:r>
        <w:t xml:space="preserve">3. Increased rules at EU level of the communication of product information via digital</w:t>
      </w:r>
      <w:r>
        <w:t xml:space="preserve"> </w:t>
      </w:r>
      <w:r>
        <w:t xml:space="preserve">tools (i.e. for the labelling of wine295, electronic instructions for use of medical</w:t>
      </w:r>
      <w:r>
        <w:t xml:space="preserve"> </w:t>
      </w:r>
      <w:r>
        <w:t xml:space="preserve">devices296 and digital labelling for batteries297), as well as the upcoming Digital</w:t>
      </w:r>
      <w:r>
        <w:t xml:space="preserve"> </w:t>
      </w:r>
      <w:r>
        <w:t xml:space="preserve">Product Passport (under the Sustainable Products Initiative)298 which will set out the</w:t>
      </w:r>
      <w:r>
        <w:t xml:space="preserve"> </w:t>
      </w:r>
      <w:r>
        <w:t xml:space="preserve">rules of digital provision of suitability criteria of products. Parallel initiatives on the</w:t>
      </w:r>
      <w:r>
        <w:t xml:space="preserve"> </w:t>
      </w:r>
      <w:r>
        <w:t xml:space="preserve">introduction of digital labels in EU suggest that electronic labelling could be</w:t>
      </w:r>
      <w:r>
        <w:t xml:space="preserve"> </w:t>
      </w:r>
      <w:r>
        <w:t xml:space="preserve">introduced in EU for chemical products even if not directly related to a revision of</w:t>
      </w:r>
      <w:r>
        <w:t xml:space="preserve"> </w:t>
      </w:r>
      <w:r>
        <w:t xml:space="preserve">the CLP or Detergents regulations;</w:t>
      </w:r>
      <w:r>
        <w:br/>
      </w:r>
      <w:r>
        <w:t xml:space="preserve">4. The industry is already starting to develop and use digital labels which could lead to</w:t>
      </w:r>
      <w:r>
        <w:t xml:space="preserve"> </w:t>
      </w:r>
      <w:r>
        <w:t xml:space="preserve">market fragmentation (i.e. a multitude of different systems at national level or even</w:t>
      </w:r>
      <w:r>
        <w:t xml:space="preserve"> </w:t>
      </w:r>
      <w:r>
        <w:t xml:space="preserve">at company level) if no common framework is established.</w:t>
      </w:r>
      <w:r>
        <w:br/>
      </w:r>
      <w:r>
        <w:t xml:space="preserve">All of these developments point towards the fact that digital labels will be necessary in the</w:t>
      </w:r>
      <w:r>
        <w:t xml:space="preserve"> </w:t>
      </w:r>
      <w:r>
        <w:t xml:space="preserve">future to present and/or sell products online, and that therefore, the costs to develop these</w:t>
      </w:r>
    </w:p>
    <w:p>
      <w:pPr>
        <w:pStyle w:val="BodyText"/>
      </w:pPr>
      <w:r>
        <w:t xml:space="preserve">293 EU Digital Covid Certificate: https://ec.europa.eu/info/live-work-travel-eu/coronavirus-response/safe-</w:t>
      </w:r>
      <w:r>
        <w:t xml:space="preserve"> </w:t>
      </w:r>
      <w:r>
        <w:t xml:space="preserve">covid-19-vaccines-europeans/eu-digital-covid-certificate_en</w:t>
      </w:r>
      <w:r>
        <w:br/>
      </w:r>
      <w:r>
        <w:t xml:space="preserve">294 (AC.10/C.4) ECOSOC Sub-Committee of Experts on the Globally Harmonized System of Classification</w:t>
      </w:r>
      <w:r>
        <w:t xml:space="preserve"> </w:t>
      </w:r>
      <w:r>
        <w:t xml:space="preserve">and Labelling of Chemicals (38th session). Report available at: https://unece.org/info/events/event/19153</w:t>
      </w:r>
      <w:r>
        <w:br/>
      </w:r>
      <w:r>
        <w:t xml:space="preserve">295 Regulation (EU) 2021/2117 of the European Parliament and of the Council of 2 December 2021 amending</w:t>
      </w:r>
      <w:r>
        <w:t xml:space="preserve"> </w:t>
      </w:r>
      <w:r>
        <w:t xml:space="preserve">Regulations (EU) No 1308/2013 establishing a common organisation of the markets in agricultural products,</w:t>
      </w:r>
      <w:r>
        <w:t xml:space="preserve"> </w:t>
      </w:r>
      <w:r>
        <w:t xml:space="preserve">(EU) No 1151/2012 on quality schemes for agricultural products and foodstuffs, (EU) No 251/2014 on the</w:t>
      </w:r>
      <w:r>
        <w:t xml:space="preserve"> </w:t>
      </w:r>
      <w:r>
        <w:t xml:space="preserve">definition, description, presentation, labelling and the protection of geographical indications of aromatised</w:t>
      </w:r>
      <w:r>
        <w:t xml:space="preserve"> </w:t>
      </w:r>
      <w:r>
        <w:t xml:space="preserve">wine products and (EU) No 228/2013 laying down specific measures for agriculture in the outermost regions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Union,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content/EN/TXT/?uri=CELEX%3A32021R2117&amp;qid=1645715904558</w:t>
      </w:r>
      <w:r>
        <w:t xml:space="preserve"> </w:t>
      </w:r>
      <w:r>
        <w:t xml:space="preserve">296 COMMISSION IMPLEMENTING REGULATION (EU) 2021/2226, of 14 December 2021, laying down</w:t>
      </w:r>
      <w:r>
        <w:t xml:space="preserve"> </w:t>
      </w:r>
      <w:r>
        <w:t xml:space="preserve">rules for the application of Regulation (EU) 2017/745 of the European Parliament and of the Council as regards</w:t>
      </w:r>
      <w:r>
        <w:t xml:space="preserve"> </w:t>
      </w:r>
      <w:r>
        <w:t xml:space="preserve">electronic instructions for use of medical devices, available at: https://eur-lex.europa.eu/legal-</w:t>
      </w:r>
      <w:r>
        <w:t xml:space="preserve"> </w:t>
      </w:r>
      <w:r>
        <w:t xml:space="preserve">content/EN/TXT/PDF/?uri=CELEX:32021R2226</w:t>
      </w:r>
      <w:r>
        <w:t xml:space="preserve"> </w:t>
      </w:r>
      <w:r>
        <w:t xml:space="preserve">297 Proposal for a REGULATION OF THE EUROPEAN PARLIAMENT AND OF THE COUNCIL</w:t>
      </w:r>
      <w:r>
        <w:t xml:space="preserve"> </w:t>
      </w:r>
      <w:r>
        <w:t xml:space="preserve">concerning batteries and waste batteries, repealing Directive 2006/66/EC and amending Regulation (EU) No</w:t>
      </w:r>
      <w:r>
        <w:t xml:space="preserve"> </w:t>
      </w:r>
      <w:r>
        <w:t xml:space="preserve">2019/1020,</w:t>
      </w:r>
      <w:r>
        <w:t xml:space="preserve"> </w:t>
      </w:r>
      <w:r>
        <w:t xml:space="preserve">COM/2020/798</w:t>
      </w:r>
      <w:r>
        <w:t xml:space="preserve"> </w:t>
      </w:r>
      <w:r>
        <w:t xml:space="preserve">final,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content/EN/TXT/?uri=CELEX%3A52020PC0798&amp;qid=1639045049210</w:t>
      </w:r>
      <w:r>
        <w:t xml:space="preserve"> </w:t>
      </w:r>
      <w:r>
        <w:t xml:space="preserve">298 Work in progress, for more information please see: https://ec.europa.eu/info/law/better-regulation/have-</w:t>
      </w:r>
      <w:r>
        <w:t xml:space="preserve"> </w:t>
      </w:r>
      <w:r>
        <w:t xml:space="preserve">your-say/initiatives/12567-Sustainable-products-initiative_en</w:t>
      </w:r>
    </w:p>
    <w:p>
      <w:pPr>
        <w:pStyle w:val="BodyText"/>
      </w:pPr>
      <w:r>
        <w:t xml:space="preserve">384</w:t>
      </w:r>
      <w:r>
        <w:t xml:space="preserve"> </w:t>
      </w:r>
      <w:r>
        <w:t xml:space="preserve">digital labels will occur in any event. However, without a common framework at EU level,</w:t>
      </w:r>
      <w:r>
        <w:t xml:space="preserve"> </w:t>
      </w:r>
      <w:r>
        <w:t xml:space="preserve">the market fragmentation would likely lead to higher costs.</w:t>
      </w:r>
      <w:r>
        <w:br/>
      </w:r>
      <w:r>
        <w:t xml:space="preserve">Regarding the use of e-labels, this policy option would foresee no changes in the status quo</w:t>
      </w:r>
      <w:r>
        <w:t xml:space="preserve"> </w:t>
      </w:r>
      <w:r>
        <w:t xml:space="preserve">meaning that industry would continue to provide mandatory information on physical labels.</w:t>
      </w:r>
      <w:r>
        <w:t xml:space="preserve"> </w:t>
      </w:r>
      <w:r>
        <w:t xml:space="preserve">Manufacturers would continue to adopt e-labels according to their own preferences and with</w:t>
      </w:r>
      <w:r>
        <w:t xml:space="preserve"> </w:t>
      </w:r>
      <w:r>
        <w:t xml:space="preserve">no specific measure regarding the type of IT solution to be used, or the quality of</w:t>
      </w:r>
      <w:r>
        <w:t xml:space="preserve"> </w:t>
      </w:r>
      <w:r>
        <w:t xml:space="preserve">information provided.</w:t>
      </w:r>
      <w:r>
        <w:t xml:space="preserve"> </w:t>
      </w:r>
      <w:r>
        <w:t xml:space="preserve">Physical vs electronic label under the baseline</w:t>
      </w:r>
      <w:r>
        <w:t xml:space="preserve"> </w:t>
      </w:r>
      <w:r>
        <w:t xml:space="preserve">In the current regulatory framework, the use of electronic labels is not regulated, thus,</w:t>
      </w:r>
      <w:r>
        <w:t xml:space="preserve"> </w:t>
      </w:r>
      <w:r>
        <w:t xml:space="preserve">manufacturers are not allowed to replace (partially or totally) the physical labels with</w:t>
      </w:r>
      <w:r>
        <w:t xml:space="preserve"> </w:t>
      </w:r>
      <w:r>
        <w:t xml:space="preserve">electronic ones.</w:t>
      </w:r>
      <w:r>
        <w:t xml:space="preserve"> </w:t>
      </w:r>
      <w:r>
        <w:t xml:space="preserve">The use of e-labels is voluntary and not regulated. As previously mentioned, however, some</w:t>
      </w:r>
      <w:r>
        <w:t xml:space="preserve"> </w:t>
      </w:r>
      <w:r>
        <w:t xml:space="preserve">requirements already exist for duty holders that are relevant for our analysis, in particular:</w:t>
      </w:r>
      <w:r>
        <w:t xml:space="preserve"> </w:t>
      </w:r>
      <w:r>
        <w:t xml:space="preserve">Safety Data Sheets that need to contain the labelling information of the CLP Regulation</w:t>
      </w:r>
      <w:r>
        <w:t xml:space="preserve"> </w:t>
      </w:r>
      <w:r>
        <w:t xml:space="preserve">pursuant to Article 31 of the REACH Regulation need to be provided by suppliers who place</w:t>
      </w:r>
      <w:r>
        <w:t xml:space="preserve"> </w:t>
      </w:r>
      <w:r>
        <w:t xml:space="preserve">a substance or mixture on the market299; This is increasingly (but not always) done in an</w:t>
      </w:r>
      <w:r>
        <w:t xml:space="preserve"> </w:t>
      </w:r>
      <w:r>
        <w:t xml:space="preserve">electronic manner;</w:t>
      </w:r>
      <w:r>
        <w:t xml:space="preserve"> </w:t>
      </w:r>
      <w:r>
        <w:t xml:space="preserve">Under Article 40 of CLP, manufacturers or importers, or a group of manufacturers or</w:t>
      </w:r>
      <w:r>
        <w:t xml:space="preserve"> </w:t>
      </w:r>
      <w:r>
        <w:t xml:space="preserve">importers, are obliged to notify information to the European Chemicals Agency (ECHA) on</w:t>
      </w:r>
      <w:r>
        <w:t xml:space="preserve"> </w:t>
      </w:r>
      <w:r>
        <w:t xml:space="preserve">the substances they place on the market;</w:t>
      </w:r>
      <w:r>
        <w:br/>
      </w:r>
      <w:r>
        <w:t xml:space="preserve">Under Article 45 of CLP, downstream users and importers are obliged to notify nationally</w:t>
      </w:r>
      <w:r>
        <w:t xml:space="preserve"> </w:t>
      </w:r>
      <w:r>
        <w:t xml:space="preserve">or to ECHA relevant information to provide emergency health response, which shall be</w:t>
      </w:r>
      <w:r>
        <w:t xml:space="preserve"> </w:t>
      </w:r>
      <w:r>
        <w:t xml:space="preserve">received by national appointed bodies (poison centres).</w:t>
      </w:r>
      <w:r>
        <w:br/>
      </w:r>
      <w:r>
        <w:t xml:space="preserve">These processes involve largely or fully the digital processing and/or communication of</w:t>
      </w:r>
      <w:r>
        <w:t xml:space="preserve"> </w:t>
      </w:r>
      <w:r>
        <w:t xml:space="preserve">labelling elements. Therefore, we assume that there is already an “administrative burden”</w:t>
      </w:r>
      <w:r>
        <w:t xml:space="preserve"> </w:t>
      </w:r>
      <w:r>
        <w:t xml:space="preserve">related to notifications to be carried out electronically for duty holders due to the provision</w:t>
      </w:r>
      <w:r>
        <w:t xml:space="preserve"> </w:t>
      </w:r>
      <w:r>
        <w:t xml:space="preserve">of information under CLP Articles 40 and 45 to a public authority. This implies at least that</w:t>
      </w:r>
      <w:r>
        <w:t xml:space="preserve"> </w:t>
      </w:r>
      <w:r>
        <w:t xml:space="preserve">duty holders have the relevant labelling elements on the substances and mixtures they place</w:t>
      </w:r>
      <w:r>
        <w:t xml:space="preserve"> </w:t>
      </w:r>
      <w:r>
        <w:t xml:space="preserve">on the market already available in an electronic format and that it is unlikely that additional</w:t>
      </w:r>
      <w:r>
        <w:t xml:space="preserve"> </w:t>
      </w:r>
      <w:r>
        <w:t xml:space="preserve">significant cost for digitalisation of physical labels will occur.</w:t>
      </w:r>
      <w:r>
        <w:t xml:space="preserve"> </w:t>
      </w:r>
      <w:r>
        <w:t xml:space="preserve">Description of Policy Measures</w:t>
      </w:r>
      <w:r>
        <w:br/>
      </w:r>
      <w:r>
        <w:t xml:space="preserve">The legal analysis, the interviews and the behavioural experiment provided the basis for the</w:t>
      </w:r>
      <w:r>
        <w:t xml:space="preserve"> </w:t>
      </w:r>
      <w:r>
        <w:t xml:space="preserve">identification of the policy options to simplify and streamline current labelling</w:t>
      </w:r>
      <w:r>
        <w:t xml:space="preserve"> </w:t>
      </w:r>
      <w:r>
        <w:t xml:space="preserve">requirements, and to introduce the use of digital tools for parts of the labels falling within</w:t>
      </w:r>
      <w:r>
        <w:t xml:space="preserve"> </w:t>
      </w:r>
      <w:r>
        <w:t xml:space="preserve">the scope of CLP and the Detergent Regulations.</w:t>
      </w:r>
    </w:p>
    <w:p>
      <w:pPr>
        <w:pStyle w:val="BodyText"/>
      </w:pPr>
      <w:r>
        <w:t xml:space="preserve">299 See Article 31 of the REACH Regulation read in combination with Annex II of that Regulation.</w:t>
      </w:r>
    </w:p>
    <w:p>
      <w:pPr>
        <w:pStyle w:val="BodyText"/>
      </w:pPr>
      <w:r>
        <w:t xml:space="preserve">385</w:t>
      </w:r>
      <w:r>
        <w:t xml:space="preserve"> </w:t>
      </w:r>
      <w:r>
        <w:t xml:space="preserve">Policy measure 0: No new policy actions</w:t>
      </w:r>
      <w:r>
        <w:t xml:space="preserve"> </w:t>
      </w:r>
      <w:r>
        <w:t xml:space="preserve">Under this measure, no further policy intervention would be introduced. The purpose of the</w:t>
      </w:r>
      <w:r>
        <w:t xml:space="preserve"> </w:t>
      </w:r>
      <w:r>
        <w:t xml:space="preserve">baseline is to establish a benchmark against which the impacts of the other policy options</w:t>
      </w:r>
      <w:r>
        <w:t xml:space="preserve"> </w:t>
      </w:r>
      <w:r>
        <w:t xml:space="preserve">can be compared,</w:t>
      </w:r>
      <w:r>
        <w:t xml:space="preserve"> </w:t>
      </w:r>
      <w:r>
        <w:t xml:space="preserve">The findings of the legal analysis, the interviews, and the behavioural experiment, indicate</w:t>
      </w:r>
      <w:r>
        <w:t xml:space="preserve"> </w:t>
      </w:r>
      <w:r>
        <w:t xml:space="preserve">that the labelling requirements of CLP are still relevant in fulfilling their objective of</w:t>
      </w:r>
      <w:r>
        <w:t xml:space="preserve"> </w:t>
      </w:r>
      <w:r>
        <w:t xml:space="preserve">communicating hazard and safety information to users. The legal analysis suggests that the</w:t>
      </w:r>
      <w:r>
        <w:t xml:space="preserve"> </w:t>
      </w:r>
      <w:r>
        <w:t xml:space="preserve">labelling requirements of the two Regulations (detergents and CLP) complement each other</w:t>
      </w:r>
      <w:r>
        <w:t xml:space="preserve"> </w:t>
      </w:r>
      <w:r>
        <w:t xml:space="preserve">as both Regulations aim to protect the health of consumers, industrial and professional users.</w:t>
      </w:r>
      <w:r>
        <w:t xml:space="preserve"> </w:t>
      </w:r>
      <w:r>
        <w:t xml:space="preserve">Indeed, as described above, the European chemical legislation is spearheaded by the</w:t>
      </w:r>
      <w:r>
        <w:t xml:space="preserve"> </w:t>
      </w:r>
      <w:r>
        <w:t xml:space="preserve">REACH Regulation and the CLP Regulation which are setting the science-based horizontal</w:t>
      </w:r>
      <w:r>
        <w:t xml:space="preserve"> </w:t>
      </w:r>
      <w:r>
        <w:t xml:space="preserve">legislative framework, and complemented by sector specific legislation (e.g. the Detergents</w:t>
      </w:r>
      <w:r>
        <w:t xml:space="preserve"> </w:t>
      </w:r>
      <w:r>
        <w:t xml:space="preserve">Regulation), using the general framework to establish risk management measures as</w:t>
      </w:r>
      <w:r>
        <w:t xml:space="preserve"> </w:t>
      </w:r>
      <w:r>
        <w:t xml:space="preserve">necessary.</w:t>
      </w:r>
      <w:r>
        <w:br/>
      </w:r>
      <w:r>
        <w:t xml:space="preserve">However, some legislative overlaps between the CLP and the Detergents Regulations exist,</w:t>
      </w:r>
      <w:r>
        <w:t xml:space="preserve"> </w:t>
      </w:r>
      <w:r>
        <w:t xml:space="preserve">notably regarding the labelling of allergenic fragrances, the labelling of surfactants and</w:t>
      </w:r>
      <w:r>
        <w:t xml:space="preserve"> </w:t>
      </w:r>
      <w:r>
        <w:t xml:space="preserve">allergenic preservatives when CLP thresholds are met. These overlaps may create</w:t>
      </w:r>
      <w:r>
        <w:t xml:space="preserve"> </w:t>
      </w:r>
      <w:r>
        <w:t xml:space="preserve">duplications in labelling requirements and consequently, redundant information that reduce</w:t>
      </w:r>
      <w:r>
        <w:t xml:space="preserve"> </w:t>
      </w:r>
      <w:r>
        <w:t xml:space="preserve">the readability of a label and confuse users. For instance, labels of detergents, falling by</w:t>
      </w:r>
      <w:r>
        <w:t xml:space="preserve"> </w:t>
      </w:r>
      <w:r>
        <w:t xml:space="preserve">default under both regulations, contain a duplication in labelling of substances (e.g. </w:t>
      </w:r>
      <w:r>
        <w:t xml:space="preserve"> </w:t>
      </w:r>
      <w:r>
        <w:t xml:space="preserve">allergenic fragrances), and in addition they need to be indicated under different names (INCI</w:t>
      </w:r>
      <w:r>
        <w:t xml:space="preserve"> </w:t>
      </w:r>
      <w:r>
        <w:t xml:space="preserve">names for preservatives and allergenic perfume ingredients according to Detergents</w:t>
      </w:r>
      <w:r>
        <w:t xml:space="preserve"> </w:t>
      </w:r>
      <w:r>
        <w:t xml:space="preserve">Regulation, and chemical names according to CLP). More details on the regulatory overlaps</w:t>
      </w:r>
      <w:r>
        <w:t xml:space="preserve"> </w:t>
      </w:r>
      <w:r>
        <w:t xml:space="preserve">are provided in the regulatory analysis in Annex 3.</w:t>
      </w:r>
      <w:r>
        <w:t xml:space="preserve"> </w:t>
      </w:r>
      <w:r>
        <w:t xml:space="preserve">Regarding the use of digital labels, this policy option would foresee no changes in the status</w:t>
      </w:r>
      <w:r>
        <w:t xml:space="preserve"> </w:t>
      </w:r>
      <w:r>
        <w:t xml:space="preserve">quo meaning that industry would continue to provide mandatory information on physical</w:t>
      </w:r>
      <w:r>
        <w:t xml:space="preserve"> </w:t>
      </w:r>
      <w:r>
        <w:t xml:space="preserve">labels. Manufacturers would continue to adopt digital labels according to their own</w:t>
      </w:r>
      <w:r>
        <w:t xml:space="preserve"> </w:t>
      </w:r>
      <w:r>
        <w:t xml:space="preserve">preferences and with no specific measure regarding the type of IT solution to be used, or</w:t>
      </w:r>
      <w:r>
        <w:t xml:space="preserve"> </w:t>
      </w:r>
      <w:r>
        <w:t xml:space="preserve">the quality of information provided, possibly even using proprietary systems that are</w:t>
      </w:r>
      <w:r>
        <w:t xml:space="preserve"> </w:t>
      </w:r>
      <w:r>
        <w:t xml:space="preserve">incompatible with other systems used.</w:t>
      </w:r>
      <w:r>
        <w:t xml:space="preserve"> </w:t>
      </w:r>
      <w:r>
        <w:t xml:space="preserve">Physical vs electronic label under the baseline (option 0)</w:t>
      </w:r>
      <w:r>
        <w:t xml:space="preserve"> </w:t>
      </w:r>
      <w:r>
        <w:t xml:space="preserve">In the current regulatory framework, the use of electronic labels is not regulated, thus,</w:t>
      </w:r>
      <w:r>
        <w:t xml:space="preserve"> </w:t>
      </w:r>
      <w:r>
        <w:t xml:space="preserve">manufacturers are not allowed to replace (partially or totally) the physical labels with</w:t>
      </w:r>
      <w:r>
        <w:t xml:space="preserve"> </w:t>
      </w:r>
      <w:r>
        <w:t xml:space="preserve">electronic ones.</w:t>
      </w:r>
      <w:r>
        <w:t xml:space="preserve"> </w:t>
      </w:r>
      <w:r>
        <w:t xml:space="preserve">The use of digital labels is voluntary and not regulated. As previously mentioned, however,</w:t>
      </w:r>
      <w:r>
        <w:t xml:space="preserve"> </w:t>
      </w:r>
      <w:r>
        <w:t xml:space="preserve">some requirements already exist for duty holders300 that are relevant for our analysis, in</w:t>
      </w:r>
      <w:r>
        <w:t xml:space="preserve"> </w:t>
      </w:r>
      <w:r>
        <w:t xml:space="preserve">particular: the Safety Data Sheets, notifications to ECHA, providing information for</w:t>
      </w:r>
      <w:r>
        <w:t xml:space="preserve"> </w:t>
      </w:r>
      <w:r>
        <w:t xml:space="preserve">emergency health response and the obligations under the Detergents Regulation to make</w:t>
      </w:r>
      <w:r>
        <w:t xml:space="preserve"> </w:t>
      </w:r>
      <w:r>
        <w:t xml:space="preserve">some information available on a website.</w:t>
      </w:r>
    </w:p>
    <w:p>
      <w:pPr>
        <w:pStyle w:val="BodyText"/>
      </w:pPr>
      <w:r>
        <w:t xml:space="preserve">300 Manufacturers, suppliers, importers, and downstream users of the products defined in the CLP and</w:t>
      </w:r>
      <w:r>
        <w:t xml:space="preserve"> </w:t>
      </w:r>
      <w:r>
        <w:t xml:space="preserve">Detergents Regulations.</w:t>
      </w:r>
    </w:p>
    <w:p>
      <w:pPr>
        <w:pStyle w:val="BodyText"/>
      </w:pPr>
      <w:r>
        <w:t xml:space="preserve">386</w:t>
      </w:r>
      <w:r>
        <w:t xml:space="preserve"> </w:t>
      </w:r>
      <w:r>
        <w:t xml:space="preserve">These processes involve largely or fully the digital processing and/or communication of</w:t>
      </w:r>
      <w:r>
        <w:t xml:space="preserve"> </w:t>
      </w:r>
      <w:r>
        <w:t xml:space="preserve">labelling elements. Therefore, we assume that there is already an “administrative burden”</w:t>
      </w:r>
      <w:r>
        <w:t xml:space="preserve"> </w:t>
      </w:r>
      <w:r>
        <w:t xml:space="preserve">related to notifications to be carried out electronically for duty holders due to the provision</w:t>
      </w:r>
      <w:r>
        <w:t xml:space="preserve"> </w:t>
      </w:r>
      <w:r>
        <w:t xml:space="preserve">of information under CLP Articles 40 and 45 to a public authority and a substantive cost of</w:t>
      </w:r>
      <w:r>
        <w:t xml:space="preserve"> </w:t>
      </w:r>
      <w:r>
        <w:t xml:space="preserve">setting up a dedicated website due to Annex VII to the Detergents Regulation.</w:t>
      </w:r>
      <w:r>
        <w:br/>
      </w:r>
      <w:r>
        <w:t xml:space="preserve">Furthermore, it is expected that the Digital Product Passport will already lead to the</w:t>
      </w:r>
      <w:r>
        <w:t xml:space="preserve"> </w:t>
      </w:r>
      <w:r>
        <w:t xml:space="preserve">development of relevant databases and communication platforms that could be re-used for</w:t>
      </w:r>
      <w:r>
        <w:t xml:space="preserve"> </w:t>
      </w:r>
      <w:r>
        <w:t xml:space="preserve">digital labelling elements under CLP and the Detergents Regulation.</w:t>
      </w:r>
      <w:r>
        <w:t xml:space="preserve"> </w:t>
      </w:r>
      <w:r>
        <w:t xml:space="preserve">Table 112: Policy measure 1: Non-legislative measures: Physical labels and voluntary use of e-label</w:t>
      </w:r>
      <w:r>
        <w:t xml:space="preserve"> </w:t>
      </w:r>
      <w:r>
        <w:t xml:space="preserve">Summary</w:t>
      </w:r>
      <w:r>
        <w:t xml:space="preserve"> </w:t>
      </w:r>
      <w:r>
        <w:t xml:space="preserve">Policy Measure 1: Non-legislative intervention which foresees no changes in the current mandatory regulatory</w:t>
      </w:r>
      <w:r>
        <w:t xml:space="preserve"> </w:t>
      </w:r>
      <w:r>
        <w:t xml:space="preserve">framework.</w:t>
      </w:r>
      <w:r>
        <w:t xml:space="preserve"> </w:t>
      </w:r>
      <w:r>
        <w:t xml:space="preserve">The intervention of the European Commission would be limited to the provision of a guidance document which would</w:t>
      </w:r>
      <w:r>
        <w:t xml:space="preserve"> </w:t>
      </w:r>
      <w:r>
        <w:t xml:space="preserve">set non-mandatory standards (e.g. on how to present information) on the voluntary use of electronic labels (e.g. with</w:t>
      </w:r>
      <w:r>
        <w:t xml:space="preserve"> </w:t>
      </w:r>
      <w:r>
        <w:t xml:space="preserve">recommended practices for better readability of information on the electronic label).</w:t>
      </w:r>
      <w:r>
        <w:t xml:space="preserve"> </w:t>
      </w:r>
      <w:r>
        <w:t xml:space="preserve">Manufacturers would not be allowed to replace (partially or in total) physical labels with electronic ones.</w:t>
      </w:r>
      <w:r>
        <w:t xml:space="preserve"> </w:t>
      </w:r>
      <w:r>
        <w:t xml:space="preserve">This option might also include the promotion of information campaigns on chemicals in consumer products to improve</w:t>
      </w:r>
      <w:r>
        <w:t xml:space="preserve"> </w:t>
      </w:r>
      <w:r>
        <w:t xml:space="preserve">consumer understanding of dangers and information available on labels.</w:t>
      </w:r>
      <w:r>
        <w:t xml:space="preserve"> </w:t>
      </w:r>
      <w:r>
        <w:t xml:space="preserve">Intervention:</w:t>
      </w:r>
      <w:r>
        <w:t xml:space="preserve"> </w:t>
      </w:r>
      <w:r>
        <w:t xml:space="preserve">Policy measure: to create a new section/heading under ECHA’s Labelling and Packaging Guidance with</w:t>
      </w:r>
      <w:r>
        <w:t xml:space="preserve"> </w:t>
      </w:r>
      <w:r>
        <w:t xml:space="preserve">recommendations on the implementation of existing labelling requirements and effective communication for</w:t>
      </w:r>
      <w:r>
        <w:t xml:space="preserve"> </w:t>
      </w:r>
      <w:r>
        <w:t xml:space="preserve">digital labelling.</w:t>
      </w:r>
    </w:p>
    <w:p>
      <w:pPr>
        <w:pStyle w:val="BodyText"/>
      </w:pPr>
      <w:r>
        <w:t xml:space="preserve">Under Policy Measure 1, only non-legislative action to set out common practices in the</w:t>
      </w:r>
      <w:r>
        <w:t xml:space="preserve"> </w:t>
      </w:r>
      <w:r>
        <w:t xml:space="preserve">implementation of existing labelling requirements will be taken. It should be noted that</w:t>
      </w:r>
      <w:r>
        <w:t xml:space="preserve"> </w:t>
      </w:r>
      <w:r>
        <w:t xml:space="preserve">guidance documents were already developed by ECHA on the CLP Regulation301. While</w:t>
      </w:r>
      <w:r>
        <w:t xml:space="preserve"> </w:t>
      </w:r>
      <w:r>
        <w:t xml:space="preserve">this guidance is appropriate it may be necessary to widen the communication efforts about</w:t>
      </w:r>
      <w:r>
        <w:t xml:space="preserve"> </w:t>
      </w:r>
      <w:r>
        <w:t xml:space="preserve">the guidance to stipulate its use. In the next review of the guidance it could also be explored</w:t>
      </w:r>
      <w:r>
        <w:t xml:space="preserve"> </w:t>
      </w:r>
      <w:r>
        <w:t xml:space="preserve">to elaborate further on the interaction between CLP and other relevant legislation such as</w:t>
      </w:r>
      <w:r>
        <w:t xml:space="preserve"> </w:t>
      </w:r>
      <w:r>
        <w:t xml:space="preserve">the Detergent Regulation.</w:t>
      </w:r>
      <w:r>
        <w:t xml:space="preserve"> </w:t>
      </w:r>
      <w:r>
        <w:t xml:space="preserve">Commission or ECHA guidelines could provide more practical examples and informal notes</w:t>
      </w:r>
      <w:r>
        <w:t xml:space="preserve"> </w:t>
      </w:r>
      <w:r>
        <w:t xml:space="preserve">on how to convey obligatory information (under the CLP Regulation) on the label without</w:t>
      </w:r>
      <w:r>
        <w:t xml:space="preserve"> </w:t>
      </w:r>
      <w:r>
        <w:t xml:space="preserve">overwhelming users, in particular consumers, for example by simplifying and streamlining</w:t>
      </w:r>
      <w:r>
        <w:t xml:space="preserve"> </w:t>
      </w:r>
      <w:r>
        <w:t xml:space="preserve">labels. However, such solutions would not remove any regulatory overlaps or</w:t>
      </w:r>
      <w:r>
        <w:t xml:space="preserve"> </w:t>
      </w:r>
      <w:r>
        <w:t xml:space="preserve">inconsistencies as such. Furthermore, such guidelines could include best practices examples</w:t>
      </w:r>
      <w:r>
        <w:t xml:space="preserve"> </w:t>
      </w:r>
      <w:r>
        <w:t xml:space="preserve">of the interplay between the CLP and the Detergent Regulations regarding labelling</w:t>
      </w:r>
      <w:r>
        <w:t xml:space="preserve"> </w:t>
      </w:r>
      <w:r>
        <w:t xml:space="preserve">provisions. Nevertheless, such solution would not remove any regulatory overlaps or</w:t>
      </w:r>
      <w:r>
        <w:t xml:space="preserve"> </w:t>
      </w:r>
      <w:r>
        <w:t xml:space="preserve">inconsistencies as such.</w:t>
      </w:r>
      <w:r>
        <w:br/>
      </w:r>
      <w:r>
        <w:t xml:space="preserve">Regarding the use of digital labelling, the current legal labelling requirements do not allow</w:t>
      </w:r>
      <w:r>
        <w:t xml:space="preserve"> </w:t>
      </w:r>
      <w:r>
        <w:t xml:space="preserve">duty holders to provide information only digitally, and digital communication on product</w:t>
      </w:r>
      <w:r>
        <w:t xml:space="preserve"> </w:t>
      </w:r>
      <w:r>
        <w:t xml:space="preserve">labels is done only on a voluntary basis and supplementary to the physical label. Considering</w:t>
      </w:r>
    </w:p>
    <w:p>
      <w:pPr>
        <w:pStyle w:val="BodyText"/>
      </w:pPr>
      <w:r>
        <w:t xml:space="preserve">301 ECHA, Guidance on labelling and packaging in accordance with Regulation (EC) No 1272/2008, March</w:t>
      </w:r>
      <w:r>
        <w:t xml:space="preserve"> </w:t>
      </w:r>
      <w:r>
        <w:t xml:space="preserve">2021. https://echa.europa.eu/documents/10162/23036412/clp_labelling_en.pdf/89628d94-573a-4024-86cc-</w:t>
      </w:r>
      <w:r>
        <w:t xml:space="preserve"> </w:t>
      </w:r>
      <w:r>
        <w:t xml:space="preserve">0b4052a74d65</w:t>
      </w:r>
    </w:p>
    <w:p>
      <w:pPr>
        <w:pStyle w:val="BodyText"/>
      </w:pPr>
      <w:r>
        <w:t xml:space="preserve">387</w:t>
      </w:r>
      <w:r>
        <w:t xml:space="preserve"> </w:t>
      </w:r>
      <w:r>
        <w:t xml:space="preserve">the opinions expressed so far in the Sub-Committee of the GHS, it likely that this will remain</w:t>
      </w:r>
      <w:r>
        <w:t xml:space="preserve"> </w:t>
      </w:r>
      <w:r>
        <w:t xml:space="preserve">the norm for CLP.</w:t>
      </w:r>
      <w:r>
        <w:t xml:space="preserve"> </w:t>
      </w:r>
      <w:r>
        <w:t xml:space="preserve">However, guidelines and good practices examples on effective communication for digital</w:t>
      </w:r>
      <w:r>
        <w:t xml:space="preserve"> </w:t>
      </w:r>
      <w:r>
        <w:t xml:space="preserve">labelling could support the industry in the uptake of digitalisation on a voluntary basis, e.g. </w:t>
      </w:r>
      <w:r>
        <w:t xml:space="preserve"> </w:t>
      </w:r>
      <w:r>
        <w:t xml:space="preserve">to respond to market demands.</w:t>
      </w:r>
      <w:r>
        <w:t xml:space="preserve"> </w:t>
      </w:r>
      <w:r>
        <w:t xml:space="preserve">Regarding how to provide the above mentioned guidelines on how to convey obligatory</w:t>
      </w:r>
      <w:r>
        <w:t xml:space="preserve"> </w:t>
      </w:r>
      <w:r>
        <w:t xml:space="preserve">information on the label and on effective communication for digital labelling, Policy</w:t>
      </w:r>
      <w:r>
        <w:t xml:space="preserve"> </w:t>
      </w:r>
      <w:r>
        <w:t xml:space="preserve">Measure 1 considers to create a new section/heading under ECHA’s Labelling and</w:t>
      </w:r>
      <w:r>
        <w:t xml:space="preserve"> </w:t>
      </w:r>
      <w:r>
        <w:t xml:space="preserve">Packaging Guidance302, designed to assist manufacturers in the effective application of the</w:t>
      </w:r>
      <w:r>
        <w:t xml:space="preserve"> </w:t>
      </w:r>
      <w:r>
        <w:t xml:space="preserve">CLP Regulation, with new recommendations. As they are now, these guidelines provide a</w:t>
      </w:r>
      <w:r>
        <w:t xml:space="preserve"> </w:t>
      </w:r>
      <w:r>
        <w:t xml:space="preserve">general overview of the CLP Regulation with explanations of the requirements for labelling</w:t>
      </w:r>
      <w:r>
        <w:t xml:space="preserve"> </w:t>
      </w:r>
      <w:r>
        <w:t xml:space="preserve">and packaging, as well as practical examples illustrating different situations that may be</w:t>
      </w:r>
      <w:r>
        <w:t xml:space="preserve"> </w:t>
      </w:r>
      <w:r>
        <w:t xml:space="preserve">encountered when designing labels. With this policy measure, this document could be</w:t>
      </w:r>
      <w:r>
        <w:t xml:space="preserve"> </w:t>
      </w:r>
      <w:r>
        <w:t xml:space="preserve">completed with additional recommendations, especially on how to convey obligatory</w:t>
      </w:r>
      <w:r>
        <w:t xml:space="preserve"> </w:t>
      </w:r>
      <w:r>
        <w:t xml:space="preserve">information without overwhelming users (and especially consumers), thus increasing the</w:t>
      </w:r>
      <w:r>
        <w:t xml:space="preserve"> </w:t>
      </w:r>
      <w:r>
        <w:t xml:space="preserve">efficiency of the hazard communication to users without modifying the legal requirements.</w:t>
      </w:r>
      <w:r>
        <w:t xml:space="preserve"> </w:t>
      </w:r>
      <w:r>
        <w:t xml:space="preserve">This additional guidance would aim to tackle the issue of the overloaded character of labels</w:t>
      </w:r>
      <w:r>
        <w:t xml:space="preserve"> </w:t>
      </w:r>
      <w:r>
        <w:t xml:space="preserve">and the long texts in small prints, which, as highlighted by a majority of stakeholders during</w:t>
      </w:r>
      <w:r>
        <w:t xml:space="preserve"> </w:t>
      </w:r>
      <w:r>
        <w:t xml:space="preserve">the interviews, reduce the readability and understandability of labels.303 In addition,</w:t>
      </w:r>
      <w:r>
        <w:t xml:space="preserve"> </w:t>
      </w:r>
      <w:r>
        <w:t xml:space="preserve">ECHA’s Labelling and Packaging guidance could also include practical examples of</w:t>
      </w:r>
      <w:r>
        <w:t xml:space="preserve"> </w:t>
      </w:r>
      <w:r>
        <w:t xml:space="preserve">effective communication for digital labelling, in order to incentivise a voluntary but</w:t>
      </w:r>
      <w:r>
        <w:t xml:space="preserve"> </w:t>
      </w:r>
      <w:r>
        <w:t xml:space="preserve">standardised way of communicating information digitally. This part of the policy measure</w:t>
      </w:r>
      <w:r>
        <w:t xml:space="preserve"> </w:t>
      </w:r>
      <w:r>
        <w:t xml:space="preserve">would address the objective (SO2) of setting up a framework allowing the use of digital</w:t>
      </w:r>
      <w:r>
        <w:t xml:space="preserve"> </w:t>
      </w:r>
      <w:r>
        <w:t xml:space="preserve">tools to communicate product information. However, it must be noted that with this policy</w:t>
      </w:r>
      <w:r>
        <w:t xml:space="preserve"> </w:t>
      </w:r>
      <w:r>
        <w:t xml:space="preserve">measure, this guidance would constitute a non-regulatory framework. Policy Measure 2:</w:t>
      </w:r>
      <w:r>
        <w:t xml:space="preserve"> </w:t>
      </w:r>
      <w:r>
        <w:t xml:space="preserve">Revision of the labelling rules in the regulations: align the two regulations and address</w:t>
      </w:r>
      <w:r>
        <w:t xml:space="preserve"> </w:t>
      </w:r>
      <w:r>
        <w:t xml:space="preserve">inconsistencies on the physical label only.</w:t>
      </w:r>
    </w:p>
    <w:p>
      <w:pPr>
        <w:pStyle w:val="BodyText"/>
      </w:pPr>
      <w:r>
        <w:t xml:space="preserve">302 ECHA, Guidance on labelling and packaging in accordance with Regulation (EC) No 1272/2008, March</w:t>
      </w:r>
      <w:r>
        <w:t xml:space="preserve"> </w:t>
      </w:r>
      <w:r>
        <w:t xml:space="preserve">2021. https://echa.europa.eu/documents/10162/23036412/clp_labelling_en.pdf/89628d94-573a-4024-86cc-</w:t>
      </w:r>
      <w:r>
        <w:t xml:space="preserve"> </w:t>
      </w:r>
      <w:r>
        <w:t xml:space="preserve">0b4052a74d65</w:t>
      </w:r>
      <w:r>
        <w:t xml:space="preserve"> </w:t>
      </w:r>
      <w:r>
        <w:t xml:space="preserve">303 See Annex 1, Stakeholder consultation - Synopsis report, findings from the interviews.</w:t>
      </w:r>
    </w:p>
    <w:p>
      <w:pPr>
        <w:pStyle w:val="BodyText"/>
      </w:pPr>
      <w:r>
        <w:t xml:space="preserve">388</w:t>
      </w:r>
      <w:r>
        <w:t xml:space="preserve"> </w:t>
      </w:r>
      <w:r>
        <w:t xml:space="preserve">Table 113: Policy Measure 2: Revision of the labelling rules in the regulations</w:t>
      </w:r>
      <w:r>
        <w:t xml:space="preserve"> </w:t>
      </w:r>
      <w:r>
        <w:t xml:space="preserve">Summary</w:t>
      </w:r>
      <w:r>
        <w:t xml:space="preserve"> </w:t>
      </w:r>
      <w:r>
        <w:t xml:space="preserve">Policy Measure 2: This policy measure would entail a regulatory intervention when revising the Detergents</w:t>
      </w:r>
      <w:r>
        <w:t xml:space="preserve"> </w:t>
      </w:r>
      <w:r>
        <w:t xml:space="preserve">regulations to address inconsistencies, overlaps and duplications (also with CLP).</w:t>
      </w:r>
      <w:r>
        <w:t xml:space="preserve"> </w:t>
      </w:r>
      <w:r>
        <w:t xml:space="preserve">This policy measure would not entail any possibility for manufacturers to replace (partially or in total) physical labels</w:t>
      </w:r>
      <w:r>
        <w:t xml:space="preserve"> </w:t>
      </w:r>
      <w:r>
        <w:t xml:space="preserve">with electronic ones and the use of electronic labels would remain voluntary and with the provision, at EU level, of</w:t>
      </w:r>
      <w:r>
        <w:t xml:space="preserve"> </w:t>
      </w:r>
      <w:r>
        <w:t xml:space="preserve">guidelines on the use of digital tools.</w:t>
      </w:r>
      <w:r>
        <w:t xml:space="preserve"> </w:t>
      </w:r>
      <w:r>
        <w:t xml:space="preserve"></w:t>
      </w:r>
      <w:r>
        <w:t xml:space="preserve"> </w:t>
      </w:r>
      <w:r>
        <w:t xml:space="preserve">Interventions on CLP Regulation: None.</w:t>
      </w:r>
      <w:r>
        <w:br/>
      </w:r>
      <w:r>
        <w:t xml:space="preserve"></w:t>
      </w:r>
      <w:r>
        <w:t xml:space="preserve"> </w:t>
      </w:r>
      <w:r>
        <w:t xml:space="preserve">Interventions on Detergents Regulation:</w:t>
      </w:r>
      <w:r>
        <w:t xml:space="preserve"> </w:t>
      </w:r>
      <w:r>
        <w:t xml:space="preserve">o</w:t>
      </w:r>
      <w:r>
        <w:t xml:space="preserve"> </w:t>
      </w:r>
      <w:r>
        <w:t xml:space="preserve">Sub-measure 2a: the Detergents Regulations provides that the identified overlapping provisions are</w:t>
      </w:r>
      <w:r>
        <w:t xml:space="preserve"> </w:t>
      </w:r>
      <w:r>
        <w:t xml:space="preserve">to be labelled only once, either following the CLP or Detergents Regulation, based on the stricter</w:t>
      </w:r>
      <w:r>
        <w:t xml:space="preserve"> </w:t>
      </w:r>
      <w:r>
        <w:t xml:space="preserve">rules;</w:t>
      </w:r>
      <w:r>
        <w:t xml:space="preserve"> </w:t>
      </w:r>
      <w:r>
        <w:t xml:space="preserve">Sub-measure 2b: all overlapping provisions are removed from the Detergents Regulation.</w:t>
      </w:r>
    </w:p>
    <w:p>
      <w:pPr>
        <w:pStyle w:val="BodyText"/>
      </w:pPr>
      <w:r>
        <w:t xml:space="preserve">This policy measure would entail a regulatory intervention when revising the Detergents</w:t>
      </w:r>
      <w:r>
        <w:t xml:space="preserve"> </w:t>
      </w:r>
      <w:r>
        <w:t xml:space="preserve">Regulation to address the identified legal overlaps, inconsistencies and duplications. This</w:t>
      </w:r>
      <w:r>
        <w:t xml:space="preserve"> </w:t>
      </w:r>
      <w:r>
        <w:t xml:space="preserve">policy option contribute to the achievement of the first specific objective identified (SO1),</w:t>
      </w:r>
      <w:r>
        <w:t xml:space="preserve"> </w:t>
      </w:r>
      <w:r>
        <w:t xml:space="preserve">to improve consumer understanding and awareness of labels, especially for vulnerable</w:t>
      </w:r>
      <w:r>
        <w:t xml:space="preserve"> </w:t>
      </w:r>
      <w:r>
        <w:t xml:space="preserve">consumers, by simplifying and streamlining the existing labelling requirements in the</w:t>
      </w:r>
      <w:r>
        <w:t xml:space="preserve"> </w:t>
      </w:r>
      <w:r>
        <w:t xml:space="preserve">Detergents Regulation only.</w:t>
      </w:r>
      <w:r>
        <w:br/>
      </w:r>
      <w:r>
        <w:t xml:space="preserve">This policy measure would not entail any possibility for manufacturers to replace (partially</w:t>
      </w:r>
      <w:r>
        <w:t xml:space="preserve"> </w:t>
      </w:r>
      <w:r>
        <w:t xml:space="preserve">or in total) physical labels with digital ones, and the use of digital labels would remain</w:t>
      </w:r>
      <w:r>
        <w:t xml:space="preserve"> </w:t>
      </w:r>
      <w:r>
        <w:t xml:space="preserve">voluntary and with the provision, at EU level, of guidelines on the use of digital tools (as</w:t>
      </w:r>
      <w:r>
        <w:t xml:space="preserve"> </w:t>
      </w:r>
      <w:r>
        <w:t xml:space="preserve">described under Policy measure 1).</w:t>
      </w:r>
      <w:r>
        <w:t xml:space="preserve"> </w:t>
      </w:r>
      <w:r>
        <w:t xml:space="preserve">This policy measure would not necessitate any regulatory interventions on the CLP</w:t>
      </w:r>
      <w:r>
        <w:t xml:space="preserve"> </w:t>
      </w:r>
      <w:r>
        <w:t xml:space="preserve">Regulation. The legal overlaps, inconsistencies and duplications identified would be</w:t>
      </w:r>
      <w:r>
        <w:t xml:space="preserve"> </w:t>
      </w:r>
      <w:r>
        <w:t xml:space="preserve">addressed with a regulatory intervention when revising the Detergents Regulation. Although</w:t>
      </w:r>
      <w:r>
        <w:t xml:space="preserve"> </w:t>
      </w:r>
      <w:r>
        <w:t xml:space="preserve">no regulatory changes would be made to the CLP regulation, addressing the issues in the</w:t>
      </w:r>
      <w:r>
        <w:t xml:space="preserve"> </w:t>
      </w:r>
      <w:r>
        <w:t xml:space="preserve">Detergents Regulation, will address overlaps identified in both Regulations.</w:t>
      </w:r>
      <w:r>
        <w:br/>
      </w:r>
      <w:r>
        <w:t xml:space="preserve">First, labelling requirements under the Detergents Regulation that would need to be</w:t>
      </w:r>
      <w:r>
        <w:t xml:space="preserve"> </w:t>
      </w:r>
      <w:r>
        <w:t xml:space="preserve">streamlined to avoid overlaps, inconsistencies and duplications with the CLP Regulation.</w:t>
      </w:r>
      <w:r>
        <w:t xml:space="preserve"> </w:t>
      </w:r>
      <w:r>
        <w:t xml:space="preserve">These regulatory changes include the following:</w:t>
      </w:r>
      <w:r>
        <w:t xml:space="preserve"> </w:t>
      </w:r>
      <w:r>
        <w:t xml:space="preserve">Where labelling provisions of CLP (hazard pictograms, hazard statements, precautionary</w:t>
      </w:r>
      <w:r>
        <w:t xml:space="preserve"> </w:t>
      </w:r>
      <w:r>
        <w:t xml:space="preserve">statements, etc.) fulfil the requirements of the Detergents Regulation, Article 11(3), the</w:t>
      </w:r>
      <w:r>
        <w:t xml:space="preserve"> </w:t>
      </w:r>
      <w:r>
        <w:t xml:space="preserve">standard phrases under the CLP Regulation would be used to warn consumers, industrial</w:t>
      </w:r>
      <w:r>
        <w:t xml:space="preserve"> </w:t>
      </w:r>
      <w:r>
        <w:t xml:space="preserve">and professional users;</w:t>
      </w:r>
      <w:r>
        <w:br/>
      </w:r>
      <w:r>
        <w:t xml:space="preserve">Ensure that for mixtures the provisions of Annex VII C of the Detergents Regulation do not</w:t>
      </w:r>
      <w:r>
        <w:t xml:space="preserve"> </w:t>
      </w:r>
      <w:r>
        <w:t xml:space="preserve">duplicate those of Article 45 and Annex VIII of the CLP;</w:t>
      </w:r>
      <w:r>
        <w:t xml:space="preserve"> </w:t>
      </w:r>
      <w:r>
        <w:t xml:space="preserve">Secondly, this policy measure aims to simplify and clarify the rules on labelling of allergenic</w:t>
      </w:r>
      <w:r>
        <w:t xml:space="preserve"> </w:t>
      </w:r>
      <w:r>
        <w:t xml:space="preserve">fragrance ingredients in a way that the same fragrance ingredient falling within the scope of</w:t>
      </w:r>
      <w:r>
        <w:t xml:space="preserve"> </w:t>
      </w:r>
      <w:r>
        <w:t xml:space="preserve">both Regulations is not labelled twice or thrice on the same label. This simplification should</w:t>
      </w:r>
      <w:r>
        <w:t xml:space="preserve"> </w:t>
      </w:r>
      <w:r>
        <w:t xml:space="preserve">also consider the existing differences between the two Regulations in the identification of a</w:t>
      </w:r>
    </w:p>
    <w:p>
      <w:pPr>
        <w:pStyle w:val="BodyText"/>
      </w:pPr>
      <w:r>
        <w:t xml:space="preserve">389</w:t>
      </w:r>
      <w:r>
        <w:t xml:space="preserve"> </w:t>
      </w:r>
      <w:r>
        <w:t xml:space="preserve">substance, i.e., the name (and identification number) under which the sensitising fragrance</w:t>
      </w:r>
      <w:r>
        <w:t xml:space="preserve"> </w:t>
      </w:r>
      <w:r>
        <w:t xml:space="preserve">is to be labelled. To this purpose, this policy option is declined under two sub-options, as</w:t>
      </w:r>
      <w:r>
        <w:t xml:space="preserve"> </w:t>
      </w:r>
      <w:r>
        <w:t xml:space="preserve">follows:</w:t>
      </w:r>
      <w:r>
        <w:t xml:space="preserve"> </w:t>
      </w:r>
      <w:r>
        <w:t xml:space="preserve">Sub-measure 2a: the Detergents Regulations provides that the remaining overlapping</w:t>
      </w:r>
      <w:r>
        <w:t xml:space="preserve"> </w:t>
      </w:r>
      <w:r>
        <w:t xml:space="preserve">provisions are to be labelled only once, either following the CLP or Detergents Regulation,</w:t>
      </w:r>
      <w:r>
        <w:t xml:space="preserve"> </w:t>
      </w:r>
      <w:r>
        <w:t xml:space="preserve">based on the stricter rules;</w:t>
      </w:r>
      <w:r>
        <w:t xml:space="preserve"> </w:t>
      </w:r>
      <w:r>
        <w:t xml:space="preserve">Sub-measure 2b: all overlapping provisions are removed from the Detergents Regulation.</w:t>
      </w:r>
      <w:r>
        <w:t xml:space="preserve"> </w:t>
      </w:r>
      <w:r>
        <w:t xml:space="preserve">These overlaps concerns the inclusion of skin sensitisers (i.e. allergenic substances like</w:t>
      </w:r>
      <w:r>
        <w:t xml:space="preserve"> </w:t>
      </w:r>
      <w:r>
        <w:t xml:space="preserve">preservatives and fragrances) in the list of ingredients that need to figure on the product</w:t>
      </w:r>
      <w:r>
        <w:t xml:space="preserve"> </w:t>
      </w:r>
      <w:r>
        <w:t xml:space="preserve">label when they are present above certain thresholds, considering that most allergenic</w:t>
      </w:r>
      <w:r>
        <w:t xml:space="preserve"> </w:t>
      </w:r>
      <w:r>
        <w:t xml:space="preserve">fragrance ingredients under the Cosmetic Products Regulation are also classified as skin</w:t>
      </w:r>
      <w:r>
        <w:t xml:space="preserve"> </w:t>
      </w:r>
      <w:r>
        <w:t xml:space="preserve">sensitisers under CLP. These thresholds in CLP are lower than those provided in the</w:t>
      </w:r>
      <w:r>
        <w:t xml:space="preserve"> </w:t>
      </w:r>
      <w:r>
        <w:t xml:space="preserve">Detergents Regulation. Therefore, according to sub-measure 2a, when these substances are</w:t>
      </w:r>
      <w:r>
        <w:t xml:space="preserve"> </w:t>
      </w:r>
      <w:r>
        <w:t xml:space="preserve">present in a detergent, they should be labelled according to the stricter rules provided in the</w:t>
      </w:r>
      <w:r>
        <w:t xml:space="preserve"> </w:t>
      </w:r>
      <w:r>
        <w:t xml:space="preserve">Detergents Regulation (i.e. labelled as soon as the lowest threshold is reached). However,</w:t>
      </w:r>
      <w:r>
        <w:t xml:space="preserve"> </w:t>
      </w:r>
      <w:r>
        <w:t xml:space="preserve">in the sub-measure 2b, the labelling requirements concerning the allergenic fragrance</w:t>
      </w:r>
      <w:r>
        <w:t xml:space="preserve"> </w:t>
      </w:r>
      <w:r>
        <w:t xml:space="preserve">ingredients will be removed from the Detergents Regulation and when these substances are</w:t>
      </w:r>
      <w:r>
        <w:t xml:space="preserve"> </w:t>
      </w:r>
      <w:r>
        <w:t xml:space="preserve">present in a detergent, they would be labelled according to the CLP Regulation. To this</w:t>
      </w:r>
      <w:r>
        <w:t xml:space="preserve"> </w:t>
      </w:r>
      <w:r>
        <w:t xml:space="preserve">regard, in sub-measure 2b, less allergenic substances would be labelled (due to higher</w:t>
      </w:r>
      <w:r>
        <w:t xml:space="preserve"> </w:t>
      </w:r>
      <w:r>
        <w:t xml:space="preserve">thresholds to reach).</w:t>
      </w:r>
      <w:r>
        <w:br/>
      </w:r>
      <w:r>
        <w:t xml:space="preserve">The analysis and impacts of this policy measure are included in the parallel Staff Working</w:t>
      </w:r>
      <w:r>
        <w:t xml:space="preserve"> </w:t>
      </w:r>
      <w:r>
        <w:t xml:space="preserve">Document of the Detergents Regulation targeted revision.</w:t>
      </w:r>
      <w:r>
        <w:t xml:space="preserve"> </w:t>
      </w:r>
      <w:r>
        <w:t xml:space="preserve">Policy measure 3: Revision of the labelling rules in the regulations, introducing digital</w:t>
      </w:r>
      <w:r>
        <w:t xml:space="preserve"> </w:t>
      </w:r>
      <w:r>
        <w:t xml:space="preserve">labelling: keep basic information of labelling requirements on physical labels, and move</w:t>
      </w:r>
      <w:r>
        <w:t xml:space="preserve"> </w:t>
      </w:r>
      <w:r>
        <w:t xml:space="preserve">certain labelling requirements on the digital label only.</w:t>
      </w:r>
    </w:p>
    <w:p>
      <w:pPr>
        <w:pStyle w:val="BodyText"/>
      </w:pPr>
      <w:r>
        <w:t xml:space="preserve">390</w:t>
      </w:r>
      <w:r>
        <w:t xml:space="preserve"> </w:t>
      </w:r>
      <w:r>
        <w:t xml:space="preserve">Table 114: Policy measure 3</w:t>
      </w:r>
      <w:r>
        <w:t xml:space="preserve"> </w:t>
      </w:r>
      <w:r>
        <w:t xml:space="preserve">Summary</w:t>
      </w:r>
      <w:r>
        <w:t xml:space="preserve"> </w:t>
      </w:r>
      <w:r>
        <w:t xml:space="preserve">Policy measure 3: This policy measure would entail a regulatory intervention to allow manufacturers to use</w:t>
      </w:r>
      <w:r>
        <w:t xml:space="preserve"> </w:t>
      </w:r>
      <w:r>
        <w:t xml:space="preserve">electronic labels, on a voluntary basis, to provide specific pieces of information to users in alternative to physical labels.</w:t>
      </w:r>
      <w:r>
        <w:t xml:space="preserve"> </w:t>
      </w:r>
      <w:r>
        <w:t xml:space="preserve">This policy measure does not allow for a complete replacement of the physical label. Still, it will enable manufacturers</w:t>
      </w:r>
      <w:r>
        <w:t xml:space="preserve"> </w:t>
      </w:r>
      <w:r>
        <w:t xml:space="preserve">to provide some mandatory details online while keeping basic mandatory information on the physical label.</w:t>
      </w:r>
      <w:r>
        <w:t xml:space="preserve"> </w:t>
      </w:r>
      <w:r>
        <w:t xml:space="preserve">From Policy measure 3 onwards, the policy options would also include the regulatory interventions discussed under</w:t>
      </w:r>
      <w:r>
        <w:t xml:space="preserve"> </w:t>
      </w:r>
      <w:r>
        <w:t xml:space="preserve">Policy measure 2 to streamline the regulatory framework under the Detergents Regulation.</w:t>
      </w:r>
      <w:r>
        <w:t xml:space="preserve"> </w:t>
      </w:r>
      <w:r>
        <w:t xml:space="preserve">In addition, this policy measure would entail the introduction of a common framework for digital labelling in each</w:t>
      </w:r>
      <w:r>
        <w:t xml:space="preserve"> </w:t>
      </w:r>
      <w:r>
        <w:t xml:space="preserve">piece of legislation (i.e. in the CLP and Detergents Regulation, but also in other legislation such as the Fertilising</w:t>
      </w:r>
      <w:r>
        <w:t xml:space="preserve"> </w:t>
      </w:r>
      <w:r>
        <w:t xml:space="preserve">Product Regulation). This common framework for digital labelling would need to be kept aligned between the relevant</w:t>
      </w:r>
      <w:r>
        <w:t xml:space="preserve"> </w:t>
      </w:r>
      <w:r>
        <w:t xml:space="preserve">legislation. Such a framework would include mandatory principles on the provisions of this information to ensure</w:t>
      </w:r>
      <w:r>
        <w:t xml:space="preserve"> </w:t>
      </w:r>
      <w:r>
        <w:t xml:space="preserve">higher consumer protection standards. Such principles would need to be common to all digital labelling solutions.</w:t>
      </w:r>
      <w:r>
        <w:br/>
      </w:r>
      <w:r>
        <w:t xml:space="preserve">Labelling requirements under the CLP regulation that would be allowed to be moved on a digital label under Policy</w:t>
      </w:r>
      <w:r>
        <w:t xml:space="preserve"> </w:t>
      </w:r>
      <w:r>
        <w:t xml:space="preserve">measure 3:</w:t>
      </w:r>
      <w:r>
        <w:t xml:space="preserve"> </w:t>
      </w:r>
      <w:r>
        <w:t xml:space="preserve">o</w:t>
      </w:r>
      <w:r>
        <w:t xml:space="preserve"> </w:t>
      </w:r>
      <w:r>
        <w:t xml:space="preserve">Supplemental labelling information:</w:t>
      </w:r>
      <w:r>
        <w:t xml:space="preserve"> </w:t>
      </w:r>
      <w:r>
        <w:t xml:space="preserve">a) EUH statements as per sections 1.1. and 1.2. of Annex II (Art. 25(1))</w:t>
      </w:r>
      <w:r>
        <w:t xml:space="preserve"> </w:t>
      </w:r>
      <w:r>
        <w:t xml:space="preserve">b) Other supplemental labelling information than that in paragraphs (1) and (2) of Art. 25 (Art. 25(3))</w:t>
      </w:r>
      <w:r>
        <w:t xml:space="preserve"> </w:t>
      </w:r>
      <w:r>
        <w:t xml:space="preserve">c) EUH statements as per Part 2 of Annex II for certain mixtures (Special rules for supplemental label</w:t>
      </w:r>
      <w:r>
        <w:t xml:space="preserve"> </w:t>
      </w:r>
      <w:r>
        <w:t xml:space="preserve">elements for certain mixtures, Art. 25(6))</w:t>
      </w:r>
    </w:p>
    <w:p>
      <w:pPr>
        <w:pStyle w:val="BodyText"/>
      </w:pPr>
      <w:r>
        <w:t xml:space="preserve">This policy measure is the first to introduce the possibility for duty holders to partially</w:t>
      </w:r>
      <w:r>
        <w:t xml:space="preserve"> </w:t>
      </w:r>
      <w:r>
        <w:t xml:space="preserve">replace physical labels with digital labels for the provisions of some specific pieces of</w:t>
      </w:r>
      <w:r>
        <w:t xml:space="preserve"> </w:t>
      </w:r>
      <w:r>
        <w:t xml:space="preserve">information which are currently mandatory. Providing information electronically would</w:t>
      </w:r>
      <w:r>
        <w:t xml:space="preserve"> </w:t>
      </w:r>
      <w:r>
        <w:t xml:space="preserve">remain voluntary.</w:t>
      </w:r>
      <w:r>
        <w:t xml:space="preserve"> </w:t>
      </w:r>
      <w:r>
        <w:t xml:space="preserve">From Policy measure 3 onwards, the policy options also include the regulatory interventions</w:t>
      </w:r>
      <w:r>
        <w:t xml:space="preserve"> </w:t>
      </w:r>
      <w:r>
        <w:t xml:space="preserve">foreseen under Policy measure 2 in the Detergents Regulation, which are needed to</w:t>
      </w:r>
      <w:r>
        <w:t xml:space="preserve"> </w:t>
      </w:r>
      <w:r>
        <w:t xml:space="preserve">streamline the regulatory framework and remove inconsistencies and duplications.</w:t>
      </w:r>
      <w:r>
        <w:br/>
      </w:r>
      <w:r>
        <w:t xml:space="preserve">It must be noted that the framework for digital labelling would need to be introduced in each</w:t>
      </w:r>
      <w:r>
        <w:t xml:space="preserve"> </w:t>
      </w:r>
      <w:r>
        <w:t xml:space="preserve">piece of legislation (i.e. in the CLP and Detergents Regulation, but also in other legislation</w:t>
      </w:r>
      <w:r>
        <w:t xml:space="preserve"> </w:t>
      </w:r>
      <w:r>
        <w:t xml:space="preserve">such as the Fertilising Product Regulation). This common framework for digital labelling</w:t>
      </w:r>
      <w:r>
        <w:t xml:space="preserve"> </w:t>
      </w:r>
      <w:r>
        <w:t xml:space="preserve">would need to be kept aligned between the legislation. Alternatively, the framework for</w:t>
      </w:r>
      <w:r>
        <w:t xml:space="preserve"> </w:t>
      </w:r>
      <w:r>
        <w:t xml:space="preserve">digital labelling could also be included in CLP, with downstream legislations (e.g. the</w:t>
      </w:r>
      <w:r>
        <w:t xml:space="preserve"> </w:t>
      </w:r>
      <w:r>
        <w:t xml:space="preserve">Detergents Regulation) making reference to these overarching rules. This option would</w:t>
      </w:r>
      <w:r>
        <w:t xml:space="preserve"> </w:t>
      </w:r>
      <w:r>
        <w:t xml:space="preserve">allow the digital labelling framework to remain consistent over time and the potential</w:t>
      </w:r>
      <w:r>
        <w:t xml:space="preserve"> </w:t>
      </w:r>
      <w:r>
        <w:t xml:space="preserve">revisions without having to amend each downstream legislations.</w:t>
      </w:r>
      <w:r>
        <w:t xml:space="preserve"> </w:t>
      </w:r>
      <w:r>
        <w:t xml:space="preserve">The possibility for manufacturers to adopt digital labels would also require the introduction</w:t>
      </w:r>
      <w:r>
        <w:t xml:space="preserve"> </w:t>
      </w:r>
      <w:r>
        <w:t xml:space="preserve">of mandatory principles on the provisions of this information to protect end-users and to</w:t>
      </w:r>
      <w:r>
        <w:t xml:space="preserve"> </w:t>
      </w:r>
      <w:r>
        <w:t xml:space="preserve">ensure the accessibility and the availability of the digital information. Such principles</w:t>
      </w:r>
      <w:r>
        <w:t xml:space="preserve"> </w:t>
      </w:r>
      <w:r>
        <w:t xml:space="preserve">should ensure accessibility of information and further assist in enforcing the rules.</w:t>
      </w:r>
      <w:r>
        <w:br/>
      </w:r>
      <w:r>
        <w:t xml:space="preserve">Digital labelling should at least comply with the following general requirements:</w:t>
      </w:r>
    </w:p>
    <w:p>
      <w:pPr>
        <w:pStyle w:val="BodyText"/>
      </w:pPr>
      <w:r>
        <w:t xml:space="preserve">391</w:t>
      </w:r>
      <w:r>
        <w:t xml:space="preserve"> </w:t>
      </w:r>
      <w:r>
        <w:t xml:space="preserve">The obligation for the digital label to include the full set of labelling information (i.e. there</w:t>
      </w:r>
      <w:r>
        <w:t xml:space="preserve"> </w:t>
      </w:r>
      <w:r>
        <w:t xml:space="preserve">should not be a split of information between the physical and digital label), to ensure that</w:t>
      </w:r>
      <w:r>
        <w:t xml:space="preserve"> </w:t>
      </w:r>
      <w:r>
        <w:t xml:space="preserve">the information provided online is meaningful;</w:t>
      </w:r>
      <w:r>
        <w:t xml:space="preserve"> </w:t>
      </w:r>
      <w:r>
        <w:t xml:space="preserve">The obligation to provide all digital data in one place, separately from other commercial</w:t>
      </w:r>
      <w:r>
        <w:t xml:space="preserve"> </w:t>
      </w:r>
      <w:r>
        <w:t xml:space="preserve">information (e.g. the mandatory information shall not be displayed together with other</w:t>
      </w:r>
      <w:r>
        <w:t xml:space="preserve"> </w:t>
      </w:r>
      <w:r>
        <w:t xml:space="preserve">information intended for sales or marketing purposes). Coherence should also be sought</w:t>
      </w:r>
      <w:r>
        <w:t xml:space="preserve"> </w:t>
      </w:r>
      <w:r>
        <w:t xml:space="preserve">with other digital provision of information of products (e.g. under the Digital Products</w:t>
      </w:r>
      <w:r>
        <w:t xml:space="preserve"> </w:t>
      </w:r>
      <w:r>
        <w:t xml:space="preserve">Passport);</w:t>
      </w:r>
      <w:r>
        <w:t xml:space="preserve"> </w:t>
      </w:r>
      <w:r>
        <w:t xml:space="preserve">The format of the data provided digitally must be appropriate (e.g. rules on font size, the</w:t>
      </w:r>
      <w:r>
        <w:t xml:space="preserve"> </w:t>
      </w:r>
      <w:r>
        <w:t xml:space="preserve">content of the digital label must be searchable);</w:t>
      </w:r>
      <w:r>
        <w:t xml:space="preserve"> </w:t>
      </w:r>
      <w:r>
        <w:t xml:space="preserve">The protection of personal data (e.g. prohibition of collecting and tracking user data or using</w:t>
      </w:r>
      <w:r>
        <w:t xml:space="preserve"> </w:t>
      </w:r>
      <w:r>
        <w:t xml:space="preserve">that information for commercial purposes) in accordance with Regulation (EU) 2016/679304;</w:t>
      </w:r>
      <w:r>
        <w:br/>
      </w:r>
      <w:r>
        <w:t xml:space="preserve">Accessibility of the data both in terms of ease of access (e.g. “two-click” maximum rule to</w:t>
      </w:r>
      <w:r>
        <w:t xml:space="preserve"> </w:t>
      </w:r>
      <w:r>
        <w:t xml:space="preserve">access the information), and in terms of accessibility for users (e.g. also for users with</w:t>
      </w:r>
      <w:r>
        <w:t xml:space="preserve"> </w:t>
      </w:r>
      <w:r>
        <w:t xml:space="preserve">disabilities). Access to the digital label must be free and without a need for prior registration</w:t>
      </w:r>
      <w:r>
        <w:t xml:space="preserve"> </w:t>
      </w:r>
      <w:r>
        <w:t xml:space="preserve">or a password, or prior download of applications. Access limitations for certain user groups</w:t>
      </w:r>
      <w:r>
        <w:t xml:space="preserve"> </w:t>
      </w:r>
      <w:r>
        <w:t xml:space="preserve">(e.g. geo-blocking in accordance with Regulation (EU) 2018/302305) are not allowed;</w:t>
      </w:r>
      <w:r>
        <w:t xml:space="preserve"> </w:t>
      </w:r>
      <w:r>
        <w:t xml:space="preserve">Minimum technical requirements are to be complied with, in order to ensure technological</w:t>
      </w:r>
      <w:r>
        <w:t xml:space="preserve"> </w:t>
      </w:r>
      <w:r>
        <w:t xml:space="preserve">neutrality of IT solutions used. The IT solution must be easily readable via widely used</w:t>
      </w:r>
      <w:r>
        <w:t xml:space="preserve"> </w:t>
      </w:r>
      <w:r>
        <w:t xml:space="preserve">digital technologies. It must be ensured that the data can be accessed, navigated and read</w:t>
      </w:r>
      <w:r>
        <w:t xml:space="preserve"> </w:t>
      </w:r>
      <w:r>
        <w:t xml:space="preserve">on, and is compatible with all major operating systems and browsers. Information must also</w:t>
      </w:r>
      <w:r>
        <w:t xml:space="preserve"> </w:t>
      </w:r>
      <w:r>
        <w:t xml:space="preserve">be available for old browser version and operating systems;</w:t>
      </w:r>
      <w:r>
        <w:t xml:space="preserve"> </w:t>
      </w:r>
      <w:r>
        <w:t xml:space="preserve">The information must be provided equally in all official languages of the EU Member States</w:t>
      </w:r>
      <w:r>
        <w:t xml:space="preserve"> </w:t>
      </w:r>
      <w:r>
        <w:t xml:space="preserve">in which the product is marketed. Additional languages are permitted; Users must have the</w:t>
      </w:r>
      <w:r>
        <w:t xml:space="preserve"> </w:t>
      </w:r>
      <w:r>
        <w:t xml:space="preserve">possibility to select their language of choice, regardless of their physical location.</w:t>
      </w:r>
      <w:r>
        <w:br/>
      </w:r>
      <w:r>
        <w:t xml:space="preserve">Appropriate alternative ways of providing information must be available in case of lack of</w:t>
      </w:r>
      <w:r>
        <w:t xml:space="preserve"> </w:t>
      </w:r>
      <w:r>
        <w:t xml:space="preserve">digital tools or skills, or in the absence of network access (e.g. a print-out label at the point</w:t>
      </w:r>
      <w:r>
        <w:t xml:space="preserve"> </w:t>
      </w:r>
      <w:r>
        <w:t xml:space="preserve">of sale);</w:t>
      </w:r>
      <w:r>
        <w:t xml:space="preserve"> </w:t>
      </w:r>
      <w:r>
        <w:t xml:space="preserve">The IT solution must be printed or placed physically, visibly and legibly on the product.</w:t>
      </w:r>
      <w:r>
        <w:t xml:space="preserve"> </w:t>
      </w:r>
      <w:r>
        <w:t xml:space="preserve">When appropriate under the overall labelling requirements of the product in question, where</w:t>
      </w:r>
      <w:r>
        <w:t xml:space="preserve"> </w:t>
      </w:r>
      <w:r>
        <w:t xml:space="preserve">this is not possible or not warranted on account of the nature and size of the product, the IT</w:t>
      </w:r>
      <w:r>
        <w:t xml:space="preserve"> </w:t>
      </w:r>
      <w:r>
        <w:t xml:space="preserve">solution shall be affixed to the documents accompanying the product.</w:t>
      </w:r>
    </w:p>
    <w:p>
      <w:pPr>
        <w:pStyle w:val="BodyText"/>
      </w:pPr>
      <w:r>
        <w:t xml:space="preserve">304 Regulation (EU) 2016/679 of the European Parliament and of the Council of 27 April 2016 on the protection</w:t>
      </w:r>
      <w:r>
        <w:t xml:space="preserve"> </w:t>
      </w:r>
      <w:r>
        <w:t xml:space="preserve">of natural persons with regard to the processing of personal data and on the free movement of such data, and</w:t>
      </w:r>
      <w:r>
        <w:t xml:space="preserve"> </w:t>
      </w:r>
      <w:r>
        <w:t xml:space="preserve">repealing Directive 95/46/EC (General Data Protection Regulation): https://eur-lex.europa.eu/legal-</w:t>
      </w:r>
      <w:r>
        <w:t xml:space="preserve"> </w:t>
      </w:r>
      <w:r>
        <w:t xml:space="preserve">content/EN/TXT/?uri=CELEX%3A02016R0679-20160504</w:t>
      </w:r>
      <w:r>
        <w:t xml:space="preserve"> </w:t>
      </w:r>
      <w:r>
        <w:t xml:space="preserve">305 Regulation (EU) 2018/302 of the European Parliament and of the Council of 28 February 2018 on</w:t>
      </w:r>
      <w:r>
        <w:t xml:space="preserve"> </w:t>
      </w:r>
      <w:r>
        <w:t xml:space="preserve">addressing unjustified geo-blocking and other forms of discrimination based on customers’ nationality, place</w:t>
      </w:r>
      <w:r>
        <w:t xml:space="preserve"> </w:t>
      </w:r>
      <w:r>
        <w:t xml:space="preserve">of residence or place of establishment within the internal market and amending Regulations (EC) No</w:t>
      </w:r>
      <w:r>
        <w:t xml:space="preserve"> </w:t>
      </w:r>
      <w:r>
        <w:t xml:space="preserve">2006/2004</w:t>
      </w:r>
      <w:r>
        <w:t xml:space="preserve"> </w:t>
      </w:r>
      <w:r>
        <w:t xml:space="preserve">and</w:t>
      </w:r>
      <w:r>
        <w:t xml:space="preserve"> </w:t>
      </w:r>
      <w:r>
        <w:t xml:space="preserve">(EU)</w:t>
      </w:r>
      <w:r>
        <w:t xml:space="preserve"> </w:t>
      </w:r>
      <w:r>
        <w:t xml:space="preserve">2017/2394</w:t>
      </w:r>
      <w:r>
        <w:t xml:space="preserve"> </w:t>
      </w:r>
      <w:r>
        <w:t xml:space="preserve">and</w:t>
      </w:r>
      <w:r>
        <w:t xml:space="preserve"> </w:t>
      </w:r>
      <w:r>
        <w:t xml:space="preserve">Directive</w:t>
      </w:r>
      <w:r>
        <w:t xml:space="preserve"> </w:t>
      </w:r>
      <w:r>
        <w:t xml:space="preserve">2009/22/EC: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content/EN/ALL/?uri=CELEX%3A32018R0302</w:t>
      </w:r>
    </w:p>
    <w:p>
      <w:pPr>
        <w:pStyle w:val="BodyText"/>
      </w:pPr>
      <w:r>
        <w:t xml:space="preserve">392</w:t>
      </w:r>
      <w:r>
        <w:t xml:space="preserve"> </w:t>
      </w:r>
      <w:r>
        <w:t xml:space="preserve">The data contained under the digital label must remain accessible as long as the product that</w:t>
      </w:r>
      <w:r>
        <w:t xml:space="preserve"> </w:t>
      </w:r>
      <w:r>
        <w:t xml:space="preserve">it refers to, are sold and used in the European Union, or as long as the conformity assessment</w:t>
      </w:r>
      <w:r>
        <w:t xml:space="preserve"> </w:t>
      </w:r>
      <w:r>
        <w:t xml:space="preserve">documentation is required to be kept, where relevant. The data present on the digital label</w:t>
      </w:r>
      <w:r>
        <w:t xml:space="preserve"> </w:t>
      </w:r>
      <w:r>
        <w:t xml:space="preserve">must remain available even after the bankruptcy, the liquidation or the cessation of activity</w:t>
      </w:r>
      <w:r>
        <w:t xml:space="preserve"> </w:t>
      </w:r>
      <w:r>
        <w:t xml:space="preserve">in the EU of its originator;</w:t>
      </w:r>
      <w:r>
        <w:br/>
      </w:r>
      <w:r>
        <w:t xml:space="preserve">Further, the overarching principle that guides the selection of what information could be</w:t>
      </w:r>
      <w:r>
        <w:t xml:space="preserve"> </w:t>
      </w:r>
      <w:r>
        <w:t xml:space="preserve">moved to an online label is to ensure that it does not lower the level of safety and therefore</w:t>
      </w:r>
      <w:r>
        <w:t xml:space="preserve"> </w:t>
      </w:r>
      <w:r>
        <w:t xml:space="preserve">decrease consumer protection. In this regard, the results of the behavioural experiment show</w:t>
      </w:r>
      <w:r>
        <w:t xml:space="preserve"> </w:t>
      </w:r>
      <w:r>
        <w:t xml:space="preserve">that a simplified label can perform, in terms of consumers’ safety, as well as the current</w:t>
      </w:r>
      <w:r>
        <w:t xml:space="preserve"> </w:t>
      </w:r>
      <w:r>
        <w:t xml:space="preserve">physical labels.</w:t>
      </w:r>
      <w:r>
        <w:br/>
      </w:r>
      <w:r>
        <w:t xml:space="preserve">Commitments of the EU under GHS limit the option to move information exclusively to the</w:t>
      </w:r>
      <w:r>
        <w:t xml:space="preserve"> </w:t>
      </w:r>
      <w:r>
        <w:t xml:space="preserve">digital label because GHS mandates the use of a physical label. Statements made during the</w:t>
      </w:r>
      <w:r>
        <w:t xml:space="preserve"> </w:t>
      </w:r>
      <w:r>
        <w:t xml:space="preserve">discussions on a digitalisation framework suggest that the presence of the information on a</w:t>
      </w:r>
      <w:r>
        <w:t xml:space="preserve"> </w:t>
      </w:r>
      <w:r>
        <w:t xml:space="preserve">physical label is considered essential for safety and it is currently considered unlikely that</w:t>
      </w:r>
      <w:r>
        <w:t xml:space="preserve"> </w:t>
      </w:r>
      <w:r>
        <w:t xml:space="preserve">the future GHS framework on digitalisation would change that.</w:t>
      </w:r>
      <w:r>
        <w:t xml:space="preserve"> </w:t>
      </w:r>
      <w:r>
        <w:t xml:space="preserve">Labelling requirements under the CLP regulation that would theoretically be allowed to</w:t>
      </w:r>
      <w:r>
        <w:t xml:space="preserve"> </w:t>
      </w:r>
      <w:r>
        <w:t xml:space="preserve">be moved on a digital label under Policy measure 3 are the supplemental labelling</w:t>
      </w:r>
      <w:r>
        <w:t xml:space="preserve"> </w:t>
      </w:r>
      <w:r>
        <w:t xml:space="preserve">information306, as provided in Article 25 of the CLP Regulation (as this information as not</w:t>
      </w:r>
      <w:r>
        <w:t xml:space="preserve"> </w:t>
      </w:r>
      <w:r>
        <w:t xml:space="preserve">covered by GHS). More specifically, these would include:</w:t>
      </w:r>
      <w:r>
        <w:t xml:space="preserve"> </w:t>
      </w:r>
      <w:r>
        <w:t xml:space="preserve"> EUH statements as per sections 1.1. (physical properties) and 1.2. (health properties)</w:t>
      </w:r>
      <w:r>
        <w:t xml:space="preserve"> </w:t>
      </w:r>
      <w:r>
        <w:t xml:space="preserve">of Annex II of the CLP regulation. These include statements that shall be assigned</w:t>
      </w:r>
      <w:r>
        <w:t xml:space="preserve"> </w:t>
      </w:r>
      <w:r>
        <w:t xml:space="preserve">in accordance with Article 25(1) to substances and mixtures classified for physical,</w:t>
      </w:r>
      <w:r>
        <w:t xml:space="preserve"> </w:t>
      </w:r>
      <w:r>
        <w:t xml:space="preserve">health, or environmental hazards.</w:t>
      </w:r>
      <w:r>
        <w:br/>
      </w:r>
      <w:r>
        <w:t xml:space="preserve"> Other supplemental labelling information, in accordance with Article 25(3). These</w:t>
      </w:r>
      <w:r>
        <w:t xml:space="preserve"> </w:t>
      </w:r>
      <w:r>
        <w:t xml:space="preserve">include supplemental information included by the supplier to provide further details</w:t>
      </w:r>
      <w:r>
        <w:t xml:space="preserve"> </w:t>
      </w:r>
      <w:r>
        <w:t xml:space="preserve">on the label elements referred to in Article 17(1) (a) to (g), i.e. the name, address,</w:t>
      </w:r>
      <w:r>
        <w:t xml:space="preserve"> </w:t>
      </w:r>
      <w:r>
        <w:t xml:space="preserve">and telephone number of the supplier(s), the nominal quantity of the substance or</w:t>
      </w:r>
      <w:r>
        <w:t xml:space="preserve"> </w:t>
      </w:r>
      <w:r>
        <w:t xml:space="preserve">mixture, the product identifiers, the hazard pictograms, the signal words, the hazard</w:t>
      </w:r>
      <w:r>
        <w:t xml:space="preserve"> </w:t>
      </w:r>
      <w:r>
        <w:t xml:space="preserve">statements, and the appropriate precautionary statements.</w:t>
      </w:r>
      <w:r>
        <w:br/>
      </w:r>
      <w:r>
        <w:t xml:space="preserve"> According to Article 25(6), EUH statements as per Part 2 of Annex II for certain</w:t>
      </w:r>
      <w:r>
        <w:t xml:space="preserve"> </w:t>
      </w:r>
      <w:r>
        <w:t xml:space="preserve">mixtures containing any substance classified as hazardous.</w:t>
      </w:r>
      <w:r>
        <w:br/>
      </w:r>
      <w:r>
        <w:t xml:space="preserve">However, it must be noted that this does not concern the supplemental information coming</w:t>
      </w:r>
      <w:r>
        <w:t xml:space="preserve"> </w:t>
      </w:r>
      <w:r>
        <w:t xml:space="preserve">from other legislation (e.g. biocides, ODS).</w:t>
      </w:r>
      <w:r>
        <w:t xml:space="preserve"> </w:t>
      </w:r>
      <w:r>
        <w:t xml:space="preserve">Policy measure 4: Revision of the labelling rules in the regulations, introducing digital</w:t>
      </w:r>
      <w:r>
        <w:t xml:space="preserve"> </w:t>
      </w:r>
      <w:r>
        <w:t xml:space="preserve">labelling: further simplify physical label, and move additional information on the digital</w:t>
      </w:r>
      <w:r>
        <w:t xml:space="preserve"> </w:t>
      </w:r>
      <w:r>
        <w:t xml:space="preserve">label</w:t>
      </w:r>
      <w:r>
        <w:br/>
      </w:r>
      <w:r>
        <w:t xml:space="preserve">Table 115: Policy measure 4</w:t>
      </w:r>
    </w:p>
    <w:p>
      <w:pPr>
        <w:pStyle w:val="BodyText"/>
      </w:pPr>
      <w:r>
        <w:t xml:space="preserve">306 This does not include the supplemental information coming from other legislation (e.g. Biocidal Product</w:t>
      </w:r>
      <w:r>
        <w:t xml:space="preserve"> </w:t>
      </w:r>
      <w:r>
        <w:t xml:space="preserve">Regulation).</w:t>
      </w:r>
    </w:p>
    <w:p>
      <w:pPr>
        <w:pStyle w:val="BodyText"/>
      </w:pPr>
      <w:r>
        <w:t xml:space="preserve">393</w:t>
      </w:r>
      <w:r>
        <w:t xml:space="preserve"> </w:t>
      </w:r>
      <w:r>
        <w:t xml:space="preserve">Summary</w:t>
      </w:r>
      <w:r>
        <w:t xml:space="preserve"> </w:t>
      </w:r>
      <w:r>
        <w:t xml:space="preserve">Policy measure 4: Similar to policy measure 3, policy measure 4 would entail a regulatory intervention to allow</w:t>
      </w:r>
      <w:r>
        <w:t xml:space="preserve"> </w:t>
      </w:r>
      <w:r>
        <w:t xml:space="preserve">manufacturers to use electronic labels, on a voluntary basis, to provide specific pieces of information to users in</w:t>
      </w:r>
      <w:r>
        <w:t xml:space="preserve"> </w:t>
      </w:r>
      <w:r>
        <w:t xml:space="preserve">alternative to physical labels.</w:t>
      </w:r>
      <w:r>
        <w:br/>
      </w:r>
      <w:r>
        <w:t xml:space="preserve">As provided under Policy Measure 3, Policy measure 4 would also include the regulatory interventions discussed under</w:t>
      </w:r>
      <w:r>
        <w:t xml:space="preserve"> </w:t>
      </w:r>
      <w:r>
        <w:t xml:space="preserve">Policy measure 2 to streamline the regulatory framework under the Detergents Regulation.</w:t>
      </w:r>
      <w:r>
        <w:t xml:space="preserve"> </w:t>
      </w:r>
      <w:r>
        <w:t xml:space="preserve">In addition, as under Policy Measure 3, this policy option would entail the introduction of a common framework for</w:t>
      </w:r>
      <w:r>
        <w:t xml:space="preserve"> </w:t>
      </w:r>
      <w:r>
        <w:t xml:space="preserve">digital labelling in each pieces of legislation, as well as common principles on the provisions of this information to</w:t>
      </w:r>
      <w:r>
        <w:t xml:space="preserve"> </w:t>
      </w:r>
      <w:r>
        <w:t xml:space="preserve">ensure higher consumer protection standards.</w:t>
      </w:r>
      <w:r>
        <w:br/>
      </w:r>
      <w:r>
        <w:t xml:space="preserve">This policy measure does not allow for a complete replacement of the physical label. Still, it will enable manufacturers</w:t>
      </w:r>
      <w:r>
        <w:t xml:space="preserve"> </w:t>
      </w:r>
      <w:r>
        <w:t xml:space="preserve">to provide mandatory details online while keeping basic mandatory information on the physical label.</w:t>
      </w:r>
      <w:r>
        <w:t xml:space="preserve"> </w:t>
      </w:r>
      <w:r>
        <w:t xml:space="preserve">Policy measure 4 would be a further extension of the possibilities offered to manufacturers under policy option 3 to</w:t>
      </w:r>
      <w:r>
        <w:t xml:space="preserve"> </w:t>
      </w:r>
      <w:r>
        <w:t xml:space="preserve">provide additional information on a digital label.</w:t>
      </w:r>
      <w:r>
        <w:br/>
      </w:r>
      <w:r>
        <w:t xml:space="preserve">Regarding the labelling requirements under the CLP Regulation, Policy Measure 4 foresees that in addition to the</w:t>
      </w:r>
      <w:r>
        <w:t xml:space="preserve"> </w:t>
      </w:r>
      <w:r>
        <w:t xml:space="preserve">information allowed to be provided online under Policy Measure 3, the list of information that could be provided only</w:t>
      </w:r>
      <w:r>
        <w:t xml:space="preserve"> </w:t>
      </w:r>
      <w:r>
        <w:t xml:space="preserve">online is extended to:</w:t>
      </w:r>
      <w:r>
        <w:t xml:space="preserve"> </w:t>
      </w:r>
      <w:r>
        <w:t xml:space="preserve">Hazard statements (Art. 21 CLP);</w:t>
      </w:r>
      <w:r>
        <w:t xml:space="preserve"> </w:t>
      </w:r>
      <w:r>
        <w:t xml:space="preserve">Precautionary statements (Art. 22 CLP).</w:t>
      </w:r>
    </w:p>
    <w:p>
      <w:pPr>
        <w:pStyle w:val="BodyText"/>
      </w:pPr>
      <w:r>
        <w:t xml:space="preserve">The Policy Measure would also include the regulatory interventions discussed under Policy</w:t>
      </w:r>
      <w:r>
        <w:t xml:space="preserve"> </w:t>
      </w:r>
      <w:r>
        <w:t xml:space="preserve">measure 2 to streamline the regulatory framework under the Detergents Regulation.</w:t>
      </w:r>
      <w:r>
        <w:t xml:space="preserve"> </w:t>
      </w:r>
      <w:r>
        <w:t xml:space="preserve">This policy option foresees the possibility for manufacturers to introduce additional</w:t>
      </w:r>
      <w:r>
        <w:t xml:space="preserve"> </w:t>
      </w:r>
      <w:r>
        <w:t xml:space="preserve">information, further to that specified under Policy measure 3.</w:t>
      </w:r>
      <w:r>
        <w:t xml:space="preserve"> </w:t>
      </w:r>
      <w:r>
        <w:t xml:space="preserve">From a legal point of view and in the context of the CLP Regulation, Policy measure 4</w:t>
      </w:r>
      <w:r>
        <w:t xml:space="preserve"> </w:t>
      </w:r>
      <w:r>
        <w:t xml:space="preserve">would deviate from the GHS quite significantly in the context of CLP labelling. Therefore,</w:t>
      </w:r>
      <w:r>
        <w:t xml:space="preserve"> </w:t>
      </w:r>
      <w:r>
        <w:t xml:space="preserve">it must be emphasised that this policy option is included in order to assess the impacts of its</w:t>
      </w:r>
      <w:r>
        <w:t xml:space="preserve"> </w:t>
      </w:r>
      <w:r>
        <w:t xml:space="preserve">policy measures, as put forward by stakeholders, but is unlikely to be implemented under</w:t>
      </w:r>
      <w:r>
        <w:t xml:space="preserve"> </w:t>
      </w:r>
      <w:r>
        <w:t xml:space="preserve">the revision for the CLP regulation.</w:t>
      </w:r>
      <w:r>
        <w:t xml:space="preserve"> </w:t>
      </w:r>
      <w:r>
        <w:t xml:space="preserve">As provided under Policy measure 3, this policy measure would entail the introduction of a</w:t>
      </w:r>
      <w:r>
        <w:t xml:space="preserve"> </w:t>
      </w:r>
      <w:r>
        <w:t xml:space="preserve">framework for digital labelling in each pieces of legislation (i.e. in the CLP and Detergents</w:t>
      </w:r>
      <w:r>
        <w:t xml:space="preserve"> </w:t>
      </w:r>
      <w:r>
        <w:t xml:space="preserve">Regulation, but also in other legislation such as the Fertilising Product Regulation). This</w:t>
      </w:r>
      <w:r>
        <w:t xml:space="preserve"> </w:t>
      </w:r>
      <w:r>
        <w:t xml:space="preserve">common framework for digital labelling would need to be kept aligned between the</w:t>
      </w:r>
      <w:r>
        <w:t xml:space="preserve"> </w:t>
      </w:r>
      <w:r>
        <w:t xml:space="preserve">legislation.</w:t>
      </w:r>
      <w:r>
        <w:t xml:space="preserve"> </w:t>
      </w:r>
      <w:r>
        <w:t xml:space="preserve">The possibility for manufacturers to adopt digital labels would also require the introduction</w:t>
      </w:r>
      <w:r>
        <w:t xml:space="preserve"> </w:t>
      </w:r>
      <w:r>
        <w:t xml:space="preserve">of mandatory principles on the provisions of this information to ensure higher consumer</w:t>
      </w:r>
      <w:r>
        <w:t xml:space="preserve"> </w:t>
      </w:r>
      <w:r>
        <w:t xml:space="preserve">protection standards. Such principles (as developed in Policy measure 3) would need to be</w:t>
      </w:r>
      <w:r>
        <w:t xml:space="preserve"> </w:t>
      </w:r>
      <w:r>
        <w:t xml:space="preserve">common to all digital labelling solutions.</w:t>
      </w:r>
      <w:r>
        <w:br/>
      </w:r>
      <w:r>
        <w:t xml:space="preserve">Regarding the information that could be provided digitally, Policy measure 4 includes the</w:t>
      </w:r>
      <w:r>
        <w:t xml:space="preserve"> </w:t>
      </w:r>
      <w:r>
        <w:t xml:space="preserve">labelling information as provided and described in Policy measure 3. In addition, under</w:t>
      </w:r>
      <w:r>
        <w:t xml:space="preserve"> </w:t>
      </w:r>
      <w:r>
        <w:t xml:space="preserve">Policy measure 4, the list of labelling requirements from the CLP Regulation that could be</w:t>
      </w:r>
      <w:r>
        <w:t xml:space="preserve"> </w:t>
      </w:r>
      <w:r>
        <w:t xml:space="preserve">provided only online is extended to the following:</w:t>
      </w:r>
      <w:r>
        <w:t xml:space="preserve"> </w:t>
      </w:r>
      <w:r>
        <w:t xml:space="preserve"> The relevant hazard statements, as per Article 21 of CLP;</w:t>
      </w:r>
      <w:r>
        <w:t xml:space="preserve"> </w:t>
      </w:r>
      <w:r>
        <w:t xml:space="preserve"> The relevant precautionary statements, as per Article 22 of CLP.</w:t>
      </w:r>
    </w:p>
    <w:p>
      <w:pPr>
        <w:pStyle w:val="BodyText"/>
      </w:pPr>
      <w:r>
        <w:t xml:space="preserve">394</w:t>
      </w:r>
      <w:r>
        <w:t xml:space="preserve"> </w:t>
      </w:r>
      <w:r>
        <w:t xml:space="preserve">Policy measure 5: Revision of the labelling rules in the regulations, introducing digital</w:t>
      </w:r>
      <w:r>
        <w:t xml:space="preserve"> </w:t>
      </w:r>
      <w:r>
        <w:t xml:space="preserve">labelling: In specific cases, option of providing all information on digital label</w:t>
      </w:r>
      <w:r>
        <w:br/>
      </w:r>
      <w:r>
        <w:t xml:space="preserve">Table 116: Policy measure 5</w:t>
      </w:r>
      <w:r>
        <w:t xml:space="preserve"> </w:t>
      </w:r>
      <w:r>
        <w:t xml:space="preserve">Summary</w:t>
      </w:r>
      <w:r>
        <w:t xml:space="preserve"> </w:t>
      </w:r>
      <w:r>
        <w:t xml:space="preserve">Policy measure 5: This policy measure entails the possibility for manufacturers of providing</w:t>
      </w:r>
      <w:r>
        <w:t xml:space="preserve"> </w:t>
      </w:r>
      <w:r>
        <w:t xml:space="preserve">mandatory information exclusively on electronic labels in specific cases and/or specific products</w:t>
      </w:r>
      <w:r>
        <w:t xml:space="preserve"> </w:t>
      </w:r>
      <w:r>
        <w:t xml:space="preserve">(e.g. products which are sold without original container, or products for which a container is too</w:t>
      </w:r>
      <w:r>
        <w:t xml:space="preserve"> </w:t>
      </w:r>
      <w:r>
        <w:t xml:space="preserve">small to physically include all mandatory information).</w:t>
      </w:r>
      <w:r>
        <w:t xml:space="preserve"> </w:t>
      </w:r>
      <w:r>
        <w:t xml:space="preserve">As provided under policy measure 3, Policy measure 5 would also include the regulatory</w:t>
      </w:r>
      <w:r>
        <w:t xml:space="preserve"> </w:t>
      </w:r>
      <w:r>
        <w:t xml:space="preserve">interventions discussed under Policy measure on 2 to streamline the regulatory framework under</w:t>
      </w:r>
      <w:r>
        <w:t xml:space="preserve"> </w:t>
      </w:r>
      <w:r>
        <w:t xml:space="preserve">the Detergents Regulation.</w:t>
      </w:r>
      <w:r>
        <w:t xml:space="preserve"> </w:t>
      </w:r>
      <w:r>
        <w:t xml:space="preserve">In addition, similarly to policy measure 3, this policy measure would entail the introduction of a</w:t>
      </w:r>
      <w:r>
        <w:t xml:space="preserve"> </w:t>
      </w:r>
      <w:r>
        <w:t xml:space="preserve">common framework for digital labelling in each piece of legislation, as well as mandatory</w:t>
      </w:r>
      <w:r>
        <w:t xml:space="preserve"> </w:t>
      </w:r>
      <w:r>
        <w:t xml:space="preserve">principles on the provisions of this information to ensure higher consumer protection standards.</w:t>
      </w:r>
      <w:r>
        <w:br/>
      </w:r>
      <w:r>
        <w:t xml:space="preserve">Regarding the products falling under the CLP Regulations, this option should be assessed only</w:t>
      </w:r>
      <w:r>
        <w:t xml:space="preserve"> </w:t>
      </w:r>
      <w:r>
        <w:t xml:space="preserve">for:</w:t>
      </w:r>
      <w:r>
        <w:br/>
      </w:r>
      <w:r>
        <w:t xml:space="preserve"></w:t>
      </w:r>
      <w:r>
        <w:t xml:space="preserve"> </w:t>
      </w:r>
      <w:r>
        <w:t xml:space="preserve">Re-fill chemicals (e.g. , detergents, fuels to be filled in jerry-cans (not in tanks), paints</w:t>
      </w:r>
      <w:r>
        <w:t xml:space="preserve"> </w:t>
      </w:r>
      <w:r>
        <w:t xml:space="preserve">etc.)</w:t>
      </w:r>
      <w:r>
        <w:t xml:space="preserve"> </w:t>
      </w:r>
      <w:r>
        <w:t xml:space="preserve"></w:t>
      </w:r>
      <w:r>
        <w:t xml:space="preserve"> </w:t>
      </w:r>
      <w:r>
        <w:t xml:space="preserve">Writing instruments including hazardous inks (pens, highlighters etc.)</w:t>
      </w:r>
      <w:r>
        <w:t xml:space="preserve"> </w:t>
      </w:r>
      <w:r>
        <w:t xml:space="preserve"></w:t>
      </w:r>
      <w:r>
        <w:t xml:space="preserve"> </w:t>
      </w:r>
      <w:r>
        <w:t xml:space="preserve">Lighters</w:t>
      </w:r>
    </w:p>
    <w:p>
      <w:pPr>
        <w:pStyle w:val="BodyText"/>
      </w:pPr>
      <w:r>
        <w:t xml:space="preserve">Under Policy Measure 5, in addition to the previous policy option, manufacturers would be</w:t>
      </w:r>
      <w:r>
        <w:t xml:space="preserve"> </w:t>
      </w:r>
      <w:r>
        <w:t xml:space="preserve">allowed, for some specific products or types of sale, to provide the mandatory information</w:t>
      </w:r>
      <w:r>
        <w:t xml:space="preserve"> </w:t>
      </w:r>
      <w:r>
        <w:t xml:space="preserve">under the CLP and Detergents Regulations exclusively on digital labels.</w:t>
      </w:r>
      <w:r>
        <w:t xml:space="preserve"> </w:t>
      </w:r>
      <w:r>
        <w:t xml:space="preserve">As provided under Policy measure 3, this policy option would also include the regulatory</w:t>
      </w:r>
      <w:r>
        <w:t xml:space="preserve"> </w:t>
      </w:r>
      <w:r>
        <w:t xml:space="preserve">interventions discussed under Policy measure 2 to simplify and streamline the regulatory</w:t>
      </w:r>
      <w:r>
        <w:t xml:space="preserve"> </w:t>
      </w:r>
      <w:r>
        <w:t xml:space="preserve">framework under the Detergents Regulation. It also entails the introduction of a framework</w:t>
      </w:r>
      <w:r>
        <w:t xml:space="preserve"> </w:t>
      </w:r>
      <w:r>
        <w:t xml:space="preserve">for digital labelling in each pieces of legislation (i.e. in the CLP and Detergents Regulation,</w:t>
      </w:r>
      <w:r>
        <w:t xml:space="preserve"> </w:t>
      </w:r>
      <w:r>
        <w:t xml:space="preserve">but also in other legislation such as the Fertilising Product Regulation). This common</w:t>
      </w:r>
      <w:r>
        <w:t xml:space="preserve"> </w:t>
      </w:r>
      <w:r>
        <w:t xml:space="preserve">framework for digital labelling would need to be kept aligned between the legislation.</w:t>
      </w:r>
      <w:r>
        <w:t xml:space="preserve"> </w:t>
      </w:r>
      <w:r>
        <w:t xml:space="preserve">The possibility for manufacturers to adopt digital labels would also require the introduction</w:t>
      </w:r>
      <w:r>
        <w:t xml:space="preserve"> </w:t>
      </w:r>
      <w:r>
        <w:t xml:space="preserve">of mandatory principles on the provisions of this information to ensure higher consumer</w:t>
      </w:r>
      <w:r>
        <w:t xml:space="preserve"> </w:t>
      </w:r>
      <w:r>
        <w:t xml:space="preserve">protection standards. Such principles (as developed in Policy measure 3) would need to be</w:t>
      </w:r>
      <w:r>
        <w:t xml:space="preserve"> </w:t>
      </w:r>
      <w:r>
        <w:t xml:space="preserve">common to all digital labelling solutions.</w:t>
      </w:r>
      <w:r>
        <w:br/>
      </w:r>
      <w:r>
        <w:t xml:space="preserve">This policy measure applies only to products where the packaging is either in such a shape</w:t>
      </w:r>
      <w:r>
        <w:t xml:space="preserve"> </w:t>
      </w:r>
      <w:r>
        <w:t xml:space="preserve">or form or is so small that it is impossible to meet the labelling elements under Article 17</w:t>
      </w:r>
      <w:r>
        <w:t xml:space="preserve"> </w:t>
      </w:r>
      <w:r>
        <w:t xml:space="preserve">(products falling under Art. 29(1) of CLP, where the label elements may be provided on</w:t>
      </w:r>
      <w:r>
        <w:t xml:space="preserve"> </w:t>
      </w:r>
      <w:r>
        <w:t xml:space="preserve">fold-out labels, tie-on tags, outer packaging”). Such a change would require a specific</w:t>
      </w:r>
      <w:r>
        <w:t xml:space="preserve"> </w:t>
      </w:r>
      <w:r>
        <w:t xml:space="preserve">labelling provision for those products. In practice these products are currently very often</w:t>
      </w:r>
      <w:r>
        <w:t xml:space="preserve"> </w:t>
      </w:r>
      <w:r>
        <w:t xml:space="preserve">not labelled at all, despite the legal obligations due to practical difficulties to comply with</w:t>
      </w:r>
      <w:r>
        <w:t xml:space="preserve"> </w:t>
      </w:r>
      <w:r>
        <w:t xml:space="preserve">the rules. While allowing for digital labelling in those cases would not offer the same level</w:t>
      </w:r>
      <w:r>
        <w:t xml:space="preserve"> </w:t>
      </w:r>
      <w:r>
        <w:t xml:space="preserve">of protection compared to a physical label, it would increase the safety level compared to</w:t>
      </w:r>
      <w:r>
        <w:t xml:space="preserve"> </w:t>
      </w:r>
      <w:r>
        <w:t xml:space="preserve">the de-facto absence of a label.</w:t>
      </w:r>
    </w:p>
    <w:p>
      <w:pPr>
        <w:pStyle w:val="BodyText"/>
      </w:pPr>
      <w:r>
        <w:t xml:space="preserve">395</w:t>
      </w:r>
      <w:r>
        <w:t xml:space="preserve"> </w:t>
      </w:r>
      <w:r>
        <w:t xml:space="preserve">As these products usually contain only very small amounts of hazardous substances and</w:t>
      </w:r>
      <w:r>
        <w:t xml:space="preserve"> </w:t>
      </w:r>
      <w:r>
        <w:t xml:space="preserve">contact with them is limited, a digital label may be an acceptable compromise between</w:t>
      </w:r>
      <w:r>
        <w:t xml:space="preserve"> </w:t>
      </w:r>
      <w:r>
        <w:t xml:space="preserve">consumer protection and the additional cost to ensure appropriate labelling, which would in</w:t>
      </w:r>
      <w:r>
        <w:t xml:space="preserve"> </w:t>
      </w:r>
      <w:r>
        <w:t xml:space="preserve">the end result into higher consumer prices. In addition, enforcing proper labelling would in</w:t>
      </w:r>
      <w:r>
        <w:t xml:space="preserve"> </w:t>
      </w:r>
      <w:r>
        <w:t xml:space="preserve">most cases mean that the products would need to be individually packaged thus creating a</w:t>
      </w:r>
      <w:r>
        <w:t xml:space="preserve"> </w:t>
      </w:r>
      <w:r>
        <w:t xml:space="preserve">huge amount of packaging waste that may in turn increase the environmental and climate</w:t>
      </w:r>
      <w:r>
        <w:t xml:space="preserve"> </w:t>
      </w:r>
      <w:r>
        <w:t xml:space="preserve">footprint of the product.</w:t>
      </w:r>
      <w:r>
        <w:t xml:space="preserve"> </w:t>
      </w:r>
      <w:r>
        <w:t xml:space="preserve">Regarding the labelling requirement set up in the CLP, Policy measure 5 considers the</w:t>
      </w:r>
      <w:r>
        <w:t xml:space="preserve"> </w:t>
      </w:r>
      <w:r>
        <w:t xml:space="preserve">possibility to provide all mandatory labelling requirements digitally for the following</w:t>
      </w:r>
      <w:r>
        <w:t xml:space="preserve"> </w:t>
      </w:r>
      <w:r>
        <w:t xml:space="preserve">specific products only:</w:t>
      </w:r>
      <w:r>
        <w:br/>
      </w:r>
      <w:r>
        <w:t xml:space="preserve"> Re-fill chemicals: detergents, fuels to be filled in containers (not in tanks), paints;</w:t>
      </w:r>
      <w:r>
        <w:t xml:space="preserve"> </w:t>
      </w:r>
      <w:r>
        <w:t xml:space="preserve"> Writing instruments (e.g. pens, highlighters etc.);</w:t>
      </w:r>
      <w:r>
        <w:t xml:space="preserve"> </w:t>
      </w:r>
      <w:r>
        <w:t xml:space="preserve"> Lighters.</w:t>
      </w:r>
      <w:r>
        <w:t xml:space="preserve"> </w:t>
      </w:r>
      <w:r>
        <w:t xml:space="preserve">The problems related to the labelling of those items are discussed exhaustively in Annex</w:t>
      </w:r>
      <w:r>
        <w:t xml:space="preserve"> </w:t>
      </w:r>
      <w:r>
        <w:t xml:space="preserve">12. This policy measure will, therefore, be significantly influenced by the policy option and</w:t>
      </w:r>
      <w:r>
        <w:t xml:space="preserve"> </w:t>
      </w:r>
      <w:r>
        <w:t xml:space="preserve">measure selected under that the general CLP labelling rules.</w:t>
      </w:r>
    </w:p>
    <w:p>
      <w:pPr>
        <w:pStyle w:val="BodyText"/>
      </w:pPr>
      <w:r>
        <w:t xml:space="preserve">DESCRIPTION OF IMPACTS</w:t>
      </w:r>
      <w:r>
        <w:t xml:space="preserve"> </w:t>
      </w:r>
      <w:r>
        <w:t xml:space="preserve">In alignment with the provisions of the Better Regulation Toolbox, the first step in the</w:t>
      </w:r>
      <w:r>
        <w:t xml:space="preserve"> </w:t>
      </w:r>
      <w:r>
        <w:t xml:space="preserve">assessment of impacts is the identification of all relevant impacts under the different policy</w:t>
      </w:r>
      <w:r>
        <w:t xml:space="preserve"> </w:t>
      </w:r>
      <w:r>
        <w:t xml:space="preserve">options. The identification of the impacts is based on data and information collected during</w:t>
      </w:r>
      <w:r>
        <w:t xml:space="preserve"> </w:t>
      </w:r>
      <w:r>
        <w:t xml:space="preserve">the previous tasks (i.e. interviews, behavioural experiment, survey and analysis of OPC</w:t>
      </w:r>
      <w:r>
        <w:t xml:space="preserve"> </w:t>
      </w:r>
      <w:r>
        <w:t xml:space="preserve">responses). The research collected qualitative information and quantitative data on social,</w:t>
      </w:r>
      <w:r>
        <w:t xml:space="preserve"> </w:t>
      </w:r>
      <w:r>
        <w:t xml:space="preserve">economic and environmental impacts related to the identified policy options.</w:t>
      </w:r>
      <w:r>
        <w:t xml:space="preserve"> </w:t>
      </w:r>
      <w:r>
        <w:t xml:space="preserve">Socio-economic and environmental impacts identified have been categorized according to</w:t>
      </w:r>
      <w:r>
        <w:t xml:space="preserve"> </w:t>
      </w:r>
      <w:r>
        <w:t xml:space="preserve">the following criteria:</w:t>
      </w:r>
      <w:r>
        <w:t xml:space="preserve"> </w:t>
      </w:r>
      <w:r>
        <w:t xml:space="preserve"></w:t>
      </w:r>
      <w:r>
        <w:t xml:space="preserve"> </w:t>
      </w:r>
      <w:r>
        <w:t xml:space="preserve">Economic impacts, in particular focusing on conduct of business (BR Tools #21-</w:t>
      </w:r>
      <w:r>
        <w:t xml:space="preserve"> </w:t>
      </w:r>
      <w:r>
        <w:t xml:space="preserve">25), sectoral competitiveness, trade and investment flows (BR Tools #21, 27),</w:t>
      </w:r>
      <w:r>
        <w:t xml:space="preserve"> </w:t>
      </w:r>
      <w:r>
        <w:t xml:space="preserve">impact to the SMEs (BR Tool #21), technological development / digital economy</w:t>
      </w:r>
      <w:r>
        <w:t xml:space="preserve"> </w:t>
      </w:r>
      <w:r>
        <w:t xml:space="preserve">(BR Tool #28), and impact to public authorities (BR Tool #58);</w:t>
      </w:r>
      <w:r>
        <w:t xml:space="preserve"> </w:t>
      </w:r>
      <w:r>
        <w:t xml:space="preserve"></w:t>
      </w:r>
      <w:r>
        <w:t xml:space="preserve"> </w:t>
      </w:r>
      <w:r>
        <w:t xml:space="preserve">Social impacts, focusing consumers and households (BR Tool #33);</w:t>
      </w:r>
      <w:r>
        <w:t xml:space="preserve"> </w:t>
      </w:r>
      <w:r>
        <w:t xml:space="preserve"></w:t>
      </w:r>
      <w:r>
        <w:t xml:space="preserve"> </w:t>
      </w:r>
      <w:r>
        <w:t xml:space="preserve">Environmental impacts, in particular focusing on sustainable consumption and</w:t>
      </w:r>
      <w:r>
        <w:t xml:space="preserve"> </w:t>
      </w:r>
      <w:r>
        <w:t xml:space="preserve">production (BR Tool #36).</w:t>
      </w:r>
      <w:r>
        <w:t xml:space="preserve"> </w:t>
      </w:r>
      <w:r>
        <w:t xml:space="preserve">The impacts that have been taken into account for this analysis are considered to be the most</w:t>
      </w:r>
      <w:r>
        <w:t xml:space="preserve"> </w:t>
      </w:r>
      <w:r>
        <w:t xml:space="preserve">relevant and the ones for which consulted stakeholders were able to provide insights. A</w:t>
      </w:r>
      <w:r>
        <w:t xml:space="preserve"> </w:t>
      </w:r>
      <w:r>
        <w:t xml:space="preserve">dedicated survey targeting public authorities, consumer organisations and industry</w:t>
      </w:r>
      <w:r>
        <w:t xml:space="preserve"> </w:t>
      </w:r>
      <w:r>
        <w:t xml:space="preserve">representatives (associations and businesses), presented the individual policy options and</w:t>
      </w:r>
      <w:r>
        <w:t xml:space="preserve"> </w:t>
      </w:r>
      <w:r>
        <w:t xml:space="preserve">asked participants to provide a direct feedback. The opinions of stakeholders have been</w:t>
      </w:r>
      <w:r>
        <w:t xml:space="preserve"> </w:t>
      </w:r>
      <w:r>
        <w:t xml:space="preserve">triangulated with other data sources used in the study.</w:t>
      </w:r>
      <w:r>
        <w:t xml:space="preserve"> </w:t>
      </w:r>
      <w:r>
        <w:t xml:space="preserve">This section provides an assessment for each identified impact that is relevant to the</w:t>
      </w:r>
      <w:r>
        <w:t xml:space="preserve"> </w:t>
      </w:r>
      <w:r>
        <w:t xml:space="preserve">assessment of the options and the identification of a preferred option.</w:t>
      </w:r>
      <w:r>
        <w:br/>
      </w:r>
      <w:r>
        <w:t xml:space="preserve">Table 117: Assessment of impacts</w:t>
      </w:r>
    </w:p>
    <w:p>
      <w:pPr>
        <w:pStyle w:val="BodyText"/>
      </w:pPr>
      <w:r>
        <w:t xml:space="preserve">396</w:t>
      </w:r>
      <w:r>
        <w:t xml:space="preserve"> </w:t>
      </w:r>
      <w:r>
        <w:t xml:space="preserve">Colour</w:t>
      </w:r>
      <w:r>
        <w:t xml:space="preserve"> </w:t>
      </w:r>
      <w:r>
        <w:t xml:space="preserve">coding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O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U</w:t>
      </w:r>
      <w:r>
        <w:t xml:space="preserve"> </w:t>
      </w:r>
      <w:r>
        <w:t xml:space="preserve">Qualitative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No 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Undefined</w:t>
      </w:r>
    </w:p>
    <w:p>
      <w:pPr>
        <w:pStyle w:val="BodyText"/>
      </w:pPr>
      <w:r>
        <w:t xml:space="preserve">Policy measure 0: No new policy measures</w:t>
      </w:r>
      <w:r>
        <w:t xml:space="preserve"> </w:t>
      </w:r>
      <w:r>
        <w:t xml:space="preserve">The status quo has been extensively discussed in the previous chapters. This analysis</w:t>
      </w:r>
      <w:r>
        <w:t xml:space="preserve"> </w:t>
      </w:r>
      <w:r>
        <w:t xml:space="preserve">highlighted the following issues:</w:t>
      </w:r>
    </w:p>
    <w:p>
      <w:pPr>
        <w:pStyle w:val="BodyText"/>
      </w:pPr>
      <w:r>
        <w:t xml:space="preserve">There are a number of overlaps and inconsistencies in the labelling requirements</w:t>
      </w:r>
      <w:r>
        <w:t xml:space="preserve"> </w:t>
      </w:r>
      <w:r>
        <w:t xml:space="preserve">between CLP, Detergents and other relevant legislative acts;</w:t>
      </w:r>
    </w:p>
    <w:p>
      <w:pPr>
        <w:pStyle w:val="BodyText"/>
      </w:pPr>
      <w:r>
        <w:t xml:space="preserve">In some cases, there are difficulties for consumers to understand information</w:t>
      </w:r>
      <w:r>
        <w:t xml:space="preserve"> </w:t>
      </w:r>
      <w:r>
        <w:t xml:space="preserve">provided by labels.</w:t>
      </w:r>
      <w:r>
        <w:t xml:space="preserve"> </w:t>
      </w:r>
      <w:r>
        <w:t xml:space="preserve">In addition, the current legal (mandatory) requirements do not incentivise the use of more</w:t>
      </w:r>
      <w:r>
        <w:t xml:space="preserve"> </w:t>
      </w:r>
      <w:r>
        <w:t xml:space="preserve">innovative techniques and digital tools (i.e. digital labelling) and when it happens, industry</w:t>
      </w:r>
      <w:r>
        <w:t xml:space="preserve"> </w:t>
      </w:r>
      <w:r>
        <w:t xml:space="preserve">uses these digital tools on a voluntary and unharmonised basis, in addition to the physical</w:t>
      </w:r>
      <w:r>
        <w:t xml:space="preserve"> </w:t>
      </w:r>
      <w:r>
        <w:t xml:space="preserve">labels required by law.</w:t>
      </w:r>
      <w:r>
        <w:t xml:space="preserve"> </w:t>
      </w:r>
      <w:r>
        <w:t xml:space="preserve">This policy measure would not address any of the problems identified in Chapter 2 and it</w:t>
      </w:r>
      <w:r>
        <w:t xml:space="preserve"> </w:t>
      </w:r>
      <w:r>
        <w:t xml:space="preserve">would continue to lead to improper use of detergents by consumers, burdensome</w:t>
      </w:r>
      <w:r>
        <w:t xml:space="preserve"> </w:t>
      </w:r>
      <w:r>
        <w:t xml:space="preserve">administrative activities for businesses and a wrongful disposal of chemical products that</w:t>
      </w:r>
      <w:r>
        <w:t xml:space="preserve"> </w:t>
      </w:r>
      <w:r>
        <w:t xml:space="preserve">can be harmful for the environment. Moreover, this policy measure is not in parallel with</w:t>
      </w:r>
      <w:r>
        <w:t xml:space="preserve"> </w:t>
      </w:r>
      <w:r>
        <w:t xml:space="preserve">recent market developments and ongoing initiatives in the EU described in more detail in</w:t>
      </w:r>
      <w:r>
        <w:t xml:space="preserve"> </w:t>
      </w:r>
      <w:r>
        <w:t xml:space="preserve">chapter 5.1.4, “other policy developments” of the SWD, that aim to promote the use of</w:t>
      </w:r>
      <w:r>
        <w:t xml:space="preserve"> </w:t>
      </w:r>
      <w:r>
        <w:t xml:space="preserve">digital labels and reduce the severity of some of the problems identified in Chapter 2.</w:t>
      </w:r>
      <w:r>
        <w:t xml:space="preserve"> </w:t>
      </w:r>
      <w:r>
        <w:t xml:space="preserve">Taking into consideration the previously mentioned issues, stakeholders have been</w:t>
      </w:r>
      <w:r>
        <w:t xml:space="preserve"> </w:t>
      </w:r>
      <w:r>
        <w:t xml:space="preserve">consulted regarding their overall assessment of the current regulatory framework (CLP and</w:t>
      </w:r>
      <w:r>
        <w:t xml:space="preserve"> </w:t>
      </w:r>
      <w:r>
        <w:t xml:space="preserve">Detergents) with the objective of having a benchmark to assess the proposed policy options.</w:t>
      </w:r>
      <w:r>
        <w:br/>
      </w:r>
      <w:r>
        <w:t xml:space="preserve">The overall opinion of the consulted stakeholders on the status quo is not particularly</w:t>
      </w:r>
      <w:r>
        <w:t xml:space="preserve"> </w:t>
      </w:r>
      <w:r>
        <w:t xml:space="preserve">positive, with public authorities having a slightly more positive view than industry</w:t>
      </w:r>
      <w:r>
        <w:t xml:space="preserve"> </w:t>
      </w:r>
      <w:r>
        <w:t xml:space="preserve">stakeholders307.</w:t>
      </w:r>
      <w:r>
        <w:t xml:space="preserve"> </w:t>
      </w:r>
      <w:r>
        <w:t xml:space="preserve">Table 118: Economic impact assessment Policy Measure 0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(Tools #21-25)</w:t>
      </w:r>
      <w:r>
        <w:t xml:space="preserve"> </w:t>
      </w:r>
      <w:r>
        <w:t xml:space="preserve">Based on the findings from the behavioural experiment, according to 90% of</w:t>
      </w:r>
      <w:r>
        <w:t xml:space="preserve"> </w:t>
      </w:r>
      <w:r>
        <w:t xml:space="preserve">consulted representatives of Public Authorities and 70% of industry</w:t>
      </w:r>
      <w:r>
        <w:t xml:space="preserve"> </w:t>
      </w:r>
      <w:r>
        <w:t xml:space="preserve">representatives, the information currently provided on labels and SDS are</w:t>
      </w:r>
      <w:r>
        <w:t xml:space="preserve"> </w:t>
      </w:r>
      <w:r>
        <w:t xml:space="preserve">adequate to ensure a safe use of products. Very few respondents (6%) gave a</w:t>
      </w:r>
      <w:r>
        <w:t xml:space="preserve"> </w:t>
      </w:r>
      <w:r>
        <w:t xml:space="preserve">negative opinion. Findings from the online survey for professionals and industry</w:t>
      </w:r>
      <w:r>
        <w:t xml:space="preserve"> </w:t>
      </w:r>
      <w:r>
        <w:t xml:space="preserve">users strongly support this argument as 74% of respondents from industry think</w:t>
      </w:r>
      <w:r>
        <w:t xml:space="preserve"> </w:t>
      </w:r>
      <w:r>
        <w:t xml:space="preserve">that information currently provided on labels is easy to understand and only 10%</w:t>
      </w:r>
      <w:r>
        <w:t xml:space="preserve"> </w:t>
      </w:r>
      <w:r>
        <w:t xml:space="preserve">of professional and industry users think that information provided on product</w:t>
      </w:r>
      <w:r>
        <w:t xml:space="preserve"> </w:t>
      </w:r>
      <w:r>
        <w:t xml:space="preserve">packaging is difficult to understand. Taking into consideration of these results,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</w:p>
    <w:p>
      <w:pPr>
        <w:pStyle w:val="BodyText"/>
      </w:pPr>
      <w:r>
        <w:t xml:space="preserve">307 Based on the findings from the online survey on Policy Options. On a scale from -5 to 5, 12 survey</w:t>
      </w:r>
      <w:r>
        <w:t xml:space="preserve"> </w:t>
      </w:r>
      <w:r>
        <w:t xml:space="preserve">respondents belonging to public authorities, on average, have rated the current framework as fairly positive</w:t>
      </w:r>
      <w:r>
        <w:t xml:space="preserve"> </w:t>
      </w:r>
      <w:r>
        <w:t xml:space="preserve">(2.5), while 54 respondents from the industry, on average, have rated the status quo as fairly negative (-1.5).</w:t>
      </w:r>
    </w:p>
    <w:p>
      <w:pPr>
        <w:pStyle w:val="BodyText"/>
      </w:pPr>
      <w:r>
        <w:t xml:space="preserve">397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professional users are overall content with the pieces of information currently</w:t>
      </w:r>
      <w:r>
        <w:t xml:space="preserve"> </w:t>
      </w:r>
      <w:r>
        <w:t xml:space="preserve">available on the labels and the understandability of this information.</w:t>
      </w:r>
      <w:r>
        <w:t xml:space="preserve"> </w:t>
      </w:r>
      <w:r>
        <w:t xml:space="preserve">Industry respresentative pointed out that frequent legislative changes incur</w:t>
      </w:r>
      <w:r>
        <w:t xml:space="preserve"> </w:t>
      </w:r>
      <w:r>
        <w:t xml:space="preserve">annual cost for disposal of old labels which are considered by a large majority</w:t>
      </w:r>
      <w:r>
        <w:t xml:space="preserve"> </w:t>
      </w:r>
      <w:r>
        <w:t xml:space="preserve">of the industry stakeholders (70%, 27 out of 38) as high or very high. Companies</w:t>
      </w:r>
      <w:r>
        <w:t xml:space="preserve"> </w:t>
      </w:r>
      <w:r>
        <w:t xml:space="preserve">that have provided estimates mentioned that, in total, these costs reach up to 1</w:t>
      </w:r>
      <w:r>
        <w:t xml:space="preserve"> </w:t>
      </w:r>
      <w:r>
        <w:t xml:space="preserve">% of annual turnover. I should be noted though that changes in CLP that affect</w:t>
      </w:r>
      <w:r>
        <w:t xml:space="preserve"> </w:t>
      </w:r>
      <w:r>
        <w:t xml:space="preserve">the classification of chemicals always come with a transition period during</w:t>
      </w:r>
      <w:r>
        <w:t xml:space="preserve"> </w:t>
      </w:r>
      <w:r>
        <w:t xml:space="preserve">which old labels can still be consumed. Furthermore, labelling changes are not</w:t>
      </w:r>
      <w:r>
        <w:t xml:space="preserve"> </w:t>
      </w:r>
      <w:r>
        <w:t xml:space="preserve">only triggered by legislation but also done for marketing purposes. The</w:t>
      </w:r>
      <w:r>
        <w:t xml:space="preserve"> </w:t>
      </w:r>
      <w:r>
        <w:t xml:space="preserve">information provided did not allow to distinguish what factors exactly are</w:t>
      </w:r>
      <w:r>
        <w:t xml:space="preserve"> </w:t>
      </w:r>
      <w:r>
        <w:t xml:space="preserve">causing the costs mentioned.</w:t>
      </w:r>
      <w:r>
        <w:br/>
      </w:r>
      <w:r>
        <w:t xml:space="preserve">Sectoral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trade and investment</w:t>
      </w:r>
      <w:r>
        <w:t xml:space="preserve"> </w:t>
      </w:r>
      <w:r>
        <w:t xml:space="preserve">flows (Tool #21, 27)</w:t>
      </w:r>
      <w:r>
        <w:t xml:space="preserve"> </w:t>
      </w:r>
      <w:r>
        <w:t xml:space="preserve">This policy measure should have no particular impact for the competitiveness of</w:t>
      </w:r>
      <w:r>
        <w:t xml:space="preserve"> </w:t>
      </w:r>
      <w:r>
        <w:t xml:space="preserve">the industry considering that it would not entail any regulatory change and the</w:t>
      </w:r>
      <w:r>
        <w:t xml:space="preserve"> </w:t>
      </w:r>
      <w:r>
        <w:t xml:space="preserve">provision of information would still remain on physical labels and safety data</w:t>
      </w:r>
      <w:r>
        <w:t xml:space="preserve"> </w:t>
      </w:r>
      <w:r>
        <w:t xml:space="preserve">sheets.</w:t>
      </w:r>
      <w:r>
        <w:br/>
      </w:r>
      <w:r>
        <w:t xml:space="preserve">Neutral</w:t>
      </w:r>
      <w:r>
        <w:t xml:space="preserve"> </w:t>
      </w:r>
      <w:r>
        <w:t xml:space="preserve">SMEs (Tool #21)</w:t>
      </w:r>
      <w:r>
        <w:t xml:space="preserve"> </w:t>
      </w:r>
      <w:r>
        <w:t xml:space="preserve">This policy measure does not have any specific impact on SMEs as cost of</w:t>
      </w:r>
      <w:r>
        <w:t xml:space="preserve"> </w:t>
      </w:r>
      <w:r>
        <w:t xml:space="preserve">conducting business for SMEs would remain unchanged.</w:t>
      </w:r>
      <w:r>
        <w:t xml:space="preserve"> </w:t>
      </w:r>
      <w:r>
        <w:t xml:space="preserve">Neutral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(Tool #28)</w:t>
      </w:r>
      <w:r>
        <w:t xml:space="preserve"> </w:t>
      </w:r>
      <w:r>
        <w:t xml:space="preserve">Amongst industry respondents to our survey comparing the policy options (in</w:t>
      </w:r>
      <w:r>
        <w:t xml:space="preserve"> </w:t>
      </w:r>
      <w:r>
        <w:t xml:space="preserve">large part, large enterprises), 60% indicated to be using a form of digital tool</w:t>
      </w:r>
      <w:r>
        <w:t xml:space="preserve"> </w:t>
      </w:r>
      <w:r>
        <w:t xml:space="preserve">(e.g. QR codes) to provide information to consumers and 90% see the use of</w:t>
      </w:r>
      <w:r>
        <w:t xml:space="preserve"> </w:t>
      </w:r>
      <w:r>
        <w:t xml:space="preserve">such tools positively.</w:t>
      </w:r>
      <w:r>
        <w:br/>
      </w:r>
      <w:r>
        <w:t xml:space="preserve">Businesses in the chemical industry are already highly involved in using digital</w:t>
      </w:r>
      <w:r>
        <w:t xml:space="preserve"> </w:t>
      </w:r>
      <w:r>
        <w:t xml:space="preserve">tools to provide information to the consumers. The absence of regulatory support</w:t>
      </w:r>
      <w:r>
        <w:t xml:space="preserve"> </w:t>
      </w:r>
      <w:r>
        <w:t xml:space="preserve">to foster the transition towards digital labelling tools could thus have negative</w:t>
      </w:r>
      <w:r>
        <w:t xml:space="preserve"> </w:t>
      </w:r>
      <w:r>
        <w:t xml:space="preserve">consequences on the development of the digital economy.</w:t>
      </w:r>
      <w:r>
        <w:t xml:space="preserve"> </w:t>
      </w:r>
      <w:r>
        <w:t xml:space="preserve">Under Policy measure 0, in the same survey, stakeholders were asked to indicate</w:t>
      </w:r>
      <w:r>
        <w:t xml:space="preserve"> </w:t>
      </w:r>
      <w:r>
        <w:t xml:space="preserve">their preference on the form of database providing electronic labels. Public</w:t>
      </w:r>
      <w:r>
        <w:t xml:space="preserve"> </w:t>
      </w:r>
      <w:r>
        <w:t xml:space="preserve">authorities expressed a general preference either for a centralised EU database</w:t>
      </w:r>
      <w:r>
        <w:t xml:space="preserve"> </w:t>
      </w:r>
      <w:r>
        <w:t xml:space="preserve">provided by an EU wide authority/provider, but they also responded positively</w:t>
      </w:r>
      <w:r>
        <w:t xml:space="preserve"> </w:t>
      </w:r>
      <w:r>
        <w:t xml:space="preserve">to electronic labels handled by manufacturers through their websites for their</w:t>
      </w:r>
      <w:r>
        <w:t xml:space="preserve"> </w:t>
      </w:r>
      <w:r>
        <w:t xml:space="preserve">own products. For industry respondents, on the other hand, the preferred option</w:t>
      </w:r>
      <w:r>
        <w:t xml:space="preserve"> </w:t>
      </w:r>
      <w:r>
        <w:t xml:space="preserve">would be to have an electronic label directly on their own website in order to</w:t>
      </w:r>
      <w:r>
        <w:t xml:space="preserve"> </w:t>
      </w:r>
      <w:r>
        <w:t xml:space="preserve">have greater control about the information provided to consumers. However, it</w:t>
      </w:r>
      <w:r>
        <w:t xml:space="preserve"> </w:t>
      </w:r>
      <w:r>
        <w:t xml:space="preserve">is important to consider that most industry respondents in the study were large</w:t>
      </w:r>
      <w:r>
        <w:t xml:space="preserve"> </w:t>
      </w:r>
      <w:r>
        <w:t xml:space="preserve">enterprises.</w:t>
      </w:r>
      <w:r>
        <w:t xml:space="preserve"> </w:t>
      </w:r>
      <w:r>
        <w:t xml:space="preserve">Creation of the online database, particularly the decentralised database, would</w:t>
      </w:r>
      <w:r>
        <w:t xml:space="preserve"> </w:t>
      </w:r>
      <w:r>
        <w:t xml:space="preserve">be aligned with the aims of the Digital Product Passport (DPP) since, according</w:t>
      </w:r>
      <w:r>
        <w:t xml:space="preserve"> </w:t>
      </w:r>
      <w:r>
        <w:t xml:space="preserve">to the Sustainable Products Initiative, it will be mandatory for companies to</w:t>
      </w:r>
      <w:r>
        <w:t xml:space="preserve"> </w:t>
      </w:r>
      <w:r>
        <w:t xml:space="preserve">adopt digital ways of communicating information about products. Hence, under</w:t>
      </w:r>
      <w:r>
        <w:t xml:space="preserve"> </w:t>
      </w:r>
      <w:r>
        <w:t xml:space="preserve">the adoption of DPP, companies will have to handle additional costs anyway to</w:t>
      </w:r>
      <w:r>
        <w:t xml:space="preserve"> </w:t>
      </w:r>
      <w:r>
        <w:t xml:space="preserve">comply with this measure and communicate the information about their products</w:t>
      </w:r>
      <w:r>
        <w:t xml:space="preserve"> </w:t>
      </w:r>
      <w:r>
        <w:t xml:space="preserve">online. Therefore, when calculating the costs for the companies to place their</w:t>
      </w:r>
      <w:r>
        <w:t xml:space="preserve"> </w:t>
      </w:r>
      <w:r>
        <w:t xml:space="preserve">digital labels online (if the decentralised database approach was selected) it is</w:t>
      </w:r>
      <w:r>
        <w:t xml:space="preserve"> </w:t>
      </w:r>
      <w:r>
        <w:t xml:space="preserve">important to highlight that development costs would be mandatory under the</w:t>
      </w:r>
      <w:r>
        <w:t xml:space="preserve"> </w:t>
      </w:r>
      <w:r>
        <w:t xml:space="preserve">DPP and, thus, only the costs of adding the CLP module in their databases should</w:t>
      </w:r>
      <w:r>
        <w:t xml:space="preserve"> </w:t>
      </w:r>
      <w:r>
        <w:t xml:space="preserve">be taken into account.</w:t>
      </w:r>
      <w:r>
        <w:br/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(Tool #58)</w:t>
      </w:r>
      <w:r>
        <w:t xml:space="preserve"> </w:t>
      </w:r>
      <w:r>
        <w:t xml:space="preserve">This policy measure would have no impact on public authorities.</w:t>
      </w:r>
      <w:r>
        <w:br/>
      </w:r>
      <w:r>
        <w:t xml:space="preserve">Neutral</w:t>
      </w:r>
    </w:p>
    <w:p>
      <w:pPr>
        <w:pStyle w:val="BodyText"/>
      </w:pPr>
      <w:r>
        <w:t xml:space="preserve">Table 119: Social impact assessment Policy measure 0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  <w:r>
        <w:t xml:space="preserve"> </w:t>
      </w:r>
      <w:r>
        <w:t xml:space="preserve">(Tool #33)</w:t>
      </w:r>
      <w:r>
        <w:t xml:space="preserve"> </w:t>
      </w:r>
      <w:r>
        <w:t xml:space="preserve">Based on the findings from the survey on the policy measures, the consulted public</w:t>
      </w:r>
      <w:r>
        <w:t xml:space="preserve"> </w:t>
      </w:r>
      <w:r>
        <w:t xml:space="preserve">authorities in general reported a very positive opinion on the importance of information</w:t>
      </w:r>
      <w:r>
        <w:t xml:space="preserve"> </w:t>
      </w:r>
      <w:r>
        <w:t xml:space="preserve">currently required on the labels308 (on a scale from -5 to +5 the average response was 4)</w:t>
      </w:r>
      <w:r>
        <w:t xml:space="preserve"> </w:t>
      </w:r>
      <w:r>
        <w:t xml:space="preserve">apart from ingredients that, despite the wide range of opinions, on average scored only</w:t>
      </w:r>
      <w:r>
        <w:t xml:space="preserve"> </w:t>
      </w:r>
      <w:r>
        <w:t xml:space="preserve">moderately positive in terms of the safe use of products.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</w:p>
    <w:p>
      <w:pPr>
        <w:pStyle w:val="BodyText"/>
      </w:pPr>
      <w:r>
        <w:t xml:space="preserve">308 General product information, Ingredients, Hazard communication (including pictograms and statements),</w:t>
      </w:r>
      <w:r>
        <w:t xml:space="preserve"> </w:t>
      </w:r>
      <w:r>
        <w:t xml:space="preserve">Precautionary statements, Signal words, Dosage.</w:t>
      </w:r>
    </w:p>
    <w:p>
      <w:pPr>
        <w:pStyle w:val="BodyText"/>
      </w:pPr>
      <w:r>
        <w:t xml:space="preserve">398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Industry stakeholders (associations and companies) thought that the most important</w:t>
      </w:r>
      <w:r>
        <w:t xml:space="preserve"> </w:t>
      </w:r>
      <w:r>
        <w:t xml:space="preserve">information in terms of safe use of products are the general product information and the</w:t>
      </w:r>
      <w:r>
        <w:t xml:space="preserve"> </w:t>
      </w:r>
      <w:r>
        <w:t xml:space="preserve">signal words, followed by the hazard communication information and the precautionary</w:t>
      </w:r>
      <w:r>
        <w:t xml:space="preserve"> </w:t>
      </w:r>
      <w:r>
        <w:t xml:space="preserve">statements. Dosage information imposed by the Detergents Regulation follows with a</w:t>
      </w:r>
      <w:r>
        <w:t xml:space="preserve"> </w:t>
      </w:r>
      <w:r>
        <w:t xml:space="preserve">moderately positive score. As above, ingredients scored lowest among industry</w:t>
      </w:r>
      <w:r>
        <w:t xml:space="preserve"> </w:t>
      </w:r>
      <w:r>
        <w:t xml:space="preserve">stakeholders.</w:t>
      </w:r>
      <w:r>
        <w:t xml:space="preserve"> </w:t>
      </w:r>
      <w:r>
        <w:t xml:space="preserve">Table 120: To what extent is the current information provided to consumers on labels</w:t>
      </w:r>
      <w:r>
        <w:t xml:space="preserve"> </w:t>
      </w:r>
      <w:r>
        <w:t xml:space="preserve">able to ensure safe use of the products? (Please consider -5 as the least appropriate ; 0</w:t>
      </w:r>
      <w:r>
        <w:t xml:space="preserve"> </w:t>
      </w:r>
      <w:r>
        <w:t xml:space="preserve">as neutral and +5 as the most appropriate.)309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Industry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General product information310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Ingredients311</w:t>
      </w:r>
      <w:r>
        <w:t xml:space="preserve"> </w:t>
      </w:r>
      <w:r>
        <w:t xml:space="preserve">2</w:t>
      </w:r>
      <w:r>
        <w:t xml:space="preserve"> </w:t>
      </w:r>
      <w:r>
        <w:t xml:space="preserve">-3</w:t>
      </w:r>
      <w:r>
        <w:t xml:space="preserve"> </w:t>
      </w:r>
      <w:r>
        <w:t xml:space="preserve">Hazard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(including</w:t>
      </w:r>
      <w:r>
        <w:t xml:space="preserve"> </w:t>
      </w:r>
      <w:r>
        <w:t xml:space="preserve">pictograms and statements)312</w:t>
      </w:r>
      <w:r>
        <w:t xml:space="preserve"> </w:t>
      </w:r>
      <w:r>
        <w:t xml:space="preserve">4</w:t>
      </w:r>
      <w:r>
        <w:t xml:space="preserve"> </w:t>
      </w:r>
      <w:r>
        <w:t xml:space="preserve">2,5</w:t>
      </w:r>
      <w:r>
        <w:t xml:space="preserve"> </w:t>
      </w:r>
      <w:r>
        <w:t xml:space="preserve">Precautionary statements313</w:t>
      </w:r>
      <w:r>
        <w:t xml:space="preserve"> </w:t>
      </w:r>
      <w:r>
        <w:t xml:space="preserve">4</w:t>
      </w:r>
      <w:r>
        <w:t xml:space="preserve"> </w:t>
      </w:r>
      <w:r>
        <w:t xml:space="preserve">2,5</w:t>
      </w:r>
      <w:r>
        <w:t xml:space="preserve"> </w:t>
      </w:r>
      <w:r>
        <w:t xml:space="preserve">Signal words314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Dosage (Detergents Regulation)315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Considering the importance of these pieces of information present in the label, the</w:t>
      </w:r>
      <w:r>
        <w:t xml:space="preserve"> </w:t>
      </w:r>
      <w:r>
        <w:t xml:space="preserve">consulted stakeholders were asked to assess how problematic current labels can be for</w:t>
      </w:r>
      <w:r>
        <w:t xml:space="preserve"> </w:t>
      </w:r>
      <w:r>
        <w:t xml:space="preserve">consumers with vision, colour blindness, cognitive/learning and mobility or physical</w:t>
      </w:r>
      <w:r>
        <w:t xml:space="preserve"> </w:t>
      </w:r>
      <w:r>
        <w:t xml:space="preserve">impairments. According to 58% or respondents of public authorities and 64% of</w:t>
      </w:r>
      <w:r>
        <w:t xml:space="preserve"> </w:t>
      </w:r>
      <w:r>
        <w:t xml:space="preserve">respondents from industry, current labels are problematic for consumers with vision</w:t>
      </w:r>
      <w:r>
        <w:t xml:space="preserve"> </w:t>
      </w:r>
      <w:r>
        <w:t xml:space="preserve">impairment316. 45% of respondents from public authorities and 41% from industry,</w:t>
      </w:r>
      <w:r>
        <w:t xml:space="preserve"> </w:t>
      </w:r>
      <w:r>
        <w:t xml:space="preserve">report a negative impact on consumers with colour blindness.317 Current labels are</w:t>
      </w:r>
      <w:r>
        <w:t xml:space="preserve"> </w:t>
      </w:r>
      <w:r>
        <w:t xml:space="preserve">considered also problematic by half of respondents (both public authorities and</w:t>
      </w:r>
      <w:r>
        <w:t xml:space="preserve"> </w:t>
      </w:r>
      <w:r>
        <w:t xml:space="preserve">industry representative) for consumers with learning/cognitive impairments. More</w:t>
      </w:r>
      <w:r>
        <w:t xml:space="preserve"> </w:t>
      </w:r>
      <w:r>
        <w:t xml:space="preserve">neutral the opinion for consumers with other impairments.</w:t>
      </w:r>
    </w:p>
    <w:p>
      <w:pPr>
        <w:pStyle w:val="BodyText"/>
      </w:pPr>
      <w:r>
        <w:t xml:space="preserve">309 Results provided in the table represent average rating of the piece of information in terms of its importance</w:t>
      </w:r>
      <w:r>
        <w:t xml:space="preserve"> </w:t>
      </w:r>
      <w:r>
        <w:t xml:space="preserve">to ensure safe use of the products</w:t>
      </w:r>
      <w:r>
        <w:t xml:space="preserve"> </w:t>
      </w:r>
      <w:r>
        <w:t xml:space="preserve">310 12 responses from public authorities, and 46 responses from the industry representatives.</w:t>
      </w:r>
      <w:r>
        <w:t xml:space="preserve"> </w:t>
      </w:r>
      <w:r>
        <w:t xml:space="preserve">311 12 responses from public authorities, and 52 responses from the industry representatives.</w:t>
      </w:r>
      <w:r>
        <w:t xml:space="preserve"> </w:t>
      </w:r>
      <w:r>
        <w:t xml:space="preserve">312 13 responses from public authorities, and 53 responses from the industry representatives.</w:t>
      </w:r>
      <w:r>
        <w:t xml:space="preserve"> </w:t>
      </w:r>
      <w:r>
        <w:t xml:space="preserve">313 13 responses from public authorities, and 51 responses from the industry representatives.</w:t>
      </w:r>
      <w:r>
        <w:t xml:space="preserve"> </w:t>
      </w:r>
      <w:r>
        <w:t xml:space="preserve">314 12 responses from public authorities, and 48 responses from the industry representatives.</w:t>
      </w:r>
      <w:r>
        <w:t xml:space="preserve"> </w:t>
      </w:r>
      <w:r>
        <w:t xml:space="preserve">315 12 responses from public authorities, and 37 responses from the industry representatives.</w:t>
      </w:r>
      <w:r>
        <w:t xml:space="preserve"> </w:t>
      </w:r>
      <w:r>
        <w:t xml:space="preserve">316 Based on the findings from the online survey on Policy Options. Seven out of 12 respondents belonging to</w:t>
      </w:r>
      <w:r>
        <w:t xml:space="preserve"> </w:t>
      </w:r>
      <w:r>
        <w:t xml:space="preserve">public authorities, and 30 out of 47 respondents representing the industry.</w:t>
      </w:r>
      <w:r>
        <w:t xml:space="preserve"> </w:t>
      </w:r>
      <w:r>
        <w:t xml:space="preserve">317 Based on the findings from the online survey on Policy Options. Five out of 11 respondents belonging to</w:t>
      </w:r>
      <w:r>
        <w:t xml:space="preserve"> </w:t>
      </w:r>
      <w:r>
        <w:t xml:space="preserve">public authorities, and 20 out of 49 respondents representing the industry.</w:t>
      </w:r>
    </w:p>
    <w:p>
      <w:pPr>
        <w:pStyle w:val="BodyText"/>
      </w:pPr>
      <w:r>
        <w:t xml:space="preserve">399</w:t>
      </w:r>
      <w:r>
        <w:t xml:space="preserve"> </w:t>
      </w:r>
      <w:r>
        <w:t xml:space="preserve">Table 121: Environmental impact assessment Policy Measure 0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(Tool</w:t>
      </w:r>
      <w:r>
        <w:t xml:space="preserve"> </w:t>
      </w:r>
      <w:r>
        <w:t xml:space="preserve">#36)</w:t>
      </w:r>
      <w:r>
        <w:t xml:space="preserve"> </w:t>
      </w:r>
      <w:r>
        <w:t xml:space="preserve">Concerning environmental aspects, the analysis is limited to awareness of</w:t>
      </w:r>
      <w:r>
        <w:t xml:space="preserve"> </w:t>
      </w:r>
      <w:r>
        <w:t xml:space="preserve">consumers about the impacts of dispersion of substances in the natural</w:t>
      </w:r>
      <w:r>
        <w:t xml:space="preserve"> </w:t>
      </w:r>
      <w:r>
        <w:t xml:space="preserve">environment. The analysis does not include an estimate of waste generated by</w:t>
      </w:r>
      <w:r>
        <w:t xml:space="preserve"> </w:t>
      </w:r>
      <w:r>
        <w:t xml:space="preserve">regulatory changes since legislative revisions include, where relevant, long</w:t>
      </w:r>
      <w:r>
        <w:t xml:space="preserve"> </w:t>
      </w:r>
      <w:r>
        <w:t xml:space="preserve">enough transition periods during which old labels and packaging can be used to</w:t>
      </w:r>
      <w:r>
        <w:t xml:space="preserve"> </w:t>
      </w:r>
      <w:r>
        <w:t xml:space="preserve">avoid costs for duty holders and the creation of waste. Under the Baseline Policy</w:t>
      </w:r>
      <w:r>
        <w:t xml:space="preserve"> </w:t>
      </w:r>
      <w:r>
        <w:t xml:space="preserve">Option, digital labelling would remain voluntary, and no such waste in this case</w:t>
      </w:r>
      <w:r>
        <w:t xml:space="preserve"> </w:t>
      </w:r>
      <w:r>
        <w:t xml:space="preserve">should not apply anyway.</w:t>
      </w:r>
      <w:r>
        <w:t xml:space="preserve"> </w:t>
      </w:r>
      <w:r>
        <w:t xml:space="preserve">Based on the findings from the survey, both public authorities and industry</w:t>
      </w:r>
      <w:r>
        <w:t xml:space="preserve"> </w:t>
      </w:r>
      <w:r>
        <w:t xml:space="preserve">representatives believe that current labels have a positive or very positive impact</w:t>
      </w:r>
      <w:r>
        <w:t xml:space="preserve"> </w:t>
      </w:r>
      <w:r>
        <w:t xml:space="preserve">on the awareness of consumers about the impact of dispersion of harmful</w:t>
      </w:r>
      <w:r>
        <w:t xml:space="preserve"> </w:t>
      </w:r>
      <w:r>
        <w:t xml:space="preserve">substances in the natural environment (82% of public authorities, 50% of</w:t>
      </w:r>
      <w:r>
        <w:t xml:space="preserve"> </w:t>
      </w:r>
      <w:r>
        <w:t xml:space="preserve">industry representative318).</w:t>
      </w:r>
      <w:r>
        <w:br/>
      </w:r>
      <w:r>
        <w:t xml:space="preserve">Weakly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Policy measure 1: Non-legislative measures: Physical labels and guidelines for the</w:t>
      </w:r>
      <w:r>
        <w:t xml:space="preserve"> </w:t>
      </w:r>
      <w:r>
        <w:t xml:space="preserve">voluntary use of digital label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There were opposing views among stakeholders on the introduction of industry guidelines</w:t>
      </w:r>
      <w:r>
        <w:t xml:space="preserve"> </w:t>
      </w:r>
      <w:r>
        <w:t xml:space="preserve">for the use – albeit voluntary – of electronic labels. In general, while consumer organisations</w:t>
      </w:r>
      <w:r>
        <w:t xml:space="preserve"> </w:t>
      </w:r>
      <w:r>
        <w:t xml:space="preserve">and public authorities see this policy measure positively, this assessment was not shared by</w:t>
      </w:r>
      <w:r>
        <w:t xml:space="preserve"> </w:t>
      </w:r>
      <w:r>
        <w:t xml:space="preserve">industry representatives.</w:t>
      </w:r>
      <w:r>
        <w:br/>
      </w:r>
      <w:r>
        <w:t xml:space="preserve">More specifically, policy measure 1 would entail interventions on the CLP regulation,</w:t>
      </w:r>
      <w:r>
        <w:t xml:space="preserve"> </w:t>
      </w:r>
      <w:r>
        <w:t xml:space="preserve">summarised in:</w:t>
      </w:r>
      <w:r>
        <w:t xml:space="preserve"> </w:t>
      </w:r>
      <w:r>
        <w:t xml:space="preserve"> Policy measure: Create a new section/heading under ECHA’s Labelling and</w:t>
      </w:r>
      <w:r>
        <w:t xml:space="preserve"> </w:t>
      </w:r>
      <w:r>
        <w:t xml:space="preserve">Packaging Guidance with recommendations;</w:t>
      </w:r>
      <w:r>
        <w:t xml:space="preserve"> </w:t>
      </w:r>
      <w:r>
        <w:t xml:space="preserve">Regarding this policy measure, public authorities, on average, responded positively to the</w:t>
      </w:r>
      <w:r>
        <w:t xml:space="preserve"> </w:t>
      </w:r>
      <w:r>
        <w:t xml:space="preserve">adaptation of the guidelines (80% gave a positive score), while industry representatives, on</w:t>
      </w:r>
      <w:r>
        <w:t xml:space="preserve"> </w:t>
      </w:r>
      <w:r>
        <w:t xml:space="preserve">average, saw this intervention slightly negative. Industry representatives argue that this</w:t>
      </w:r>
      <w:r>
        <w:t xml:space="preserve"> </w:t>
      </w:r>
      <w:r>
        <w:t xml:space="preserve">Policy measure does not address the requirements on the safety use of the physical labels</w:t>
      </w:r>
      <w:r>
        <w:t xml:space="preserve"> </w:t>
      </w:r>
      <w:r>
        <w:t xml:space="preserve">nor does it incentivise companies to use digital labels (60% of the industry stakeholders).</w:t>
      </w:r>
      <w:r>
        <w:br/>
      </w:r>
      <w:r>
        <w:t xml:space="preserve">The views gathered concerning this policy measure by stakeholders is similar to the</w:t>
      </w:r>
      <w:r>
        <w:t xml:space="preserve"> </w:t>
      </w:r>
      <w:r>
        <w:t xml:space="preserve">preceding policy measure: on average public authorities responded positively to the</w:t>
      </w:r>
      <w:r>
        <w:t xml:space="preserve"> </w:t>
      </w:r>
      <w:r>
        <w:t xml:space="preserve">adoption of guidelines (89% gave a positive score), while industry representatives expressed</w:t>
      </w:r>
      <w:r>
        <w:t xml:space="preserve"> </w:t>
      </w:r>
      <w:r>
        <w:t xml:space="preserve">overall a negative appreciation (56% gave a negative score). Overall, industry</w:t>
      </w:r>
      <w:r>
        <w:t xml:space="preserve"> </w:t>
      </w:r>
      <w:r>
        <w:t xml:space="preserve">representatives provided that this policy measure would not incentivise manufacturers’</w:t>
      </w:r>
      <w:r>
        <w:t xml:space="preserve"> </w:t>
      </w:r>
      <w:r>
        <w:t xml:space="preserve">adoption of digital tools for those who do not already use them (60% answered negatively).</w:t>
      </w:r>
    </w:p>
    <w:p>
      <w:pPr>
        <w:pStyle w:val="BodyText"/>
      </w:pPr>
      <w:r>
        <w:t xml:space="preserve">Table 122: Economic impact assessment Policy measure 1</w:t>
      </w:r>
    </w:p>
    <w:p>
      <w:pPr>
        <w:pStyle w:val="BodyText"/>
      </w:pPr>
      <w:r>
        <w:t xml:space="preserve">318 Based on the findings from the online survey on Policy Options. 10 out of 12 respondents from public</w:t>
      </w:r>
      <w:r>
        <w:t xml:space="preserve"> </w:t>
      </w:r>
      <w:r>
        <w:t xml:space="preserve">authorities, and 25 out of 51 respondents from the industry.</w:t>
      </w:r>
    </w:p>
    <w:p>
      <w:pPr>
        <w:pStyle w:val="BodyText"/>
      </w:pPr>
      <w:r>
        <w:t xml:space="preserve">400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(Tools #21-25)</w:t>
      </w:r>
      <w:r>
        <w:t xml:space="preserve"> </w:t>
      </w:r>
      <w:r>
        <w:t xml:space="preserve">Compared with PM0, this policy option should have no particular impact for</w:t>
      </w:r>
      <w:r>
        <w:t xml:space="preserve"> </w:t>
      </w:r>
      <w:r>
        <w:t xml:space="preserve">professional users considering that it would not entail any regulatory change</w:t>
      </w:r>
      <w:r>
        <w:t xml:space="preserve"> </w:t>
      </w:r>
      <w:r>
        <w:t xml:space="preserve">and the provision of information would still remain on physical labels and</w:t>
      </w:r>
      <w:r>
        <w:t xml:space="preserve"> </w:t>
      </w:r>
      <w:r>
        <w:t xml:space="preserve">safety data sheets. The cost of conducting business remain the same as per the</w:t>
      </w:r>
      <w:r>
        <w:t xml:space="preserve"> </w:t>
      </w:r>
      <w:r>
        <w:t xml:space="preserve">baseline scenario.</w:t>
      </w:r>
      <w:r>
        <w:br/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trade and investment</w:t>
      </w:r>
      <w:r>
        <w:t xml:space="preserve"> </w:t>
      </w:r>
      <w:r>
        <w:t xml:space="preserve">flows (Tool #21, 27)</w:t>
      </w:r>
      <w:r>
        <w:t xml:space="preserve"> </w:t>
      </w:r>
      <w:r>
        <w:t xml:space="preserve">This policy option should have no particular impact for the competitiveness of</w:t>
      </w:r>
      <w:r>
        <w:t xml:space="preserve"> </w:t>
      </w:r>
      <w:r>
        <w:t xml:space="preserve">the industry considering that it would not entail any regulatory change and the</w:t>
      </w:r>
      <w:r>
        <w:t xml:space="preserve"> </w:t>
      </w:r>
      <w:r>
        <w:t xml:space="preserve">provision of information would still remain on physical labels and safety data</w:t>
      </w:r>
      <w:r>
        <w:t xml:space="preserve"> </w:t>
      </w:r>
      <w:r>
        <w:t xml:space="preserve">sheets.</w:t>
      </w:r>
      <w:r>
        <w:br/>
      </w:r>
      <w:r>
        <w:t xml:space="preserve">Neutral</w:t>
      </w:r>
      <w:r>
        <w:t xml:space="preserve"> </w:t>
      </w:r>
      <w:r>
        <w:t xml:space="preserve">SMEs (Tool #21)</w:t>
      </w:r>
      <w:r>
        <w:t xml:space="preserve"> </w:t>
      </w:r>
      <w:r>
        <w:t xml:space="preserve">Just as with professional users, PM1 would have no impact on SMEs. The cost</w:t>
      </w:r>
      <w:r>
        <w:t xml:space="preserve"> </w:t>
      </w:r>
      <w:r>
        <w:t xml:space="preserve">of conducting business remain the same as per the baseline scenario.</w:t>
      </w:r>
      <w:r>
        <w:t xml:space="preserve"> </w:t>
      </w:r>
      <w:r>
        <w:t xml:space="preserve">Neutral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(Tool #28)</w:t>
      </w:r>
      <w:r>
        <w:t xml:space="preserve"> </w:t>
      </w:r>
      <w:r>
        <w:t xml:space="preserve">According to 45% of public authorities, the use of guidelines is considered</w:t>
      </w:r>
      <w:r>
        <w:t xml:space="preserve"> </w:t>
      </w:r>
      <w:r>
        <w:t xml:space="preserve">strongly positive (on average, the option received a score of 8/10 in terms of</w:t>
      </w:r>
      <w:r>
        <w:t xml:space="preserve"> </w:t>
      </w:r>
      <w:r>
        <w:t xml:space="preserve">digitalisation).</w:t>
      </w:r>
      <w:r>
        <w:br/>
      </w:r>
      <w:r>
        <w:t xml:space="preserve">Industry stakeholders thought that such guidelines would not be very coherent</w:t>
      </w:r>
      <w:r>
        <w:t xml:space="preserve"> </w:t>
      </w:r>
      <w:r>
        <w:t xml:space="preserve">with the digitalisation trends and assign an average score of 2/10.</w:t>
      </w:r>
      <w:r>
        <w:t xml:space="preserve"> </w:t>
      </w:r>
      <w:r>
        <w:t xml:space="preserve">Neutral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(Tool #58)</w:t>
      </w:r>
      <w:r>
        <w:t xml:space="preserve"> </w:t>
      </w:r>
      <w:r>
        <w:t xml:space="preserve">In this specific policy option, considering that the intervention would mean</w:t>
      </w:r>
      <w:r>
        <w:t xml:space="preserve"> </w:t>
      </w:r>
      <w:r>
        <w:t xml:space="preserve">updating the ECHA guidance for CLP and the FAQ for detergents, no specific</w:t>
      </w:r>
      <w:r>
        <w:t xml:space="preserve"> </w:t>
      </w:r>
      <w:r>
        <w:t xml:space="preserve">enforcement costs for public authorities were considered.</w:t>
      </w:r>
      <w:r>
        <w:t xml:space="preserve"> </w:t>
      </w:r>
      <w:r>
        <w:t xml:space="preserve">Public authorities and industry associations indicated that updating guidelines</w:t>
      </w:r>
      <w:r>
        <w:t xml:space="preserve"> </w:t>
      </w:r>
      <w:r>
        <w:t xml:space="preserve">carries relatively low costs. None of the participating stakeholders indicated a</w:t>
      </w:r>
      <w:r>
        <w:t xml:space="preserve"> </w:t>
      </w:r>
      <w:r>
        <w:t xml:space="preserve">high cost for the development of such guidelines.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401</w:t>
      </w:r>
      <w:r>
        <w:t xml:space="preserve"> </w:t>
      </w:r>
      <w:r>
        <w:t xml:space="preserve">Table 123: Social impact assessment Policy measure 1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  <w:r>
        <w:t xml:space="preserve"> </w:t>
      </w:r>
      <w:r>
        <w:t xml:space="preserve">(Tool #33)</w:t>
      </w:r>
      <w:r>
        <w:t xml:space="preserve"> </w:t>
      </w:r>
      <w:r>
        <w:t xml:space="preserve">The update of guidelines – according to public authorities - would have a marginal, yet</w:t>
      </w:r>
      <w:r>
        <w:t xml:space="preserve"> </w:t>
      </w:r>
      <w:r>
        <w:t xml:space="preserve">positive, impact on consumer awareness. Indeed, public authorities responding to the</w:t>
      </w:r>
      <w:r>
        <w:t xml:space="preserve"> </w:t>
      </w:r>
      <w:r>
        <w:t xml:space="preserve">survey thought that the introduction of guidelines might have a positive impact in terms of</w:t>
      </w:r>
      <w:r>
        <w:t xml:space="preserve"> </w:t>
      </w:r>
      <w:r>
        <w:t xml:space="preserve">increased safety for consumers, awareness and consumer choice.</w:t>
      </w:r>
      <w:r>
        <w:t xml:space="preserve"> </w:t>
      </w:r>
      <w:r>
        <w:t xml:space="preserve">However, for more than half of industry respondents, the use of guidelines would have no</w:t>
      </w:r>
      <w:r>
        <w:t xml:space="preserve"> </w:t>
      </w:r>
      <w:r>
        <w:t xml:space="preserve">impact on consumer safety.</w:t>
      </w:r>
      <w:r>
        <w:t xml:space="preserve"> </w:t>
      </w:r>
      <w:r>
        <w:t xml:space="preserve">Regarding the impact on vulnerable consumers, for a third of public authorities and half of</w:t>
      </w:r>
      <w:r>
        <w:t xml:space="preserve"> </w:t>
      </w:r>
      <w:r>
        <w:t xml:space="preserve">industry representatives, PM1 would have no impact on this group with slightly positive</w:t>
      </w:r>
      <w:r>
        <w:t xml:space="preserve"> </w:t>
      </w:r>
      <w:r>
        <w:t xml:space="preserve">effects, according to public authorities, for consumers with visual and cognitive/learning</w:t>
      </w:r>
      <w:r>
        <w:t xml:space="preserve"> </w:t>
      </w:r>
      <w:r>
        <w:t xml:space="preserve">impairments. Only a third of industry participants to the survey consider PM1 as potentially</w:t>
      </w:r>
      <w:r>
        <w:t xml:space="preserve"> </w:t>
      </w:r>
      <w:r>
        <w:t xml:space="preserve">having a positive impact on consumers with visual impairments, colour-blind and with</w:t>
      </w:r>
      <w:r>
        <w:t xml:space="preserve"> </w:t>
      </w:r>
      <w:r>
        <w:t xml:space="preserve">cognitive/learning difficulties.</w:t>
      </w:r>
      <w:r>
        <w:t xml:space="preserve"> </w:t>
      </w:r>
      <w:r>
        <w:t xml:space="preserve">The analysis included also the assessment of potential alternative solutions. In general,</w:t>
      </w:r>
      <w:r>
        <w:t xml:space="preserve"> </w:t>
      </w:r>
      <w:r>
        <w:t xml:space="preserve">consulted stakeholders from industry reported an overall preference for the availability in</w:t>
      </w:r>
      <w:r>
        <w:t xml:space="preserve"> </w:t>
      </w:r>
      <w:r>
        <w:t xml:space="preserve">store of information on products (either digitally or physically). This option is considered</w:t>
      </w:r>
      <w:r>
        <w:t xml:space="preserve"> </w:t>
      </w:r>
      <w:r>
        <w:t xml:space="preserve">the most feasible by stakeholder but also the most costly. The most cost-effective solution</w:t>
      </w:r>
      <w:r>
        <w:t xml:space="preserve"> </w:t>
      </w:r>
      <w:r>
        <w:t xml:space="preserve">would be a dedicated telephone line providing the required product information, while the</w:t>
      </w:r>
      <w:r>
        <w:t xml:space="preserve"> </w:t>
      </w:r>
      <w:r>
        <w:t xml:space="preserve">least cost-effective solution being the use of SMS with product information.</w:t>
      </w:r>
      <w:r>
        <w:t xml:space="preserve"> </w:t>
      </w:r>
      <w:r>
        <w:t xml:space="preserve">Figure 82: Stakeholders assessment of backup solutions (responses from the industry</w:t>
      </w:r>
      <w:r>
        <w:t xml:space="preserve"> </w:t>
      </w:r>
      <w:r>
        <w:t xml:space="preserve">and public authorities)</w:t>
      </w:r>
    </w:p>
    <w:p>
      <w:pPr>
        <w:pStyle w:val="BodyText"/>
      </w:pPr>
      <w:r>
        <w:t xml:space="preserve">Weakly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0,0</w:t>
      </w:r>
      <w:r>
        <w:t xml:space="preserve"> </w:t>
      </w:r>
      <w:r>
        <w:t xml:space="preserve">2,0</w:t>
      </w:r>
      <w:r>
        <w:t xml:space="preserve"> </w:t>
      </w:r>
      <w:r>
        <w:t xml:space="preserve">4,0</w:t>
      </w:r>
      <w:r>
        <w:t xml:space="preserve"> </w:t>
      </w:r>
      <w:r>
        <w:t xml:space="preserve">Feasibility</w:t>
      </w:r>
      <w:r>
        <w:t xml:space="preserve"> </w:t>
      </w:r>
      <w:r>
        <w:t xml:space="preserve">Cost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Responses from industry</w:t>
      </w:r>
      <w:r>
        <w:t xml:space="preserve"> </w:t>
      </w:r>
      <w:r>
        <w:t xml:space="preserve">Product information available digitally or physically in store</w:t>
      </w:r>
      <w:r>
        <w:t xml:space="preserve"> </w:t>
      </w:r>
      <w:r>
        <w:t xml:space="preserve">SMS with product information</w:t>
      </w:r>
      <w:r>
        <w:t xml:space="preserve"> </w:t>
      </w:r>
      <w:r>
        <w:t xml:space="preserve">Dedicated telephone line providing product information</w:t>
      </w:r>
      <w:r>
        <w:t xml:space="preserve"> </w:t>
      </w:r>
      <w:r>
        <w:t xml:space="preserve">Dedicated smartphone application</w:t>
      </w:r>
      <w:r>
        <w:t xml:space="preserve"> </w:t>
      </w:r>
      <w:r>
        <w:t xml:space="preserve">0,0</w:t>
      </w:r>
      <w:r>
        <w:t xml:space="preserve"> </w:t>
      </w:r>
      <w:r>
        <w:t xml:space="preserve">2,0</w:t>
      </w:r>
      <w:r>
        <w:t xml:space="preserve"> </w:t>
      </w:r>
      <w:r>
        <w:t xml:space="preserve">4,0</w:t>
      </w:r>
      <w:r>
        <w:t xml:space="preserve"> </w:t>
      </w:r>
      <w:r>
        <w:t xml:space="preserve">6,0</w:t>
      </w:r>
      <w:r>
        <w:t xml:space="preserve"> </w:t>
      </w:r>
      <w:r>
        <w:t xml:space="preserve">Feasibility</w:t>
      </w:r>
      <w:r>
        <w:t xml:space="preserve"> </w:t>
      </w:r>
      <w:r>
        <w:t xml:space="preserve">Cost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Responses from the public authorities</w:t>
      </w:r>
      <w:r>
        <w:t xml:space="preserve"> </w:t>
      </w:r>
      <w:r>
        <w:t xml:space="preserve">Product information available digitally or physically in store</w:t>
      </w:r>
      <w:r>
        <w:t xml:space="preserve"> </w:t>
      </w:r>
      <w:r>
        <w:t xml:space="preserve">SMS with product information</w:t>
      </w:r>
      <w:r>
        <w:t xml:space="preserve"> </w:t>
      </w:r>
      <w:r>
        <w:t xml:space="preserve">Dedicated telephone line providing product information</w:t>
      </w:r>
      <w:r>
        <w:t xml:space="preserve"> </w:t>
      </w:r>
      <w:r>
        <w:t xml:space="preserve">Dedicated smartphone application</w:t>
      </w:r>
    </w:p>
    <w:p>
      <w:pPr>
        <w:pStyle w:val="BodyText"/>
      </w:pPr>
      <w:r>
        <w:t xml:space="preserve">402</w:t>
      </w:r>
      <w:r>
        <w:t xml:space="preserve"> </w:t>
      </w:r>
      <w:r>
        <w:t xml:space="preserve">Table 124: Environmental impact assessment Policy measure 1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(Tool</w:t>
      </w:r>
      <w:r>
        <w:t xml:space="preserve"> </w:t>
      </w:r>
      <w:r>
        <w:t xml:space="preserve">#36)</w:t>
      </w:r>
      <w:r>
        <w:t xml:space="preserve"> </w:t>
      </w:r>
      <w:r>
        <w:t xml:space="preserve">Regarding the impact of PM1 on consumer awareness about the impact of</w:t>
      </w:r>
      <w:r>
        <w:t xml:space="preserve"> </w:t>
      </w:r>
      <w:r>
        <w:t xml:space="preserve">dispersion of harmful substances in the natural environment, the survey shows</w:t>
      </w:r>
      <w:r>
        <w:t xml:space="preserve"> </w:t>
      </w:r>
      <w:r>
        <w:t xml:space="preserve">that both public authorities and industry representatives consider this policy</w:t>
      </w:r>
      <w:r>
        <w:t xml:space="preserve"> </w:t>
      </w:r>
      <w:r>
        <w:t xml:space="preserve">option as relatively neutral. Half of participating public authorities believe the</w:t>
      </w:r>
      <w:r>
        <w:t xml:space="preserve"> </w:t>
      </w:r>
      <w:r>
        <w:t xml:space="preserve">guidelines might have a minor positive effect, while 84% of industry respondents</w:t>
      </w:r>
      <w:r>
        <w:t xml:space="preserve"> </w:t>
      </w:r>
      <w:r>
        <w:t xml:space="preserve">consider PM1 as potentially having a neutral or slightly positive effect.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Policy measure 2: Revision of the labelling rules in the regulations: align the two</w:t>
      </w:r>
      <w:r>
        <w:t xml:space="preserve"> </w:t>
      </w:r>
      <w:r>
        <w:t xml:space="preserve">regulations and address inconsistencies in the Detergents Regulation on the physical</w:t>
      </w:r>
      <w:r>
        <w:t xml:space="preserve"> </w:t>
      </w:r>
      <w:r>
        <w:t xml:space="preserve">label only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The consulted stakeholders had an overall positive view about the alignment of the two</w:t>
      </w:r>
      <w:r>
        <w:t xml:space="preserve"> </w:t>
      </w:r>
      <w:r>
        <w:t xml:space="preserve">regulations and the revision of the Detergents Regulation to address inconsistencies,</w:t>
      </w:r>
      <w:r>
        <w:t xml:space="preserve"> </w:t>
      </w:r>
      <w:r>
        <w:t xml:space="preserve">overlaps and duplications on the physical label. All of the stakeholders representing public</w:t>
      </w:r>
      <w:r>
        <w:t xml:space="preserve"> </w:t>
      </w:r>
      <w:r>
        <w:t xml:space="preserve">authorities (11) assessed policy measure 2 as positive with eight out of 11 stakeholders</w:t>
      </w:r>
      <w:r>
        <w:t xml:space="preserve"> </w:t>
      </w:r>
      <w:r>
        <w:t xml:space="preserve">assessing the policy measure as very positive and rating the assessment of the policy</w:t>
      </w:r>
      <w:r>
        <w:t xml:space="preserve"> </w:t>
      </w:r>
      <w:r>
        <w:t xml:space="preserve">measure as 4 or 5 out of 5. On the other hand, industry representatives had a slightly less</w:t>
      </w:r>
      <w:r>
        <w:t xml:space="preserve"> </w:t>
      </w:r>
      <w:r>
        <w:t xml:space="preserve">positive opinion on the policy measure, with 62% of these stakeholders (16 out of 26)</w:t>
      </w:r>
      <w:r>
        <w:t xml:space="preserve"> </w:t>
      </w:r>
      <w:r>
        <w:t xml:space="preserve">assessed policy measure 2 as positive.</w:t>
      </w:r>
      <w:r>
        <w:br/>
      </w:r>
      <w:r>
        <w:t xml:space="preserve">The legal intervention foreseen under Policy measure 2 to streamline the labelling</w:t>
      </w:r>
      <w:r>
        <w:t xml:space="preserve"> </w:t>
      </w:r>
      <w:r>
        <w:t xml:space="preserve">requirements between the CLP Regulation and the Detergents Regulation between the two</w:t>
      </w:r>
      <w:r>
        <w:t xml:space="preserve"> </w:t>
      </w:r>
      <w:r>
        <w:t xml:space="preserve">regulations was agreed by all categories of stakeholders during the interviews, especially by</w:t>
      </w:r>
      <w:r>
        <w:t xml:space="preserve"> </w:t>
      </w:r>
      <w:r>
        <w:t xml:space="preserve">industry representatives who insisted on the benefits of this intervention to remove</w:t>
      </w:r>
      <w:r>
        <w:t xml:space="preserve"> </w:t>
      </w:r>
      <w:r>
        <w:t xml:space="preserve">duplications of information on chemical labels and thus create more space for other</w:t>
      </w:r>
      <w:r>
        <w:t xml:space="preserve"> </w:t>
      </w:r>
      <w:r>
        <w:t xml:space="preserve">information to be conveyed in a more readable manner.</w:t>
      </w:r>
      <w:r>
        <w:t xml:space="preserve"> </w:t>
      </w:r>
      <w:r>
        <w:t xml:space="preserve">First, labelling requirements under the Detergents Regulation would need to be streamlined</w:t>
      </w:r>
      <w:r>
        <w:t xml:space="preserve"> </w:t>
      </w:r>
      <w:r>
        <w:t xml:space="preserve">to avoid overlaps, inconsistencies and duplications with the CLP Regulation. In addition,</w:t>
      </w:r>
      <w:r>
        <w:t xml:space="preserve"> </w:t>
      </w:r>
      <w:r>
        <w:t xml:space="preserve">policy measure 2 aims to simplify and clarify the rules on labelling of allergenic fragrance</w:t>
      </w:r>
      <w:r>
        <w:t xml:space="preserve"> </w:t>
      </w:r>
      <w:r>
        <w:t xml:space="preserve">ingredients in a way that the same fragrance ingredient falling within the scope of both</w:t>
      </w:r>
      <w:r>
        <w:t xml:space="preserve"> </w:t>
      </w:r>
      <w:r>
        <w:t xml:space="preserve">Regulations is not labelled twice or thrice on the same label. This simplification should also</w:t>
      </w:r>
      <w:r>
        <w:t xml:space="preserve"> </w:t>
      </w:r>
      <w:r>
        <w:t xml:space="preserve">consider the existing differences between the two Regulations in the identification of a</w:t>
      </w:r>
      <w:r>
        <w:t xml:space="preserve"> </w:t>
      </w:r>
      <w:r>
        <w:t xml:space="preserve">substance, i.e., the name (and identification number) under which the sensitising fragrance</w:t>
      </w:r>
      <w:r>
        <w:t xml:space="preserve"> </w:t>
      </w:r>
      <w:r>
        <w:t xml:space="preserve">is to be labelled.</w:t>
      </w:r>
      <w:r>
        <w:br/>
      </w:r>
      <w:r>
        <w:t xml:space="preserve">For this purpose, this policy measure is declined under two sub-options, as follows:</w:t>
      </w:r>
      <w:r>
        <w:t xml:space="preserve"> </w:t>
      </w:r>
      <w:r>
        <w:t xml:space="preserve"> Sub-measure 2a: the Detergents Regulations provides that the remaining</w:t>
      </w:r>
      <w:r>
        <w:t xml:space="preserve"> </w:t>
      </w:r>
      <w:r>
        <w:t xml:space="preserve">overlapping provisions are to be labelled only once, either following the CLP or</w:t>
      </w:r>
      <w:r>
        <w:t xml:space="preserve"> </w:t>
      </w:r>
      <w:r>
        <w:t xml:space="preserve">Detergents Regulation, based on the stricter rules;</w:t>
      </w:r>
      <w:r>
        <w:t xml:space="preserve"> </w:t>
      </w:r>
      <w:r>
        <w:t xml:space="preserve"> Sub-measure 2b: all overlapping provisions are removed from the Detergents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403</w:t>
      </w:r>
      <w:r>
        <w:t xml:space="preserve"> </w:t>
      </w:r>
      <w:r>
        <w:t xml:space="preserve">Regarding the assessment of these two sub-options in the survey, it must be noted that public</w:t>
      </w:r>
      <w:r>
        <w:t xml:space="preserve"> </w:t>
      </w:r>
      <w:r>
        <w:t xml:space="preserve">authorities and consumer organisations had no particular preference on either of these sub-</w:t>
      </w:r>
      <w:r>
        <w:t xml:space="preserve"> </w:t>
      </w:r>
      <w:r>
        <w:t xml:space="preserve">options, while industry representatives expressed a slight preference for sub-measure 2b</w:t>
      </w:r>
      <w:r>
        <w:t xml:space="preserve"> </w:t>
      </w:r>
      <w:r>
        <w:t xml:space="preserve">arguing that sub-measure 2b would be more straightforward to apply for industry. However,</w:t>
      </w:r>
      <w:r>
        <w:t xml:space="preserve"> </w:t>
      </w:r>
      <w:r>
        <w:t xml:space="preserve">it must be noted that removing the overlaps between the two regulations would also mean</w:t>
      </w:r>
      <w:r>
        <w:t xml:space="preserve"> </w:t>
      </w:r>
      <w:r>
        <w:t xml:space="preserve">that the thresholds for labelling some allergenic fragrances would be higher, thus indicating</w:t>
      </w:r>
      <w:r>
        <w:t xml:space="preserve"> </w:t>
      </w:r>
      <w:r>
        <w:t xml:space="preserve">a potential concern that consumers might be less informed about the presence of these</w:t>
      </w:r>
      <w:r>
        <w:t xml:space="preserve"> </w:t>
      </w:r>
      <w:r>
        <w:t xml:space="preserve">substances in detergents.</w:t>
      </w:r>
      <w:r>
        <w:br/>
      </w:r>
      <w:r>
        <w:t xml:space="preserve">In addition, one of the findings from the Open Public Consultation was that stakeholders, in</w:t>
      </w:r>
      <w:r>
        <w:t xml:space="preserve"> </w:t>
      </w:r>
      <w:r>
        <w:t xml:space="preserve">general, believe that the most effective method to increase the communication of</w:t>
      </w:r>
      <w:r>
        <w:t xml:space="preserve"> </w:t>
      </w:r>
      <w:r>
        <w:t xml:space="preserve">information on labels of chemicals is by simplifying the text on labels319, while, on the other</w:t>
      </w:r>
      <w:r>
        <w:t xml:space="preserve"> </w:t>
      </w:r>
      <w:r>
        <w:t xml:space="preserve">hand, one of the least effective ways to increase the communication, according to the</w:t>
      </w:r>
      <w:r>
        <w:t xml:space="preserve"> </w:t>
      </w:r>
      <w:r>
        <w:t xml:space="preserve">respondents, was having more detailed information provided on the on-pack label (e.g. more</w:t>
      </w:r>
      <w:r>
        <w:t xml:space="preserve"> </w:t>
      </w:r>
      <w:r>
        <w:t xml:space="preserve">detailed use instructions, etc.)320. Moreover, the most popular response to the question on</w:t>
      </w:r>
      <w:r>
        <w:t xml:space="preserve"> </w:t>
      </w:r>
      <w:r>
        <w:t xml:space="preserve">how the information on detergents label could be simplified was “Avoiding that the same</w:t>
      </w:r>
      <w:r>
        <w:t xml:space="preserve"> </w:t>
      </w:r>
      <w:r>
        <w:t xml:space="preserve">ingredient is listed multiple times on the label”321, which stresses the importance of</w:t>
      </w:r>
      <w:r>
        <w:t xml:space="preserve"> </w:t>
      </w:r>
      <w:r>
        <w:t xml:space="preserve">simplifying physical labels and avoiding the duplications due to overlaps between the CLP</w:t>
      </w:r>
      <w:r>
        <w:t xml:space="preserve"> </w:t>
      </w:r>
      <w:r>
        <w:t xml:space="preserve">and Detergent Regulations.</w:t>
      </w:r>
      <w:r>
        <w:t xml:space="preserve"> </w:t>
      </w:r>
      <w:r>
        <w:t xml:space="preserve">Provides information about the impact of Policy measure 2. However, as outlined above,</w:t>
      </w:r>
      <w:r>
        <w:t xml:space="preserve"> </w:t>
      </w:r>
      <w:r>
        <w:t xml:space="preserve">these impacts will occur due to changes in the Detergents Regulation, not due to changes in</w:t>
      </w:r>
      <w:r>
        <w:t xml:space="preserve"> </w:t>
      </w:r>
      <w:r>
        <w:t xml:space="preserve">CLP. The impacts are, therefore, not considered for this impact assessment and provided</w:t>
      </w:r>
      <w:r>
        <w:t xml:space="preserve"> </w:t>
      </w:r>
      <w:r>
        <w:t xml:space="preserve">here only for information. The changes in the Detergents Regulation will address the issues</w:t>
      </w:r>
      <w:r>
        <w:t xml:space="preserve"> </w:t>
      </w:r>
      <w:r>
        <w:t xml:space="preserve">identified in the chemicals Fitness Check.</w:t>
      </w:r>
    </w:p>
    <w:p>
      <w:pPr>
        <w:pStyle w:val="BodyText"/>
      </w:pPr>
      <w:r>
        <w:t xml:space="preserve">319 Most popular option among the stakeholders with 24% of the votes (160 out of 675 total votes)</w:t>
      </w:r>
      <w:r>
        <w:t xml:space="preserve"> </w:t>
      </w:r>
      <w:r>
        <w:t xml:space="preserve">320 Third least popular option among the stakeholders with 3% of the votes (19 out of 675 total votes)</w:t>
      </w:r>
      <w:r>
        <w:t xml:space="preserve"> </w:t>
      </w:r>
      <w:r>
        <w:t xml:space="preserve">321 Most popular option among the stakeholders with 22% if the votes (113 out of 522 total votes)</w:t>
      </w:r>
    </w:p>
    <w:p>
      <w:pPr>
        <w:pStyle w:val="BodyText"/>
      </w:pPr>
      <w:r>
        <w:t xml:space="preserve">404</w:t>
      </w:r>
      <w:r>
        <w:t xml:space="preserve"> </w:t>
      </w:r>
      <w:r>
        <w:t xml:space="preserve">Table 125: Economic impact assessment Policy measure 2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(Tools #21-25)</w:t>
      </w:r>
      <w:r>
        <w:t xml:space="preserve"> </w:t>
      </w:r>
      <w:r>
        <w:t xml:space="preserve">Based on the findings from the survey on the policy options, around 80% of the</w:t>
      </w:r>
      <w:r>
        <w:t xml:space="preserve"> </w:t>
      </w:r>
      <w:r>
        <w:t xml:space="preserve">consulted stakeholders from public authorities think that addressing the</w:t>
      </w:r>
      <w:r>
        <w:t xml:space="preserve"> </w:t>
      </w:r>
      <w:r>
        <w:t xml:space="preserve">inconsistencies, overlaps and duplications on the physical label would have a</w:t>
      </w:r>
      <w:r>
        <w:t xml:space="preserve"> </w:t>
      </w:r>
      <w:r>
        <w:t xml:space="preserve">positive impact on professional users in terms of label readability, and overall</w:t>
      </w:r>
      <w:r>
        <w:t xml:space="preserve"> </w:t>
      </w:r>
      <w:r>
        <w:t xml:space="preserve">safety of products dedicated to professional and industrial users. On the other</w:t>
      </w:r>
      <w:r>
        <w:t xml:space="preserve"> </w:t>
      </w:r>
      <w:r>
        <w:t xml:space="preserve">hand, only around half of the industry stakeholders believe that this policy</w:t>
      </w:r>
      <w:r>
        <w:t xml:space="preserve"> </w:t>
      </w:r>
      <w:r>
        <w:t xml:space="preserve">measure would bring positive impact to professional users concerning these</w:t>
      </w:r>
      <w:r>
        <w:t xml:space="preserve"> </w:t>
      </w:r>
      <w:r>
        <w:t xml:space="preserve">aspects.</w:t>
      </w:r>
      <w:r>
        <w:t xml:space="preserve"> </w:t>
      </w:r>
      <w:r>
        <w:t xml:space="preserve">Concerning the costs, according to the large majority (around 80%) of consulted</w:t>
      </w:r>
      <w:r>
        <w:t xml:space="preserve"> </w:t>
      </w:r>
      <w:r>
        <w:t xml:space="preserve">industry stakeholders, the costs or benefits of the revisions under policy measure</w:t>
      </w:r>
      <w:r>
        <w:t xml:space="preserve"> </w:t>
      </w:r>
      <w:r>
        <w:t xml:space="preserve">2 would generate none to very low impact on enterprises. More specifically,</w:t>
      </w:r>
      <w:r>
        <w:t xml:space="preserve"> </w:t>
      </w:r>
      <w:r>
        <w:t xml:space="preserve">around 50% of industry stakeholders believe that the clarifications under policy</w:t>
      </w:r>
      <w:r>
        <w:t xml:space="preserve"> </w:t>
      </w:r>
      <w:r>
        <w:t xml:space="preserve">measure 2 would not generate relevant costs for companies, and 31% consider</w:t>
      </w:r>
      <w:r>
        <w:t xml:space="preserve"> </w:t>
      </w:r>
      <w:r>
        <w:t xml:space="preserve">that such revisions would generate low costs. Consulted stakeholders from the</w:t>
      </w:r>
      <w:r>
        <w:t xml:space="preserve"> </w:t>
      </w:r>
      <w:r>
        <w:t xml:space="preserve">companies that sell detergents argue that the costs associated with policy</w:t>
      </w:r>
      <w:r>
        <w:t xml:space="preserve"> </w:t>
      </w:r>
      <w:r>
        <w:t xml:space="preserve">measure 2 would be one-off cost related to the disposal of the non-compliant</w:t>
      </w:r>
      <w:r>
        <w:t xml:space="preserve"> </w:t>
      </w:r>
      <w:r>
        <w:t xml:space="preserve">labels, however, companies would not face any recurring annual costs after this</w:t>
      </w:r>
      <w:r>
        <w:t xml:space="preserve"> </w:t>
      </w:r>
      <w:r>
        <w:t xml:space="preserve">has been done. These costs, although low in scale, would vary greatly depending</w:t>
      </w:r>
      <w:r>
        <w:t xml:space="preserve"> </w:t>
      </w:r>
      <w:r>
        <w:t xml:space="preserve">on the size of the production and the timeline designated for the implementation</w:t>
      </w:r>
      <w:r>
        <w:t xml:space="preserve"> </w:t>
      </w:r>
      <w:r>
        <w:t xml:space="preserve">of the regulatory changes.</w:t>
      </w:r>
      <w:r>
        <w:br/>
      </w:r>
      <w:r>
        <w:t xml:space="preserve">In terms of benefits, only 20% of industry respondents consider the revisions</w:t>
      </w:r>
      <w:r>
        <w:t xml:space="preserve"> </w:t>
      </w:r>
      <w:r>
        <w:t xml:space="preserve">under policy measure 2 to provide economic benefits to businesses arguing that</w:t>
      </w:r>
      <w:r>
        <w:t xml:space="preserve"> </w:t>
      </w:r>
      <w:r>
        <w:t xml:space="preserve">although the communication of the safe use of the product would increase under</w:t>
      </w:r>
      <w:r>
        <w:t xml:space="preserve"> </w:t>
      </w:r>
      <w:r>
        <w:t xml:space="preserve">the policy measure, all impacted product physical labels would still need to be</w:t>
      </w:r>
      <w:r>
        <w:t xml:space="preserve"> </w:t>
      </w:r>
      <w:r>
        <w:t xml:space="preserve">updated to comply with the new regulation, therefore, increasing costs even if</w:t>
      </w:r>
      <w:r>
        <w:t xml:space="preserve"> </w:t>
      </w:r>
      <w:r>
        <w:t xml:space="preserve">low. In the long term, however, industry stakeholders see the possibility of less</w:t>
      </w:r>
      <w:r>
        <w:t xml:space="preserve"> </w:t>
      </w:r>
      <w:r>
        <w:t xml:space="preserve">re-labelling in the future due to new fragrances falling under CLP Sub</w:t>
      </w:r>
      <w:r>
        <w:t xml:space="preserve"> </w:t>
      </w:r>
      <w:r>
        <w:t xml:space="preserve">measure 2b. This way, there is a potential for less re-labelling and recreation of</w:t>
      </w:r>
      <w:r>
        <w:t xml:space="preserve"> </w:t>
      </w:r>
      <w:r>
        <w:t xml:space="preserve">labels for skin sensitisers (i.e. sensitising) substances like preservatives and</w:t>
      </w:r>
      <w:r>
        <w:t xml:space="preserve"> </w:t>
      </w:r>
      <w:r>
        <w:t xml:space="preserve">fragrances as fewer of these substances would need to be labelled.</w:t>
      </w:r>
      <w:r>
        <w:t xml:space="preserve"> </w:t>
      </w:r>
      <w:r>
        <w:t xml:space="preserve">Neutral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trade and investment</w:t>
      </w:r>
      <w:r>
        <w:t xml:space="preserve"> </w:t>
      </w:r>
      <w:r>
        <w:t xml:space="preserve">flows (Tool #21, 27)</w:t>
      </w:r>
      <w:r>
        <w:t xml:space="preserve"> </w:t>
      </w:r>
      <w:r>
        <w:t xml:space="preserve">Large part of consulted stakeholders could not provide an opinion on the</w:t>
      </w:r>
      <w:r>
        <w:t xml:space="preserve"> </w:t>
      </w:r>
      <w:r>
        <w:t xml:space="preserve">expected impact of policy measure 2 on competitiveness. Amongst respondents,</w:t>
      </w:r>
      <w:r>
        <w:t xml:space="preserve"> </w:t>
      </w:r>
      <w:r>
        <w:t xml:space="preserve">according to 45% of consulted public authorities, policy measure 2 would not</w:t>
      </w:r>
      <w:r>
        <w:t xml:space="preserve"> </w:t>
      </w:r>
      <w:r>
        <w:t xml:space="preserve">have an effect on competitiveness of European companies. 26% of industry</w:t>
      </w:r>
      <w:r>
        <w:t xml:space="preserve"> </w:t>
      </w:r>
      <w:r>
        <w:t xml:space="preserve">representatives also consider that policy measure 2 would not have an impact on</w:t>
      </w:r>
      <w:r>
        <w:t xml:space="preserve"> </w:t>
      </w:r>
      <w:r>
        <w:t xml:space="preserve">competitiveness of enterprises, while 10% of respondents consider the</w:t>
      </w:r>
      <w:r>
        <w:t xml:space="preserve"> </w:t>
      </w:r>
      <w:r>
        <w:t xml:space="preserve">possibility that policy measure 2 would have a negative impact. In conclusion,</w:t>
      </w:r>
      <w:r>
        <w:t xml:space="preserve"> </w:t>
      </w:r>
      <w:r>
        <w:t xml:space="preserve">consulted stakeholders generally estimate that the impact of policy measure 2 on</w:t>
      </w:r>
      <w:r>
        <w:t xml:space="preserve"> </w:t>
      </w:r>
      <w:r>
        <w:t xml:space="preserve">competitiveness would be minimal and negligible.</w:t>
      </w:r>
      <w:r>
        <w:br/>
      </w:r>
      <w:r>
        <w:t xml:space="preserve">Neutral</w:t>
      </w:r>
      <w:r>
        <w:t xml:space="preserve"> </w:t>
      </w:r>
      <w:r>
        <w:t xml:space="preserve">SMEs (Tool #21)</w:t>
      </w:r>
      <w:r>
        <w:t xml:space="preserve"> </w:t>
      </w:r>
      <w:r>
        <w:t xml:space="preserve">According to consulted stakeholders, the majority (both public authorities and</w:t>
      </w:r>
      <w:r>
        <w:t xml:space="preserve"> </w:t>
      </w:r>
      <w:r>
        <w:t xml:space="preserve">industry representatives) consider that the provisions under policy measure 2</w:t>
      </w:r>
      <w:r>
        <w:t xml:space="preserve"> </w:t>
      </w:r>
      <w:r>
        <w:t xml:space="preserve">would not impact SMEs disproportionately in comparison to larger enterprises.</w:t>
      </w:r>
      <w:r>
        <w:t xml:space="preserve"> </w:t>
      </w:r>
      <w:r>
        <w:t xml:space="preserve">Neutral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(Tool #28)</w:t>
      </w:r>
      <w:r>
        <w:t xml:space="preserve"> </w:t>
      </w:r>
      <w:r>
        <w:t xml:space="preserve">Policy measure 2 is a regulatory alignment of the Detergents Regulation and it</w:t>
      </w:r>
      <w:r>
        <w:t xml:space="preserve"> </w:t>
      </w:r>
      <w:r>
        <w:t xml:space="preserve">does not include the use of digital labels. Therefore, there is no information on</w:t>
      </w:r>
      <w:r>
        <w:t xml:space="preserve"> </w:t>
      </w:r>
      <w:r>
        <w:t xml:space="preserve">the alignment with digitalisation trend.</w:t>
      </w:r>
      <w:r>
        <w:t xml:space="preserve"> </w:t>
      </w:r>
      <w:r>
        <w:t xml:space="preserve">Neutral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(Tool #58)</w:t>
      </w:r>
      <w:r>
        <w:t xml:space="preserve"> </w:t>
      </w:r>
      <w:r>
        <w:t xml:space="preserve">The majority of consulted stakeholders (82%) estimate that the provisions of</w:t>
      </w:r>
      <w:r>
        <w:t xml:space="preserve"> </w:t>
      </w:r>
      <w:r>
        <w:t xml:space="preserve">policy measure 2 would not generate costs – or very low costs – for public</w:t>
      </w:r>
      <w:r>
        <w:t xml:space="preserve"> </w:t>
      </w:r>
      <w:r>
        <w:t xml:space="preserve">authorities. On the other hand, nearly half (45%) of consulted public authorities</w:t>
      </w:r>
      <w:r>
        <w:t xml:space="preserve"> </w:t>
      </w:r>
      <w:r>
        <w:t xml:space="preserve">reported that policy measure 2 would generate a benefit thanks to the</w:t>
      </w:r>
      <w:r>
        <w:t xml:space="preserve"> </w:t>
      </w:r>
      <w:r>
        <w:t xml:space="preserve">simplification and streamlining of the regulatory framework. Representatives</w:t>
      </w:r>
      <w:r>
        <w:t xml:space="preserve"> </w:t>
      </w:r>
      <w:r>
        <w:t xml:space="preserve">from the public authorities argue that changes under policy measure 2 would not</w:t>
      </w:r>
      <w:r>
        <w:t xml:space="preserve"> </w:t>
      </w:r>
      <w:r>
        <w:t xml:space="preserve">require extra surveillance from them, yet, aligning the regulations and</w:t>
      </w:r>
      <w:r>
        <w:t xml:space="preserve"> </w:t>
      </w:r>
      <w:r>
        <w:t xml:space="preserve">inconsistencies could make it more simple for end users and consumers to read</w:t>
      </w:r>
      <w:r>
        <w:t xml:space="preserve"> </w:t>
      </w:r>
      <w:r>
        <w:t xml:space="preserve">and understand the label of certain products, which would in turn simplify the</w:t>
      </w:r>
      <w:r>
        <w:t xml:space="preserve"> </w:t>
      </w:r>
      <w:r>
        <w:t xml:space="preserve">guidance of national authorities.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405</w:t>
      </w:r>
      <w:r>
        <w:t xml:space="preserve"> </w:t>
      </w:r>
      <w:r>
        <w:t xml:space="preserve">Table 126: Social impact assessment Policy measure 2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  <w:r>
        <w:t xml:space="preserve"> </w:t>
      </w:r>
      <w:r>
        <w:t xml:space="preserve">(Tool</w:t>
      </w:r>
      <w:r>
        <w:t xml:space="preserve"> </w:t>
      </w:r>
      <w:r>
        <w:t xml:space="preserve">#33)</w:t>
      </w:r>
      <w:r>
        <w:t xml:space="preserve"> </w:t>
      </w:r>
      <w:r>
        <w:t xml:space="preserve">In terms of the impact of the proposed policy measure 2 on the awareness of</w:t>
      </w:r>
      <w:r>
        <w:t xml:space="preserve"> </w:t>
      </w:r>
      <w:r>
        <w:t xml:space="preserve">consumers, addressing inconsistencies, overlaps and duplications on the</w:t>
      </w:r>
      <w:r>
        <w:t xml:space="preserve"> </w:t>
      </w:r>
      <w:r>
        <w:t xml:space="preserve">physical label – according to both public authorities and industry representatives</w:t>
      </w:r>
      <w:r>
        <w:t xml:space="preserve"> </w:t>
      </w:r>
      <w:r>
        <w:t xml:space="preserve">– would have an overall positive impact on consumers.</w:t>
      </w:r>
      <w:r>
        <w:br/>
      </w:r>
      <w:r>
        <w:t xml:space="preserve">More specifically, label readability would be improved according to a large</w:t>
      </w:r>
      <w:r>
        <w:t xml:space="preserve"> </w:t>
      </w:r>
      <w:r>
        <w:t xml:space="preserve">majority of public authorities (90%, 11 out of 12) and of industry representatives</w:t>
      </w:r>
      <w:r>
        <w:t xml:space="preserve"> </w:t>
      </w:r>
      <w:r>
        <w:t xml:space="preserve">(85%, 22 out of 26).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Table 127: Environmental impact assessment Policy measure 2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(Tool</w:t>
      </w:r>
      <w:r>
        <w:t xml:space="preserve"> </w:t>
      </w:r>
      <w:r>
        <w:t xml:space="preserve">#36)</w:t>
      </w:r>
      <w:r>
        <w:t xml:space="preserve"> </w:t>
      </w:r>
      <w:r>
        <w:t xml:space="preserve">Based on the survey findings, the majority of public authorities (55%) answered</w:t>
      </w:r>
      <w:r>
        <w:t xml:space="preserve"> </w:t>
      </w:r>
      <w:r>
        <w:t xml:space="preserve">that addressing the inconsistencies overlaps and duplications on the physical</w:t>
      </w:r>
      <w:r>
        <w:t xml:space="preserve"> </w:t>
      </w:r>
      <w:r>
        <w:t xml:space="preserve">label would bring a positive impact to the awareness of consumers on the effects</w:t>
      </w:r>
      <w:r>
        <w:t xml:space="preserve"> </w:t>
      </w:r>
      <w:r>
        <w:t xml:space="preserve">of dispersion of harmful substances in the natural environment. However, a</w:t>
      </w:r>
      <w:r>
        <w:t xml:space="preserve"> </w:t>
      </w:r>
      <w:r>
        <w:t xml:space="preserve">majority of the industry representatives (over 80%) think that this Policy Option</w:t>
      </w:r>
      <w:r>
        <w:t xml:space="preserve"> </w:t>
      </w:r>
      <w:r>
        <w:t xml:space="preserve">would not bring any positive impact to the environment. Stakeholders from</w:t>
      </w:r>
      <w:r>
        <w:t xml:space="preserve"> </w:t>
      </w:r>
      <w:r>
        <w:t xml:space="preserve">industry claim that current overlaps between CLP and Detergents Regulation do</w:t>
      </w:r>
      <w:r>
        <w:t xml:space="preserve"> </w:t>
      </w:r>
      <w:r>
        <w:t xml:space="preserve">not specifically consider environmentally hazardous substances.</w:t>
      </w:r>
      <w:r>
        <w:br/>
      </w:r>
      <w:r>
        <w:t xml:space="preserve">Neutral</w:t>
      </w:r>
    </w:p>
    <w:p>
      <w:pPr>
        <w:pStyle w:val="BodyText"/>
      </w:pPr>
      <w:r>
        <w:t xml:space="preserve">Policy measure 3: Revision of the labelling rules in the regulations, introducing</w:t>
      </w:r>
      <w:r>
        <w:t xml:space="preserve"> </w:t>
      </w:r>
      <w:r>
        <w:t xml:space="preserve">optional digital labelling: keep basic information of labelling requirements on physical</w:t>
      </w:r>
      <w:r>
        <w:t xml:space="preserve"> </w:t>
      </w:r>
      <w:r>
        <w:t xml:space="preserve">labels, and move certain labelling requirements on the digital label only.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According to consulted stakeholders, the average assessment of Policy measure 3 for both</w:t>
      </w:r>
      <w:r>
        <w:t xml:space="preserve"> </w:t>
      </w:r>
      <w:r>
        <w:t xml:space="preserve">public authorities and business representatives is positive. Public authorities have, on</w:t>
      </w:r>
      <w:r>
        <w:t xml:space="preserve"> </w:t>
      </w:r>
      <w:r>
        <w:t xml:space="preserve">average, a more positive view with half of respondents reporting a very high score for Policy</w:t>
      </w:r>
      <w:r>
        <w:t xml:space="preserve"> </w:t>
      </w:r>
      <w:r>
        <w:t xml:space="preserve">measure 3. Industry representatives, on average, also reported an overall positive position</w:t>
      </w:r>
      <w:r>
        <w:t xml:space="preserve"> </w:t>
      </w:r>
      <w:r>
        <w:t xml:space="preserve">with more than 80% of participants in the survey assessing the policy option positively.</w:t>
      </w:r>
      <w:r>
        <w:t xml:space="preserve"> </w:t>
      </w:r>
      <w:r>
        <w:t xml:space="preserve">More specifically, policy measure 3 entails specific provisions affecting CLP (e.g. the</w:t>
      </w:r>
      <w:r>
        <w:t xml:space="preserve"> </w:t>
      </w:r>
      <w:r>
        <w:t xml:space="preserve">possibility to provide overlapping information between precautionary statements and hazard</w:t>
      </w:r>
      <w:r>
        <w:t xml:space="preserve"> </w:t>
      </w:r>
      <w:r>
        <w:t xml:space="preserve">statements and supplemental labelling information online), and the proposal of principles</w:t>
      </w:r>
      <w:r>
        <w:t xml:space="preserve"> </w:t>
      </w:r>
      <w:r>
        <w:t xml:space="preserve">of application of digital labels. During interviews, stakeholders from all categories agreed</w:t>
      </w:r>
      <w:r>
        <w:t xml:space="preserve"> </w:t>
      </w:r>
      <w:r>
        <w:t xml:space="preserve">that hazard information (encompassing notably the hazard statements) was one of the most</w:t>
      </w:r>
      <w:r>
        <w:t xml:space="preserve"> </w:t>
      </w:r>
      <w:r>
        <w:t xml:space="preserve">useful information to be conveyed to consumers. However, they also noted that in some</w:t>
      </w:r>
      <w:r>
        <w:t xml:space="preserve"> </w:t>
      </w:r>
      <w:r>
        <w:t xml:space="preserve">cases there could be an overlap or a redundancy of information given between the hazard</w:t>
      </w:r>
      <w:r>
        <w:t xml:space="preserve"> </w:t>
      </w:r>
      <w:r>
        <w:t xml:space="preserve">statements and the precautionary statements, and that this redundancy could be addressed</w:t>
      </w:r>
      <w:r>
        <w:t xml:space="preserve"> </w:t>
      </w:r>
      <w:r>
        <w:t xml:space="preserve">to simplify and optimise space on the label. This findings was confirmed by the feedback</w:t>
      </w:r>
      <w:r>
        <w:t xml:space="preserve"> </w:t>
      </w:r>
      <w:r>
        <w:t xml:space="preserve">collected in the survey where, according to public authorities, this intervention on the CLP</w:t>
      </w:r>
      <w:r>
        <w:t xml:space="preserve"> </w:t>
      </w:r>
      <w:r>
        <w:t xml:space="preserve">Regulation under Policy Measure 3, is considered positively by 73% of participants. A large</w:t>
      </w:r>
      <w:r>
        <w:t xml:space="preserve"> </w:t>
      </w:r>
      <w:r>
        <w:t xml:space="preserve">majority of industry representatives (82%) also confirmed this positive assessment.</w:t>
      </w:r>
      <w:r>
        <w:t xml:space="preserve"> </w:t>
      </w:r>
      <w:r>
        <w:t xml:space="preserve">However, the study did not identify any noteworthy overlap.</w:t>
      </w:r>
      <w:r>
        <w:t xml:space="preserve"> </w:t>
      </w:r>
      <w:r>
        <w:t xml:space="preserve">In the survey, consulted stakeholders were also asked to provide an assessment of the</w:t>
      </w:r>
      <w:r>
        <w:t xml:space="preserve"> </w:t>
      </w:r>
      <w:r>
        <w:t xml:space="preserve">proposed principles for the use of digital labels. The overall feedback is that all the proposed</w:t>
      </w:r>
    </w:p>
    <w:p>
      <w:pPr>
        <w:pStyle w:val="BodyText"/>
      </w:pPr>
      <w:r>
        <w:t xml:space="preserve">406</w:t>
      </w:r>
      <w:r>
        <w:t xml:space="preserve"> </w:t>
      </w:r>
      <w:r>
        <w:t xml:space="preserve">principles are highly relevant. As shown in the chart below, the principles with the highest</w:t>
      </w:r>
      <w:r>
        <w:t xml:space="preserve"> </w:t>
      </w:r>
      <w:r>
        <w:t xml:space="preserve">agreement are:</w:t>
      </w:r>
      <w:r>
        <w:t xml:space="preserve"> </w:t>
      </w:r>
      <w:r>
        <w:t xml:space="preserve">1. Accessibility of data in terms of ease of access (i.e. “two-click” maximum rule to</w:t>
      </w:r>
      <w:r>
        <w:t xml:space="preserve"> </w:t>
      </w:r>
      <w:r>
        <w:t xml:space="preserve">access the information) and accessibility for users with disabilities;</w:t>
      </w:r>
      <w:r>
        <w:t xml:space="preserve"> </w:t>
      </w:r>
      <w:r>
        <w:t xml:space="preserve">2. Technological neutrality of IT solutions (i.e. minimum technical requirements to be</w:t>
      </w:r>
      <w:r>
        <w:t xml:space="preserve"> </w:t>
      </w:r>
      <w:r>
        <w:t xml:space="preserve">complied with in order to ensure technological neutrality); and</w:t>
      </w:r>
      <w:r>
        <w:t xml:space="preserve"> </w:t>
      </w:r>
      <w:r>
        <w:t xml:space="preserve">3. Protection of personal data.</w:t>
      </w:r>
      <w:r>
        <w:t xml:space="preserve"> </w:t>
      </w:r>
      <w:r>
        <w:t xml:space="preserve">Figure 83: Feedback of consulted stakeholders on digital labelling principles322</w:t>
      </w:r>
    </w:p>
    <w:p>
      <w:pPr>
        <w:pStyle w:val="BodyText"/>
      </w:pPr>
      <w:r>
        <w:t xml:space="preserve">Source: Online survey on the policy options.</w:t>
      </w:r>
      <w:r>
        <w:t xml:space="preserve"> </w:t>
      </w:r>
      <w:r>
        <w:t xml:space="preserve">Stakeholders had mixed opinions regarding the obligation to provide all data in one place</w:t>
      </w:r>
      <w:r>
        <w:t xml:space="preserve"> </w:t>
      </w:r>
      <w:r>
        <w:t xml:space="preserve">and on the format to be used for the provision of digital data (i.e. font size) with around 20%</w:t>
      </w:r>
      <w:r>
        <w:t xml:space="preserve"> </w:t>
      </w:r>
      <w:r>
        <w:t xml:space="preserve">of industry respondents expressing a negative view on the mentioned principles. However,</w:t>
      </w:r>
      <w:r>
        <w:t xml:space="preserve"> </w:t>
      </w:r>
      <w:r>
        <w:t xml:space="preserve">overall also for this principle there was overall support.</w:t>
      </w:r>
      <w:r>
        <w:t xml:space="preserve"> </w:t>
      </w:r>
      <w:r>
        <w:t xml:space="preserve">Some industry representatives also expressed a negative view about a centralised EU</w:t>
      </w:r>
      <w:r>
        <w:t xml:space="preserve"> </w:t>
      </w:r>
      <w:r>
        <w:t xml:space="preserve">database for providing information digitally. Such a database would force companies to</w:t>
      </w:r>
      <w:r>
        <w:t xml:space="preserve"> </w:t>
      </w:r>
      <w:r>
        <w:t xml:space="preserve">adopt a digital solution, the structure of which would be managed externally. Since</w:t>
      </w:r>
      <w:r>
        <w:t xml:space="preserve"> </w:t>
      </w:r>
      <w:r>
        <w:t xml:space="preserve">companies work differently, it could take a long time to establish such a centralised</w:t>
      </w:r>
      <w:r>
        <w:t xml:space="preserve"> </w:t>
      </w:r>
      <w:r>
        <w:t xml:space="preserve">database.</w:t>
      </w:r>
    </w:p>
    <w:p>
      <w:pPr>
        <w:pStyle w:val="BodyText"/>
      </w:pPr>
      <w:r>
        <w:t xml:space="preserve">322 Protection of personal data of consumers accessing e-labels: PA = 9, industry = 35 ; Accessibility of the</w:t>
      </w:r>
      <w:r>
        <w:t xml:space="preserve"> </w:t>
      </w:r>
      <w:r>
        <w:t xml:space="preserve">data both in terms of ease of access and in terms of accessibility for users with disabilities: PA = 10, industry</w:t>
      </w:r>
      <w:r>
        <w:t xml:space="preserve"> </w:t>
      </w:r>
      <w:r>
        <w:t xml:space="preserve">= 34; Technological neutrality of IT solutions: PA = 8, industry = 35; The obligation to provide all data in</w:t>
      </w:r>
      <w:r>
        <w:t xml:space="preserve"> </w:t>
      </w:r>
      <w:r>
        <w:t xml:space="preserve">one place: PA = 12, industry = 33; A ban on mixing mandatory information with marketing information: PA</w:t>
      </w:r>
      <w:r>
        <w:t xml:space="preserve"> </w:t>
      </w:r>
      <w:r>
        <w:t xml:space="preserve">= 13, industry = 34; The format of the data provided digitally (i.e. font size): PA = 12, industry = 35;</w:t>
      </w:r>
      <w:r>
        <w:t xml:space="preserve"> </w:t>
      </w:r>
      <w:r>
        <w:t xml:space="preserve">Alternative ways of providing information: PA = 11, industry = 31.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PA</w:t>
      </w:r>
      <w:r>
        <w:t xml:space="preserve"> </w:t>
      </w:r>
      <w:r>
        <w:t xml:space="preserve">Industry</w:t>
      </w:r>
      <w:r>
        <w:t xml:space="preserve"> </w:t>
      </w:r>
      <w:r>
        <w:t xml:space="preserve">PA</w:t>
      </w:r>
      <w:r>
        <w:t xml:space="preserve"> </w:t>
      </w:r>
      <w:r>
        <w:t xml:space="preserve">Industry</w:t>
      </w:r>
      <w:r>
        <w:t xml:space="preserve"> </w:t>
      </w:r>
      <w:r>
        <w:t xml:space="preserve">PA</w:t>
      </w:r>
      <w:r>
        <w:t xml:space="preserve"> </w:t>
      </w:r>
      <w:r>
        <w:t xml:space="preserve">Industry</w:t>
      </w:r>
      <w:r>
        <w:t xml:space="preserve"> </w:t>
      </w:r>
      <w:r>
        <w:t xml:space="preserve">PA</w:t>
      </w:r>
      <w:r>
        <w:t xml:space="preserve"> </w:t>
      </w:r>
      <w:r>
        <w:t xml:space="preserve">Industry</w:t>
      </w:r>
      <w:r>
        <w:t xml:space="preserve"> </w:t>
      </w:r>
      <w:r>
        <w:t xml:space="preserve">PA</w:t>
      </w:r>
      <w:r>
        <w:t xml:space="preserve"> </w:t>
      </w:r>
      <w:r>
        <w:t xml:space="preserve">Industry</w:t>
      </w:r>
      <w:r>
        <w:t xml:space="preserve"> </w:t>
      </w:r>
      <w:r>
        <w:t xml:space="preserve">PA</w:t>
      </w:r>
      <w:r>
        <w:t xml:space="preserve"> </w:t>
      </w:r>
      <w:r>
        <w:t xml:space="preserve">Industry</w:t>
      </w:r>
      <w:r>
        <w:t xml:space="preserve"> </w:t>
      </w:r>
      <w:r>
        <w:t xml:space="preserve">PA</w:t>
      </w:r>
      <w:r>
        <w:t xml:space="preserve"> </w:t>
      </w:r>
      <w:r>
        <w:t xml:space="preserve">Industry</w:t>
      </w:r>
      <w:r>
        <w:t xml:space="preserve"> </w:t>
      </w:r>
      <w:r>
        <w:t xml:space="preserve">Protection of</w:t>
      </w:r>
      <w:r>
        <w:t xml:space="preserve"> </w:t>
      </w:r>
      <w:r>
        <w:t xml:space="preserve">personal data of</w:t>
      </w:r>
      <w:r>
        <w:t xml:space="preserve"> </w:t>
      </w:r>
      <w:r>
        <w:t xml:space="preserve">consumers accessing</w:t>
      </w:r>
      <w:r>
        <w:t xml:space="preserve"> </w:t>
      </w:r>
      <w:r>
        <w:t xml:space="preserve">e-labels</w:t>
      </w:r>
      <w:r>
        <w:t xml:space="preserve"> </w:t>
      </w:r>
      <w:r>
        <w:t xml:space="preserve">Accessibility of the</w:t>
      </w:r>
      <w:r>
        <w:t xml:space="preserve"> </w:t>
      </w:r>
      <w:r>
        <w:t xml:space="preserve">data both in terms of</w:t>
      </w:r>
      <w:r>
        <w:t xml:space="preserve"> </w:t>
      </w:r>
      <w:r>
        <w:t xml:space="preserve">ease of access and in</w:t>
      </w:r>
      <w:r>
        <w:t xml:space="preserve"> </w:t>
      </w:r>
      <w:r>
        <w:t xml:space="preserve">terms of accessibility</w:t>
      </w:r>
      <w:r>
        <w:t xml:space="preserve"> </w:t>
      </w:r>
      <w:r>
        <w:t xml:space="preserve">for users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Technological</w:t>
      </w:r>
      <w:r>
        <w:t xml:space="preserve"> </w:t>
      </w:r>
      <w:r>
        <w:t xml:space="preserve">neutrality of IT</w:t>
      </w:r>
      <w:r>
        <w:t xml:space="preserve"> </w:t>
      </w:r>
      <w:r>
        <w:t xml:space="preserve">solutions</w:t>
      </w:r>
      <w:r>
        <w:t xml:space="preserve"> </w:t>
      </w:r>
      <w:r>
        <w:t xml:space="preserve">The obligation to</w:t>
      </w:r>
      <w:r>
        <w:t xml:space="preserve"> </w:t>
      </w:r>
      <w:r>
        <w:t xml:space="preserve">provide all data in</w:t>
      </w:r>
      <w:r>
        <w:t xml:space="preserve"> </w:t>
      </w:r>
      <w:r>
        <w:t xml:space="preserve">one place</w:t>
      </w:r>
      <w:r>
        <w:t xml:space="preserve"> </w:t>
      </w:r>
      <w:r>
        <w:t xml:space="preserve">A ban on mixing</w:t>
      </w:r>
      <w:r>
        <w:t xml:space="preserve"> </w:t>
      </w:r>
      <w:r>
        <w:t xml:space="preserve">mandatory</w:t>
      </w:r>
      <w:r>
        <w:t xml:space="preserve"> </w:t>
      </w:r>
      <w:r>
        <w:t xml:space="preserve">information with</w:t>
      </w:r>
      <w:r>
        <w:t xml:space="preserve"> </w:t>
      </w:r>
      <w:r>
        <w:t xml:space="preserve">marketing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The format of the</w:t>
      </w:r>
      <w:r>
        <w:t xml:space="preserve"> </w:t>
      </w:r>
      <w:r>
        <w:t xml:space="preserve">data provided</w:t>
      </w:r>
      <w:r>
        <w:t xml:space="preserve"> </w:t>
      </w:r>
      <w:r>
        <w:t xml:space="preserve">digitally (i.e. font</w:t>
      </w:r>
      <w:r>
        <w:t xml:space="preserve"> </w:t>
      </w:r>
      <w:r>
        <w:t xml:space="preserve">size)</w:t>
      </w:r>
      <w:r>
        <w:t xml:space="preserve"> </w:t>
      </w:r>
      <w:r>
        <w:t xml:space="preserve">Alternative ways of</w:t>
      </w:r>
      <w:r>
        <w:t xml:space="preserve"> </w:t>
      </w:r>
      <w:r>
        <w:t xml:space="preserve">providing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Very low</w:t>
      </w:r>
      <w:r>
        <w:t xml:space="preserve"> </w:t>
      </w:r>
      <w:r>
        <w:t xml:space="preserve">Low</w:t>
      </w:r>
      <w:r>
        <w:t xml:space="preserve"> </w:t>
      </w:r>
      <w:r>
        <w:t xml:space="preserve">Neutral</w:t>
      </w:r>
      <w:r>
        <w:t xml:space="preserve"> </w:t>
      </w:r>
      <w:r>
        <w:t xml:space="preserve">High</w:t>
      </w:r>
      <w:r>
        <w:t xml:space="preserve"> </w:t>
      </w:r>
      <w:r>
        <w:t xml:space="preserve">Very high</w:t>
      </w:r>
    </w:p>
    <w:p>
      <w:pPr>
        <w:pStyle w:val="BodyText"/>
      </w:pPr>
      <w:r>
        <w:t xml:space="preserve">407</w:t>
      </w:r>
      <w:r>
        <w:t xml:space="preserve"> </w:t>
      </w:r>
      <w:r>
        <w:t xml:space="preserve">Furthermore, based on the findings from the Open Public Consultation, the majority of the</w:t>
      </w:r>
      <w:r>
        <w:t xml:space="preserve"> </w:t>
      </w:r>
      <w:r>
        <w:t xml:space="preserve">consulted stakeholders323 think that, in the context of detergents, fertilising products, and</w:t>
      </w:r>
      <w:r>
        <w:t xml:space="preserve"> </w:t>
      </w:r>
      <w:r>
        <w:t xml:space="preserve">other chemical products, removing some of the information from the on-pack label to the</w:t>
      </w:r>
      <w:r>
        <w:t xml:space="preserve"> </w:t>
      </w:r>
      <w:r>
        <w:t xml:space="preserve">digital labels would have a moderately positive or a very positive effect overall.</w:t>
      </w:r>
      <w:r>
        <w:br/>
      </w:r>
      <w:r>
        <w:t xml:space="preserve">Figure 84: In the context of the below chemical products, how would you evaluate it if some information was</w:t>
      </w:r>
      <w:r>
        <w:t xml:space="preserve"> </w:t>
      </w:r>
      <w:r>
        <w:t xml:space="preserve">removed from the on-pack label and could only be obtained via digital labels?</w:t>
      </w:r>
    </w:p>
    <w:p>
      <w:pPr>
        <w:pStyle w:val="BodyText"/>
      </w:pPr>
      <w:r>
        <w:t xml:space="preserve">Source: Open Public Consultation. Respondents: N = 153 for Fertilising Product, N= 165 for Detergents, and N = 180</w:t>
      </w:r>
      <w:r>
        <w:t xml:space="preserve"> </w:t>
      </w:r>
      <w:r>
        <w:t xml:space="preserve">for other chemicals.</w:t>
      </w:r>
      <w:r>
        <w:t xml:space="preserve"> </w:t>
      </w:r>
      <w:r>
        <w:t xml:space="preserve">However, citizens and consumer organisations had mixed views on moving the information</w:t>
      </w:r>
      <w:r>
        <w:t xml:space="preserve"> </w:t>
      </w:r>
      <w:r>
        <w:t xml:space="preserve">from physical to digital labels as around half of the stakeholders representing consumers</w:t>
      </w:r>
      <w:r>
        <w:t xml:space="preserve"> </w:t>
      </w:r>
      <w:r>
        <w:t xml:space="preserve">supported the process of moving the information, while the other half opposed this action.324</w:t>
      </w:r>
      <w:r>
        <w:t xml:space="preserve"> </w:t>
      </w:r>
      <w:r>
        <w:t xml:space="preserve">In terms of the benefits associated with digital labelling, the majority of the respondents</w:t>
      </w:r>
      <w:r>
        <w:t xml:space="preserve"> </w:t>
      </w:r>
      <w:r>
        <w:t xml:space="preserve">rated all the listed benefits325 as moderately beneficial or extremely beneficial with “Better</w:t>
      </w:r>
      <w:r>
        <w:t xml:space="preserve"> </w:t>
      </w:r>
      <w:r>
        <w:t xml:space="preserve">management of fast changing label information” considered most beneficial326, and “cost</w:t>
      </w:r>
      <w:r>
        <w:t xml:space="preserve"> </w:t>
      </w:r>
      <w:r>
        <w:t xml:space="preserve">savings” as least beneficial”.327</w:t>
      </w:r>
    </w:p>
    <w:p>
      <w:pPr>
        <w:pStyle w:val="BodyText"/>
      </w:pPr>
      <w:r>
        <w:t xml:space="preserve">323 125 out of 180 respondents who have answered to a part on the other chemical products such as glues, lamp</w:t>
      </w:r>
      <w:r>
        <w:t xml:space="preserve"> </w:t>
      </w:r>
      <w:r>
        <w:t xml:space="preserve">oils, paints, solvents, etc., 112 out of 165 respondents who have answered to a part on the detergents, and 103</w:t>
      </w:r>
      <w:r>
        <w:t xml:space="preserve"> </w:t>
      </w:r>
      <w:r>
        <w:t xml:space="preserve">out of 153 respondents who have answered to a part on the fertilising products.</w:t>
      </w:r>
      <w:r>
        <w:t xml:space="preserve"> </w:t>
      </w:r>
      <w:r>
        <w:t xml:space="preserve">324 For ‘other chemicals’, 25 out of 52 respondents expressed a very negatively or a moderately negatively</w:t>
      </w:r>
      <w:r>
        <w:t xml:space="preserve"> </w:t>
      </w:r>
      <w:r>
        <w:t xml:space="preserve">impact, and 24 out of 52 expressed a moderately positively or very positively impact. For detergents, 21 out</w:t>
      </w:r>
      <w:r>
        <w:t xml:space="preserve"> </w:t>
      </w:r>
      <w:r>
        <w:t xml:space="preserve">of 49 respondents expressed a very negatively or a moderately negatively impact, and 22 out of 48 expressed</w:t>
      </w:r>
      <w:r>
        <w:t xml:space="preserve"> </w:t>
      </w:r>
      <w:r>
        <w:t xml:space="preserve">a moderately positively or very positively impact. For fertilising products, 23 out of 47 respondents expressed</w:t>
      </w:r>
      <w:r>
        <w:t xml:space="preserve"> </w:t>
      </w:r>
      <w:r>
        <w:t xml:space="preserve">a very negatively or a moderately negatively impact, and 18 out of 47 expressed a moderately positively or</w:t>
      </w:r>
      <w:r>
        <w:t xml:space="preserve"> </w:t>
      </w:r>
      <w:r>
        <w:t xml:space="preserve">very positively impact.</w:t>
      </w:r>
      <w:r>
        <w:t xml:space="preserve"> </w:t>
      </w:r>
      <w:r>
        <w:t xml:space="preserve">325 The listed benefits included: “Better management of fast changing label information”, increased ease of</w:t>
      </w:r>
      <w:r>
        <w:t xml:space="preserve"> </w:t>
      </w:r>
      <w:r>
        <w:t xml:space="preserve">complying with labelling requirements”, better targeted communication” and “cost savings”.</w:t>
      </w:r>
      <w:r>
        <w:br/>
      </w:r>
      <w:r>
        <w:t xml:space="preserve">326 111 out of 124 respondents (90%) have selected options “Extremely beneficial” or “Moderately beneficial”.</w:t>
      </w:r>
      <w:r>
        <w:t xml:space="preserve"> </w:t>
      </w:r>
      <w:r>
        <w:t xml:space="preserve">327 65 out of 117 respondents (56%) have selected options “Extremely beneficial” or “Moderately beneficial”.</w:t>
      </w:r>
      <w:r>
        <w:t xml:space="preserve"> </w:t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21%</w:t>
      </w:r>
      <w:r>
        <w:t xml:space="preserve"> </w:t>
      </w:r>
      <w:r>
        <w:t xml:space="preserve">26%</w:t>
      </w:r>
      <w:r>
        <w:t xml:space="preserve"> </w:t>
      </w:r>
      <w:r>
        <w:t xml:space="preserve">27%</w:t>
      </w:r>
      <w:r>
        <w:t xml:space="preserve"> </w:t>
      </w:r>
      <w:r>
        <w:t xml:space="preserve">46%</w:t>
      </w:r>
      <w:r>
        <w:t xml:space="preserve"> </w:t>
      </w:r>
      <w:r>
        <w:t xml:space="preserve">42%</w:t>
      </w:r>
      <w:r>
        <w:t xml:space="preserve"> </w:t>
      </w:r>
      <w:r>
        <w:t xml:space="preserve">43%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Fertilising Products</w:t>
      </w:r>
      <w:r>
        <w:t xml:space="preserve"> </w:t>
      </w:r>
      <w:r>
        <w:t xml:space="preserve">Detergents</w:t>
      </w:r>
      <w:r>
        <w:t xml:space="preserve"> </w:t>
      </w:r>
      <w:r>
        <w:t xml:space="preserve">Other chemical products such as glues, lamp</w:t>
      </w:r>
      <w:r>
        <w:t xml:space="preserve"> </w:t>
      </w:r>
      <w:r>
        <w:t xml:space="preserve">oils, paints, solvents, etc.</w:t>
      </w:r>
      <w:r>
        <w:t xml:space="preserve"> </w:t>
      </w:r>
      <w:r>
        <w:t xml:space="preserve">Very negatively</w:t>
      </w:r>
      <w:r>
        <w:t xml:space="preserve"> </w:t>
      </w:r>
      <w:r>
        <w:t xml:space="preserve">Moderately negatively</w:t>
      </w:r>
      <w:r>
        <w:t xml:space="preserve"> </w:t>
      </w:r>
      <w:r>
        <w:t xml:space="preserve">Neither positively nor negatively</w:t>
      </w:r>
      <w:r>
        <w:t xml:space="preserve"> </w:t>
      </w:r>
      <w:r>
        <w:t xml:space="preserve">Moderately positively</w:t>
      </w:r>
      <w:r>
        <w:t xml:space="preserve"> </w:t>
      </w:r>
      <w:r>
        <w:t xml:space="preserve">Very positively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408</w:t>
      </w:r>
      <w:r>
        <w:t xml:space="preserve"> </w:t>
      </w:r>
      <w:r>
        <w:t xml:space="preserve">Concerning challenges, around half of respondents assessed “Increased costs associated</w:t>
      </w:r>
      <w:r>
        <w:t xml:space="preserve"> </w:t>
      </w:r>
      <w:r>
        <w:t xml:space="preserve">with training”328 and “Increased costs associated with changes to design /packaging”329 as</w:t>
      </w:r>
      <w:r>
        <w:t xml:space="preserve"> </w:t>
      </w:r>
      <w:r>
        <w:t xml:space="preserve">little challenging or not challenging at all, while around half of the respondents rated the</w:t>
      </w:r>
      <w:r>
        <w:t xml:space="preserve"> </w:t>
      </w:r>
      <w:r>
        <w:t xml:space="preserve">“Implementing IT solutions”330 as moderately or extremely challenging. Overall, only a</w:t>
      </w:r>
      <w:r>
        <w:t xml:space="preserve"> </w:t>
      </w:r>
      <w:r>
        <w:t xml:space="preserve">minority of respondents considered the introduction of digital labelling as extremely</w:t>
      </w:r>
      <w:r>
        <w:t xml:space="preserve"> </w:t>
      </w:r>
      <w:r>
        <w:t xml:space="preserve">challenging.</w:t>
      </w:r>
      <w:r>
        <w:t xml:space="preserve"> </w:t>
      </w:r>
      <w:r>
        <w:t xml:space="preserve">Table 128: Economic impact assessment Policy measure 3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(Tools #21-25)</w:t>
      </w:r>
      <w:r>
        <w:t xml:space="preserve"> </w:t>
      </w:r>
      <w:r>
        <w:t xml:space="preserve">Regarding the possible impacts of policy measure 3 measures on professional</w:t>
      </w:r>
      <w:r>
        <w:t xml:space="preserve"> </w:t>
      </w:r>
      <w:r>
        <w:t xml:space="preserve">users, the opinion of consulted stakeholders changes marginally in comparison</w:t>
      </w:r>
      <w:r>
        <w:t xml:space="preserve"> </w:t>
      </w:r>
      <w:r>
        <w:t xml:space="preserve">to the assessment for consumers.</w:t>
      </w:r>
      <w:r>
        <w:br/>
      </w:r>
      <w:r>
        <w:t xml:space="preserve">More specifically, the survey finds that around 60% of PA respondents consider</w:t>
      </w:r>
      <w:r>
        <w:t xml:space="preserve"> </w:t>
      </w:r>
      <w:r>
        <w:t xml:space="preserve">the possibility to provide on digital labels only overlapping information on p-</w:t>
      </w:r>
      <w:r>
        <w:t xml:space="preserve"> </w:t>
      </w:r>
      <w:r>
        <w:t xml:space="preserve">statements (Art. 22 CLP) with H-statements (Art.21 CLP) as positive for</w:t>
      </w:r>
      <w:r>
        <w:t xml:space="preserve"> </w:t>
      </w:r>
      <w:r>
        <w:t xml:space="preserve">professional user safety (30% estimate a negative impact). A large share of</w:t>
      </w:r>
      <w:r>
        <w:t xml:space="preserve"> </w:t>
      </w:r>
      <w:r>
        <w:t xml:space="preserve">industry representatives reported a neutral position on this measure (39% of</w:t>
      </w:r>
      <w:r>
        <w:t xml:space="preserve"> </w:t>
      </w:r>
      <w:r>
        <w:t xml:space="preserve">industry respondents) and 57% indicated a positive impact on safe use of</w:t>
      </w:r>
      <w:r>
        <w:t xml:space="preserve"> </w:t>
      </w:r>
      <w:r>
        <w:t xml:space="preserve">professional users. In addition, 71% of professional users view the possibility of</w:t>
      </w:r>
      <w:r>
        <w:t xml:space="preserve"> </w:t>
      </w:r>
      <w:r>
        <w:t xml:space="preserve">using online electronic labels for chemical products positively.</w:t>
      </w:r>
      <w:r>
        <w:br/>
      </w:r>
      <w:r>
        <w:t xml:space="preserve">Overall, stakeholders expect a generally positive impact of PO3 CLP</w:t>
      </w:r>
      <w:r>
        <w:t xml:space="preserve"> </w:t>
      </w:r>
      <w:r>
        <w:t xml:space="preserve">measures.</w:t>
      </w:r>
      <w:r>
        <w:t xml:space="preserve"> </w:t>
      </w:r>
      <w:r>
        <w:t xml:space="preserve">In terms of costs, industry stakeholders generally (66%) believe costs for</w:t>
      </w:r>
      <w:r>
        <w:t xml:space="preserve"> </w:t>
      </w:r>
      <w:r>
        <w:t xml:space="preserve">individual manufacturers to comply with policy measure 3 would be slightly</w:t>
      </w:r>
      <w:r>
        <w:t xml:space="preserve"> </w:t>
      </w:r>
      <w:r>
        <w:t xml:space="preserve">higher than the benefits (59%) and this holds true for both the revisions in CLP</w:t>
      </w:r>
      <w:r>
        <w:t xml:space="preserve"> </w:t>
      </w:r>
      <w:r>
        <w:t xml:space="preserve">and Detergents Regulations.</w:t>
      </w:r>
      <w:r>
        <w:br/>
      </w:r>
      <w:r>
        <w:t xml:space="preserve">Although it is difficult to estimate the costs of introducing a digital label and</w:t>
      </w:r>
      <w:r>
        <w:t xml:space="preserve"> </w:t>
      </w:r>
      <w:r>
        <w:t xml:space="preserve">moving some of the information online, stakeholders from the industry</w:t>
      </w:r>
      <w:r>
        <w:t xml:space="preserve"> </w:t>
      </w:r>
      <w:r>
        <w:t xml:space="preserve">explained that it would take around three to four FTEs who would need 10 to</w:t>
      </w:r>
      <w:r>
        <w:t xml:space="preserve"> </w:t>
      </w:r>
      <w:r>
        <w:t xml:space="preserve">20 working days to conduct familiarisation activities (e.g. training,</w:t>
      </w:r>
      <w:r>
        <w:t xml:space="preserve"> </w:t>
      </w:r>
      <w:r>
        <w:t xml:space="preserve">consulting) at the company level. It is important to highlight though that under</w:t>
      </w:r>
      <w:r>
        <w:t xml:space="preserve"> </w:t>
      </w:r>
      <w:r>
        <w:t xml:space="preserve">policy measure 3, businesses would have to decide themselves if they want to</w:t>
      </w:r>
      <w:r>
        <w:t xml:space="preserve"> </w:t>
      </w:r>
      <w:r>
        <w:t xml:space="preserve">turn to digital labelling as it would be done on a voluntary basis.</w:t>
      </w:r>
      <w:r>
        <w:br/>
      </w:r>
      <w:r>
        <w:t xml:space="preserve">In regards to other costs that are related to the compliance with the regulatory</w:t>
      </w:r>
      <w:r>
        <w:t xml:space="preserve"> </w:t>
      </w:r>
      <w:r>
        <w:t xml:space="preserve">changes (implementation of IT solutions, maintaining website for the e-labels,</w:t>
      </w:r>
      <w:r>
        <w:t xml:space="preserve"> </w:t>
      </w:r>
      <w:r>
        <w:t xml:space="preserve">managing different data formats, costs associated with changes to</w:t>
      </w:r>
      <w:r>
        <w:t xml:space="preserve"> </w:t>
      </w:r>
      <w:r>
        <w:t xml:space="preserve">design/packaging, etc.), currently, manufacturers are already providing a digital</w:t>
      </w:r>
      <w:r>
        <w:t xml:space="preserve"> </w:t>
      </w:r>
      <w:r>
        <w:t xml:space="preserve">version of their products information, either on the digital versions of the SDS</w:t>
      </w:r>
      <w:r>
        <w:t xml:space="preserve"> </w:t>
      </w:r>
      <w:r>
        <w:t xml:space="preserve">or for the information obligations towards the poison centres. In addition, market</w:t>
      </w:r>
      <w:r>
        <w:t xml:space="preserve"> </w:t>
      </w:r>
      <w:r>
        <w:t xml:space="preserve">data show that a large majority of businesses already have an online website</w:t>
      </w:r>
      <w:r>
        <w:t xml:space="preserve"> </w:t>
      </w:r>
      <w:r>
        <w:t xml:space="preserve">which could host such information. In addition, once set up and automated</w:t>
      </w:r>
      <w:r>
        <w:t xml:space="preserve"> </w:t>
      </w:r>
      <w:r>
        <w:t xml:space="preserve">maintenance costs would be expected to be minimal. Thus, even if the potential</w:t>
      </w:r>
      <w:r>
        <w:t xml:space="preserve"> </w:t>
      </w:r>
      <w:r>
        <w:t xml:space="preserve">operational costs and benefits under policy measure 3 could not be monetised,</w:t>
      </w:r>
      <w:r>
        <w:t xml:space="preserve"> </w:t>
      </w:r>
      <w:r>
        <w:t xml:space="preserve">the overall assessment suggests that the costs would be negligible or low.</w:t>
      </w:r>
      <w:r>
        <w:br/>
      </w:r>
      <w:r>
        <w:t xml:space="preserve">In addition, market practices suggest that, in most cases, enterprises out-source</w:t>
      </w:r>
      <w:r>
        <w:t xml:space="preserve"> </w:t>
      </w:r>
      <w:r>
        <w:t xml:space="preserve">and use third-party software for the management of information on labels.</w:t>
      </w:r>
      <w:r>
        <w:t xml:space="preserve"> </w:t>
      </w:r>
      <w:r>
        <w:t xml:space="preserve">Therefore, third-party software would be likely to financially benefit from this</w:t>
      </w:r>
      <w:r>
        <w:t xml:space="preserve"> </w:t>
      </w:r>
      <w:r>
        <w:t xml:space="preserve">policy measure.</w:t>
      </w:r>
      <w:r>
        <w:t xml:space="preserve"> </w:t>
      </w:r>
      <w:r>
        <w:t xml:space="preserve">In terms of the benefits of the revisions under policy measure 3, industry</w:t>
      </w:r>
      <w:r>
        <w:t xml:space="preserve"> </w:t>
      </w:r>
      <w:r>
        <w:t xml:space="preserve">stakeholders consider the possibility to reduce the frequency of changes in</w:t>
      </w:r>
      <w:r>
        <w:t xml:space="preserve"> </w:t>
      </w:r>
      <w:r>
        <w:t xml:space="preserve">physical labels, and better management of fast changing label information. These</w:t>
      </w:r>
      <w:r>
        <w:t xml:space="preserve"> </w:t>
      </w:r>
      <w:r>
        <w:t xml:space="preserve">potential benefits, however, could not be estimated quantitatively due to the wide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328 61 out of 122 total responses (50%).</w:t>
      </w:r>
      <w:r>
        <w:t xml:space="preserve"> </w:t>
      </w:r>
      <w:r>
        <w:t xml:space="preserve">329 66 out of 128 total responses (52%).</w:t>
      </w:r>
      <w:r>
        <w:t xml:space="preserve"> </w:t>
      </w:r>
      <w:r>
        <w:t xml:space="preserve">330 63 out of 127 total responses (49.5%).</w:t>
      </w:r>
    </w:p>
    <w:p>
      <w:pPr>
        <w:pStyle w:val="BodyText"/>
      </w:pPr>
      <w:r>
        <w:t xml:space="preserve">409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range of variables affecting labels (e.g. size of the label, number of ingredients,</w:t>
      </w:r>
      <w:r>
        <w:t xml:space="preserve"> </w:t>
      </w:r>
      <w:r>
        <w:t xml:space="preserve">type of chemical product, etc.).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trade and investment</w:t>
      </w:r>
      <w:r>
        <w:t xml:space="preserve"> </w:t>
      </w:r>
      <w:r>
        <w:t xml:space="preserve">flows (Tool #21, 27)</w:t>
      </w:r>
      <w:r>
        <w:t xml:space="preserve"> </w:t>
      </w:r>
      <w:r>
        <w:t xml:space="preserve">A large share of stakeholders could not provide an opinion on the expected</w:t>
      </w:r>
      <w:r>
        <w:t xml:space="preserve"> </w:t>
      </w:r>
      <w:r>
        <w:t xml:space="preserve">impact of policy measure 3 on competitiveness (72% of public authorities, 71%</w:t>
      </w:r>
      <w:r>
        <w:t xml:space="preserve"> </w:t>
      </w:r>
      <w:r>
        <w:t xml:space="preserve">of industry representative).</w:t>
      </w:r>
      <w:r>
        <w:br/>
      </w:r>
      <w:r>
        <w:t xml:space="preserve">Amongst respondents, according to 27% of consulted public authorities, policy</w:t>
      </w:r>
      <w:r>
        <w:t xml:space="preserve"> </w:t>
      </w:r>
      <w:r>
        <w:t xml:space="preserve">measure 3 would have a positive effect on competitiveness of European</w:t>
      </w:r>
      <w:r>
        <w:t xml:space="preserve"> </w:t>
      </w:r>
      <w:r>
        <w:t xml:space="preserve">companies. 17% of industry representatives believed policy measure 3 would</w:t>
      </w:r>
      <w:r>
        <w:t xml:space="preserve"> </w:t>
      </w:r>
      <w:r>
        <w:t xml:space="preserve">have a positive effect on competitiveness of EU enterprises while 12% of</w:t>
      </w:r>
      <w:r>
        <w:t xml:space="preserve"> </w:t>
      </w:r>
      <w:r>
        <w:t xml:space="preserve">respondents believe that these measures would have a negative impact.</w:t>
      </w:r>
      <w:r>
        <w:t xml:space="preserve"> </w:t>
      </w:r>
      <w:r>
        <w:t xml:space="preserve">Neutral</w:t>
      </w:r>
      <w:r>
        <w:t xml:space="preserve"> </w:t>
      </w:r>
      <w:r>
        <w:t xml:space="preserve">SMEs (Tool #21)</w:t>
      </w:r>
      <w:r>
        <w:t xml:space="preserve"> </w:t>
      </w:r>
      <w:r>
        <w:t xml:space="preserve">Regarding the impact of policy measure 3 on SMEs, a large share of respondents</w:t>
      </w:r>
      <w:r>
        <w:t xml:space="preserve"> </w:t>
      </w:r>
      <w:r>
        <w:t xml:space="preserve">could not provide an answer. According to most industry representatives (65%),</w:t>
      </w:r>
      <w:r>
        <w:t xml:space="preserve"> </w:t>
      </w:r>
      <w:r>
        <w:t xml:space="preserve">the introduction of digital labels would not have a disproportionate impact on</w:t>
      </w:r>
      <w:r>
        <w:t xml:space="preserve"> </w:t>
      </w:r>
      <w:r>
        <w:t xml:space="preserve">SMEs in comparison to large enterprises. However , amongst public authorities,</w:t>
      </w:r>
      <w:r>
        <w:t xml:space="preserve"> </w:t>
      </w:r>
      <w:r>
        <w:t xml:space="preserve">the number of those expecting higher costs for SMEs is higher than those that</w:t>
      </w:r>
      <w:r>
        <w:t xml:space="preserve"> </w:t>
      </w:r>
      <w:r>
        <w:t xml:space="preserve">would expect no difference.</w:t>
      </w:r>
      <w:r>
        <w:t xml:space="preserve"> </w:t>
      </w:r>
      <w:r>
        <w:t xml:space="preserve">Neutral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(Tool #28)</w:t>
      </w:r>
      <w:r>
        <w:t xml:space="preserve"> </w:t>
      </w:r>
      <w:r>
        <w:t xml:space="preserve">In general, the opinion of consulted stakeholder about the coherence of policy</w:t>
      </w:r>
      <w:r>
        <w:t xml:space="preserve"> </w:t>
      </w:r>
      <w:r>
        <w:t xml:space="preserve">measure 3 with market digitalisation trends is particularly high for both PA</w:t>
      </w:r>
      <w:r>
        <w:t xml:space="preserve"> </w:t>
      </w:r>
      <w:r>
        <w:t xml:space="preserve">respondents (6,5/10 score) and industry representatives (7/10 score).</w:t>
      </w:r>
      <w:r>
        <w:t xml:space="preserve"> </w:t>
      </w:r>
      <w:r>
        <w:t xml:space="preserve">Industry respondents were also asked if, under policy measure 3, they would see</w:t>
      </w:r>
      <w:r>
        <w:t xml:space="preserve"> </w:t>
      </w:r>
      <w:r>
        <w:t xml:space="preserve">an incentive for businesses to use digital labels. There was a positive response</w:t>
      </w:r>
      <w:r>
        <w:t xml:space="preserve"> </w:t>
      </w:r>
      <w:r>
        <w:t xml:space="preserve">from 75% of respondents.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(Tool #58)</w:t>
      </w:r>
      <w:r>
        <w:t xml:space="preserve"> </w:t>
      </w:r>
      <w:r>
        <w:t xml:space="preserve">According to the majority of consulted stakeholders (75%), the provisions of</w:t>
      </w:r>
      <w:r>
        <w:t xml:space="preserve"> </w:t>
      </w:r>
      <w:r>
        <w:t xml:space="preserve">policy measure 3 would not generate costs – or very low costs – for public</w:t>
      </w:r>
      <w:r>
        <w:t xml:space="preserve"> </w:t>
      </w:r>
      <w:r>
        <w:t xml:space="preserve">authorities. Nonetheless, only around one-third (30%) of consulted public</w:t>
      </w:r>
      <w:r>
        <w:t xml:space="preserve"> </w:t>
      </w:r>
      <w:r>
        <w:t xml:space="preserve">authorities reported that policy measure 3 would generate a benefit for</w:t>
      </w:r>
      <w:r>
        <w:t xml:space="preserve"> </w:t>
      </w:r>
      <w:r>
        <w:t xml:space="preserve">monitoring activities of Market Surveillance Authorities. Hence, impact to</w:t>
      </w:r>
      <w:r>
        <w:t xml:space="preserve"> </w:t>
      </w:r>
      <w:r>
        <w:t xml:space="preserve">public authorities is negligible.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410</w:t>
      </w:r>
      <w:r>
        <w:t xml:space="preserve"> </w:t>
      </w:r>
      <w:r>
        <w:t xml:space="preserve">Table 129: Social impact assessment Policy measure 3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  <w:r>
        <w:t xml:space="preserve"> </w:t>
      </w:r>
      <w:r>
        <w:t xml:space="preserve">(Tool</w:t>
      </w:r>
      <w:r>
        <w:t xml:space="preserve"> </w:t>
      </w:r>
      <w:r>
        <w:t xml:space="preserve">#33)</w:t>
      </w:r>
      <w:r>
        <w:t xml:space="preserve"> </w:t>
      </w:r>
      <w:r>
        <w:t xml:space="preserve">Concerning the provision of supplemental labelling information on digital labels,</w:t>
      </w:r>
      <w:r>
        <w:t xml:space="preserve"> </w:t>
      </w:r>
      <w:r>
        <w:t xml:space="preserve">the opinion of a large majority of stakeholders is positive: 78% of PA and 83%</w:t>
      </w:r>
      <w:r>
        <w:t xml:space="preserve"> </w:t>
      </w:r>
      <w:r>
        <w:t xml:space="preserve">of industry representatives.</w:t>
      </w:r>
      <w:r>
        <w:t xml:space="preserve"> </w:t>
      </w:r>
      <w:r>
        <w:t xml:space="preserve">The use of digital labels could have a negative impact on the well-being of</w:t>
      </w:r>
      <w:r>
        <w:t xml:space="preserve"> </w:t>
      </w:r>
      <w:r>
        <w:t xml:space="preserve">groups of population without access to these digital tools (e.g. smartphone,</w:t>
      </w:r>
      <w:r>
        <w:t xml:space="preserve"> </w:t>
      </w:r>
      <w:r>
        <w:t xml:space="preserve">internet access or other technical difficulties). According to consulted</w:t>
      </w:r>
      <w:r>
        <w:t xml:space="preserve"> </w:t>
      </w:r>
      <w:r>
        <w:t xml:space="preserve">stakeholders, the majority (54%) of consulted public administrations and</w:t>
      </w:r>
      <w:r>
        <w:t xml:space="preserve"> </w:t>
      </w:r>
      <w:r>
        <w:t xml:space="preserve">industry representatives considered this an important drawback to be taken into</w:t>
      </w:r>
      <w:r>
        <w:t xml:space="preserve"> </w:t>
      </w:r>
      <w:r>
        <w:t xml:space="preserve">account. However, for those population groups the physical label with all critical</w:t>
      </w:r>
      <w:r>
        <w:t xml:space="preserve"> </w:t>
      </w:r>
      <w:r>
        <w:t xml:space="preserve">information on it would remain available as today.</w:t>
      </w:r>
      <w:r>
        <w:t xml:space="preserve"> </w:t>
      </w:r>
      <w:r>
        <w:t xml:space="preserve">The use of digital labels for the provision of product information is considered,</w:t>
      </w:r>
      <w:r>
        <w:t xml:space="preserve"> </w:t>
      </w:r>
      <w:r>
        <w:t xml:space="preserve">by a majority of the consulted stakeholders, a solution that could improve the</w:t>
      </w:r>
      <w:r>
        <w:t xml:space="preserve"> </w:t>
      </w:r>
      <w:r>
        <w:t xml:space="preserve">well-being of consumers with visual impairments. According to 70% of PA</w:t>
      </w:r>
      <w:r>
        <w:t xml:space="preserve"> </w:t>
      </w:r>
      <w:r>
        <w:t xml:space="preserve">respondents and 64% of industry representatives, the impact on this group of</w:t>
      </w:r>
      <w:r>
        <w:t xml:space="preserve"> </w:t>
      </w:r>
      <w:r>
        <w:t xml:space="preserve">consumers could be positive.</w:t>
      </w:r>
      <w:r>
        <w:t xml:space="preserve"> </w:t>
      </w:r>
      <w:r>
        <w:t xml:space="preserve">According to stakeholders, the effect of electronic labels could be positive also</w:t>
      </w:r>
      <w:r>
        <w:t xml:space="preserve"> </w:t>
      </w:r>
      <w:r>
        <w:t xml:space="preserve">for people affected by colour-blindness (40% of PA respondents and 57% of</w:t>
      </w:r>
      <w:r>
        <w:t xml:space="preserve"> </w:t>
      </w:r>
      <w:r>
        <w:t xml:space="preserve">industry representatives). More neutral is the position of the majority of</w:t>
      </w:r>
      <w:r>
        <w:t xml:space="preserve"> </w:t>
      </w:r>
      <w:r>
        <w:t xml:space="preserve">respondents regarding the potential impact of policy measure 3 and the use of</w:t>
      </w:r>
      <w:r>
        <w:t xml:space="preserve"> </w:t>
      </w:r>
      <w:r>
        <w:t xml:space="preserve">digital labels on the well-being of consumers with other types of impairments</w:t>
      </w:r>
      <w:r>
        <w:t xml:space="preserve"> </w:t>
      </w:r>
      <w:r>
        <w:t xml:space="preserve">(cognitive/learning and physical/mobility disabilities or others).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Table 130: Environmental impact assessment Policy measure 3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(Tool</w:t>
      </w:r>
      <w:r>
        <w:t xml:space="preserve"> </w:t>
      </w:r>
      <w:r>
        <w:t xml:space="preserve">#36)</w:t>
      </w:r>
      <w:r>
        <w:t xml:space="preserve"> </w:t>
      </w:r>
      <w:r>
        <w:t xml:space="preserve">Regarding the potential effects of policy measure 3 on consumer awareness</w:t>
      </w:r>
      <w:r>
        <w:t xml:space="preserve"> </w:t>
      </w:r>
      <w:r>
        <w:t xml:space="preserve">about the impact of dispersion of harmful substances in the natural environment,</w:t>
      </w:r>
      <w:r>
        <w:t xml:space="preserve"> </w:t>
      </w:r>
      <w:r>
        <w:t xml:space="preserve">half (50%) of PA respondents would expect a partially positive impact, while</w:t>
      </w:r>
      <w:r>
        <w:t xml:space="preserve"> </w:t>
      </w:r>
      <w:r>
        <w:t xml:space="preserve">30% had a neutral view. Similar views were expressed by industry respondents,</w:t>
      </w:r>
      <w:r>
        <w:t xml:space="preserve"> </w:t>
      </w:r>
      <w:r>
        <w:t xml:space="preserve">where 61% would expect a positive impact and 35% had a neutral position.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Policy measure 4: Revision of the labelling rules in the regulations, introducing digital</w:t>
      </w:r>
      <w:r>
        <w:t xml:space="preserve"> </w:t>
      </w:r>
      <w:r>
        <w:t xml:space="preserve">labelling: further simplification of physical labels, and move additional information</w:t>
      </w:r>
      <w:r>
        <w:t xml:space="preserve"> </w:t>
      </w:r>
      <w:r>
        <w:t xml:space="preserve">on the digital label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The overall assessment of policy measure 4 is mixed and varies considerably between public</w:t>
      </w:r>
      <w:r>
        <w:t xml:space="preserve"> </w:t>
      </w:r>
      <w:r>
        <w:t xml:space="preserve">authorities and industry representatives. While for public authorities the possibility for</w:t>
      </w:r>
      <w:r>
        <w:t xml:space="preserve"> </w:t>
      </w:r>
      <w:r>
        <w:t xml:space="preserve">manufacturers to provide additional mandatory information exclusively on e-labels would</w:t>
      </w:r>
      <w:r>
        <w:t xml:space="preserve"> </w:t>
      </w:r>
      <w:r>
        <w:t xml:space="preserve">have a quite negative impact, the average feedback from industry representatives is very</w:t>
      </w:r>
      <w:r>
        <w:t xml:space="preserve"> </w:t>
      </w:r>
      <w:r>
        <w:t xml:space="preserve">positive.</w:t>
      </w:r>
      <w:r>
        <w:br/>
      </w:r>
      <w:r>
        <w:t xml:space="preserve">According to participating public authorities, the assessment of the intervention under</w:t>
      </w:r>
      <w:r>
        <w:t xml:space="preserve"> </w:t>
      </w:r>
      <w:r>
        <w:t xml:space="preserve">Policy measure 4 on the CLP Regulation is negative while a positive average assessment is</w:t>
      </w:r>
      <w:r>
        <w:t xml:space="preserve"> </w:t>
      </w:r>
      <w:r>
        <w:t xml:space="preserve">reported by industry representatives. During interviews, stakeholders from all categories</w:t>
      </w:r>
      <w:r>
        <w:t xml:space="preserve"> </w:t>
      </w:r>
      <w:r>
        <w:t xml:space="preserve">agreed that hazard information (encompassing notably the hazard statements) was one of</w:t>
      </w:r>
      <w:r>
        <w:t xml:space="preserve"> </w:t>
      </w:r>
      <w:r>
        <w:t xml:space="preserve">the most useful information to be conveyed to consumers. In addition, communicating</w:t>
      </w:r>
      <w:r>
        <w:t xml:space="preserve"> </w:t>
      </w:r>
      <w:r>
        <w:t xml:space="preserve">information on the safe and appropriate use of products to consumers – notably through</w:t>
      </w:r>
      <w:r>
        <w:t xml:space="preserve"> </w:t>
      </w:r>
      <w:r>
        <w:t xml:space="preserve">precautionary statements – was also agreed by all stakeholders to be the most important type</w:t>
      </w:r>
      <w:r>
        <w:t xml:space="preserve"> </w:t>
      </w:r>
      <w:r>
        <w:t xml:space="preserve">of information to be communicated on chemical labels. Therefore, findings from the</w:t>
      </w:r>
    </w:p>
    <w:p>
      <w:pPr>
        <w:pStyle w:val="BodyText"/>
      </w:pPr>
      <w:r>
        <w:t xml:space="preserve">411</w:t>
      </w:r>
      <w:r>
        <w:t xml:space="preserve"> </w:t>
      </w:r>
      <w:r>
        <w:t xml:space="preserve">interviews rather point to the fact that stakeholders from all categories would asses</w:t>
      </w:r>
      <w:r>
        <w:t xml:space="preserve"> </w:t>
      </w:r>
      <w:r>
        <w:t xml:space="preserve">negatively the possibility to provide this information exclusively on a digital label.</w:t>
      </w:r>
      <w:r>
        <w:t xml:space="preserve"> </w:t>
      </w:r>
      <w:r>
        <w:t xml:space="preserve">Furthermore, it must be noted that, according to the findings of the behavioural experiment,</w:t>
      </w:r>
      <w:r>
        <w:t xml:space="preserve"> </w:t>
      </w:r>
      <w:r>
        <w:t xml:space="preserve">for both products tested (glues and detergents), the hazard and precautionary statements on</w:t>
      </w:r>
      <w:r>
        <w:t xml:space="preserve"> </w:t>
      </w:r>
      <w:r>
        <w:t xml:space="preserve">the label were the most relevant reason for rating the product as dangerous (69% for both</w:t>
      </w:r>
      <w:r>
        <w:t xml:space="preserve"> </w:t>
      </w:r>
      <w:r>
        <w:t xml:space="preserve">product types) for consumers, which suggests that they are indeed most useful for</w:t>
      </w:r>
      <w:r>
        <w:t xml:space="preserve"> </w:t>
      </w:r>
      <w:r>
        <w:t xml:space="preserve">consumers to be provided on pack.</w:t>
      </w:r>
      <w:r>
        <w:t xml:space="preserve"> </w:t>
      </w:r>
      <w:r>
        <w:t xml:space="preserve">Table 131: Economic impact assessment Policy measure 4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(Tools #21-25)</w:t>
      </w:r>
      <w:r>
        <w:t xml:space="preserve"> </w:t>
      </w:r>
      <w:r>
        <w:t xml:space="preserve">The opinion of stakeholders regarding the impact on professional users is similar</w:t>
      </w:r>
      <w:r>
        <w:t xml:space="preserve"> </w:t>
      </w:r>
      <w:r>
        <w:t xml:space="preserve">to the views provided in general for consumers. Based on the survey findings, a</w:t>
      </w:r>
      <w:r>
        <w:t xml:space="preserve"> </w:t>
      </w:r>
      <w:r>
        <w:t xml:space="preserve">majority of public authorities see the impact on professional users negatively</w:t>
      </w:r>
      <w:r>
        <w:t xml:space="preserve"> </w:t>
      </w:r>
      <w:r>
        <w:t xml:space="preserve">while industry representatives see the provisions under PO4 as potentially</w:t>
      </w:r>
      <w:r>
        <w:t xml:space="preserve"> </w:t>
      </w:r>
      <w:r>
        <w:t xml:space="preserve">positive. In fact, 71% of the professional and industry users view the possibility</w:t>
      </w:r>
      <w:r>
        <w:t xml:space="preserve"> </w:t>
      </w:r>
      <w:r>
        <w:t xml:space="preserve">of using the online electronic labels for chemical products positively. More</w:t>
      </w:r>
      <w:r>
        <w:t xml:space="preserve"> </w:t>
      </w:r>
      <w:r>
        <w:t xml:space="preserve">specifically, concerning the P-statements (Art. 22 CLP) and H-statements</w:t>
      </w:r>
      <w:r>
        <w:t xml:space="preserve"> </w:t>
      </w:r>
      <w:r>
        <w:t xml:space="preserve">(Art.21 CLP), around 70% of the professional and industry users think that</w:t>
      </w:r>
      <w:r>
        <w:t xml:space="preserve"> </w:t>
      </w:r>
      <w:r>
        <w:t xml:space="preserve">moving these pieces of information from physical to digital label would have no</w:t>
      </w:r>
      <w:r>
        <w:t xml:space="preserve"> </w:t>
      </w:r>
      <w:r>
        <w:t xml:space="preserve">detrimental effects to workers’ safety. Therefore, the opinion on the impact of</w:t>
      </w:r>
      <w:r>
        <w:t xml:space="preserve"> </w:t>
      </w:r>
      <w:r>
        <w:t xml:space="preserve">PO 4 to the professional users has been marginalised across different categories</w:t>
      </w:r>
      <w:r>
        <w:t xml:space="preserve"> </w:t>
      </w:r>
      <w:r>
        <w:t xml:space="preserve">of stakeholders as consumers and public authorities view the provisions under</w:t>
      </w:r>
      <w:r>
        <w:t xml:space="preserve"> </w:t>
      </w:r>
      <w:r>
        <w:t xml:space="preserve">PO4 as negative.</w:t>
      </w:r>
      <w:r>
        <w:t xml:space="preserve"> </w:t>
      </w:r>
      <w:r>
        <w:t xml:space="preserve">Concerning the costs, according to the large majority of consulted industry</w:t>
      </w:r>
      <w:r>
        <w:t xml:space="preserve"> </w:t>
      </w:r>
      <w:r>
        <w:t xml:space="preserve">stakeholders, the proposed measures under PO4 would generate a high cost for</w:t>
      </w:r>
      <w:r>
        <w:t xml:space="preserve"> </w:t>
      </w:r>
      <w:r>
        <w:t xml:space="preserve">companies (68%) which would however be compensated by larger benefits</w:t>
      </w:r>
      <w:r>
        <w:t xml:space="preserve"> </w:t>
      </w:r>
      <w:r>
        <w:t xml:space="preserve">(79%).</w:t>
      </w:r>
      <w:r>
        <w:t xml:space="preserve"> </w:t>
      </w:r>
      <w:r>
        <w:t xml:space="preserve">The costs for the implementation of a digital solution for individual companies</w:t>
      </w:r>
      <w:r>
        <w:t xml:space="preserve"> </w:t>
      </w:r>
      <w:r>
        <w:t xml:space="preserve">under Policy measure 4 do not differ from the calculations made under Policy</w:t>
      </w:r>
      <w:r>
        <w:t xml:space="preserve"> </w:t>
      </w:r>
      <w:r>
        <w:t xml:space="preserve">measure 3. Thus, the same type of costs should be considered for the assessment</w:t>
      </w:r>
      <w:r>
        <w:t xml:space="preserve"> </w:t>
      </w:r>
      <w:r>
        <w:t xml:space="preserve">of this policy option. Nevertheless, the share of companies that would transfer</w:t>
      </w:r>
      <w:r>
        <w:t xml:space="preserve"> </w:t>
      </w:r>
      <w:r>
        <w:t xml:space="preserve">some of the information from physical to digital labels would be larger as using</w:t>
      </w:r>
      <w:r>
        <w:t xml:space="preserve"> </w:t>
      </w:r>
      <w:r>
        <w:t xml:space="preserve">digital labels would no longer be voluntary but mandatory.</w:t>
      </w:r>
      <w:r>
        <w:br/>
      </w:r>
      <w:r>
        <w:t xml:space="preserve">Thus, as under Policy Measure 3, industry stakeholders explained that it would</w:t>
      </w:r>
      <w:r>
        <w:t xml:space="preserve"> </w:t>
      </w:r>
      <w:r>
        <w:t xml:space="preserve">take around three to four FTEs who would need 10 to 20 working days to</w:t>
      </w:r>
      <w:r>
        <w:t xml:space="preserve"> </w:t>
      </w:r>
      <w:r>
        <w:t xml:space="preserve">conduct familiarisation activities (e.g. training, consulting) at the company</w:t>
      </w:r>
      <w:r>
        <w:t xml:space="preserve"> </w:t>
      </w:r>
      <w:r>
        <w:t xml:space="preserve">level. In regards to other costs that are related to the compliance with the</w:t>
      </w:r>
      <w:r>
        <w:t xml:space="preserve"> </w:t>
      </w:r>
      <w:r>
        <w:t xml:space="preserve">regulatory changes (implementation of IT solutions, maintaining website for the</w:t>
      </w:r>
      <w:r>
        <w:t xml:space="preserve"> </w:t>
      </w:r>
      <w:r>
        <w:t xml:space="preserve">digital labels, managing different data formats, costs associated with changes to</w:t>
      </w:r>
      <w:r>
        <w:t xml:space="preserve"> </w:t>
      </w:r>
      <w:r>
        <w:t xml:space="preserve">design/packaging, etc.), even if the potential operational costs and benefits under</w:t>
      </w:r>
      <w:r>
        <w:t xml:space="preserve"> </w:t>
      </w:r>
      <w:r>
        <w:t xml:space="preserve">PO 4 could not be monetised, the overall assessment would suggest that size of</w:t>
      </w:r>
      <w:r>
        <w:t xml:space="preserve"> </w:t>
      </w:r>
      <w:r>
        <w:t xml:space="preserve">the costs would be negligible or low.</w:t>
      </w:r>
      <w:r>
        <w:br/>
      </w:r>
      <w:r>
        <w:t xml:space="preserve">In regards to the benefits, according to consulted stakeholders, in addition to</w:t>
      </w:r>
      <w:r>
        <w:t xml:space="preserve"> </w:t>
      </w:r>
      <w:r>
        <w:t xml:space="preserve">already mentioned benefits under Policy measure 3 (reducing the frequency of</w:t>
      </w:r>
      <w:r>
        <w:t xml:space="preserve"> </w:t>
      </w:r>
      <w:r>
        <w:t xml:space="preserve">changes in physical labels, and better management of fast changing label</w:t>
      </w:r>
      <w:r>
        <w:t xml:space="preserve"> </w:t>
      </w:r>
      <w:r>
        <w:t xml:space="preserve">information) Policy measure 4 would increase the share of information provided</w:t>
      </w:r>
      <w:r>
        <w:t xml:space="preserve"> </w:t>
      </w:r>
      <w:r>
        <w:t xml:space="preserve">only on digital labels which would allow for more space on physical labels for</w:t>
      </w:r>
      <w:r>
        <w:t xml:space="preserve"> </w:t>
      </w:r>
      <w:r>
        <w:t xml:space="preserve">multiple languages. This would allow for more cost-effective product</w:t>
      </w:r>
      <w:r>
        <w:t xml:space="preserve"> </w:t>
      </w:r>
      <w:r>
        <w:t xml:space="preserve">distribution across EU markets and thus a larger benefit under Policy measure 4</w:t>
      </w:r>
      <w:r>
        <w:t xml:space="preserve"> </w:t>
      </w:r>
      <w:r>
        <w:t xml:space="preserve">than under Policy measure 3. These potential benefits, however, could not be</w:t>
      </w:r>
      <w:r>
        <w:t xml:space="preserve"> </w:t>
      </w:r>
      <w:r>
        <w:t xml:space="preserve">estimated in monetary terms due to the wide range of variables affecting labels</w:t>
      </w:r>
      <w:r>
        <w:t xml:space="preserve"> </w:t>
      </w:r>
      <w:r>
        <w:t xml:space="preserve">(e.g. size of the label, number of ingredients, type of chemical product, etc.).</w:t>
      </w:r>
      <w:r>
        <w:br/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trade and investment</w:t>
      </w:r>
      <w:r>
        <w:t xml:space="preserve"> </w:t>
      </w:r>
      <w:r>
        <w:t xml:space="preserve">flows (Tool #21, 27)</w:t>
      </w:r>
      <w:r>
        <w:t xml:space="preserve"> </w:t>
      </w:r>
      <w:r>
        <w:t xml:space="preserve">A large share of stakeholders could not provide an opinion on the expected</w:t>
      </w:r>
      <w:r>
        <w:t xml:space="preserve"> </w:t>
      </w:r>
      <w:r>
        <w:t xml:space="preserve">impact of Policy measure 4 on competitiveness.</w:t>
      </w:r>
      <w:r>
        <w:br/>
      </w:r>
      <w:r>
        <w:t xml:space="preserve">There is no clear position of industry representatives on the effect on</w:t>
      </w:r>
      <w:r>
        <w:t xml:space="preserve"> </w:t>
      </w:r>
      <w:r>
        <w:t xml:space="preserve">competitiveness of Policy measure 4 with half of respondents estimating a</w:t>
      </w:r>
      <w:r>
        <w:t xml:space="preserve"> </w:t>
      </w:r>
      <w:r>
        <w:t xml:space="preserve">positive effect and another half estimating a negative effect. The position of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412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public authorities is clearer with 67% estimating a positive effect on</w:t>
      </w:r>
      <w:r>
        <w:t xml:space="preserve"> </w:t>
      </w:r>
      <w:r>
        <w:t xml:space="preserve">competitiveness of EU enterprises under Policy measure 4.</w:t>
      </w:r>
      <w:r>
        <w:t xml:space="preserve"> </w:t>
      </w:r>
      <w:r>
        <w:t xml:space="preserve">SMEs (Tool #21)</w:t>
      </w:r>
      <w:r>
        <w:t xml:space="preserve"> </w:t>
      </w:r>
      <w:r>
        <w:t xml:space="preserve">Regarding the impact of Policy measure 4 on SMEs, the opinion of consulted</w:t>
      </w:r>
      <w:r>
        <w:t xml:space="preserve"> </w:t>
      </w:r>
      <w:r>
        <w:t xml:space="preserve">stakeholders is similar to Policy measure 3. Most public authorities would expect</w:t>
      </w:r>
      <w:r>
        <w:t xml:space="preserve"> </w:t>
      </w:r>
      <w:r>
        <w:t xml:space="preserve">a disproportionate impact on costs for SMEs in comparison to larger enterprises</w:t>
      </w:r>
      <w:r>
        <w:t xml:space="preserve"> </w:t>
      </w:r>
      <w:r>
        <w:t xml:space="preserve">because larger companies have more resources to successfully implement digital</w:t>
      </w:r>
      <w:r>
        <w:t xml:space="preserve"> </w:t>
      </w:r>
      <w:r>
        <w:t xml:space="preserve">labels and, thus, have an advantage in providing information and marketing</w:t>
      </w:r>
      <w:r>
        <w:t xml:space="preserve"> </w:t>
      </w:r>
      <w:r>
        <w:t xml:space="preserve">through digital labels when compared to SMEs.</w:t>
      </w:r>
      <w:r>
        <w:t xml:space="preserve"> </w:t>
      </w:r>
      <w:r>
        <w:t xml:space="preserve">For industry representatives, no clear position is expressed, with half of</w:t>
      </w:r>
      <w:r>
        <w:t xml:space="preserve"> </w:t>
      </w:r>
      <w:r>
        <w:t xml:space="preserve">respondents estimating disproportionate costs for SMEs and the other half</w:t>
      </w:r>
      <w:r>
        <w:t xml:space="preserve"> </w:t>
      </w:r>
      <w:r>
        <w:t xml:space="preserve">estimating that there would be no difference between SMEs and larger</w:t>
      </w:r>
      <w:r>
        <w:t xml:space="preserve"> </w:t>
      </w:r>
      <w:r>
        <w:t xml:space="preserve">companies.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(Tool #28)</w:t>
      </w:r>
      <w:r>
        <w:t xml:space="preserve"> </w:t>
      </w:r>
      <w:r>
        <w:t xml:space="preserve">Both public authorities and industry representatives agree that Policy measure 4</w:t>
      </w:r>
      <w:r>
        <w:t xml:space="preserve"> </w:t>
      </w:r>
      <w:r>
        <w:t xml:space="preserve">is in line with digitalisation trends. While for public authorities the assessment</w:t>
      </w:r>
      <w:r>
        <w:t xml:space="preserve"> </w:t>
      </w:r>
      <w:r>
        <w:t xml:space="preserve">of Policy measure 4 in terms of digitalisation is not higher than PO3, for industry</w:t>
      </w:r>
      <w:r>
        <w:t xml:space="preserve"> </w:t>
      </w:r>
      <w:r>
        <w:t xml:space="preserve">representatives Policy measure 4 measures represent a higher level of alignment</w:t>
      </w:r>
      <w:r>
        <w:t xml:space="preserve"> </w:t>
      </w:r>
      <w:r>
        <w:t xml:space="preserve">to digitalisation trends.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(Tool #58)</w:t>
      </w:r>
      <w:r>
        <w:t xml:space="preserve"> </w:t>
      </w:r>
      <w:r>
        <w:t xml:space="preserve">According to around one-fourth of the public industry stakeholders (23%), the</w:t>
      </w:r>
      <w:r>
        <w:t xml:space="preserve"> </w:t>
      </w:r>
      <w:r>
        <w:t xml:space="preserve">provisions of Policy measure 4 would generate high or very high costs for public</w:t>
      </w:r>
      <w:r>
        <w:t xml:space="preserve"> </w:t>
      </w:r>
      <w:r>
        <w:t xml:space="preserve">authorities. Nonetheless, only 9% of consulted public authorities reported that</w:t>
      </w:r>
      <w:r>
        <w:t xml:space="preserve"> </w:t>
      </w:r>
      <w:r>
        <w:t xml:space="preserve">Policy measure 4 would generate a benefit for the monitoring activities of MSAs.</w:t>
      </w:r>
      <w:r>
        <w:t xml:space="preserve"> </w:t>
      </w:r>
      <w:r>
        <w:t xml:space="preserve">According to the consulted public authorities, the benefits for public authorities</w:t>
      </w:r>
      <w:r>
        <w:t xml:space="preserve"> </w:t>
      </w:r>
      <w:r>
        <w:t xml:space="preserve">would concentrate on the simplification and clarification of labelling</w:t>
      </w:r>
      <w:r>
        <w:t xml:space="preserve"> </w:t>
      </w:r>
      <w:r>
        <w:t xml:space="preserve">requirements which would make the monitoring and the inspection process for</w:t>
      </w:r>
      <w:r>
        <w:t xml:space="preserve"> </w:t>
      </w:r>
      <w:r>
        <w:t xml:space="preserve">the public authorities and the compliance process for the businesses equally</w:t>
      </w:r>
      <w:r>
        <w:t xml:space="preserve"> </w:t>
      </w:r>
      <w:r>
        <w:t xml:space="preserve">easier. The benefit, however, is considered to be minimal even though the costs</w:t>
      </w:r>
      <w:r>
        <w:t xml:space="preserve"> </w:t>
      </w:r>
      <w:r>
        <w:t xml:space="preserve">are not considered to be very high as well.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</w:p>
    <w:p>
      <w:pPr>
        <w:pStyle w:val="BodyText"/>
      </w:pPr>
      <w:r>
        <w:t xml:space="preserve">413</w:t>
      </w:r>
      <w:r>
        <w:t xml:space="preserve"> </w:t>
      </w:r>
      <w:r>
        <w:t xml:space="preserve">Table 132: Social impact assessment Policy Measure 4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  <w:r>
        <w:t xml:space="preserve"> </w:t>
      </w:r>
      <w:r>
        <w:t xml:space="preserve">(Tool</w:t>
      </w:r>
      <w:r>
        <w:t xml:space="preserve"> </w:t>
      </w:r>
      <w:r>
        <w:t xml:space="preserve">#33)</w:t>
      </w:r>
      <w:r>
        <w:t xml:space="preserve"> </w:t>
      </w:r>
      <w:r>
        <w:t xml:space="preserve">In general, policy measure 4 is considered as potentially negative or very</w:t>
      </w:r>
      <w:r>
        <w:t xml:space="preserve"> </w:t>
      </w:r>
      <w:r>
        <w:t xml:space="preserve">negative according to 70% of participating public authorities. In contrast</w:t>
      </w:r>
      <w:r>
        <w:t xml:space="preserve"> </w:t>
      </w:r>
      <w:r>
        <w:t xml:space="preserve">industry stakeholders estimate the expected impact on consumer safety as</w:t>
      </w:r>
      <w:r>
        <w:t xml:space="preserve"> </w:t>
      </w:r>
      <w:r>
        <w:t xml:space="preserve">strongly positive (78%). Overall, stakeholders from the public authorities331 and</w:t>
      </w:r>
      <w:r>
        <w:t xml:space="preserve"> </w:t>
      </w:r>
      <w:r>
        <w:t xml:space="preserve">industry332 both expressed support for the proposed interventions on the</w:t>
      </w:r>
      <w:r>
        <w:t xml:space="preserve"> </w:t>
      </w:r>
      <w:r>
        <w:t xml:space="preserve">Detergents Regulation rather than the CLP regulation under Policy Measure 4.</w:t>
      </w:r>
      <w:r>
        <w:br/>
      </w:r>
      <w:r>
        <w:t xml:space="preserve">Moreover, respondents were asked to provide an individual assessment of the</w:t>
      </w:r>
      <w:r>
        <w:t xml:space="preserve"> </w:t>
      </w:r>
      <w:r>
        <w:t xml:space="preserve">potential impact of CLP measures on consumer safety. The possibility of</w:t>
      </w:r>
      <w:r>
        <w:t xml:space="preserve"> </w:t>
      </w:r>
      <w:r>
        <w:t xml:space="preserve">allowing H-statements and P-statements exclusively on digital labels is</w:t>
      </w:r>
      <w:r>
        <w:t xml:space="preserve"> </w:t>
      </w:r>
      <w:r>
        <w:t xml:space="preserve">considered negatively by a large majority of public authorities: 78% against H-</w:t>
      </w:r>
      <w:r>
        <w:t xml:space="preserve"> </w:t>
      </w:r>
      <w:r>
        <w:t xml:space="preserve">statements on digital labels and 64% against P-statements on digital labels. The</w:t>
      </w:r>
      <w:r>
        <w:t xml:space="preserve"> </w:t>
      </w:r>
      <w:r>
        <w:t xml:space="preserve">position of public authorities on the possibility of providing supplemental</w:t>
      </w:r>
      <w:r>
        <w:t xml:space="preserve"> </w:t>
      </w:r>
      <w:r>
        <w:t xml:space="preserve">labelling information on digital labels is mixed with only a third of respondents</w:t>
      </w:r>
      <w:r>
        <w:t xml:space="preserve"> </w:t>
      </w:r>
      <w:r>
        <w:t xml:space="preserve">having a negative view on this possibility.</w:t>
      </w:r>
      <w:r>
        <w:t xml:space="preserve"> </w:t>
      </w:r>
      <w:r>
        <w:t xml:space="preserve">The view of industry stakeholders is largely in favour of the CLP revisions under</w:t>
      </w:r>
      <w:r>
        <w:t xml:space="preserve"> </w:t>
      </w:r>
      <w:r>
        <w:t xml:space="preserve">Policy measure 4. 73% of respondents are in favour of placing H-statements on</w:t>
      </w:r>
      <w:r>
        <w:t xml:space="preserve"> </w:t>
      </w:r>
      <w:r>
        <w:t xml:space="preserve">digital labels, 70% in favour of P-statements on digital labels and 77% in favour</w:t>
      </w:r>
      <w:r>
        <w:t xml:space="preserve"> </w:t>
      </w:r>
      <w:r>
        <w:t xml:space="preserve">of supplemental information on digital labels. In general, around a fifth of the</w:t>
      </w:r>
      <w:r>
        <w:t xml:space="preserve"> </w:t>
      </w:r>
      <w:r>
        <w:t xml:space="preserve">consulted industry representatives see the possibility of having H and P</w:t>
      </w:r>
      <w:r>
        <w:t xml:space="preserve"> </w:t>
      </w:r>
      <w:r>
        <w:t xml:space="preserve">statements exclusively on digital labels as being potentially negative for</w:t>
      </w:r>
      <w:r>
        <w:t xml:space="preserve"> </w:t>
      </w:r>
      <w:r>
        <w:t xml:space="preserve">consumer’ safety.</w:t>
      </w:r>
      <w:r>
        <w:t xml:space="preserve"> </w:t>
      </w:r>
      <w:r>
        <w:t xml:space="preserve">Similarly to Policy measure 3, the opinion of all the consulted stakeholders is</w:t>
      </w:r>
      <w:r>
        <w:t xml:space="preserve"> </w:t>
      </w:r>
      <w:r>
        <w:t xml:space="preserve">that the possibility of having digital labels would have a positive impact on</w:t>
      </w:r>
      <w:r>
        <w:t xml:space="preserve"> </w:t>
      </w:r>
      <w:r>
        <w:t xml:space="preserve">consumers with visual impairments (50% approval rate from the public</w:t>
      </w:r>
      <w:r>
        <w:t xml:space="preserve"> </w:t>
      </w:r>
      <w:r>
        <w:t xml:space="preserve">authorities and 76% approval rate from the industry representatives).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</w:p>
    <w:p>
      <w:pPr>
        <w:pStyle w:val="BodyText"/>
      </w:pPr>
      <w:r>
        <w:t xml:space="preserve">Table 133: Environmental impact assessment Policy measure 4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(Tool</w:t>
      </w:r>
      <w:r>
        <w:t xml:space="preserve"> </w:t>
      </w:r>
      <w:r>
        <w:t xml:space="preserve">#36)</w:t>
      </w:r>
      <w:r>
        <w:t xml:space="preserve"> </w:t>
      </w:r>
      <w:r>
        <w:t xml:space="preserve">According to 60% of the consulted public authorities, the provisions under</w:t>
      </w:r>
      <w:r>
        <w:t xml:space="preserve"> </w:t>
      </w:r>
      <w:r>
        <w:t xml:space="preserve">Policy measure 4 would have a negative impact on the disposal of harmful</w:t>
      </w:r>
      <w:r>
        <w:t xml:space="preserve"> </w:t>
      </w:r>
      <w:r>
        <w:t xml:space="preserve">substances in the environment arguing that the awareness impact of the</w:t>
      </w:r>
      <w:r>
        <w:t xml:space="preserve"> </w:t>
      </w:r>
      <w:r>
        <w:t xml:space="preserve">consumer is dependent on end-user knowledge of the changes and where to</w:t>
      </w:r>
      <w:r>
        <w:t xml:space="preserve"> </w:t>
      </w:r>
      <w:r>
        <w:t xml:space="preserve">find information, and consumers are not trained to understand all the chemical</w:t>
      </w:r>
      <w:r>
        <w:t xml:space="preserve"> </w:t>
      </w:r>
      <w:r>
        <w:t xml:space="preserve">information and they do not have the same awareness as professional users.</w:t>
      </w:r>
      <w:r>
        <w:t xml:space="preserve"> </w:t>
      </w:r>
      <w:r>
        <w:t xml:space="preserve">Industry stakeholders had the opposite view with 64% of respondents (18 out</w:t>
      </w:r>
      <w:r>
        <w:t xml:space="preserve"> </w:t>
      </w:r>
      <w:r>
        <w:t xml:space="preserve">of 28) considering Policy measure 4 having a positive impact on consumer</w:t>
      </w:r>
      <w:r>
        <w:t xml:space="preserve"> </w:t>
      </w:r>
      <w:r>
        <w:t xml:space="preserve">awareness on disposal of harmful substances.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331 Five out of nine stakeholders from public authorities viewed the interventions on the Detergents Regulation</w:t>
      </w:r>
      <w:r>
        <w:t xml:space="preserve"> </w:t>
      </w:r>
      <w:r>
        <w:t xml:space="preserve">as positive, while only three out of nine stakeholders from the public authorities viewed the interventions on</w:t>
      </w:r>
      <w:r>
        <w:t xml:space="preserve"> </w:t>
      </w:r>
      <w:r>
        <w:t xml:space="preserve">the CLP as positive.</w:t>
      </w:r>
      <w:r>
        <w:t xml:space="preserve"> </w:t>
      </w:r>
      <w:r>
        <w:t xml:space="preserve">332 15 out of 18 stakeholders from the industry viewed the interventions on the Detergents Regulation as</w:t>
      </w:r>
      <w:r>
        <w:t xml:space="preserve"> </w:t>
      </w:r>
      <w:r>
        <w:t xml:space="preserve">positive, while 24 out of 31 stakeholders from the industry viewed the interventions on the CLP as positive.</w:t>
      </w:r>
    </w:p>
    <w:p>
      <w:pPr>
        <w:pStyle w:val="BodyText"/>
      </w:pPr>
      <w:r>
        <w:t xml:space="preserve">414</w:t>
      </w:r>
      <w:r>
        <w:t xml:space="preserve"> </w:t>
      </w:r>
      <w:r>
        <w:t xml:space="preserve">Policy measure 5: Revision of the labelling rules in the regulations, introducing</w:t>
      </w:r>
      <w:r>
        <w:t xml:space="preserve"> </w:t>
      </w:r>
      <w:r>
        <w:t xml:space="preserve">optional digital labelling: in specific cases, providing all information on the digital</w:t>
      </w:r>
      <w:r>
        <w:t xml:space="preserve"> </w:t>
      </w:r>
      <w:r>
        <w:t xml:space="preserve">label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Concerning Policy measure 5, stakeholders were consulted on the possibility for</w:t>
      </w:r>
      <w:r>
        <w:t xml:space="preserve"> </w:t>
      </w:r>
      <w:r>
        <w:t xml:space="preserve">manufacturers of providing mandatory information exclusively on electronic labels in</w:t>
      </w:r>
      <w:r>
        <w:t xml:space="preserve"> </w:t>
      </w:r>
      <w:r>
        <w:t xml:space="preserve">specific cases and/or specific products. This concerns</w:t>
      </w:r>
      <w:r>
        <w:t xml:space="preserve"> </w:t>
      </w:r>
      <w:r>
        <w:t xml:space="preserve">products which are sold to consumers in bulk (i.e. without a container), such as fuels at</w:t>
      </w:r>
      <w:r>
        <w:t xml:space="preserve"> </w:t>
      </w:r>
      <w:r>
        <w:t xml:space="preserve">filling stations</w:t>
      </w:r>
      <w:r>
        <w:t xml:space="preserve"> </w:t>
      </w:r>
      <w:r>
        <w:t xml:space="preserve">products for which the label or packaging is too small to physically include any or all</w:t>
      </w:r>
      <w:r>
        <w:t xml:space="preserve"> </w:t>
      </w:r>
      <w:r>
        <w:t xml:space="preserve">mandatory information, such as writing instruments (e.g. pens, highlighters).</w:t>
      </w:r>
      <w:r>
        <w:br/>
      </w:r>
      <w:r>
        <w:t xml:space="preserve">It must be noted that this concerns product which are already subject to labelling today. The</w:t>
      </w:r>
      <w:r>
        <w:t xml:space="preserve"> </w:t>
      </w:r>
      <w:r>
        <w:t xml:space="preserve">fact that they are currently often not labelled due to practicalities associated with the</w:t>
      </w:r>
      <w:r>
        <w:t xml:space="preserve"> </w:t>
      </w:r>
      <w:r>
        <w:t xml:space="preserve">labelling constitutes a non-compliance. Costs associated with Policy measure 5 are part of</w:t>
      </w:r>
      <w:r>
        <w:t xml:space="preserve"> </w:t>
      </w:r>
      <w:r>
        <w:t xml:space="preserve">the baseline. They are assessed as policy option due to stakeholder interventions.</w:t>
      </w:r>
      <w:r>
        <w:t xml:space="preserve"> </w:t>
      </w:r>
      <w:r>
        <w:t xml:space="preserve">Overall, based on the findings from the online survey on the Policy measures, public</w:t>
      </w:r>
      <w:r>
        <w:t xml:space="preserve"> </w:t>
      </w:r>
      <w:r>
        <w:t xml:space="preserve">authorities had a slightly positive opinion on Policy measure 5 and its proposed</w:t>
      </w:r>
      <w:r>
        <w:t xml:space="preserve"> </w:t>
      </w:r>
      <w:r>
        <w:t xml:space="preserve">interventions on the CLP Regulation and on the Detergents Regulation333. Similarly,</w:t>
      </w:r>
      <w:r>
        <w:t xml:space="preserve"> </w:t>
      </w:r>
      <w:r>
        <w:t xml:space="preserve">industry stakeholders also expressed a positive opinion on Policy measure 5 (83% assessed</w:t>
      </w:r>
      <w:r>
        <w:t xml:space="preserve"> </w:t>
      </w:r>
      <w:r>
        <w:t xml:space="preserve">Policy measure 5 positively334), preferring the interventions proposed on the CLP</w:t>
      </w:r>
      <w:r>
        <w:t xml:space="preserve"> </w:t>
      </w:r>
      <w:r>
        <w:t xml:space="preserve">Regulation335 to the interventions proposed on the Detergents Regulation336.</w:t>
      </w:r>
      <w:r>
        <w:t xml:space="preserve"> </w:t>
      </w:r>
      <w:r>
        <w:t xml:space="preserve">Table 134: Economic impact assessment Policy measure 5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(Tools #21-25)</w:t>
      </w:r>
      <w:r>
        <w:t xml:space="preserve"> </w:t>
      </w:r>
      <w:r>
        <w:t xml:space="preserve">Policy measure 5 does not consider the impact the policy measures of Policy</w:t>
      </w:r>
      <w:r>
        <w:t xml:space="preserve"> </w:t>
      </w:r>
      <w:r>
        <w:t xml:space="preserve">measure 5 would have on the professional users.</w:t>
      </w:r>
      <w:r>
        <w:t xml:space="preserve"> </w:t>
      </w:r>
      <w:r>
        <w:t xml:space="preserve">In terms of costs and benefits, around a third of consulted stakeholders consider</w:t>
      </w:r>
      <w:r>
        <w:t xml:space="preserve"> </w:t>
      </w:r>
      <w:r>
        <w:t xml:space="preserve">that policy measure 5 measures would generate benefits that exceed the costs</w:t>
      </w:r>
      <w:r>
        <w:t xml:space="preserve"> </w:t>
      </w:r>
      <w:r>
        <w:t xml:space="preserve">of the option. In particular due to the interventions under the CLP, a majority of</w:t>
      </w:r>
      <w:r>
        <w:t xml:space="preserve"> </w:t>
      </w:r>
      <w:r>
        <w:t xml:space="preserve">respondents (78%) believed that the policy option would bring benefits and less</w:t>
      </w:r>
      <w:r>
        <w:t xml:space="preserve"> </w:t>
      </w:r>
      <w:r>
        <w:t xml:space="preserve">than half (43%) think that compliance with the regulatory changes under policy</w:t>
      </w:r>
      <w:r>
        <w:t xml:space="preserve"> </w:t>
      </w:r>
      <w:r>
        <w:t xml:space="preserve">measure 5 would carry costs for them.</w:t>
      </w:r>
      <w:r>
        <w:br/>
      </w:r>
      <w:r>
        <w:t xml:space="preserve">Costs for implementation of a digital solution for individual companies under</w:t>
      </w:r>
      <w:r>
        <w:t xml:space="preserve"> </w:t>
      </w:r>
      <w:r>
        <w:t xml:space="preserve">policy measure 5 do not differentiate from the calculations made under policy</w:t>
      </w:r>
      <w:r>
        <w:t xml:space="preserve"> </w:t>
      </w:r>
      <w:r>
        <w:t xml:space="preserve">measure 3 or policy measure 4. Thus, same type of costs should be considered</w:t>
      </w:r>
      <w:r>
        <w:t xml:space="preserve"> </w:t>
      </w:r>
      <w:r>
        <w:t xml:space="preserve">for the assessment of this policy measure. Nevertheless, the share of companies</w:t>
      </w:r>
      <w:r>
        <w:t xml:space="preserve"> </w:t>
      </w:r>
      <w:r>
        <w:t xml:space="preserve">that would transfer some of the information from physical to digital labels would</w:t>
      </w:r>
      <w:r>
        <w:t xml:space="preserve"> </w:t>
      </w:r>
      <w:r>
        <w:t xml:space="preserve">be larger compared to policy measure 3 as using digital labels would no longer</w:t>
      </w:r>
      <w:r>
        <w:t xml:space="preserve"> </w:t>
      </w:r>
      <w:r>
        <w:t xml:space="preserve">be voluntary but mandatory. In addition, the share of information that would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333 Six out of 10 stakeholders from the public authorities have assessed PO 5 as positive, seven out of nine</w:t>
      </w:r>
      <w:r>
        <w:t xml:space="preserve"> </w:t>
      </w:r>
      <w:r>
        <w:t xml:space="preserve">stakeholders have assessed the proposed interventions on the CLP Regulation under Policy Option 5 as</w:t>
      </w:r>
      <w:r>
        <w:t xml:space="preserve"> </w:t>
      </w:r>
      <w:r>
        <w:t xml:space="preserve">positive, and five out of nine stakeholders have assessed the proposed interventions on the Detergents</w:t>
      </w:r>
      <w:r>
        <w:t xml:space="preserve"> </w:t>
      </w:r>
      <w:r>
        <w:t xml:space="preserve">Regulation under Policy Option 5 as positive.</w:t>
      </w:r>
      <w:r>
        <w:t xml:space="preserve"> </w:t>
      </w:r>
      <w:r>
        <w:t xml:space="preserve">334 25 out of 30.</w:t>
      </w:r>
      <w:r>
        <w:t xml:space="preserve"> </w:t>
      </w:r>
      <w:r>
        <w:t xml:space="preserve">335 21 out of 26 (81%)</w:t>
      </w:r>
      <w:r>
        <w:t xml:space="preserve"> </w:t>
      </w:r>
      <w:r>
        <w:t xml:space="preserve">336 Nine out of 14 (64%)</w:t>
      </w:r>
    </w:p>
    <w:p>
      <w:pPr>
        <w:pStyle w:val="BodyText"/>
      </w:pPr>
      <w:r>
        <w:t xml:space="preserve">415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have to be placed on the digital labels would also increase compared to policy</w:t>
      </w:r>
      <w:r>
        <w:t xml:space="preserve"> </w:t>
      </w:r>
      <w:r>
        <w:t xml:space="preserve">measure 4, therefore, costs337 and benefits stemming from policy measure 5</w:t>
      </w:r>
      <w:r>
        <w:t xml:space="preserve"> </w:t>
      </w:r>
      <w:r>
        <w:t xml:space="preserve">should be higher than the ones from policy measure 4.</w:t>
      </w:r>
      <w:r>
        <w:br/>
      </w:r>
      <w:r>
        <w:t xml:space="preserve">Although it is difficult to estimate the costs of introducing digital labels and</w:t>
      </w:r>
      <w:r>
        <w:t xml:space="preserve"> </w:t>
      </w:r>
      <w:r>
        <w:t xml:space="preserve">moving information on specific products online in monetary terms, stakeholders</w:t>
      </w:r>
      <w:r>
        <w:t xml:space="preserve"> </w:t>
      </w:r>
      <w:r>
        <w:t xml:space="preserve">from the industry explained that it would take around three to four FTEs who</w:t>
      </w:r>
      <w:r>
        <w:t xml:space="preserve"> </w:t>
      </w:r>
      <w:r>
        <w:t xml:space="preserve">would need 10 to 20 working days to conduct familiarisation activities (e.g. </w:t>
      </w:r>
      <w:r>
        <w:t xml:space="preserve"> </w:t>
      </w:r>
      <w:r>
        <w:t xml:space="preserve">training, consulting) at the company level.</w:t>
      </w:r>
      <w:r>
        <w:br/>
      </w:r>
      <w:r>
        <w:t xml:space="preserve">For other costs that are related to the compliance with the regulatory changes</w:t>
      </w:r>
      <w:r>
        <w:t xml:space="preserve"> </w:t>
      </w:r>
      <w:r>
        <w:t xml:space="preserve">(implementation of IT solutions, maintaining website for the e-labels, managing</w:t>
      </w:r>
      <w:r>
        <w:t xml:space="preserve"> </w:t>
      </w:r>
      <w:r>
        <w:t xml:space="preserve">different data formats, costs associated with changes to design/packaging, etc.),</w:t>
      </w:r>
      <w:r>
        <w:t xml:space="preserve"> </w:t>
      </w:r>
      <w:r>
        <w:t xml:space="preserve">even if the potential operational costs and benefits under policy measure 5 could</w:t>
      </w:r>
      <w:r>
        <w:t xml:space="preserve"> </w:t>
      </w:r>
      <w:r>
        <w:t xml:space="preserve">not be monetised, the overall assessment would suggest that size of the costs</w:t>
      </w:r>
      <w:r>
        <w:t xml:space="preserve"> </w:t>
      </w:r>
      <w:r>
        <w:t xml:space="preserve">would be negligible or low.</w:t>
      </w:r>
      <w:r>
        <w:br/>
      </w:r>
      <w:r>
        <w:t xml:space="preserve">For the benefits, according to consulted stakeholders, in addition to already</w:t>
      </w:r>
      <w:r>
        <w:t xml:space="preserve"> </w:t>
      </w:r>
      <w:r>
        <w:t xml:space="preserve">mentioned benefits under policy measure 3 and 4 (reducing the frequency of</w:t>
      </w:r>
      <w:r>
        <w:t xml:space="preserve"> </w:t>
      </w:r>
      <w:r>
        <w:t xml:space="preserve">changes in physical labels, better management of fast changing label</w:t>
      </w:r>
      <w:r>
        <w:t xml:space="preserve"> </w:t>
      </w:r>
      <w:r>
        <w:t xml:space="preserve">information, improving the possibility of increasing the amount of information</w:t>
      </w:r>
      <w:r>
        <w:t xml:space="preserve"> </w:t>
      </w:r>
      <w:r>
        <w:t xml:space="preserve">only on electronic labels) policy measure 5 would allow better understanding of</w:t>
      </w:r>
      <w:r>
        <w:t xml:space="preserve"> </w:t>
      </w:r>
      <w:r>
        <w:t xml:space="preserve">the hazard classification, and an improved and faster way of communicating</w:t>
      </w:r>
      <w:r>
        <w:t xml:space="preserve"> </w:t>
      </w:r>
      <w:r>
        <w:t xml:space="preserve">changes in hazard classification. These potential benefits, however, could not be</w:t>
      </w:r>
      <w:r>
        <w:t xml:space="preserve"> </w:t>
      </w:r>
      <w:r>
        <w:t xml:space="preserve">estimated quantitatively due to the wide range of variables affecting labels (e.g. </w:t>
      </w:r>
      <w:r>
        <w:t xml:space="preserve"> </w:t>
      </w:r>
      <w:r>
        <w:t xml:space="preserve">size of the label, number of ingredients, type of chemical product, etc.).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trade and investment</w:t>
      </w:r>
      <w:r>
        <w:t xml:space="preserve"> </w:t>
      </w:r>
      <w:r>
        <w:t xml:space="preserve">flows (Tool #21, 27)</w:t>
      </w:r>
      <w:r>
        <w:t xml:space="preserve"> </w:t>
      </w:r>
      <w:r>
        <w:t xml:space="preserve">A large share of consulted stakeholders (both public authorities and industry</w:t>
      </w:r>
      <w:r>
        <w:t xml:space="preserve"> </w:t>
      </w:r>
      <w:r>
        <w:t xml:space="preserve">representatives) believe that the measures under policy measure 5 would not</w:t>
      </w:r>
      <w:r>
        <w:t xml:space="preserve"> </w:t>
      </w:r>
      <w:r>
        <w:t xml:space="preserve">have competitiveness impacts.</w:t>
      </w:r>
      <w:r>
        <w:t xml:space="preserve"> </w:t>
      </w:r>
      <w:r>
        <w:t xml:space="preserve">Neutral</w:t>
      </w:r>
      <w:r>
        <w:t xml:space="preserve"> </w:t>
      </w:r>
      <w:r>
        <w:t xml:space="preserve">SMEs (Tool #21)</w:t>
      </w:r>
      <w:r>
        <w:t xml:space="preserve"> </w:t>
      </w:r>
      <w:r>
        <w:t xml:space="preserve">Regarding the impact of policy measure 5 on SMEs, the opinion of consulted</w:t>
      </w:r>
      <w:r>
        <w:t xml:space="preserve"> </w:t>
      </w:r>
      <w:r>
        <w:t xml:space="preserve">stakeholders diverges considerably between public authorities and industry</w:t>
      </w:r>
      <w:r>
        <w:t xml:space="preserve"> </w:t>
      </w:r>
      <w:r>
        <w:t xml:space="preserve">representatives. While the large majority of PA consider policy measure 5 having</w:t>
      </w:r>
      <w:r>
        <w:t xml:space="preserve"> </w:t>
      </w:r>
      <w:r>
        <w:t xml:space="preserve">a disproportionate effect on SMEs in comparison to larger companies, less than</w:t>
      </w:r>
      <w:r>
        <w:t xml:space="preserve"> </w:t>
      </w:r>
      <w:r>
        <w:t xml:space="preserve">a third of industry representatives share a similar view (thought it should be</w:t>
      </w:r>
      <w:r>
        <w:t xml:space="preserve"> </w:t>
      </w:r>
      <w:r>
        <w:t xml:space="preserve">noted that the majority of industry respondents were from larger companies).</w:t>
      </w:r>
      <w:r>
        <w:t xml:space="preserve"> </w:t>
      </w:r>
      <w:r>
        <w:t xml:space="preserve">Neutral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(Tool #28)</w:t>
      </w:r>
      <w:r>
        <w:t xml:space="preserve"> </w:t>
      </w:r>
      <w:r>
        <w:t xml:space="preserve">Similarly to other policy measure that include the use of digital labels, according</w:t>
      </w:r>
      <w:r>
        <w:t xml:space="preserve"> </w:t>
      </w:r>
      <w:r>
        <w:t xml:space="preserve">to the majority of public authorities and industry, policy measure 5 would have</w:t>
      </w:r>
      <w:r>
        <w:t xml:space="preserve"> </w:t>
      </w:r>
      <w:r>
        <w:t xml:space="preserve">a positive impact on coherence with digitalisation.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(Tool #58)</w:t>
      </w:r>
      <w:r>
        <w:t xml:space="preserve"> </w:t>
      </w:r>
      <w:r>
        <w:t xml:space="preserve">Considerably small group of consulted public authorities (three out of 12, or</w:t>
      </w:r>
      <w:r>
        <w:t xml:space="preserve"> </w:t>
      </w:r>
      <w:r>
        <w:t xml:space="preserve">25%), estimate the provisions of policy measure 4 would generate high or very</w:t>
      </w:r>
      <w:r>
        <w:t xml:space="preserve"> </w:t>
      </w:r>
      <w:r>
        <w:t xml:space="preserve">high costs – for public authorities. Nonetheless, only one stakeholders reported</w:t>
      </w:r>
      <w:r>
        <w:t xml:space="preserve"> </w:t>
      </w:r>
      <w:r>
        <w:t xml:space="preserve">that policy measure 5 would generate a benefit for the monitoring activities of</w:t>
      </w:r>
      <w:r>
        <w:t xml:space="preserve"> </w:t>
      </w:r>
      <w:r>
        <w:t xml:space="preserve">MSAs. According to the consulted public authorities, the benefits for the public</w:t>
      </w:r>
      <w:r>
        <w:t xml:space="preserve"> </w:t>
      </w:r>
      <w:r>
        <w:t xml:space="preserve">authorities would concentrate on the simplification and clarification of the</w:t>
      </w:r>
      <w:r>
        <w:t xml:space="preserve"> </w:t>
      </w:r>
      <w:r>
        <w:t xml:space="preserve">labelling requirements which would make the monitoring and the inspection</w:t>
      </w:r>
      <w:r>
        <w:t xml:space="preserve"> </w:t>
      </w:r>
      <w:r>
        <w:t xml:space="preserve">process for the public authorities and the compliance process for the businesses</w:t>
      </w:r>
      <w:r>
        <w:t xml:space="preserve"> </w:t>
      </w:r>
      <w:r>
        <w:t xml:space="preserve">equally easier. The benefit, however, is considered to be minimal even though</w:t>
      </w:r>
      <w:r>
        <w:t xml:space="preserve"> </w:t>
      </w:r>
      <w:r>
        <w:t xml:space="preserve">the costs are not considered to be very high as well.</w:t>
      </w:r>
      <w:r>
        <w:br/>
      </w:r>
      <w:r>
        <w:t xml:space="preserve">Strongly</w:t>
      </w:r>
      <w:r>
        <w:t xml:space="preserve"> </w:t>
      </w:r>
      <w:r>
        <w:t xml:space="preserve">negative</w:t>
      </w:r>
    </w:p>
    <w:p>
      <w:pPr>
        <w:pStyle w:val="BodyText"/>
      </w:pPr>
      <w:r>
        <w:t xml:space="preserve">337 Operational costs, although at the low level, should increase, however, costs related to the familiarisation</w:t>
      </w:r>
      <w:r>
        <w:t xml:space="preserve"> </w:t>
      </w:r>
      <w:r>
        <w:t xml:space="preserve">activities should remain the same.</w:t>
      </w:r>
    </w:p>
    <w:p>
      <w:pPr>
        <w:pStyle w:val="BodyText"/>
      </w:pPr>
      <w:r>
        <w:t xml:space="preserve">416</w:t>
      </w:r>
      <w:r>
        <w:t xml:space="preserve"> </w:t>
      </w:r>
      <w:r>
        <w:t xml:space="preserve">Table 135: Social impact assessment Policy measure 5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  <w:r>
        <w:t xml:space="preserve"> </w:t>
      </w:r>
      <w:r>
        <w:t xml:space="preserve">(Tool</w:t>
      </w:r>
      <w:r>
        <w:t xml:space="preserve"> </w:t>
      </w:r>
      <w:r>
        <w:t xml:space="preserve">#33)</w:t>
      </w:r>
      <w:r>
        <w:t xml:space="preserve"> </w:t>
      </w:r>
      <w:r>
        <w:t xml:space="preserve">The possibility for manufacturers to provide mandatory information on</w:t>
      </w:r>
      <w:r>
        <w:t xml:space="preserve"> </w:t>
      </w:r>
      <w:r>
        <w:t xml:space="preserve">electronic labels in specific cases and/or specific products would fill a current</w:t>
      </w:r>
      <w:r>
        <w:t xml:space="preserve"> </w:t>
      </w:r>
      <w:r>
        <w:t xml:space="preserve">information gap (since this information is currently not provided on physical</w:t>
      </w:r>
      <w:r>
        <w:t xml:space="preserve"> </w:t>
      </w:r>
      <w:r>
        <w:t xml:space="preserve">labels for these products). Industry representatives (around 70%) believe that</w:t>
      </w:r>
      <w:r>
        <w:t xml:space="preserve"> </w:t>
      </w:r>
      <w:r>
        <w:t xml:space="preserve">this policy option would have a positive impact on general consumer safety.</w:t>
      </w:r>
      <w:r>
        <w:t xml:space="preserve"> </w:t>
      </w:r>
      <w:r>
        <w:t xml:space="preserve">The majority of industry stakeholders (around 60%) and 40% of stakeholders</w:t>
      </w:r>
      <w:r>
        <w:t xml:space="preserve"> </w:t>
      </w:r>
      <w:r>
        <w:t xml:space="preserve">from public authorities think that Policy measure 5 would have a positive impact</w:t>
      </w:r>
      <w:r>
        <w:t xml:space="preserve"> </w:t>
      </w:r>
      <w:r>
        <w:t xml:space="preserve">on visually impaired consumers because communication on digital labels can</w:t>
      </w:r>
      <w:r>
        <w:t xml:space="preserve"> </w:t>
      </w:r>
      <w:r>
        <w:t xml:space="preserve">transfer all the relevant information online in an easily readable way rather than</w:t>
      </w:r>
      <w:r>
        <w:t xml:space="preserve"> </w:t>
      </w:r>
      <w:r>
        <w:t xml:space="preserve">have all this information in small letters in a very limited space on a can, tin or</w:t>
      </w:r>
      <w:r>
        <w:t xml:space="preserve"> </w:t>
      </w:r>
      <w:r>
        <w:t xml:space="preserve">a tube.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Table 136: Environmental impact assessment Policy measure 5</w:t>
      </w:r>
      <w:r>
        <w:t xml:space="preserve"> </w:t>
      </w:r>
      <w:r>
        <w:t xml:space="preserve">Type of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(Tool</w:t>
      </w:r>
      <w:r>
        <w:t xml:space="preserve"> </w:t>
      </w:r>
      <w:r>
        <w:t xml:space="preserve">#36)</w:t>
      </w:r>
      <w:r>
        <w:t xml:space="preserve"> </w:t>
      </w:r>
      <w:r>
        <w:t xml:space="preserve">According to the majority of the public authorities (55%), this measure would</w:t>
      </w:r>
      <w:r>
        <w:t xml:space="preserve"> </w:t>
      </w:r>
      <w:r>
        <w:t xml:space="preserve">have a negative impact on the awareness of consumers on the effects of</w:t>
      </w:r>
      <w:r>
        <w:t xml:space="preserve"> </w:t>
      </w:r>
      <w:r>
        <w:t xml:space="preserve">dispersion of harmful substances in the natural environment. Around half of</w:t>
      </w:r>
      <w:r>
        <w:t xml:space="preserve"> </w:t>
      </w:r>
      <w:r>
        <w:t xml:space="preserve">industry representatives think that this policy measure would have no impact on</w:t>
      </w:r>
      <w:r>
        <w:t xml:space="preserve"> </w:t>
      </w:r>
      <w:r>
        <w:t xml:space="preserve">the environment.</w:t>
      </w:r>
      <w:r>
        <w:br/>
      </w:r>
      <w:r>
        <w:t xml:space="preserve">Weakly</w:t>
      </w:r>
      <w:r>
        <w:t xml:space="preserve"> </w:t>
      </w:r>
      <w:r>
        <w:t xml:space="preserve">negative</w:t>
      </w:r>
    </w:p>
    <w:p>
      <w:pPr>
        <w:pStyle w:val="BodyText"/>
      </w:pPr>
      <w:r>
        <w:t xml:space="preserve">COMPARISON OF IMPACTS AND PREFERRED OPTION</w:t>
      </w:r>
      <w:r>
        <w:t xml:space="preserve"> </w:t>
      </w:r>
      <w:r>
        <w:t xml:space="preserve">Overall comparison of the assessment criteria</w:t>
      </w:r>
      <w:r>
        <w:t xml:space="preserve"> </w:t>
      </w:r>
      <w:r>
        <w:t xml:space="preserve">The analysis in the previous chapter allows for an overall comparison of the proposed policy</w:t>
      </w:r>
      <w:r>
        <w:t xml:space="preserve"> </w:t>
      </w:r>
      <w:r>
        <w:t xml:space="preserve">measures for digital labelling. The following tables summarise the assessments of the policy</w:t>
      </w:r>
      <w:r>
        <w:t xml:space="preserve"> </w:t>
      </w:r>
      <w:r>
        <w:t xml:space="preserve">measures described in the previous section. Each impact is colour-coded as shown in Table</w:t>
      </w:r>
      <w:r>
        <w:t xml:space="preserve"> </w:t>
      </w:r>
      <w:r>
        <w:t xml:space="preserve">136. Description of the analytical methods used in preparing the impact assessment</w:t>
      </w:r>
      <w:r>
        <w:t xml:space="preserve"> </w:t>
      </w:r>
      <w:r>
        <w:t xml:space="preserve">measures together with the robustness and limitations of the analysis presented in this</w:t>
      </w:r>
      <w:r>
        <w:t xml:space="preserve"> </w:t>
      </w:r>
      <w:r>
        <w:t xml:space="preserve">chapter is available in Annex 13e.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To assess the effectiveness of each Policy Measure, firstly, we need to assess them vis-à-</w:t>
      </w:r>
      <w:r>
        <w:t xml:space="preserve"> </w:t>
      </w:r>
      <w:r>
        <w:t xml:space="preserve">vis two specific objectives of digital labelling, namely:</w:t>
      </w:r>
      <w:r>
        <w:t xml:space="preserve"> </w:t>
      </w:r>
      <w:r>
        <w:t xml:space="preserve">SO1: improve consumer understanding and awareness of labels, by simplifying and</w:t>
      </w:r>
      <w:r>
        <w:t xml:space="preserve"> </w:t>
      </w:r>
      <w:r>
        <w:t xml:space="preserve">streamlining the existing labelling requirements in the Detergents regulation.</w:t>
      </w:r>
      <w:r>
        <w:br/>
      </w:r>
      <w:r>
        <w:t xml:space="preserve">SO2: set up a future proof regulatory framework allowing the use of digital tools to</w:t>
      </w:r>
      <w:r>
        <w:t xml:space="preserve"> </w:t>
      </w:r>
      <w:r>
        <w:t xml:space="preserve">communicate product information.</w:t>
      </w:r>
      <w:r>
        <w:br/>
      </w:r>
      <w:r>
        <w:t xml:space="preserve">Note: The impacts under SO1 will be incurred by the Detergents regulation, not by CLP.</w:t>
      </w:r>
      <w:r>
        <w:t xml:space="preserve"> </w:t>
      </w:r>
      <w:r>
        <w:t xml:space="preserve">The impacts are presented here for information only and for transparency reasons.</w:t>
      </w:r>
    </w:p>
    <w:p>
      <w:pPr>
        <w:pStyle w:val="BodyText"/>
      </w:pPr>
      <w:r>
        <w:t xml:space="preserve">417</w:t>
      </w:r>
      <w:r>
        <w:t xml:space="preserve"> </w:t>
      </w:r>
      <w:r>
        <w:t xml:space="preserve">Table 137: Assessment of the Policy measures vis-à-vis the specific of objectives of the study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0</w:t>
      </w:r>
      <w:r>
        <w:t xml:space="preserve"> </w:t>
      </w:r>
      <w:r>
        <w:t xml:space="preserve">(baseline)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1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2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3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4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5</w:t>
      </w:r>
      <w:r>
        <w:t xml:space="preserve"> </w:t>
      </w:r>
      <w:r>
        <w:t xml:space="preserve">SO 1</w:t>
      </w:r>
      <w:r>
        <w:br/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SO 2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Based on the findings from the survey, public authorities and industry representatives have</w:t>
      </w:r>
      <w:r>
        <w:t xml:space="preserve"> </w:t>
      </w:r>
      <w:r>
        <w:t xml:space="preserve">expressed a very positive opinion on the impact policy measure 3 would have on the overall</w:t>
      </w:r>
      <w:r>
        <w:t xml:space="preserve"> </w:t>
      </w:r>
      <w:r>
        <w:t xml:space="preserve">consumer and end-user label readability, and safe use of the products for consumer in</w:t>
      </w:r>
      <w:r>
        <w:t xml:space="preserve"> </w:t>
      </w:r>
      <w:r>
        <w:t xml:space="preserve">comparison to the current situation. According to the consulted stakeholders, Policy</w:t>
      </w:r>
      <w:r>
        <w:t xml:space="preserve"> </w:t>
      </w:r>
      <w:r>
        <w:t xml:space="preserve">measures 2 and 5 would have a slightly positive and Policy measures 0 and 1 would have</w:t>
      </w:r>
      <w:r>
        <w:t xml:space="preserve"> </w:t>
      </w:r>
      <w:r>
        <w:t xml:space="preserve">limited or no impact on the readability and safe-use of the products. Considering Policy</w:t>
      </w:r>
      <w:r>
        <w:t xml:space="preserve"> </w:t>
      </w:r>
      <w:r>
        <w:t xml:space="preserve">measure 4, stakeholders mentioned that this policy measure would entail the possibility for</w:t>
      </w:r>
      <w:r>
        <w:t xml:space="preserve"> </w:t>
      </w:r>
      <w:r>
        <w:t xml:space="preserve">manufacturers to provide H and P statements on online labels. This possibility is considered</w:t>
      </w:r>
      <w:r>
        <w:t xml:space="preserve"> </w:t>
      </w:r>
      <w:r>
        <w:t xml:space="preserve">by public authorities and consumer representatives as potentially dangerous for consumers</w:t>
      </w:r>
      <w:r>
        <w:t xml:space="preserve"> </w:t>
      </w:r>
      <w:r>
        <w:t xml:space="preserve">and users in general. For this reason, the assessment is strongly negative.</w:t>
      </w:r>
      <w:r>
        <w:br/>
      </w:r>
      <w:r>
        <w:t xml:space="preserve">When it comes to the distinction of the impact from the Policy measure to the CLP and</w:t>
      </w:r>
      <w:r>
        <w:t xml:space="preserve"> </w:t>
      </w:r>
      <w:r>
        <w:t xml:space="preserve">Detergents Regulations, the interventions foreseen under policy measures 3 and 5</w:t>
      </w:r>
      <w:r>
        <w:t xml:space="preserve"> </w:t>
      </w:r>
      <w:r>
        <w:t xml:space="preserve">concerning consumer understanding and awareness of labels are seen positively both for</w:t>
      </w:r>
      <w:r>
        <w:t xml:space="preserve"> </w:t>
      </w:r>
      <w:r>
        <w:t xml:space="preserve">CLP and Detergents with no significant differences in the level of support from</w:t>
      </w:r>
      <w:r>
        <w:t xml:space="preserve"> </w:t>
      </w:r>
      <w:r>
        <w:t xml:space="preserve">stakeholders. In regards to Policy measure 4, stakeholders from public authorities and</w:t>
      </w:r>
      <w:r>
        <w:t xml:space="preserve"> </w:t>
      </w:r>
      <w:r>
        <w:t xml:space="preserve">industry both expressed support for the proposed interventions on the Detergents</w:t>
      </w:r>
      <w:r>
        <w:t xml:space="preserve"> </w:t>
      </w:r>
      <w:r>
        <w:t xml:space="preserve">Regulation rather than the CLP regulation under Policy Measure 4.</w:t>
      </w:r>
      <w:r>
        <w:t xml:space="preserve"> </w:t>
      </w:r>
      <w:r>
        <w:t xml:space="preserve">The second part of the assessment of effectiveness consists of analysing economic, social,</w:t>
      </w:r>
      <w:r>
        <w:t xml:space="preserve"> </w:t>
      </w:r>
      <w:r>
        <w:t xml:space="preserve">and environmental impacts.</w:t>
      </w:r>
      <w:r>
        <w:br/>
      </w:r>
      <w:r>
        <w:t xml:space="preserve">Table 138: Assessment of the Policy measures vis-à-vis economic, social, and environmental impacts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impact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1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2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3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4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5</w:t>
      </w:r>
      <w:r>
        <w:t xml:space="preserve"> </w:t>
      </w:r>
      <w:r>
        <w:t xml:space="preserve">Economic</w:t>
      </w:r>
    </w:p>
    <w:p>
      <w:pPr>
        <w:pStyle w:val="BodyText"/>
      </w:pPr>
      <w:r>
        <w:t xml:space="preserve">No or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 or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No or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Environme</w:t>
      </w:r>
      <w:r>
        <w:t xml:space="preserve"> </w:t>
      </w:r>
      <w:r>
        <w:t xml:space="preserve">ntal</w:t>
      </w:r>
      <w:r>
        <w:t xml:space="preserve"> </w:t>
      </w:r>
      <w:r>
        <w:t xml:space="preserve">No or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 or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No or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</w:p>
    <w:p>
      <w:pPr>
        <w:pStyle w:val="BodyText"/>
      </w:pPr>
      <w:r>
        <w:t xml:space="preserve">418</w:t>
      </w:r>
      <w:r>
        <w:t xml:space="preserve"> </w:t>
      </w:r>
      <w:r>
        <w:t xml:space="preserve">In terms of the economic impacts338, none of the Policy Measures would bring strongly</w:t>
      </w:r>
      <w:r>
        <w:t xml:space="preserve"> </w:t>
      </w:r>
      <w:r>
        <w:t xml:space="preserve">positive economic impact. Nonetheless, Policy Measures 3 and 5 received the highest score</w:t>
      </w:r>
      <w:r>
        <w:t xml:space="preserve"> </w:t>
      </w:r>
      <w:r>
        <w:t xml:space="preserve">of all options. The full overview of the assessment of economic impacts is available in the</w:t>
      </w:r>
      <w:r>
        <w:t xml:space="preserve"> </w:t>
      </w:r>
      <w:r>
        <w:t xml:space="preserve">table below.</w:t>
      </w:r>
      <w:r>
        <w:t xml:space="preserve"> </w:t>
      </w:r>
      <w:r>
        <w:t xml:space="preserve">Table 139: Assessment of the Policy measures vis-à-vis specific economic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1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2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3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4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5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</w:p>
    <w:p>
      <w:pPr>
        <w:pStyle w:val="BodyText"/>
      </w:pP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trade</w:t>
      </w:r>
      <w:r>
        <w:t xml:space="preserve"> </w:t>
      </w:r>
      <w:r>
        <w:t xml:space="preserve">and</w:t>
      </w:r>
      <w:r>
        <w:t xml:space="preserve"> </w:t>
      </w:r>
      <w:r>
        <w:t xml:space="preserve">investment flows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Impact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SMEs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 to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</w:p>
    <w:p>
      <w:pPr>
        <w:pStyle w:val="BodyText"/>
      </w:pPr>
      <w:r>
        <w:t xml:space="preserve">In terms of social impacts339, Policy Measure 3 scored highest as stakeholders considered</w:t>
      </w:r>
      <w:r>
        <w:t xml:space="preserve"> </w:t>
      </w:r>
      <w:r>
        <w:t xml:space="preserve">this Policy Measure to have an overall positive impact on the safe use of products by the</w:t>
      </w:r>
      <w:r>
        <w:t xml:space="preserve"> </w:t>
      </w:r>
      <w:r>
        <w:t xml:space="preserve">consumers. There was a preference for the revisions to the CLP compared to the Detergents</w:t>
      </w:r>
      <w:r>
        <w:t xml:space="preserve"> </w:t>
      </w:r>
      <w:r>
        <w:t xml:space="preserve">Regulation. Meanwhile, Policy Measure 1, 2, and 5 received a positive feedback from public</w:t>
      </w:r>
      <w:r>
        <w:t xml:space="preserve"> </w:t>
      </w:r>
      <w:r>
        <w:t xml:space="preserve">authority stakeholders, and neutral or negative feedback from industry stakeholders. Policy</w:t>
      </w:r>
      <w:r>
        <w:t xml:space="preserve"> </w:t>
      </w:r>
      <w:r>
        <w:t xml:space="preserve">Measure 4 received the lowest score in this assessment because - even though industry</w:t>
      </w:r>
      <w:r>
        <w:t xml:space="preserve"> </w:t>
      </w:r>
      <w:r>
        <w:t xml:space="preserve">stakeholders estimated an overall positive impact on consumer safety under Policy Measure</w:t>
      </w:r>
      <w:r>
        <w:t xml:space="preserve"> </w:t>
      </w:r>
      <w:r>
        <w:t xml:space="preserve">4 - this option would entail the possibility for manufacturers to provide H and P statements</w:t>
      </w:r>
      <w:r>
        <w:t xml:space="preserve"> </w:t>
      </w:r>
      <w:r>
        <w:t xml:space="preserve">on online labels. This possibility is considered by public authorities and consumer</w:t>
      </w:r>
      <w:r>
        <w:t xml:space="preserve"> </w:t>
      </w:r>
      <w:r>
        <w:t xml:space="preserve">representatives as potentially dangerous for consumers and users in general, hence, the</w:t>
      </w:r>
      <w:r>
        <w:t xml:space="preserve"> </w:t>
      </w:r>
      <w:r>
        <w:t xml:space="preserve">lower score for Policy Measure 4 in terms of its impact on consumers.</w:t>
      </w:r>
      <w:r>
        <w:t xml:space="preserve"> </w:t>
      </w:r>
      <w:r>
        <w:t xml:space="preserve">Considering the environmental impact, none of the Policy Measure received very positive</w:t>
      </w:r>
      <w:r>
        <w:t xml:space="preserve"> </w:t>
      </w:r>
      <w:r>
        <w:t xml:space="preserve">feedback from the consulted stakeholders. However, industry and public authorities had an</w:t>
      </w:r>
      <w:r>
        <w:t xml:space="preserve"> </w:t>
      </w:r>
      <w:r>
        <w:t xml:space="preserve">overall positive opinion on Policy Measure 3 in terms of its impact on the awareness of</w:t>
      </w:r>
      <w:r>
        <w:t xml:space="preserve"> </w:t>
      </w:r>
      <w:r>
        <w:t xml:space="preserve">consumers of the impact of dispersion of harmful substances in the natural environment.</w:t>
      </w:r>
      <w:r>
        <w:t xml:space="preserve"> </w:t>
      </w:r>
      <w:r>
        <w:t xml:space="preserve">Public authorities estimate a positive impact of Policy Measure 2 and a negative impact of</w:t>
      </w:r>
      <w:r>
        <w:t xml:space="preserve"> </w:t>
      </w:r>
      <w:r>
        <w:t xml:space="preserve">Policy Measure 4 on the environment, while industry stakeholders hold the exact opposite</w:t>
      </w:r>
    </w:p>
    <w:p>
      <w:pPr>
        <w:pStyle w:val="BodyText"/>
      </w:pPr>
      <w:r>
        <w:t xml:space="preserve">338 Conduct of business (BR Tools #21-25), Sectoral competitiveness, trade and investment flows (BR Tools</w:t>
      </w:r>
      <w:r>
        <w:t xml:space="preserve"> </w:t>
      </w:r>
      <w:r>
        <w:t xml:space="preserve">#21, 27), Impact to the SMEs (BR Tool #23), Technological development / digital economy (BR Tool #28),</w:t>
      </w:r>
      <w:r>
        <w:t xml:space="preserve"> </w:t>
      </w:r>
      <w:r>
        <w:t xml:space="preserve">and Impact to public authorities (BR Tool #58)</w:t>
      </w:r>
      <w:r>
        <w:t xml:space="preserve"> </w:t>
      </w:r>
      <w:r>
        <w:t xml:space="preserve">339 Impact to consumers and households (BR Tool #33).</w:t>
      </w:r>
    </w:p>
    <w:p>
      <w:pPr>
        <w:pStyle w:val="BodyText"/>
      </w:pPr>
      <w:r>
        <w:t xml:space="preserve">419</w:t>
      </w:r>
      <w:r>
        <w:t xml:space="preserve"> </w:t>
      </w:r>
      <w:r>
        <w:t xml:space="preserve">view. Policy Measure 1 is considered to have no effect to the environment, while Policy</w:t>
      </w:r>
      <w:r>
        <w:t xml:space="preserve"> </w:t>
      </w:r>
      <w:r>
        <w:t xml:space="preserve">Measure 5 is considered to have a negative impact on the environment by both types of</w:t>
      </w:r>
      <w:r>
        <w:t xml:space="preserve"> </w:t>
      </w:r>
      <w:r>
        <w:t xml:space="preserve">stakeholders.</w:t>
      </w:r>
      <w:r>
        <w:br/>
      </w:r>
      <w:r>
        <w:t xml:space="preserve">Efficiency</w:t>
      </w:r>
      <w:r>
        <w:t xml:space="preserve"> </w:t>
      </w:r>
      <w:r>
        <w:t xml:space="preserve">The assessment provides information regarding the potential costs and cost-effectiveness</w:t>
      </w:r>
      <w:r>
        <w:t xml:space="preserve"> </w:t>
      </w:r>
      <w:r>
        <w:t xml:space="preserve">for businesses. It should be noted that monetisation of costs was not feasible in all cases. In</w:t>
      </w:r>
      <w:r>
        <w:t xml:space="preserve"> </w:t>
      </w:r>
      <w:r>
        <w:t xml:space="preserve">particular, operational costs related to introducing and maintaining digital labels (costs</w:t>
      </w:r>
      <w:r>
        <w:t xml:space="preserve"> </w:t>
      </w:r>
      <w:r>
        <w:t xml:space="preserve">related to the implementation of IT solutions, maintaining website for the e-labels,</w:t>
      </w:r>
      <w:r>
        <w:t xml:space="preserve"> </w:t>
      </w:r>
      <w:r>
        <w:t xml:space="preserve">managing different data formats, costs associated with changes to design/packaging, etc)</w:t>
      </w:r>
      <w:r>
        <w:t xml:space="preserve"> </w:t>
      </w:r>
      <w:r>
        <w:t xml:space="preserve">could not be quantified. There was a similar challenge with regard to the benefits of</w:t>
      </w:r>
      <w:r>
        <w:t xml:space="preserve"> </w:t>
      </w:r>
      <w:r>
        <w:t xml:space="preserve">introducing digital labelling which could not be estimated due to the wide range of variables</w:t>
      </w:r>
      <w:r>
        <w:t xml:space="preserve"> </w:t>
      </w:r>
      <w:r>
        <w:t xml:space="preserve">affecting labels (e.g. size of the label, number of ingredients, type of chemical product, etc.).</w:t>
      </w:r>
      <w:r>
        <w:br/>
      </w:r>
      <w:r>
        <w:t xml:space="preserve">A table describing the above mentioned costs in detail is provided below.</w:t>
      </w:r>
      <w:r>
        <w:t xml:space="preserve"> </w:t>
      </w:r>
      <w:r>
        <w:t xml:space="preserve">Table 140: Analysis of the quantifiable costs</w:t>
      </w:r>
      <w:r>
        <w:t xml:space="preserve"> </w:t>
      </w:r>
      <w:r>
        <w:t xml:space="preserve">Businesses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1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2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3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4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5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(digital</w:t>
      </w:r>
      <w:r>
        <w:t xml:space="preserve"> </w:t>
      </w:r>
      <w:r>
        <w:t xml:space="preserve">labelling)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Three to four</w:t>
      </w:r>
      <w:r>
        <w:t xml:space="preserve"> </w:t>
      </w:r>
      <w:r>
        <w:t xml:space="preserve">FTEs</w:t>
      </w:r>
      <w:r>
        <w:t xml:space="preserve"> </w:t>
      </w:r>
      <w:r>
        <w:t xml:space="preserve">who</w:t>
      </w:r>
      <w:r>
        <w:t xml:space="preserve"> </w:t>
      </w:r>
      <w:r>
        <w:t xml:space="preserve">would need 10</w:t>
      </w:r>
      <w:r>
        <w:t xml:space="preserve"> </w:t>
      </w:r>
      <w:r>
        <w:t xml:space="preserve">to 20 working</w:t>
      </w:r>
      <w:r>
        <w:t xml:space="preserve"> </w:t>
      </w:r>
      <w:r>
        <w:t xml:space="preserve">days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activities (e.g. </w:t>
      </w:r>
      <w:r>
        <w:t xml:space="preserve"> </w:t>
      </w:r>
      <w:r>
        <w:t xml:space="preserve">training,</w:t>
      </w:r>
      <w:r>
        <w:t xml:space="preserve"> </w:t>
      </w:r>
      <w:r>
        <w:t xml:space="preserve">consulting) at</w:t>
      </w:r>
      <w:r>
        <w:t xml:space="preserve"> </w:t>
      </w:r>
      <w:r>
        <w:t xml:space="preserve">the company</w:t>
      </w:r>
      <w:r>
        <w:t xml:space="preserve"> </w:t>
      </w:r>
      <w:r>
        <w:t xml:space="preserve">level.</w:t>
      </w:r>
      <w:r>
        <w:br/>
      </w:r>
      <w:r>
        <w:t xml:space="preserve">Note:</w:t>
      </w:r>
      <w:r>
        <w:t xml:space="preserve"> </w:t>
      </w:r>
      <w:r>
        <w:t xml:space="preserve">under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3,</w:t>
      </w:r>
      <w:r>
        <w:t xml:space="preserve"> </w:t>
      </w:r>
      <w:r>
        <w:t xml:space="preserve">businesses</w:t>
      </w:r>
      <w:r>
        <w:t xml:space="preserve"> </w:t>
      </w:r>
      <w:r>
        <w:t xml:space="preserve">would have to</w:t>
      </w:r>
      <w:r>
        <w:t xml:space="preserve"> </w:t>
      </w:r>
      <w:r>
        <w:t xml:space="preserve">decide</w:t>
      </w:r>
      <w:r>
        <w:t xml:space="preserve"> </w:t>
      </w:r>
      <w:r>
        <w:t xml:space="preserve">themselves if</w:t>
      </w:r>
      <w:r>
        <w:t xml:space="preserve"> </w:t>
      </w:r>
      <w:r>
        <w:t xml:space="preserve">they want to</w:t>
      </w:r>
      <w:r>
        <w:t xml:space="preserve"> </w:t>
      </w:r>
      <w:r>
        <w:t xml:space="preserve">turn to digital</w:t>
      </w:r>
      <w:r>
        <w:t xml:space="preserve"> </w:t>
      </w:r>
      <w:r>
        <w:t xml:space="preserve">labelling as it</w:t>
      </w:r>
      <w:r>
        <w:t xml:space="preserve"> </w:t>
      </w:r>
      <w:r>
        <w:t xml:space="preserve">would be done</w:t>
      </w:r>
      <w:r>
        <w:t xml:space="preserve"> </w:t>
      </w:r>
      <w:r>
        <w:t xml:space="preserve">in a voluntary</w:t>
      </w:r>
      <w:r>
        <w:t xml:space="preserve"> </w:t>
      </w:r>
      <w:r>
        <w:t xml:space="preserve">basis</w:t>
      </w:r>
      <w:r>
        <w:t xml:space="preserve"> </w:t>
      </w:r>
      <w:r>
        <w:t xml:space="preserve">Three to four</w:t>
      </w:r>
      <w:r>
        <w:t xml:space="preserve"> </w:t>
      </w:r>
      <w:r>
        <w:t xml:space="preserve">FTEs</w:t>
      </w:r>
      <w:r>
        <w:t xml:space="preserve"> </w:t>
      </w:r>
      <w:r>
        <w:t xml:space="preserve">who</w:t>
      </w:r>
      <w:r>
        <w:t xml:space="preserve"> </w:t>
      </w:r>
      <w:r>
        <w:t xml:space="preserve">would need 10</w:t>
      </w:r>
      <w:r>
        <w:t xml:space="preserve"> </w:t>
      </w:r>
      <w:r>
        <w:t xml:space="preserve">to 20 working</w:t>
      </w:r>
      <w:r>
        <w:t xml:space="preserve"> </w:t>
      </w:r>
      <w:r>
        <w:t xml:space="preserve">days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activities (e.g. </w:t>
      </w:r>
      <w:r>
        <w:t xml:space="preserve"> </w:t>
      </w:r>
      <w:r>
        <w:t xml:space="preserve">training,</w:t>
      </w:r>
      <w:r>
        <w:t xml:space="preserve"> </w:t>
      </w:r>
      <w:r>
        <w:t xml:space="preserve">consulting) at</w:t>
      </w:r>
      <w:r>
        <w:t xml:space="preserve"> </w:t>
      </w:r>
      <w:r>
        <w:t xml:space="preserve">the company</w:t>
      </w:r>
      <w:r>
        <w:t xml:space="preserve"> </w:t>
      </w:r>
      <w:r>
        <w:t xml:space="preserve">level.</w:t>
      </w:r>
      <w:r>
        <w:br/>
      </w:r>
      <w:r>
        <w:t xml:space="preserve">Note:</w:t>
      </w:r>
      <w:r>
        <w:t xml:space="preserve"> </w:t>
      </w:r>
      <w:r>
        <w:t xml:space="preserve">under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4,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mandatory.</w:t>
      </w:r>
      <w:r>
        <w:t xml:space="preserve"> </w:t>
      </w:r>
      <w:r>
        <w:t xml:space="preserve">Three to four</w:t>
      </w:r>
      <w:r>
        <w:t xml:space="preserve"> </w:t>
      </w:r>
      <w:r>
        <w:t xml:space="preserve">FTEs</w:t>
      </w:r>
      <w:r>
        <w:t xml:space="preserve"> </w:t>
      </w:r>
      <w:r>
        <w:t xml:space="preserve">who</w:t>
      </w:r>
      <w:r>
        <w:t xml:space="preserve"> </w:t>
      </w:r>
      <w:r>
        <w:t xml:space="preserve">would need 10</w:t>
      </w:r>
      <w:r>
        <w:t xml:space="preserve"> </w:t>
      </w:r>
      <w:r>
        <w:t xml:space="preserve">to 20 working</w:t>
      </w:r>
      <w:r>
        <w:t xml:space="preserve"> </w:t>
      </w:r>
      <w:r>
        <w:t xml:space="preserve">days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activities (e.g. </w:t>
      </w:r>
      <w:r>
        <w:t xml:space="preserve"> </w:t>
      </w:r>
      <w:r>
        <w:t xml:space="preserve">training,</w:t>
      </w:r>
      <w:r>
        <w:t xml:space="preserve"> </w:t>
      </w:r>
      <w:r>
        <w:t xml:space="preserve">consulting) at</w:t>
      </w:r>
      <w:r>
        <w:t xml:space="preserve"> </w:t>
      </w:r>
      <w:r>
        <w:t xml:space="preserve">the company</w:t>
      </w:r>
      <w:r>
        <w:t xml:space="preserve"> </w:t>
      </w:r>
      <w:r>
        <w:t xml:space="preserve">level.</w:t>
      </w:r>
      <w:r>
        <w:br/>
      </w:r>
      <w:r>
        <w:t xml:space="preserve">Note:</w:t>
      </w:r>
      <w:r>
        <w:t xml:space="preserve"> </w:t>
      </w:r>
      <w:r>
        <w:t xml:space="preserve">under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5,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mandatory.</w:t>
      </w:r>
      <w:r>
        <w:t xml:space="preserve"> </w:t>
      </w:r>
      <w:r>
        <w:t xml:space="preserve">Source: Survey on Policy Options</w:t>
      </w:r>
      <w:r>
        <w:t xml:space="preserve"> </w:t>
      </w:r>
      <w:r>
        <w:t xml:space="preserve">Most policy measures entail non-mandatory measures (i.e. the use of electronic labels is</w:t>
      </w:r>
      <w:r>
        <w:t xml:space="preserve"> </w:t>
      </w:r>
      <w:r>
        <w:t xml:space="preserve">always a choice of individual manufacturers and – by definition – if a company choses to</w:t>
      </w:r>
      <w:r>
        <w:t xml:space="preserve"> </w:t>
      </w:r>
      <w:r>
        <w:t xml:space="preserve">invest in the use of a digital tool such as an electronic label, the expected benefits would</w:t>
      </w:r>
    </w:p>
    <w:p>
      <w:pPr>
        <w:pStyle w:val="BodyText"/>
      </w:pPr>
      <w:r>
        <w:t xml:space="preserve">420</w:t>
      </w:r>
      <w:r>
        <w:t xml:space="preserve"> </w:t>
      </w:r>
      <w:r>
        <w:t xml:space="preserve">outweigh the costs). Stakeholder perception on the costs-benefits ratio340 under each Policy</w:t>
      </w:r>
      <w:r>
        <w:t xml:space="preserve"> </w:t>
      </w:r>
      <w:r>
        <w:t xml:space="preserve">Measure is presented in the table below.</w:t>
      </w:r>
      <w:r>
        <w:t xml:space="preserve"> </w:t>
      </w:r>
      <w:r>
        <w:t xml:space="preserve">Table 141: Stakeholder perception on the cost-benefits ratio per policy option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1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2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3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4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5</w:t>
      </w:r>
      <w:r>
        <w:t xml:space="preserve"> </w:t>
      </w:r>
      <w:r>
        <w:t xml:space="preserve">Industry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Overall: -7%</w:t>
      </w:r>
      <w:r>
        <w:t xml:space="preserve"> </w:t>
      </w:r>
      <w:r>
        <w:t xml:space="preserve">CLP: -77%</w:t>
      </w:r>
      <w:r>
        <w:t xml:space="preserve"> </w:t>
      </w:r>
      <w:r>
        <w:t xml:space="preserve">Detergent: -</w:t>
      </w:r>
      <w:r>
        <w:t xml:space="preserve"> </w:t>
      </w:r>
      <w:r>
        <w:t xml:space="preserve">3%</w:t>
      </w:r>
      <w:r>
        <w:t xml:space="preserve"> </w:t>
      </w:r>
      <w:r>
        <w:t xml:space="preserve">Overall: 14%</w:t>
      </w:r>
      <w:r>
        <w:t xml:space="preserve"> </w:t>
      </w:r>
      <w:r>
        <w:t xml:space="preserve">CLP: 14%</w:t>
      </w:r>
      <w:r>
        <w:t xml:space="preserve"> </w:t>
      </w:r>
      <w:r>
        <w:t xml:space="preserve">Detergent:</w:t>
      </w:r>
      <w:r>
        <w:t xml:space="preserve"> </w:t>
      </w:r>
      <w:r>
        <w:t xml:space="preserve">7%</w:t>
      </w:r>
      <w:r>
        <w:t xml:space="preserve"> </w:t>
      </w:r>
      <w:r>
        <w:t xml:space="preserve">Overall: 34%</w:t>
      </w:r>
      <w:r>
        <w:t xml:space="preserve"> </w:t>
      </w:r>
      <w:r>
        <w:t xml:space="preserve">CLP: 35%</w:t>
      </w:r>
      <w:r>
        <w:t xml:space="preserve"> </w:t>
      </w:r>
      <w:r>
        <w:t xml:space="preserve">Detergent:</w:t>
      </w:r>
      <w:r>
        <w:t xml:space="preserve"> </w:t>
      </w:r>
      <w:r>
        <w:t xml:space="preserve">11%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Undefined</w:t>
      </w:r>
      <w:r>
        <w:t xml:space="preserve"> </w:t>
      </w:r>
      <w:r>
        <w:t xml:space="preserve">Overall: 27%</w:t>
      </w:r>
    </w:p>
    <w:p>
      <w:pPr>
        <w:pStyle w:val="BodyText"/>
      </w:pPr>
      <w:r>
        <w:t xml:space="preserve">Overall: 0%</w:t>
      </w:r>
      <w:r>
        <w:t xml:space="preserve"> </w:t>
      </w:r>
      <w:r>
        <w:t xml:space="preserve">Overall:</w:t>
      </w:r>
      <w:r>
        <w:t xml:space="preserve"> </w:t>
      </w:r>
      <w:r>
        <w:t xml:space="preserve">-</w:t>
      </w:r>
      <w:r>
        <w:t xml:space="preserve"> </w:t>
      </w:r>
      <w:r>
        <w:t xml:space="preserve">14%</w:t>
      </w:r>
      <w:r>
        <w:t xml:space="preserve"> </w:t>
      </w:r>
      <w:r>
        <w:t xml:space="preserve">Overall:</w:t>
      </w:r>
      <w:r>
        <w:t xml:space="preserve"> </w:t>
      </w:r>
      <w:r>
        <w:t xml:space="preserve">-</w:t>
      </w:r>
      <w:r>
        <w:t xml:space="preserve"> </w:t>
      </w:r>
      <w:r>
        <w:t xml:space="preserve">16%</w:t>
      </w:r>
      <w:r>
        <w:t xml:space="preserve"> </w:t>
      </w:r>
      <w:r>
        <w:t xml:space="preserve">Source: Survey on Policy Options</w:t>
      </w:r>
      <w:r>
        <w:t xml:space="preserve"> </w:t>
      </w:r>
      <w:r>
        <w:t xml:space="preserve">Coherence</w:t>
      </w:r>
      <w:r>
        <w:t xml:space="preserve"> </w:t>
      </w:r>
      <w:r>
        <w:t xml:space="preserve">In terms of coherence, the criteria for the assessment of the policy measures are:</w:t>
      </w:r>
      <w:r>
        <w:br/>
      </w:r>
      <w:r>
        <w:t xml:space="preserve">Coherence between CLP and Detergents regulations;</w:t>
      </w:r>
      <w:r>
        <w:t xml:space="preserve"> </w:t>
      </w:r>
      <w:r>
        <w:t xml:space="preserve">Coherence with digitalisation trends in the economy and other EU level and international</w:t>
      </w:r>
      <w:r>
        <w:t xml:space="preserve"> </w:t>
      </w:r>
      <w:r>
        <w:t xml:space="preserve">initiatives on the topic341.</w:t>
      </w:r>
      <w:r>
        <w:t xml:space="preserve"> </w:t>
      </w:r>
      <w:r>
        <w:t xml:space="preserve">Table 142: Assessment of coherence sub-criteria</w:t>
      </w:r>
      <w:r>
        <w:t xml:space="preserve"> </w:t>
      </w:r>
      <w:r>
        <w:t xml:space="preserve">Effectiveness criteria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1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2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3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4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5</w:t>
      </w:r>
      <w:r>
        <w:t xml:space="preserve"> </w:t>
      </w:r>
      <w:r>
        <w:t xml:space="preserve">Coherence</w:t>
      </w:r>
      <w:r>
        <w:t xml:space="preserve"> </w:t>
      </w:r>
      <w:r>
        <w:t xml:space="preserve">between</w:t>
      </w:r>
      <w:r>
        <w:t xml:space="preserve"> </w:t>
      </w:r>
      <w:r>
        <w:t xml:space="preserve">CLP and Detergents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Digitalisation trend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Undefined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Concerning the first criterion, one of the specific objectives of the regulatory intervention</w:t>
      </w:r>
      <w:r>
        <w:t xml:space="preserve"> </w:t>
      </w:r>
      <w:r>
        <w:t xml:space="preserve">is to streamline and reduce overlaps or duplications due to incoherence between the two</w:t>
      </w:r>
      <w:r>
        <w:t xml:space="preserve"> </w:t>
      </w:r>
      <w:r>
        <w:t xml:space="preserve">regulations. The legal analysis, in Annex 13c, presents inconsistencies affecting physical</w:t>
      </w:r>
      <w:r>
        <w:t xml:space="preserve"> </w:t>
      </w:r>
      <w:r>
        <w:t xml:space="preserve">labels. All policy options, except Policy Measure 1, entail a streamlining of the two</w:t>
      </w:r>
      <w:r>
        <w:t xml:space="preserve"> </w:t>
      </w:r>
      <w:r>
        <w:t xml:space="preserve">regulations leading to increased coherence of the overall regulatory framework.</w:t>
      </w:r>
      <w:r>
        <w:t xml:space="preserve"> </w:t>
      </w:r>
      <w:r>
        <w:t xml:space="preserve">Regarding the comparison of the proposed policy options in terms of coherence with market</w:t>
      </w:r>
      <w:r>
        <w:t xml:space="preserve"> </w:t>
      </w:r>
      <w:r>
        <w:t xml:space="preserve">digitalisation trends, Policy Measure 1 and Policy Measure 2, the ones that do not entail the</w:t>
      </w:r>
      <w:r>
        <w:t xml:space="preserve"> </w:t>
      </w:r>
      <w:r>
        <w:t xml:space="preserve">possibility for manufacturers to provide information exclusively on electronic labels, score</w:t>
      </w:r>
    </w:p>
    <w:p>
      <w:pPr>
        <w:pStyle w:val="BodyText"/>
      </w:pPr>
      <w:r>
        <w:t xml:space="preserve">340 Ratio of stakeholders who have indicated that cost and benefits under the Policy Option are high or very</w:t>
      </w:r>
      <w:r>
        <w:t xml:space="preserve"> </w:t>
      </w:r>
      <w:r>
        <w:t xml:space="preserve">high. If the ratio is negative it means stakeholders estimate higher costs than benefits under the option.</w:t>
      </w:r>
      <w:r>
        <w:t xml:space="preserve"> </w:t>
      </w:r>
      <w:r>
        <w:t xml:space="preserve">341 Results on the stakeholders’ perception on the coherence with the digitalisation trends is also included as</w:t>
      </w:r>
      <w:r>
        <w:t xml:space="preserve"> </w:t>
      </w:r>
      <w:r>
        <w:t xml:space="preserve">one of the economic impacts, namely “Technological development / Digital economy (Tool #28)”.</w:t>
      </w:r>
    </w:p>
    <w:p>
      <w:pPr>
        <w:pStyle w:val="BodyText"/>
      </w:pPr>
      <w:r>
        <w:t xml:space="preserve">421</w:t>
      </w:r>
      <w:r>
        <w:t xml:space="preserve"> </w:t>
      </w:r>
      <w:r>
        <w:t xml:space="preserve">lower in comparison to options that allow the use of electronic labels to replace (even if</w:t>
      </w:r>
      <w:r>
        <w:t xml:space="preserve"> </w:t>
      </w:r>
      <w:r>
        <w:t xml:space="preserve">only partially) physical labels. From Policy Measure 3 onwards, the possibility to use</w:t>
      </w:r>
      <w:r>
        <w:t xml:space="preserve"> </w:t>
      </w:r>
      <w:r>
        <w:t xml:space="preserve">electronic labels would be coherent with other similar initiatives of the European</w:t>
      </w:r>
      <w:r>
        <w:t xml:space="preserve"> </w:t>
      </w:r>
      <w:r>
        <w:t xml:space="preserve">Commission related to the digitalisation of product information (i.e. the sustainable product</w:t>
      </w:r>
      <w:r>
        <w:t xml:space="preserve"> </w:t>
      </w:r>
      <w:r>
        <w:t xml:space="preserve">initiative and the digital product passport), but also with recent discussion of the GHS about</w:t>
      </w:r>
      <w:r>
        <w:t xml:space="preserve"> </w:t>
      </w:r>
      <w:r>
        <w:t xml:space="preserve">the possibility for a digital communication of hazards for chemical products.</w:t>
      </w:r>
      <w:r>
        <w:t xml:space="preserve"> </w:t>
      </w:r>
      <w:r>
        <w:t xml:space="preserve">A table comparing the overall assessment of key stakeholders and the median rating (from</w:t>
      </w:r>
      <w:r>
        <w:t xml:space="preserve"> </w:t>
      </w:r>
      <w:r>
        <w:t xml:space="preserve">-5 to +5) of the Policy Measures is presented in the table below.</w:t>
      </w:r>
      <w:r>
        <w:t xml:space="preserve"> </w:t>
      </w:r>
      <w:r>
        <w:t xml:space="preserve">Table 143: Stakeholders’ opinion on the Policy Measures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1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2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3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4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Overall: 4</w:t>
      </w:r>
      <w:r>
        <w:t xml:space="preserve"> </w:t>
      </w:r>
      <w:r>
        <w:t xml:space="preserve">CLP: 4</w:t>
      </w:r>
      <w:r>
        <w:t xml:space="preserve"> </w:t>
      </w:r>
      <w:r>
        <w:t xml:space="preserve">Detergents 4</w:t>
      </w:r>
      <w:r>
        <w:t xml:space="preserve"> </w:t>
      </w:r>
      <w:r>
        <w:t xml:space="preserve">Overall: 4</w:t>
      </w:r>
      <w:r>
        <w:t xml:space="preserve"> </w:t>
      </w:r>
      <w:r>
        <w:t xml:space="preserve">Sub-option</w:t>
      </w:r>
      <w:r>
        <w:t xml:space="preserve"> </w:t>
      </w:r>
      <w:r>
        <w:t xml:space="preserve">2(a): 4</w:t>
      </w:r>
      <w:r>
        <w:t xml:space="preserve"> </w:t>
      </w:r>
      <w:r>
        <w:t xml:space="preserve">Sub-option</w:t>
      </w:r>
      <w:r>
        <w:t xml:space="preserve"> </w:t>
      </w:r>
      <w:r>
        <w:t xml:space="preserve">2(b): 4</w:t>
      </w:r>
      <w:r>
        <w:t xml:space="preserve"> </w:t>
      </w:r>
      <w:r>
        <w:t xml:space="preserve">Overall: 4</w:t>
      </w:r>
      <w:r>
        <w:t xml:space="preserve"> </w:t>
      </w:r>
      <w:r>
        <w:t xml:space="preserve">CLP: 3</w:t>
      </w:r>
      <w:r>
        <w:t xml:space="preserve"> </w:t>
      </w:r>
      <w:r>
        <w:t xml:space="preserve">Detergents 4</w:t>
      </w:r>
      <w:r>
        <w:t xml:space="preserve"> </w:t>
      </w:r>
      <w:r>
        <w:t xml:space="preserve">Overall: -2</w:t>
      </w:r>
      <w:r>
        <w:t xml:space="preserve"> </w:t>
      </w:r>
      <w:r>
        <w:t xml:space="preserve">CLP: -1</w:t>
      </w:r>
      <w:r>
        <w:t xml:space="preserve"> </w:t>
      </w:r>
      <w:r>
        <w:t xml:space="preserve">Detergents 2</w:t>
      </w:r>
      <w:r>
        <w:t xml:space="preserve"> </w:t>
      </w:r>
      <w:r>
        <w:t xml:space="preserve">Overall: 2</w:t>
      </w:r>
      <w:r>
        <w:t xml:space="preserve"> </w:t>
      </w:r>
      <w:r>
        <w:t xml:space="preserve">CLP: 1</w:t>
      </w:r>
      <w:r>
        <w:t xml:space="preserve"> </w:t>
      </w:r>
      <w:r>
        <w:t xml:space="preserve">Detergents 1</w:t>
      </w:r>
      <w:r>
        <w:t xml:space="preserve"> </w:t>
      </w:r>
      <w:r>
        <w:t xml:space="preserve">Industry</w:t>
      </w:r>
      <w:r>
        <w:t xml:space="preserve"> </w:t>
      </w:r>
      <w:r>
        <w:t xml:space="preserve">Overall: -3.5</w:t>
      </w:r>
      <w:r>
        <w:t xml:space="preserve"> </w:t>
      </w:r>
      <w:r>
        <w:t xml:space="preserve">CLP: -3</w:t>
      </w:r>
      <w:r>
        <w:t xml:space="preserve"> </w:t>
      </w:r>
      <w:r>
        <w:t xml:space="preserve">Detergents: -</w:t>
      </w:r>
      <w:r>
        <w:t xml:space="preserve"> </w:t>
      </w:r>
      <w:r>
        <w:t xml:space="preserve">3</w:t>
      </w:r>
      <w:r>
        <w:t xml:space="preserve"> </w:t>
      </w:r>
      <w:r>
        <w:t xml:space="preserve">Overall: 1.5</w:t>
      </w:r>
      <w:r>
        <w:t xml:space="preserve"> </w:t>
      </w:r>
      <w:r>
        <w:t xml:space="preserve">CLP: 3</w:t>
      </w:r>
      <w:r>
        <w:t xml:space="preserve"> </w:t>
      </w:r>
      <w:r>
        <w:t xml:space="preserve">Detergents 4</w:t>
      </w:r>
      <w:r>
        <w:t xml:space="preserve"> </w:t>
      </w:r>
      <w:r>
        <w:t xml:space="preserve">Overall: 3</w:t>
      </w:r>
      <w:r>
        <w:t xml:space="preserve"> </w:t>
      </w:r>
      <w:r>
        <w:t xml:space="preserve">CLP: 2</w:t>
      </w:r>
      <w:r>
        <w:t xml:space="preserve"> </w:t>
      </w:r>
      <w:r>
        <w:t xml:space="preserve">Detergents 3</w:t>
      </w:r>
      <w:r>
        <w:t xml:space="preserve"> </w:t>
      </w:r>
      <w:r>
        <w:t xml:space="preserve">Overall: 5</w:t>
      </w:r>
      <w:r>
        <w:t xml:space="preserve"> </w:t>
      </w:r>
      <w:r>
        <w:t xml:space="preserve">CLP: 4</w:t>
      </w:r>
      <w:r>
        <w:t xml:space="preserve"> </w:t>
      </w:r>
      <w:r>
        <w:t xml:space="preserve">Detergents 5</w:t>
      </w:r>
      <w:r>
        <w:t xml:space="preserve"> </w:t>
      </w:r>
      <w:r>
        <w:t xml:space="preserve">Overall: 3</w:t>
      </w:r>
      <w:r>
        <w:t xml:space="preserve"> </w:t>
      </w:r>
      <w:r>
        <w:t xml:space="preserve">CLP: 3</w:t>
      </w:r>
      <w:r>
        <w:t xml:space="preserve"> </w:t>
      </w:r>
      <w:r>
        <w:t xml:space="preserve">Detergents</w:t>
      </w:r>
      <w:r>
        <w:t xml:space="preserve"> </w:t>
      </w:r>
      <w:r>
        <w:t xml:space="preserve">2.5</w:t>
      </w:r>
      <w:r>
        <w:t xml:space="preserve"> </w:t>
      </w:r>
      <w:r>
        <w:t xml:space="preserve">Source: Survey on Policy Options</w:t>
      </w:r>
      <w:r>
        <w:t xml:space="preserve"> </w:t>
      </w:r>
      <w:r>
        <w:t xml:space="preserve">The preferred policy option</w:t>
      </w:r>
      <w:r>
        <w:t xml:space="preserve"> </w:t>
      </w:r>
      <w:r>
        <w:t xml:space="preserve">According to the analysis performed, Policy Measure 3 is the overall preferred option</w:t>
      </w:r>
      <w:r>
        <w:t xml:space="preserve"> </w:t>
      </w:r>
      <w:r>
        <w:t xml:space="preserve">because it combines the necessary and widely requested simplification and streamlining</w:t>
      </w:r>
      <w:r>
        <w:t xml:space="preserve"> </w:t>
      </w:r>
      <w:r>
        <w:t xml:space="preserve">interventions foreseen under Policy Measure 2 with the possibility for businesses to adopt</w:t>
      </w:r>
      <w:r>
        <w:t xml:space="preserve"> </w:t>
      </w:r>
      <w:r>
        <w:t xml:space="preserve">digital labels. This solution as a first step,is considered positively by the majority of the</w:t>
      </w:r>
      <w:r>
        <w:t xml:space="preserve"> </w:t>
      </w:r>
      <w:r>
        <w:t xml:space="preserve">consulted stakeholders and strongly in line with the digitalisation trends. Summary of the</w:t>
      </w:r>
      <w:r>
        <w:t xml:space="preserve"> </w:t>
      </w:r>
      <w:r>
        <w:t xml:space="preserve">costs and benefits under the preferred option are in line with the Better Regulation</w:t>
      </w:r>
      <w:r>
        <w:t xml:space="preserve"> </w:t>
      </w:r>
      <w:r>
        <w:t xml:space="preserve">Guidelines, and is available in Annex 13d.</w:t>
      </w:r>
      <w:r>
        <w:t xml:space="preserve"> </w:t>
      </w:r>
      <w:r>
        <w:t xml:space="preserve">Policy Measure 3 is the only option that would have a strongly positive impact on both</w:t>
      </w:r>
      <w:r>
        <w:t xml:space="preserve"> </w:t>
      </w:r>
      <w:r>
        <w:t xml:space="preserve">specific objectives (SO) of this initiatve, namely:</w:t>
      </w:r>
      <w:r>
        <w:t xml:space="preserve"> </w:t>
      </w:r>
      <w:r>
        <w:t xml:space="preserve">SO1: improve consumer understanding and awareness of labels, by simplifying and</w:t>
      </w:r>
      <w:r>
        <w:t xml:space="preserve"> </w:t>
      </w:r>
      <w:r>
        <w:t xml:space="preserve">streamlining the existing labelling requirements in the Detergents regulation.</w:t>
      </w:r>
      <w:r>
        <w:br/>
      </w:r>
      <w:r>
        <w:t xml:space="preserve">SO2: set up a future proof regulatory framework allowing the use of digital tools to</w:t>
      </w:r>
      <w:r>
        <w:t xml:space="preserve"> </w:t>
      </w:r>
      <w:r>
        <w:t xml:space="preserve">communicate product information.</w:t>
      </w:r>
      <w:r>
        <w:t xml:space="preserve"> </w:t>
      </w:r>
      <w:r>
        <w:t xml:space="preserve">In terms of effectiveness, Policy Measure 3 was ranked as the most effective Policy Measure</w:t>
      </w:r>
      <w:r>
        <w:t xml:space="preserve"> </w:t>
      </w:r>
      <w:r>
        <w:t xml:space="preserve">in terms of addressing social, and environmental impacts. Concerning social impacts,</w:t>
      </w:r>
      <w:r>
        <w:t xml:space="preserve"> </w:t>
      </w:r>
      <w:r>
        <w:t xml:space="preserve">consulted stakeholders consider the revisions under Policy Measure 3 to have an overall</w:t>
      </w:r>
      <w:r>
        <w:t xml:space="preserve"> </w:t>
      </w:r>
      <w:r>
        <w:t xml:space="preserve">positive impact on the safe use of products (with a preference for revisions to the Detergents</w:t>
      </w:r>
    </w:p>
    <w:p>
      <w:pPr>
        <w:pStyle w:val="BodyText"/>
      </w:pPr>
      <w:r>
        <w:t xml:space="preserve">422</w:t>
      </w:r>
      <w:r>
        <w:t xml:space="preserve"> </w:t>
      </w:r>
      <w:r>
        <w:t xml:space="preserve">Regulation compared to the CLP). Moreover, Policy Measure 3 is as effective as Policy</w:t>
      </w:r>
      <w:r>
        <w:t xml:space="preserve"> </w:t>
      </w:r>
      <w:r>
        <w:t xml:space="preserve">Measure 5 in terms of its economic impacts.</w:t>
      </w:r>
      <w:r>
        <w:br/>
      </w:r>
      <w:r>
        <w:t xml:space="preserve">In terms of the efficiency, industry stakeholders considered Policy Measures 4 and 5 as</w:t>
      </w:r>
      <w:r>
        <w:t xml:space="preserve"> </w:t>
      </w:r>
      <w:r>
        <w:t xml:space="preserve">more cost-effective than Policy Measure 3. Nonetheless, when it comes to public</w:t>
      </w:r>
      <w:r>
        <w:t xml:space="preserve"> </w:t>
      </w:r>
      <w:r>
        <w:t xml:space="preserve">authorities’ perception on costs and benefits of the Policy Measures that promote the use of</w:t>
      </w:r>
      <w:r>
        <w:t xml:space="preserve"> </w:t>
      </w:r>
      <w:r>
        <w:t xml:space="preserve">digital labels, Policy Measure 3 was the only option that did not receive an overall negative</w:t>
      </w:r>
      <w:r>
        <w:t xml:space="preserve"> </w:t>
      </w:r>
      <w:r>
        <w:t xml:space="preserve">assessment.</w:t>
      </w:r>
      <w:r>
        <w:br/>
      </w:r>
      <w:r>
        <w:t xml:space="preserve">Most importantly, Policy Measure 3 was the only Policy Measure that received a very</w:t>
      </w:r>
      <w:r>
        <w:t xml:space="preserve"> </w:t>
      </w:r>
      <w:r>
        <w:t xml:space="preserve">positive overall assessment (median ≥ 3) from industry and public authority stakeholders.</w:t>
      </w:r>
      <w:r>
        <w:t xml:space="preserve"> </w:t>
      </w:r>
      <w:r>
        <w:t xml:space="preserve">Public authorities assessed the overall impact of Policy Measure 1, 2, and 3 as strongly</w:t>
      </w:r>
      <w:r>
        <w:t xml:space="preserve"> </w:t>
      </w:r>
      <w:r>
        <w:t xml:space="preserve">positive, while the industry had a general preference towards Policy Measure 3, 4, and 5.</w:t>
      </w:r>
      <w:r>
        <w:t xml:space="preserve"> </w:t>
      </w:r>
      <w:r>
        <w:t xml:space="preserve">Therefore, Policy Measure 3 is the only option that was assessed positively both by the</w:t>
      </w:r>
      <w:r>
        <w:t xml:space="preserve"> </w:t>
      </w:r>
      <w:r>
        <w:t xml:space="preserve">industry and public authorities.</w:t>
      </w:r>
      <w:r>
        <w:t xml:space="preserve"> </w:t>
      </w:r>
      <w:r>
        <w:t xml:space="preserve">To conclude, the analysis has shown that Policy Measure 3 is the overall preferred option.</w:t>
      </w:r>
      <w:r>
        <w:t xml:space="preserve"> </w:t>
      </w:r>
      <w:r>
        <w:t xml:space="preserve">It scores the highest overall in effectiveness and coherence, and is the most cost-effective</w:t>
      </w:r>
      <w:r>
        <w:t xml:space="preserve"> </w:t>
      </w:r>
      <w:r>
        <w:t xml:space="preserve">Policy Measure promoting the use of the digital labels according to the public authority</w:t>
      </w:r>
      <w:r>
        <w:t xml:space="preserve"> </w:t>
      </w:r>
      <w:r>
        <w:t xml:space="preserve">stakeholders.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2026-07-31T16:47:35Z</dcterms:created>
  <dcterms:modified xsi:type="dcterms:W3CDTF">2026-07-31T16:47:35Z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