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FirstParagraph"/>
      </w:pPr>
      <w:r>
        <w:t xml:space="preserve">EN</w:t>
      </w:r>
    </w:p>
    <w:p>
      <w:pPr>
        <w:pStyle w:val="BodyText"/>
      </w:pPr>
      <w:r>
        <w:t xml:space="preserve">EN</w:t>
      </w:r>
    </w:p>
    <w:p>
      <w:pPr>
        <w:pStyle w:val="BodyText"/>
      </w:pPr>
      <w:r>
        <w:t xml:space="preserve">EUROPEAN</w:t>
      </w:r>
      <w:r>
        <w:t xml:space="preserve"> </w:t>
      </w:r>
      <w:r>
        <w:t xml:space="preserve">COMMISSION</w:t>
      </w:r>
      <w:r>
        <w:t xml:space="preserve"> </w:t>
      </w:r>
      <w:r>
        <w:t xml:space="preserve">Brussels, 19.12.2022</w:t>
      </w:r>
      <w:r>
        <w:br/>
      </w:r>
      <w:r>
        <w:t xml:space="preserve">SWD(2022) 435 final</w:t>
      </w:r>
      <w:r>
        <w:t xml:space="preserve"> </w:t>
      </w:r>
      <w:r>
        <w:t xml:space="preserve">PART 5/5</w:t>
      </w:r>
    </w:p>
    <w:p>
      <w:pPr>
        <w:pStyle w:val="BodyText"/>
      </w:pPr>
      <w:r>
        <w:t xml:space="preserve">COMMISSION STAFF WORKING DOCUMENT</w:t>
      </w:r>
    </w:p>
    <w:p>
      <w:pPr>
        <w:pStyle w:val="BodyText"/>
      </w:pPr>
      <w:r>
        <w:t xml:space="preserve">IMPACT ASSESSMENT REPORT</w:t>
      </w:r>
    </w:p>
    <w:p>
      <w:pPr>
        <w:pStyle w:val="BodyText"/>
      </w:pPr>
      <w:r>
        <w:t xml:space="preserve">Accompanying the document</w:t>
      </w:r>
      <w:r>
        <w:t xml:space="preserve"> </w:t>
      </w:r>
      <w:r>
        <w:t xml:space="preserve">Proposal for a Regulation of the European Parliament and of the Council</w:t>
      </w:r>
      <w:r>
        <w:t xml:space="preserve"> </w:t>
      </w:r>
      <w:r>
        <w:t xml:space="preserve">amending Regulation (EC) No 1272/2008 of the European Parliament and of the Council</w:t>
      </w:r>
      <w:r>
        <w:t xml:space="preserve"> </w:t>
      </w:r>
      <w:r>
        <w:t xml:space="preserve">on classification, labelling and packaging of substances and mixtures</w:t>
      </w:r>
      <w:r>
        <w:t xml:space="preserve"> </w:t>
      </w:r>
      <w:r>
        <w:t xml:space="preserve">{COM(2022) 748 final} - {SEC(2022) 452 final} - {SWD(2022) 434 final} -</w:t>
      </w:r>
      <w:r>
        <w:t xml:space="preserve"> </w:t>
      </w:r>
      <w:r>
        <w:t xml:space="preserve">{SWD(2022) 436 final}</w:t>
      </w:r>
    </w:p>
    <w:p>
      <w:pPr>
        <w:pStyle w:val="BodyText"/>
      </w:pPr>
      <w:r>
        <w:t xml:space="preserve">466</w:t>
      </w:r>
    </w:p>
    <w:p>
      <w:pPr>
        <w:pStyle w:val="BodyText"/>
      </w:pPr>
      <w:r>
        <w:t xml:space="preserve">Q18. To what extent could the information of fertiliser be removed from the on-pack</w:t>
      </w:r>
      <w:r>
        <w:t xml:space="preserve"> </w:t>
      </w:r>
      <w:r>
        <w:t xml:space="preserve">label and transferred to a digital label?</w:t>
      </w:r>
      <w:r>
        <w:t xml:space="preserve"> </w:t>
      </w:r>
      <w:r>
        <w:t xml:space="preserve">First of all, the majority of the respondents across all stakeholder groups are of an opinion that</w:t>
      </w:r>
      <w:r>
        <w:t xml:space="preserve"> </w:t>
      </w:r>
      <w:r>
        <w:t xml:space="preserve">for the production date1, and the function of the product2, all information should remain on</w:t>
      </w:r>
      <w:r>
        <w:t xml:space="preserve"> </w:t>
      </w:r>
      <w:r>
        <w:t xml:space="preserve">the on-pack label.</w:t>
      </w:r>
      <w:r>
        <w:br/>
      </w:r>
      <w:r>
        <w:t xml:space="preserve">Then, regarding the possibility to move some information on a digital label, the majority of</w:t>
      </w:r>
      <w:r>
        <w:t xml:space="preserve"> </w:t>
      </w:r>
      <w:r>
        <w:t xml:space="preserve">the respondents think that the information from the on-pack label should be transferred to a</w:t>
      </w:r>
      <w:r>
        <w:t xml:space="preserve"> </w:t>
      </w:r>
      <w:r>
        <w:t xml:space="preserve">digital label concerning: coating agents (for coated fertilisers)3, Low in cadmium statements4,</w:t>
      </w:r>
      <w:r>
        <w:t xml:space="preserve"> </w:t>
      </w:r>
      <w:r>
        <w:t xml:space="preserve">Poor in chloride statements5, and the List of ingredients6.</w:t>
      </w:r>
      <w:r>
        <w:t xml:space="preserve"> </w:t>
      </w:r>
      <w:r>
        <w:t xml:space="preserve">In addition, respondents provided that at least basic information could be provided on pack</w:t>
      </w:r>
      <w:r>
        <w:t xml:space="preserve"> </w:t>
      </w:r>
      <w:r>
        <w:t xml:space="preserve">and more details on a digital label for the following category of information7: solubility of</w:t>
      </w:r>
      <w:r>
        <w:t xml:space="preserve"> </w:t>
      </w:r>
      <w:r>
        <w:t xml:space="preserve">phosphorus; reference to inhibitors, chelating and complexing agents; measures to mitigate</w:t>
      </w:r>
      <w:r>
        <w:t xml:space="preserve"> </w:t>
      </w:r>
      <w:r>
        <w:t xml:space="preserve">risks; product storage instructions; and product use instructions.</w:t>
      </w:r>
      <w:r>
        <w:br/>
      </w:r>
      <w:r>
        <w:t xml:space="preserve">In regards to the other parts of the information, the respondents had different views on what</w:t>
      </w:r>
      <w:r>
        <w:t xml:space="preserve"> </w:t>
      </w:r>
      <w:r>
        <w:t xml:space="preserve">kind of information should remain on the on-pack label, should be kept on the on-pack label</w:t>
      </w:r>
      <w:r>
        <w:t xml:space="preserve"> </w:t>
      </w:r>
      <w:r>
        <w:t xml:space="preserve">and more details provided via a digital label, or transferred to a digital label completely. The</w:t>
      </w:r>
      <w:r>
        <w:t xml:space="preserve"> </w:t>
      </w:r>
      <w:r>
        <w:t xml:space="preserve">full overview of the responses to this question is provided in the table below.</w:t>
      </w:r>
    </w:p>
    <w:p>
      <w:pPr>
        <w:pStyle w:val="BodyText"/>
      </w:pPr>
      <w:r>
        <w:t xml:space="preserve">1 55 out of 100 total responses.</w:t>
      </w:r>
      <w:r>
        <w:t xml:space="preserve"> </w:t>
      </w:r>
      <w:r>
        <w:t xml:space="preserve">2 58 out of 103 total responses.</w:t>
      </w:r>
      <w:r>
        <w:t xml:space="preserve"> </w:t>
      </w:r>
      <w:r>
        <w:t xml:space="preserve">3 50 out of 92 total responses.</w:t>
      </w:r>
      <w:r>
        <w:t xml:space="preserve"> </w:t>
      </w:r>
      <w:r>
        <w:t xml:space="preserve">4 58 out of 95 total responses.</w:t>
      </w:r>
      <w:r>
        <w:t xml:space="preserve"> </w:t>
      </w:r>
      <w:r>
        <w:t xml:space="preserve">5 51 out of 95 total responses.</w:t>
      </w:r>
      <w:r>
        <w:t xml:space="preserve"> </w:t>
      </w:r>
      <w:r>
        <w:t xml:space="preserve">6 56 out of 103 total responses.</w:t>
      </w:r>
      <w:r>
        <w:t xml:space="preserve"> </w:t>
      </w:r>
      <w:r>
        <w:t xml:space="preserve">7 Based on the combined answers given for “basic information should be kept on pack and more details provided</w:t>
      </w:r>
      <w:r>
        <w:t xml:space="preserve"> </w:t>
      </w:r>
      <w:r>
        <w:t xml:space="preserve">via a digital label” and “information should move to a digital label”.</w:t>
      </w:r>
    </w:p>
    <w:p>
      <w:pPr>
        <w:pStyle w:val="BodyText"/>
      </w:pPr>
      <w:r>
        <w:t xml:space="preserve">467</w:t>
      </w:r>
    </w:p>
    <w:p>
      <w:pPr>
        <w:pStyle w:val="BodyText"/>
      </w:pPr>
      <w:r>
        <w:t xml:space="preserve">However, regarding the answers given specifically by stakeholders representing consumers,</w:t>
      </w:r>
      <w:r>
        <w:t xml:space="preserve"> </w:t>
      </w:r>
      <w:r>
        <w:t xml:space="preserve">the answers are more divided and no consensus can be found regarding a category of</w:t>
      </w:r>
      <w:r>
        <w:t xml:space="preserve"> </w:t>
      </w:r>
      <w:r>
        <w:t xml:space="preserve">information that should move completely to a digital label. According to the answers given by</w:t>
      </w:r>
      <w:r>
        <w:t xml:space="preserve"> </w:t>
      </w:r>
      <w:r>
        <w:t xml:space="preserve">this stakeholder group, information could be moved online if basic information are kept on</w:t>
      </w:r>
      <w:r>
        <w:t xml:space="preserve"> </w:t>
      </w:r>
      <w:r>
        <w:t xml:space="preserve">pack and only more information are provided on a digital label, for the following categories of</w:t>
      </w:r>
      <w:r>
        <w:t xml:space="preserve"> </w:t>
      </w:r>
      <w:r>
        <w:t xml:space="preserve">information8: product use instructions; product storage instructions; nutrients content, organic</w:t>
      </w:r>
      <w:r>
        <w:t xml:space="preserve"> </w:t>
      </w:r>
      <w:r>
        <w:t xml:space="preserve">carbon / dry matter content; poor in chloride; low in cadmium; references to inhibitors,</w:t>
      </w:r>
      <w:r>
        <w:t xml:space="preserve"> </w:t>
      </w:r>
      <w:r>
        <w:t xml:space="preserve">chelating and complexing agents; solubility of phosphorus; and coating agents.</w:t>
      </w:r>
      <w:r>
        <w:t xml:space="preserve"> </w:t>
      </w:r>
      <w:r>
        <w:t xml:space="preserve">Q18a-e. To what extent could the information of a fertilising product mentioned below</w:t>
      </w:r>
      <w:r>
        <w:t xml:space="preserve"> </w:t>
      </w:r>
      <w:r>
        <w:t xml:space="preserve">be removed from the on-pack label and transferred to a digital label?</w:t>
      </w:r>
      <w:r>
        <w:t xml:space="preserve"> </w:t>
      </w:r>
      <w:r>
        <w:t xml:space="preserve">Overall, the analysis did find substantial differences, and answers were consistent among the</w:t>
      </w:r>
      <w:r>
        <w:t xml:space="preserve"> </w:t>
      </w:r>
      <w:r>
        <w:t xml:space="preserve">different fertilising products.- Respondents agreed that the following information needed to</w:t>
      </w:r>
      <w:r>
        <w:t xml:space="preserve"> </w:t>
      </w:r>
      <w:r>
        <w:t xml:space="preserve">stay on pack for all products: quantity (and granulometry/volume where relevant) and the</w:t>
      </w:r>
      <w:r>
        <w:t xml:space="preserve"> </w:t>
      </w:r>
      <w:r>
        <w:t xml:space="preserve">function of the product. In addition, other categories of information relevant for:</w:t>
      </w:r>
      <w:r>
        <w:t xml:space="preserve"> </w:t>
      </w:r>
      <w:r>
        <w:t xml:space="preserve">1 liming material: the calcium oxide and magnesium oxide, as well as reactivity of the</w:t>
      </w:r>
      <w:r>
        <w:t xml:space="preserve"> </w:t>
      </w:r>
      <w:r>
        <w:t xml:space="preserve">product;</w:t>
      </w:r>
      <w:r>
        <w:t xml:space="preserve"> </w:t>
      </w:r>
      <w:r>
        <w:t xml:space="preserve">2 soil improver: dry matter content, pH value, nutrients content and organic Carbon</w:t>
      </w:r>
      <w:r>
        <w:t xml:space="preserve"> </w:t>
      </w:r>
      <w:r>
        <w:t xml:space="preserve">(Corg) content;</w:t>
      </w:r>
      <w:r>
        <w:t xml:space="preserve"> </w:t>
      </w:r>
      <w:r>
        <w:t xml:space="preserve">3 growing medium: the production date;</w:t>
      </w:r>
    </w:p>
    <w:p>
      <w:pPr>
        <w:pStyle w:val="BodyText"/>
      </w:pPr>
      <w:r>
        <w:t xml:space="preserve">8 Based on the combined answers given for “basic information should be kept on pack and more details provided</w:t>
      </w:r>
      <w:r>
        <w:t xml:space="preserve"> </w:t>
      </w:r>
      <w:r>
        <w:t xml:space="preserve">via a digital label” and “information should move to a digital label”.</w:t>
      </w:r>
      <w:r>
        <w:br/>
      </w:r>
      <w:r>
        <w:t xml:space="preserve">42%</w:t>
      </w:r>
      <w:r>
        <w:t xml:space="preserve"> </w:t>
      </w:r>
      <w:r>
        <w:t xml:space="preserve">56%</w:t>
      </w:r>
      <w:r>
        <w:t xml:space="preserve"> </w:t>
      </w:r>
      <w:r>
        <w:t xml:space="preserve">46%</w:t>
      </w:r>
      <w:r>
        <w:t xml:space="preserve"> </w:t>
      </w:r>
      <w:r>
        <w:t xml:space="preserve">41%</w:t>
      </w:r>
      <w:r>
        <w:t xml:space="preserve"> </w:t>
      </w:r>
      <w:r>
        <w:t xml:space="preserve">31%</w:t>
      </w:r>
      <w:r>
        <w:t xml:space="preserve"> </w:t>
      </w:r>
      <w:r>
        <w:t xml:space="preserve">28%</w:t>
      </w:r>
      <w:r>
        <w:t xml:space="preserve"> </w:t>
      </w:r>
      <w:r>
        <w:t xml:space="preserve">25%</w:t>
      </w:r>
      <w:r>
        <w:t xml:space="preserve"> </w:t>
      </w:r>
      <w:r>
        <w:t xml:space="preserve">22%</w:t>
      </w:r>
      <w:r>
        <w:t xml:space="preserve"> </w:t>
      </w:r>
      <w:r>
        <w:t xml:space="preserve">22%</w:t>
      </w:r>
      <w:r>
        <w:t xml:space="preserve"> </w:t>
      </w:r>
      <w:r>
        <w:t xml:space="preserve">20%</w:t>
      </w:r>
      <w:r>
        <w:t xml:space="preserve"> </w:t>
      </w:r>
      <w:r>
        <w:t xml:space="preserve">55%</w:t>
      </w:r>
      <w:r>
        <w:t xml:space="preserve"> </w:t>
      </w:r>
      <w:r>
        <w:t xml:space="preserve">22%</w:t>
      </w:r>
      <w:r>
        <w:t xml:space="preserve"> </w:t>
      </w:r>
      <w:r>
        <w:t xml:space="preserve">29%</w:t>
      </w:r>
      <w:r>
        <w:t xml:space="preserve"> </w:t>
      </w:r>
      <w:r>
        <w:t xml:space="preserve">14%</w:t>
      </w:r>
      <w:r>
        <w:t xml:space="preserve"> </w:t>
      </w:r>
      <w:r>
        <w:t xml:space="preserve">46%</w:t>
      </w:r>
      <w:r>
        <w:t xml:space="preserve"> </w:t>
      </w:r>
      <w:r>
        <w:t xml:space="preserve">35%</w:t>
      </w:r>
      <w:r>
        <w:t xml:space="preserve"> </w:t>
      </w:r>
      <w:r>
        <w:t xml:space="preserve">42%</w:t>
      </w:r>
      <w:r>
        <w:t xml:space="preserve"> </w:t>
      </w:r>
      <w:r>
        <w:t xml:space="preserve">21%</w:t>
      </w:r>
      <w:r>
        <w:t xml:space="preserve"> </w:t>
      </w:r>
      <w:r>
        <w:t xml:space="preserve">40%</w:t>
      </w:r>
      <w:r>
        <w:t xml:space="preserve"> </w:t>
      </w:r>
      <w:r>
        <w:t xml:space="preserve">48%</w:t>
      </w:r>
      <w:r>
        <w:t xml:space="preserve"> </w:t>
      </w:r>
      <w:r>
        <w:t xml:space="preserve">47%</w:t>
      </w:r>
      <w:r>
        <w:t xml:space="preserve"> </w:t>
      </w:r>
      <w:r>
        <w:t xml:space="preserve">23%</w:t>
      </w:r>
      <w:r>
        <w:t xml:space="preserve"> </w:t>
      </w:r>
      <w:r>
        <w:t xml:space="preserve">24%</w:t>
      </w:r>
      <w:r>
        <w:t xml:space="preserve"> </w:t>
      </w:r>
      <w:r>
        <w:t xml:space="preserve">19%</w:t>
      </w:r>
      <w:r>
        <w:t xml:space="preserve"> </w:t>
      </w:r>
      <w:r>
        <w:t xml:space="preserve">30%</w:t>
      </w:r>
      <w:r>
        <w:t xml:space="preserve"> </w:t>
      </w:r>
      <w:r>
        <w:t xml:space="preserve">36%</w:t>
      </w:r>
      <w:r>
        <w:t xml:space="preserve"> </w:t>
      </w:r>
      <w:r>
        <w:t xml:space="preserve">25%</w:t>
      </w:r>
      <w:r>
        <w:t xml:space="preserve"> </w:t>
      </w:r>
      <w:r>
        <w:t xml:space="preserve">32%</w:t>
      </w:r>
      <w:r>
        <w:t xml:space="preserve"> </w:t>
      </w:r>
      <w:r>
        <w:t xml:space="preserve">12%</w:t>
      </w:r>
      <w:r>
        <w:t xml:space="preserve"> </w:t>
      </w:r>
      <w:r>
        <w:t xml:space="preserve">9%</w:t>
      </w:r>
      <w:r>
        <w:t xml:space="preserve"> </w:t>
      </w:r>
      <w:r>
        <w:t xml:space="preserve">12%</w:t>
      </w:r>
      <w:r>
        <w:t xml:space="preserve"> </w:t>
      </w:r>
      <w:r>
        <w:t xml:space="preserve">39%</w:t>
      </w:r>
      <w:r>
        <w:t xml:space="preserve"> </w:t>
      </w:r>
      <w:r>
        <w:t xml:space="preserve">29%</w:t>
      </w:r>
      <w:r>
        <w:t xml:space="preserve"> </w:t>
      </w:r>
      <w:r>
        <w:t xml:space="preserve">25%</w:t>
      </w:r>
      <w:r>
        <w:t xml:space="preserve"> </w:t>
      </w:r>
      <w:r>
        <w:t xml:space="preserve">27%</w:t>
      </w:r>
      <w:r>
        <w:t xml:space="preserve"> </w:t>
      </w:r>
      <w:r>
        <w:t xml:space="preserve">54%</w:t>
      </w:r>
      <w:r>
        <w:t xml:space="preserve"> </w:t>
      </w:r>
      <w:r>
        <w:t xml:space="preserve">54%</w:t>
      </w:r>
      <w:r>
        <w:t xml:space="preserve"> </w:t>
      </w:r>
      <w:r>
        <w:t xml:space="preserve">61%</w:t>
      </w:r>
      <w:r>
        <w:t xml:space="preserve"> </w:t>
      </w:r>
      <w:r>
        <w:t xml:space="preserve">15%</w:t>
      </w:r>
      <w:r>
        <w:t xml:space="preserve"> </w:t>
      </w:r>
      <w:r>
        <w:t xml:space="preserve">42%</w:t>
      </w:r>
      <w:r>
        <w:t xml:space="preserve"> </w:t>
      </w:r>
      <w:r>
        <w:t xml:space="preserve">46%</w:t>
      </w:r>
      <w:r>
        <w:t xml:space="preserve"> </w:t>
      </w:r>
      <w:r>
        <w:t xml:space="preserve">54%</w:t>
      </w:r>
      <w:r>
        <w:t xml:space="preserve"> </w:t>
      </w:r>
      <w:r>
        <w:t xml:space="preserve">0%</w:t>
      </w:r>
      <w:r>
        <w:t xml:space="preserve"> </w:t>
      </w:r>
      <w:r>
        <w:t xml:space="preserve">25%</w:t>
      </w:r>
      <w:r>
        <w:t xml:space="preserve"> </w:t>
      </w:r>
      <w:r>
        <w:t xml:space="preserve">50%</w:t>
      </w:r>
      <w:r>
        <w:t xml:space="preserve"> </w:t>
      </w:r>
      <w:r>
        <w:t xml:space="preserve">75%</w:t>
      </w:r>
      <w:r>
        <w:t xml:space="preserve"> </w:t>
      </w:r>
      <w:r>
        <w:t xml:space="preserve">100%</w:t>
      </w:r>
      <w:r>
        <w:t xml:space="preserve"> </w:t>
      </w:r>
      <w:r>
        <w:t xml:space="preserve">Quantity, form of the physical unit, granulometry</w:t>
      </w:r>
      <w:r>
        <w:t xml:space="preserve"> </w:t>
      </w:r>
      <w:r>
        <w:t xml:space="preserve">Function of the product</w:t>
      </w:r>
      <w:r>
        <w:t xml:space="preserve"> </w:t>
      </w:r>
      <w:r>
        <w:t xml:space="preserve">Nutrients content</w:t>
      </w:r>
      <w:r>
        <w:t xml:space="preserve"> </w:t>
      </w:r>
      <w:r>
        <w:t xml:space="preserve">Organic carbon / dry matter content</w:t>
      </w:r>
      <w:r>
        <w:t xml:space="preserve"> </w:t>
      </w:r>
      <w:r>
        <w:t xml:space="preserve">Product use instructions (including application rates, timing…</w:t>
      </w:r>
      <w:r>
        <w:t xml:space="preserve"> </w:t>
      </w:r>
      <w:r>
        <w:t xml:space="preserve">Product storage instructions</w:t>
      </w:r>
      <w:r>
        <w:t xml:space="preserve"> </w:t>
      </w:r>
      <w:r>
        <w:t xml:space="preserve">Measures to mitigate risks, including environmental…</w:t>
      </w:r>
      <w:r>
        <w:t xml:space="preserve"> </w:t>
      </w:r>
      <w:r>
        <w:t xml:space="preserve">List of ingredients</w:t>
      </w:r>
      <w:r>
        <w:t xml:space="preserve"> </w:t>
      </w:r>
      <w:r>
        <w:t xml:space="preserve">Poor in chloride</w:t>
      </w:r>
      <w:r>
        <w:t xml:space="preserve"> </w:t>
      </w:r>
      <w:r>
        <w:t xml:space="preserve">Low in cadmium</w:t>
      </w:r>
      <w:r>
        <w:t xml:space="preserve"> </w:t>
      </w:r>
      <w:r>
        <w:t xml:space="preserve">Production date</w:t>
      </w:r>
      <w:r>
        <w:t xml:space="preserve"> </w:t>
      </w:r>
      <w:r>
        <w:t xml:space="preserve">References to inhibitors, chelating and complexing agents…</w:t>
      </w:r>
      <w:r>
        <w:t xml:space="preserve"> </w:t>
      </w:r>
      <w:r>
        <w:t xml:space="preserve">Solubility of phosphorus (where relevant)</w:t>
      </w:r>
      <w:r>
        <w:t xml:space="preserve"> </w:t>
      </w:r>
      <w:r>
        <w:t xml:space="preserve">Coating agents (for coated fertilisers)</w:t>
      </w:r>
      <w:r>
        <w:t xml:space="preserve"> </w:t>
      </w:r>
      <w:r>
        <w:t xml:space="preserve">All information should remain on the on-pack label</w:t>
      </w:r>
      <w:r>
        <w:t xml:space="preserve"> </w:t>
      </w:r>
      <w:r>
        <w:t xml:space="preserve">Basic information should be kept on the on-pack label and more details provided via a digital label</w:t>
      </w:r>
      <w:r>
        <w:t xml:space="preserve"> </w:t>
      </w:r>
      <w:r>
        <w:t xml:space="preserve">Information should move to a digital label</w:t>
      </w:r>
    </w:p>
    <w:p>
      <w:pPr>
        <w:pStyle w:val="BodyText"/>
      </w:pPr>
      <w:r>
        <w:t xml:space="preserve">468</w:t>
      </w:r>
    </w:p>
    <w:p>
      <w:pPr>
        <w:pStyle w:val="BodyText"/>
      </w:pPr>
      <w:r>
        <w:t xml:space="preserve">4</w:t>
      </w:r>
      <w:r>
        <w:t xml:space="preserve"> </w:t>
      </w:r>
      <w:r>
        <w:t xml:space="preserve">biostimulant: the physical form, production date and expiry date.</w:t>
      </w:r>
      <w:r>
        <w:br/>
      </w:r>
      <w:r>
        <w:t xml:space="preserve">Were indicated to be kept on-pack.</w:t>
      </w:r>
      <w:r>
        <w:t xml:space="preserve"> </w:t>
      </w:r>
      <w:r>
        <w:t xml:space="preserve">Regarding information that could be moved to a digital label, respondents indicated for all</w:t>
      </w:r>
      <w:r>
        <w:t xml:space="preserve"> </w:t>
      </w:r>
      <w:r>
        <w:t xml:space="preserve">types of fertilising products that the list of ingredients and poor in chloride could be moved</w:t>
      </w:r>
      <w:r>
        <w:t xml:space="preserve"> </w:t>
      </w:r>
      <w:r>
        <w:t xml:space="preserve">digitally. In addition, for liming material, respondents indicated the information on</w:t>
      </w:r>
      <w:r>
        <w:t xml:space="preserve"> </w:t>
      </w:r>
      <w:r>
        <w:t xml:space="preserve">neutralising value cold be moved online.</w:t>
      </w:r>
      <w:r>
        <w:t xml:space="preserve"> </w:t>
      </w:r>
      <w:r>
        <w:t xml:space="preserve">Finally, respondents also indicated a consensus for all products categories to keep some basic</w:t>
      </w:r>
      <w:r>
        <w:t xml:space="preserve"> </w:t>
      </w:r>
      <w:r>
        <w:t xml:space="preserve">information on pack, and provide more details via a digital label for the following categories</w:t>
      </w:r>
      <w:r>
        <w:t xml:space="preserve"> </w:t>
      </w:r>
      <w:r>
        <w:t xml:space="preserve">of information: the product use instructions, the products storage instructions, and the</w:t>
      </w:r>
      <w:r>
        <w:t xml:space="preserve"> </w:t>
      </w:r>
      <w:r>
        <w:t xml:space="preserve">measure to mitigate risks, including environmental statements.</w:t>
      </w:r>
      <w:r>
        <w:t xml:space="preserve"> </w:t>
      </w:r>
      <w:r>
        <w:t xml:space="preserve">Compared to the stakeholders from the industry, consumer representatives were, in general,</w:t>
      </w:r>
      <w:r>
        <w:t xml:space="preserve"> </w:t>
      </w:r>
      <w:r>
        <w:t xml:space="preserve">less keen to transfer from the on-pack label and to digital label. These stakeholders supported</w:t>
      </w:r>
      <w:r>
        <w:t xml:space="preserve"> </w:t>
      </w:r>
      <w:r>
        <w:t xml:space="preserve">keeping the information on pack, especially for the inhibitors, soil improvers and, generally,</w:t>
      </w:r>
      <w:r>
        <w:t xml:space="preserve"> </w:t>
      </w:r>
      <w:r>
        <w:t xml:space="preserve">the information regarding the quantity and the function of the products, and keeping basic</w:t>
      </w:r>
      <w:r>
        <w:t xml:space="preserve"> </w:t>
      </w:r>
      <w:r>
        <w:t xml:space="preserve">information on the on-pack label and having more details provided via a digital label,</w:t>
      </w:r>
      <w:r>
        <w:t xml:space="preserve"> </w:t>
      </w:r>
      <w:r>
        <w:t xml:space="preserve">particularly for bio stimulants and, generally, product storage instructions of fertilising</w:t>
      </w:r>
      <w:r>
        <w:t xml:space="preserve"> </w:t>
      </w:r>
      <w:r>
        <w:t xml:space="preserve">products.</w:t>
      </w:r>
      <w:r>
        <w:t xml:space="preserve"> </w:t>
      </w:r>
      <w:r>
        <w:t xml:space="preserve">Q19. To what extent do you think that the following pieces of information could be</w:t>
      </w:r>
      <w:r>
        <w:t xml:space="preserve"> </w:t>
      </w:r>
      <w:r>
        <w:t xml:space="preserve">removed from the on-pack label of a detergent and transferred to a digital label?</w:t>
      </w:r>
      <w:r>
        <w:t xml:space="preserve"> </w:t>
      </w:r>
      <w:r>
        <w:t xml:space="preserve">The majority of the respondents believe that the name of the product should remain on the</w:t>
      </w:r>
      <w:r>
        <w:t xml:space="preserve"> </w:t>
      </w:r>
      <w:r>
        <w:t xml:space="preserve">on-pack label9, while for use instructions the majority of the respondent indicated that basic</w:t>
      </w:r>
      <w:r>
        <w:t xml:space="preserve"> </w:t>
      </w:r>
      <w:r>
        <w:t xml:space="preserve">information should be kept on the on-pack label and more details could be provided via a</w:t>
      </w:r>
      <w:r>
        <w:t xml:space="preserve"> </w:t>
      </w:r>
      <w:r>
        <w:t xml:space="preserve">digital label10. Similarly, the majority of the respondents stated that basic information on</w:t>
      </w:r>
      <w:r>
        <w:t xml:space="preserve"> </w:t>
      </w:r>
      <w:r>
        <w:t xml:space="preserve">special precautions, where required, should be kept on pack while the details should be moved</w:t>
      </w:r>
      <w:r>
        <w:t xml:space="preserve"> </w:t>
      </w:r>
      <w:r>
        <w:t xml:space="preserve">to a digital label.</w:t>
      </w:r>
      <w:r>
        <w:br/>
      </w:r>
      <w:r>
        <w:t xml:space="preserve">In regards to the other parts of the information, the respondents had different views on what</w:t>
      </w:r>
      <w:r>
        <w:t xml:space="preserve"> </w:t>
      </w:r>
      <w:r>
        <w:t xml:space="preserve">kind of information should remain on the on-pack label, should be kept on the on-pack label</w:t>
      </w:r>
      <w:r>
        <w:t xml:space="preserve"> </w:t>
      </w:r>
      <w:r>
        <w:t xml:space="preserve">and more details provided via a digital label, or transferred to a digital label completely. For</w:t>
      </w:r>
      <w:r>
        <w:t xml:space="preserve"> </w:t>
      </w:r>
      <w:r>
        <w:t xml:space="preserve">none of the items there was a majority to move all information to a digital label though for the</w:t>
      </w:r>
      <w:r>
        <w:t xml:space="preserve"> </w:t>
      </w:r>
      <w:r>
        <w:t xml:space="preserve">list of ingredients this group was particular large. The full overview of the responses to this</w:t>
      </w:r>
      <w:r>
        <w:t xml:space="preserve"> </w:t>
      </w:r>
      <w:r>
        <w:t xml:space="preserve">question is provided in the table below.</w:t>
      </w:r>
    </w:p>
    <w:p>
      <w:pPr>
        <w:pStyle w:val="BodyText"/>
      </w:pPr>
      <w:r>
        <w:t xml:space="preserve">9 102 out of 151 total responses.</w:t>
      </w:r>
      <w:r>
        <w:t xml:space="preserve"> </w:t>
      </w:r>
      <w:r>
        <w:t xml:space="preserve">10 79 out of 150 total responses.</w:t>
      </w:r>
    </w:p>
    <w:p>
      <w:pPr>
        <w:pStyle w:val="BodyText"/>
      </w:pPr>
      <w:r>
        <w:t xml:space="preserve">469</w:t>
      </w:r>
    </w:p>
    <w:p>
      <w:pPr>
        <w:pStyle w:val="BodyText"/>
      </w:pPr>
      <w:r>
        <w:t xml:space="preserve">This finding needs to be mitigated by the aswers given specifically by consumer</w:t>
      </w:r>
      <w:r>
        <w:t xml:space="preserve"> </w:t>
      </w:r>
      <w:r>
        <w:t xml:space="preserve">representatives, who were in general less inclined to move information online.Within this</w:t>
      </w:r>
      <w:r>
        <w:t xml:space="preserve"> </w:t>
      </w:r>
      <w:r>
        <w:t xml:space="preserve">stakeholder group, the majority of respondents indicated that all information should remain on</w:t>
      </w:r>
      <w:r>
        <w:t xml:space="preserve"> </w:t>
      </w:r>
      <w:r>
        <w:t xml:space="preserve">pack for the following categories of information: name of the product11, instructions for use12,</w:t>
      </w:r>
      <w:r>
        <w:t xml:space="preserve"> </w:t>
      </w:r>
      <w:r>
        <w:t xml:space="preserve">dosage recommendations13, nominal quantity of mixtures14, and special precautions15. Finally,</w:t>
      </w:r>
      <w:r>
        <w:t xml:space="preserve"> </w:t>
      </w:r>
      <w:r>
        <w:t xml:space="preserve">consumer representatives expressed different/mixed views regarding the following pieces of</w:t>
      </w:r>
      <w:r>
        <w:t xml:space="preserve"> </w:t>
      </w:r>
      <w:r>
        <w:t xml:space="preserve">information: address and telephone number of the manufacturer16 and list of ingredients17.</w:t>
      </w:r>
      <w:r>
        <w:t xml:space="preserve"> </w:t>
      </w:r>
      <w:r>
        <w:t xml:space="preserve">Q19a. For information that you would like to see listed on-pack, please explain why this</w:t>
      </w:r>
      <w:r>
        <w:t xml:space="preserve"> </w:t>
      </w:r>
      <w:r>
        <w:t xml:space="preserve">is:</w:t>
      </w:r>
      <w:r>
        <w:t xml:space="preserve"> </w:t>
      </w:r>
      <w:r>
        <w:t xml:space="preserve">There was no clear consensus among the respondents on the key reasons why certain</w:t>
      </w:r>
      <w:r>
        <w:t xml:space="preserve"> </w:t>
      </w:r>
      <w:r>
        <w:t xml:space="preserve">information should be listed on-pack, however the most popular option between the</w:t>
      </w:r>
      <w:r>
        <w:t xml:space="preserve"> </w:t>
      </w:r>
      <w:r>
        <w:t xml:space="preserve">respondents was “Because this information allows me to use the product safely”18.</w:t>
      </w:r>
      <w:r>
        <w:br/>
      </w:r>
      <w:r>
        <w:t xml:space="preserve">Among consumer representatives, the most popular option was “because this information</w:t>
      </w:r>
      <w:r>
        <w:t xml:space="preserve"> </w:t>
      </w:r>
      <w:r>
        <w:t xml:space="preserve">helps me make a purchase decision”19, followed by “because this information allows me to</w:t>
      </w:r>
      <w:r>
        <w:t xml:space="preserve"> </w:t>
      </w:r>
      <w:r>
        <w:t xml:space="preserve">use the product safely”20, and “because I consider some ingredients to be</w:t>
      </w:r>
      <w:r>
        <w:t xml:space="preserve"> </w:t>
      </w:r>
      <w:r>
        <w:t xml:space="preserve">dangerous/harmful”21.</w:t>
      </w:r>
    </w:p>
    <w:p>
      <w:pPr>
        <w:pStyle w:val="BodyText"/>
      </w:pPr>
      <w:r>
        <w:t xml:space="preserve">11 33 out of 52 answers within this stakeholder group.</w:t>
      </w:r>
      <w:r>
        <w:t xml:space="preserve"> </w:t>
      </w:r>
      <w:r>
        <w:t xml:space="preserve">12 29 out of 52 answers within this stakeholder group.</w:t>
      </w:r>
      <w:r>
        <w:t xml:space="preserve"> </w:t>
      </w:r>
      <w:r>
        <w:t xml:space="preserve">13 30 out of 52 answers within this stakeholder group.</w:t>
      </w:r>
      <w:r>
        <w:t xml:space="preserve"> </w:t>
      </w:r>
      <w:r>
        <w:t xml:space="preserve">14 27 out of 51 answers within this stakeholder group.</w:t>
      </w:r>
      <w:r>
        <w:t xml:space="preserve"> </w:t>
      </w:r>
      <w:r>
        <w:t xml:space="preserve">15 27 out of 52 answers within this stakeholder group.</w:t>
      </w:r>
      <w:r>
        <w:t xml:space="preserve"> </w:t>
      </w:r>
      <w:r>
        <w:t xml:space="preserve">16 N=52, 19 answered that “All information should remain on pack”; 19 answered that “basic information should</w:t>
      </w:r>
      <w:r>
        <w:t xml:space="preserve"> </w:t>
      </w:r>
      <w:r>
        <w:t xml:space="preserve">remain on pack and more details provided via a digital label”; and 14 answered that “Information should move to</w:t>
      </w:r>
      <w:r>
        <w:t xml:space="preserve"> </w:t>
      </w:r>
      <w:r>
        <w:t xml:space="preserve">a digital label”.</w:t>
      </w:r>
      <w:r>
        <w:t xml:space="preserve"> </w:t>
      </w:r>
      <w:r>
        <w:t xml:space="preserve">17 N=51, 21 answered that “All information should remain on pack”; 14 answered that “basic information should</w:t>
      </w:r>
      <w:r>
        <w:t xml:space="preserve"> </w:t>
      </w:r>
      <w:r>
        <w:t xml:space="preserve">remain on pack and more details provided via a digital label”; and 16 answered that “Information should move to</w:t>
      </w:r>
      <w:r>
        <w:t xml:space="preserve"> </w:t>
      </w:r>
      <w:r>
        <w:t xml:space="preserve">a digital label”.</w:t>
      </w:r>
      <w:r>
        <w:t xml:space="preserve"> </w:t>
      </w:r>
      <w:r>
        <w:t xml:space="preserve">18 122 out of 413 total choices.</w:t>
      </w:r>
      <w:r>
        <w:t xml:space="preserve"> </w:t>
      </w:r>
      <w:r>
        <w:t xml:space="preserve">19 41 out of 52 answers.</w:t>
      </w:r>
      <w:r>
        <w:t xml:space="preserve"> </w:t>
      </w:r>
      <w:r>
        <w:t xml:space="preserve">20 39 out of 52 answers.</w:t>
      </w:r>
      <w:r>
        <w:t xml:space="preserve"> </w:t>
      </w:r>
      <w:r>
        <w:t xml:space="preserve">21 34 out of 52 answers.</w:t>
      </w:r>
      <w:r>
        <w:t xml:space="preserve"> </w:t>
      </w:r>
      <w:r>
        <w:t xml:space="preserve">68%</w:t>
      </w:r>
      <w:r>
        <w:t xml:space="preserve"> </w:t>
      </w:r>
      <w:r>
        <w:t xml:space="preserve">44%</w:t>
      </w:r>
      <w:r>
        <w:t xml:space="preserve"> </w:t>
      </w:r>
      <w:r>
        <w:t xml:space="preserve">39%</w:t>
      </w:r>
      <w:r>
        <w:t xml:space="preserve"> </w:t>
      </w:r>
      <w:r>
        <w:t xml:space="preserve">47%</w:t>
      </w:r>
      <w:r>
        <w:t xml:space="preserve"> </w:t>
      </w:r>
      <w:r>
        <w:t xml:space="preserve">47%</w:t>
      </w:r>
      <w:r>
        <w:t xml:space="preserve"> </w:t>
      </w:r>
      <w:r>
        <w:t xml:space="preserve">25%</w:t>
      </w:r>
      <w:r>
        <w:t xml:space="preserve"> </w:t>
      </w:r>
      <w:r>
        <w:t xml:space="preserve">40%</w:t>
      </w:r>
      <w:r>
        <w:t xml:space="preserve"> </w:t>
      </w:r>
      <w:r>
        <w:t xml:space="preserve">30%</w:t>
      </w:r>
      <w:r>
        <w:t xml:space="preserve"> </w:t>
      </w:r>
      <w:r>
        <w:t xml:space="preserve">36%</w:t>
      </w:r>
      <w:r>
        <w:t xml:space="preserve"> </w:t>
      </w:r>
      <w:r>
        <w:t xml:space="preserve">53%</w:t>
      </w:r>
      <w:r>
        <w:t xml:space="preserve"> </w:t>
      </w:r>
      <w:r>
        <w:t xml:space="preserve">42%</w:t>
      </w:r>
      <w:r>
        <w:t xml:space="preserve"> </w:t>
      </w:r>
      <w:r>
        <w:t xml:space="preserve">32%</w:t>
      </w:r>
      <w:r>
        <w:t xml:space="preserve"> </w:t>
      </w:r>
      <w:r>
        <w:t xml:space="preserve">30%</w:t>
      </w:r>
      <w:r>
        <w:t xml:space="preserve"> </w:t>
      </w:r>
      <w:r>
        <w:t xml:space="preserve">48%</w:t>
      </w:r>
      <w:r>
        <w:t xml:space="preserve"> </w:t>
      </w:r>
      <w:r>
        <w:t xml:space="preserve">2%</w:t>
      </w:r>
      <w:r>
        <w:t xml:space="preserve"> </w:t>
      </w:r>
      <w:r>
        <w:t xml:space="preserve">20%</w:t>
      </w:r>
      <w:r>
        <w:t xml:space="preserve"> </w:t>
      </w:r>
      <w:r>
        <w:t xml:space="preserve">8%</w:t>
      </w:r>
      <w:r>
        <w:t xml:space="preserve"> </w:t>
      </w:r>
      <w:r>
        <w:t xml:space="preserve">11%</w:t>
      </w:r>
      <w:r>
        <w:t xml:space="preserve"> </w:t>
      </w:r>
      <w:r>
        <w:t xml:space="preserve">21%</w:t>
      </w:r>
      <w:r>
        <w:t xml:space="preserve"> </w:t>
      </w:r>
      <w:r>
        <w:t xml:space="preserve">45%</w:t>
      </w:r>
      <w:r>
        <w:t xml:space="preserve"> </w:t>
      </w:r>
      <w:r>
        <w:t xml:space="preserve">13%</w:t>
      </w:r>
      <w:r>
        <w:t xml:space="preserve"> </w:t>
      </w:r>
      <w:r>
        <w:t xml:space="preserve">0%</w:t>
      </w:r>
      <w:r>
        <w:t xml:space="preserve"> </w:t>
      </w:r>
      <w:r>
        <w:t xml:space="preserve">25%</w:t>
      </w:r>
      <w:r>
        <w:t xml:space="preserve"> </w:t>
      </w:r>
      <w:r>
        <w:t xml:space="preserve">50%</w:t>
      </w:r>
      <w:r>
        <w:t xml:space="preserve"> </w:t>
      </w:r>
      <w:r>
        <w:t xml:space="preserve">75%</w:t>
      </w:r>
      <w:r>
        <w:t xml:space="preserve"> </w:t>
      </w:r>
      <w:r>
        <w:t xml:space="preserve">100%</w:t>
      </w:r>
      <w:r>
        <w:t xml:space="preserve"> </w:t>
      </w:r>
      <w:r>
        <w:t xml:space="preserve">Name of the product</w:t>
      </w:r>
      <w:r>
        <w:t xml:space="preserve"> </w:t>
      </w:r>
      <w:r>
        <w:t xml:space="preserve">Address and telephone number of the manufacturer</w:t>
      </w:r>
      <w:r>
        <w:t xml:space="preserve"> </w:t>
      </w:r>
      <w:r>
        <w:t xml:space="preserve">Instructions for use</w:t>
      </w:r>
      <w:r>
        <w:t xml:space="preserve"> </w:t>
      </w:r>
      <w:r>
        <w:t xml:space="preserve">Dosage recommendations</w:t>
      </w:r>
      <w:r>
        <w:t xml:space="preserve"> </w:t>
      </w:r>
      <w:r>
        <w:t xml:space="preserve">Nominal quantity of the mixture</w:t>
      </w:r>
      <w:r>
        <w:t xml:space="preserve"> </w:t>
      </w:r>
      <w:r>
        <w:t xml:space="preserve">List of ingredients</w:t>
      </w:r>
      <w:r>
        <w:t xml:space="preserve"> </w:t>
      </w:r>
      <w:r>
        <w:t xml:space="preserve">Special precautions, where required</w:t>
      </w:r>
      <w:r>
        <w:t xml:space="preserve"> </w:t>
      </w:r>
      <w:r>
        <w:t xml:space="preserve">All information should remain on the on-pack label</w:t>
      </w:r>
      <w:r>
        <w:t xml:space="preserve"> </w:t>
      </w:r>
      <w:r>
        <w:t xml:space="preserve">Basic information should be kept on the on-pack label and more details provided via a digital label</w:t>
      </w:r>
      <w:r>
        <w:t xml:space="preserve"> </w:t>
      </w:r>
      <w:r>
        <w:t xml:space="preserve">Information should move to a digital label</w:t>
      </w:r>
    </w:p>
    <w:p>
      <w:pPr>
        <w:pStyle w:val="BodyText"/>
      </w:pPr>
      <w:r>
        <w:t xml:space="preserve">470</w:t>
      </w:r>
    </w:p>
    <w:p>
      <w:pPr>
        <w:pStyle w:val="BodyText"/>
      </w:pPr>
      <w:r>
        <w:t xml:space="preserve">Q20. To what extent could the following ingredients be removed from the on-pack label</w:t>
      </w:r>
      <w:r>
        <w:t xml:space="preserve"> </w:t>
      </w:r>
      <w:r>
        <w:t xml:space="preserve">of a detergent and transferred to a digital label?</w:t>
      </w:r>
    </w:p>
    <w:p>
      <w:pPr>
        <w:pStyle w:val="BodyText"/>
      </w:pPr>
      <w:r>
        <w:t xml:space="preserve">Around half of the stakeholders (mostly industry stakeholders) believe that the information</w:t>
      </w:r>
      <w:r>
        <w:t xml:space="preserve"> </w:t>
      </w:r>
      <w:r>
        <w:t xml:space="preserve">from the on-pack label of a detergent should be moved to the digital label for the following</w:t>
      </w:r>
      <w:r>
        <w:t xml:space="preserve"> </w:t>
      </w:r>
      <w:r>
        <w:t xml:space="preserve">ingredients: Enzymes22; Aliphatic hydrocarbons23; Polycarboxylates24; Soap25; Zeolites26;</w:t>
      </w:r>
      <w:r>
        <w:t xml:space="preserve"> </w:t>
      </w:r>
      <w:r>
        <w:t xml:space="preserve">NTA and its salts27; EDTA and its salts28.</w:t>
      </w:r>
      <w:r>
        <w:t xml:space="preserve"> </w:t>
      </w:r>
      <w:r>
        <w:t xml:space="preserve">In regards to the other ingredients, the respondents had different views on what kind of</w:t>
      </w:r>
      <w:r>
        <w:t xml:space="preserve"> </w:t>
      </w:r>
      <w:r>
        <w:t xml:space="preserve">information should remain on the on-pack label, should be kept on the on-pack label and more</w:t>
      </w:r>
      <w:r>
        <w:t xml:space="preserve"> </w:t>
      </w:r>
      <w:r>
        <w:t xml:space="preserve">details provided via a digital label, or transferred to a digital label completely. The full</w:t>
      </w:r>
      <w:r>
        <w:t xml:space="preserve"> </w:t>
      </w:r>
      <w:r>
        <w:t xml:space="preserve">overview of the responses to this question is provided in the table above.</w:t>
      </w:r>
      <w:r>
        <w:t xml:space="preserve"> </w:t>
      </w:r>
      <w:r>
        <w:t xml:space="preserve">However, the answers given by citizens and consumer organisations indicates less willingness</w:t>
      </w:r>
      <w:r>
        <w:t xml:space="preserve"> </w:t>
      </w:r>
      <w:r>
        <w:t xml:space="preserve">to move information to a digital label. No categories of information received a majority of</w:t>
      </w:r>
      <w:r>
        <w:t xml:space="preserve"> </w:t>
      </w:r>
      <w:r>
        <w:t xml:space="preserve">answers to move information online. The only consensus expressed within this stakeholder</w:t>
      </w:r>
      <w:r>
        <w:t xml:space="preserve"> </w:t>
      </w:r>
      <w:r>
        <w:t xml:space="preserve">category is the need to keep allergenic fragrances on pack.29</w:t>
      </w:r>
      <w:r>
        <w:t xml:space="preserve"> </w:t>
      </w:r>
      <w:r>
        <w:t xml:space="preserve">Q20a. For information that you would like to see listed on the on-pack label, please</w:t>
      </w:r>
      <w:r>
        <w:t xml:space="preserve"> </w:t>
      </w:r>
      <w:r>
        <w:t xml:space="preserve">explain why this is:</w:t>
      </w:r>
    </w:p>
    <w:p>
      <w:pPr>
        <w:pStyle w:val="BodyText"/>
      </w:pPr>
      <w:r>
        <w:t xml:space="preserve">2266 out of 125 total responses.</w:t>
      </w:r>
      <w:r>
        <w:t xml:space="preserve"> </w:t>
      </w:r>
      <w:r>
        <w:t xml:space="preserve">2361 out of 123 total responses.</w:t>
      </w:r>
      <w:r>
        <w:t xml:space="preserve"> </w:t>
      </w:r>
      <w:r>
        <w:t xml:space="preserve">2466 out of 122 total responses.</w:t>
      </w:r>
      <w:r>
        <w:t xml:space="preserve"> </w:t>
      </w:r>
      <w:r>
        <w:t xml:space="preserve">2565 out of 126 total responses.</w:t>
      </w:r>
      <w:r>
        <w:t xml:space="preserve"> </w:t>
      </w:r>
      <w:r>
        <w:t xml:space="preserve">26 67 out of 123 total responses.</w:t>
      </w:r>
      <w:r>
        <w:t xml:space="preserve"> </w:t>
      </w:r>
      <w:r>
        <w:t xml:space="preserve">27 66 out of 124 total responses.</w:t>
      </w:r>
      <w:r>
        <w:t xml:space="preserve"> </w:t>
      </w:r>
      <w:r>
        <w:t xml:space="preserve">28 63 out of 124 total responses.</w:t>
      </w:r>
      <w:r>
        <w:t xml:space="preserve"> </w:t>
      </w:r>
      <w:r>
        <w:t xml:space="preserve">29 29 out of 47 answers.</w:t>
      </w:r>
      <w:r>
        <w:t xml:space="preserve"> </w:t>
      </w:r>
      <w:r>
        <w:t xml:space="preserve">26%</w:t>
      </w:r>
      <w:r>
        <w:t xml:space="preserve"> </w:t>
      </w:r>
      <w:r>
        <w:t xml:space="preserve">22%</w:t>
      </w:r>
      <w:r>
        <w:t xml:space="preserve"> </w:t>
      </w:r>
      <w:r>
        <w:t xml:space="preserve">25%</w:t>
      </w:r>
      <w:r>
        <w:t xml:space="preserve"> </w:t>
      </w:r>
      <w:r>
        <w:t xml:space="preserve">29%</w:t>
      </w:r>
      <w:r>
        <w:t xml:space="preserve"> </w:t>
      </w:r>
      <w:r>
        <w:t xml:space="preserve">19%</w:t>
      </w:r>
      <w:r>
        <w:t xml:space="preserve"> </w:t>
      </w:r>
      <w:r>
        <w:t xml:space="preserve">19%</w:t>
      </w:r>
      <w:r>
        <w:t xml:space="preserve"> </w:t>
      </w:r>
      <w:r>
        <w:t xml:space="preserve">24%</w:t>
      </w:r>
      <w:r>
        <w:t xml:space="preserve"> </w:t>
      </w:r>
      <w:r>
        <w:t xml:space="preserve">18%</w:t>
      </w:r>
      <w:r>
        <w:t xml:space="preserve"> </w:t>
      </w:r>
      <w:r>
        <w:t xml:space="preserve">17%</w:t>
      </w:r>
      <w:r>
        <w:t xml:space="preserve"> </w:t>
      </w:r>
      <w:r>
        <w:t xml:space="preserve">19%</w:t>
      </w:r>
      <w:r>
        <w:t xml:space="preserve"> </w:t>
      </w:r>
      <w:r>
        <w:t xml:space="preserve">26%</w:t>
      </w:r>
      <w:r>
        <w:t xml:space="preserve"> </w:t>
      </w:r>
      <w:r>
        <w:t xml:space="preserve">22%</w:t>
      </w:r>
      <w:r>
        <w:t xml:space="preserve"> </w:t>
      </w:r>
      <w:r>
        <w:t xml:space="preserve">27%</w:t>
      </w:r>
      <w:r>
        <w:t xml:space="preserve"> </w:t>
      </w:r>
      <w:r>
        <w:t xml:space="preserve">25%</w:t>
      </w:r>
      <w:r>
        <w:t xml:space="preserve"> </w:t>
      </w:r>
      <w:r>
        <w:t xml:space="preserve">22%</w:t>
      </w:r>
      <w:r>
        <w:t xml:space="preserve"> </w:t>
      </w:r>
      <w:r>
        <w:t xml:space="preserve">23%</w:t>
      </w:r>
      <w:r>
        <w:t xml:space="preserve"> </w:t>
      </w:r>
      <w:r>
        <w:t xml:space="preserve">20%</w:t>
      </w:r>
      <w:r>
        <w:t xml:space="preserve"> </w:t>
      </w:r>
      <w:r>
        <w:t xml:space="preserve">22%</w:t>
      </w:r>
      <w:r>
        <w:t xml:space="preserve"> </w:t>
      </w:r>
      <w:r>
        <w:t xml:space="preserve">27%</w:t>
      </w:r>
      <w:r>
        <w:t xml:space="preserve"> </w:t>
      </w:r>
      <w:r>
        <w:t xml:space="preserve">48%</w:t>
      </w:r>
      <w:r>
        <w:t xml:space="preserve"> </w:t>
      </w:r>
      <w:r>
        <w:t xml:space="preserve">28%</w:t>
      </w:r>
      <w:r>
        <w:t xml:space="preserve"> </w:t>
      </w:r>
      <w:r>
        <w:t xml:space="preserve">30%</w:t>
      </w:r>
      <w:r>
        <w:t xml:space="preserve"> </w:t>
      </w:r>
      <w:r>
        <w:t xml:space="preserve">41%</w:t>
      </w:r>
      <w:r>
        <w:t xml:space="preserve"> </w:t>
      </w:r>
      <w:r>
        <w:t xml:space="preserve">40%</w:t>
      </w:r>
      <w:r>
        <w:t xml:space="preserve"> </w:t>
      </w:r>
      <w:r>
        <w:t xml:space="preserve">30%</w:t>
      </w:r>
      <w:r>
        <w:t xml:space="preserve"> </w:t>
      </w:r>
      <w:r>
        <w:t xml:space="preserve">28%</w:t>
      </w:r>
      <w:r>
        <w:t xml:space="preserve"> </w:t>
      </w:r>
      <w:r>
        <w:t xml:space="preserve">28%</w:t>
      </w:r>
      <w:r>
        <w:t xml:space="preserve"> </w:t>
      </w:r>
      <w:r>
        <w:t xml:space="preserve">28%</w:t>
      </w:r>
      <w:r>
        <w:t xml:space="preserve"> </w:t>
      </w:r>
      <w:r>
        <w:t xml:space="preserve">32%</w:t>
      </w:r>
      <w:r>
        <w:t xml:space="preserve"> </w:t>
      </w:r>
      <w:r>
        <w:t xml:space="preserve">27%</w:t>
      </w:r>
      <w:r>
        <w:t xml:space="preserve"> </w:t>
      </w:r>
      <w:r>
        <w:t xml:space="preserve">28%</w:t>
      </w:r>
      <w:r>
        <w:t xml:space="preserve"> </w:t>
      </w:r>
      <w:r>
        <w:t xml:space="preserve">28%</w:t>
      </w:r>
      <w:r>
        <w:t xml:space="preserve"> </w:t>
      </w:r>
      <w:r>
        <w:t xml:space="preserve">28%</w:t>
      </w:r>
      <w:r>
        <w:t xml:space="preserve"> </w:t>
      </w:r>
      <w:r>
        <w:t xml:space="preserve">28%</w:t>
      </w:r>
      <w:r>
        <w:t xml:space="preserve"> </w:t>
      </w:r>
      <w:r>
        <w:t xml:space="preserve">29%</w:t>
      </w:r>
      <w:r>
        <w:t xml:space="preserve"> </w:t>
      </w:r>
      <w:r>
        <w:t xml:space="preserve">34%</w:t>
      </w:r>
      <w:r>
        <w:t xml:space="preserve"> </w:t>
      </w:r>
      <w:r>
        <w:t xml:space="preserve">31%</w:t>
      </w:r>
      <w:r>
        <w:t xml:space="preserve"> </w:t>
      </w:r>
      <w:r>
        <w:t xml:space="preserve">39%</w:t>
      </w:r>
      <w:r>
        <w:t xml:space="preserve"> </w:t>
      </w:r>
      <w:r>
        <w:t xml:space="preserve">36%</w:t>
      </w:r>
      <w:r>
        <w:t xml:space="preserve"> </w:t>
      </w:r>
      <w:r>
        <w:t xml:space="preserve">35%</w:t>
      </w:r>
      <w:r>
        <w:t xml:space="preserve"> </w:t>
      </w:r>
      <w:r>
        <w:t xml:space="preserve">46%</w:t>
      </w:r>
      <w:r>
        <w:t xml:space="preserve"> </w:t>
      </w:r>
      <w:r>
        <w:t xml:space="preserve">48%</w:t>
      </w:r>
      <w:r>
        <w:t xml:space="preserve"> </w:t>
      </w:r>
      <w:r>
        <w:t xml:space="preserve">34%</w:t>
      </w:r>
      <w:r>
        <w:t xml:space="preserve"> </w:t>
      </w:r>
      <w:r>
        <w:t xml:space="preserve">31%</w:t>
      </w:r>
      <w:r>
        <w:t xml:space="preserve"> </w:t>
      </w:r>
      <w:r>
        <w:t xml:space="preserve">51%</w:t>
      </w:r>
      <w:r>
        <w:t xml:space="preserve"> </w:t>
      </w:r>
      <w:r>
        <w:t xml:space="preserve">53%</w:t>
      </w:r>
      <w:r>
        <w:t xml:space="preserve"> </w:t>
      </w:r>
      <w:r>
        <w:t xml:space="preserve">49%</w:t>
      </w:r>
      <w:r>
        <w:t xml:space="preserve"> </w:t>
      </w:r>
      <w:r>
        <w:t xml:space="preserve">54%</w:t>
      </w:r>
      <w:r>
        <w:t xml:space="preserve"> </w:t>
      </w:r>
      <w:r>
        <w:t xml:space="preserve">52%</w:t>
      </w:r>
      <w:r>
        <w:t xml:space="preserve"> </w:t>
      </w:r>
      <w:r>
        <w:t xml:space="preserve">54%</w:t>
      </w:r>
      <w:r>
        <w:t xml:space="preserve"> </w:t>
      </w:r>
      <w:r>
        <w:t xml:space="preserve">47%</w:t>
      </w:r>
      <w:r>
        <w:t xml:space="preserve"> </w:t>
      </w:r>
      <w:r>
        <w:t xml:space="preserve">50%</w:t>
      </w:r>
      <w:r>
        <w:t xml:space="preserve"> </w:t>
      </w:r>
      <w:r>
        <w:t xml:space="preserve">45%</w:t>
      </w:r>
      <w:r>
        <w:t xml:space="preserve"> </w:t>
      </w:r>
      <w:r>
        <w:t xml:space="preserve">47%</w:t>
      </w:r>
      <w:r>
        <w:t xml:space="preserve"> </w:t>
      </w:r>
      <w:r>
        <w:t xml:space="preserve">50%</w:t>
      </w:r>
      <w:r>
        <w:t xml:space="preserve"> </w:t>
      </w:r>
      <w:r>
        <w:t xml:space="preserve">43%</w:t>
      </w:r>
      <w:r>
        <w:t xml:space="preserve"> </w:t>
      </w:r>
      <w:r>
        <w:t xml:space="preserve">49%</w:t>
      </w:r>
      <w:r>
        <w:t xml:space="preserve"> </w:t>
      </w:r>
      <w:r>
        <w:t xml:space="preserve">39%</w:t>
      </w:r>
      <w:r>
        <w:t xml:space="preserve"> </w:t>
      </w:r>
      <w:r>
        <w:t xml:space="preserve">37%</w:t>
      </w:r>
      <w:r>
        <w:t xml:space="preserve"> </w:t>
      </w:r>
      <w:r>
        <w:t xml:space="preserve">17%</w:t>
      </w:r>
      <w:r>
        <w:t xml:space="preserve"> </w:t>
      </w:r>
      <w:r>
        <w:t xml:space="preserve">0%</w:t>
      </w:r>
      <w:r>
        <w:t xml:space="preserve"> </w:t>
      </w:r>
      <w:r>
        <w:t xml:space="preserve">25%</w:t>
      </w:r>
      <w:r>
        <w:t xml:space="preserve"> </w:t>
      </w:r>
      <w:r>
        <w:t xml:space="preserve">50%</w:t>
      </w:r>
      <w:r>
        <w:t xml:space="preserve"> </w:t>
      </w:r>
      <w:r>
        <w:t xml:space="preserve">75%</w:t>
      </w:r>
      <w:r>
        <w:t xml:space="preserve"> </w:t>
      </w:r>
      <w:r>
        <w:t xml:space="preserve">100%</w:t>
      </w:r>
      <w:r>
        <w:t xml:space="preserve"> </w:t>
      </w:r>
      <w:r>
        <w:t xml:space="preserve">Phosphates and phosphonates</w:t>
      </w:r>
      <w:r>
        <w:t xml:space="preserve"> </w:t>
      </w:r>
      <w:r>
        <w:t xml:space="preserve">Surfactants</w:t>
      </w:r>
      <w:r>
        <w:t xml:space="preserve"> </w:t>
      </w:r>
      <w:r>
        <w:t xml:space="preserve">Oxygen based bleaching agents</w:t>
      </w:r>
      <w:r>
        <w:t xml:space="preserve"> </w:t>
      </w:r>
      <w:r>
        <w:t xml:space="preserve">Chlorine based bleaching agents</w:t>
      </w:r>
      <w:r>
        <w:t xml:space="preserve"> </w:t>
      </w:r>
      <w:r>
        <w:t xml:space="preserve">EDTA and its salts</w:t>
      </w:r>
      <w:r>
        <w:t xml:space="preserve"> </w:t>
      </w:r>
      <w:r>
        <w:t xml:space="preserve">NTA and its salts</w:t>
      </w:r>
      <w:r>
        <w:t xml:space="preserve"> </w:t>
      </w:r>
      <w:r>
        <w:t xml:space="preserve">Phenols</w:t>
      </w:r>
      <w:r>
        <w:t xml:space="preserve"> </w:t>
      </w:r>
      <w:r>
        <w:t xml:space="preserve">Zeolites</w:t>
      </w:r>
      <w:r>
        <w:t xml:space="preserve"> </w:t>
      </w:r>
      <w:r>
        <w:t xml:space="preserve">Soap</w:t>
      </w:r>
      <w:r>
        <w:t xml:space="preserve"> </w:t>
      </w:r>
      <w:r>
        <w:t xml:space="preserve">Polycarboxylates</w:t>
      </w:r>
      <w:r>
        <w:t xml:space="preserve"> </w:t>
      </w:r>
      <w:r>
        <w:t xml:space="preserve">Paradichlorobenzene</w:t>
      </w:r>
      <w:r>
        <w:t xml:space="preserve"> </w:t>
      </w:r>
      <w:r>
        <w:t xml:space="preserve">Aliphatic hydrocarbons</w:t>
      </w:r>
      <w:r>
        <w:t xml:space="preserve"> </w:t>
      </w:r>
      <w:r>
        <w:t xml:space="preserve">Aromatic hydrocarbons</w:t>
      </w:r>
      <w:r>
        <w:t xml:space="preserve"> </w:t>
      </w:r>
      <w:r>
        <w:t xml:space="preserve">Halogenated hydrocarbons</w:t>
      </w:r>
      <w:r>
        <w:t xml:space="preserve"> </w:t>
      </w:r>
      <w:r>
        <w:t xml:space="preserve">Enzymes</w:t>
      </w:r>
      <w:r>
        <w:t xml:space="preserve"> </w:t>
      </w:r>
      <w:r>
        <w:t xml:space="preserve">Disinfectants</w:t>
      </w:r>
      <w:r>
        <w:t xml:space="preserve"> </w:t>
      </w:r>
      <w:r>
        <w:t xml:space="preserve">Optical brighteners</w:t>
      </w:r>
      <w:r>
        <w:t xml:space="preserve"> </w:t>
      </w:r>
      <w:r>
        <w:t xml:space="preserve">Perfumes</w:t>
      </w:r>
      <w:r>
        <w:t xml:space="preserve"> </w:t>
      </w:r>
      <w:r>
        <w:t xml:space="preserve">Preservatives</w:t>
      </w:r>
      <w:r>
        <w:t xml:space="preserve"> </w:t>
      </w:r>
      <w:r>
        <w:t xml:space="preserve">Allergenic fragrances</w:t>
      </w:r>
      <w:r>
        <w:t xml:space="preserve"> </w:t>
      </w:r>
      <w:r>
        <w:t xml:space="preserve">All information should remain on the on-pack label</w:t>
      </w:r>
      <w:r>
        <w:t xml:space="preserve"> </w:t>
      </w:r>
      <w:r>
        <w:t xml:space="preserve">Basic information should be kept on the on-pack label and more details provided via a digital label</w:t>
      </w:r>
      <w:r>
        <w:t xml:space="preserve"> </w:t>
      </w:r>
      <w:r>
        <w:t xml:space="preserve">Information should move to a digital label</w:t>
      </w:r>
    </w:p>
    <w:p>
      <w:pPr>
        <w:pStyle w:val="BodyText"/>
      </w:pPr>
      <w:r>
        <w:t xml:space="preserve">471</w:t>
      </w:r>
    </w:p>
    <w:p>
      <w:pPr>
        <w:pStyle w:val="BodyText"/>
      </w:pPr>
      <w:r>
        <w:t xml:space="preserve">There was no clear consensus among the respondents on the key reasons why certain</w:t>
      </w:r>
      <w:r>
        <w:t xml:space="preserve"> </w:t>
      </w:r>
      <w:r>
        <w:t xml:space="preserve">ingredients should be listed on-pack, however, the most popular option between the</w:t>
      </w:r>
      <w:r>
        <w:t xml:space="preserve"> </w:t>
      </w:r>
      <w:r>
        <w:t xml:space="preserve">respondents was “Because this information allows me to use the product safely”30.</w:t>
      </w:r>
      <w:r>
        <w:t xml:space="preserve"> </w:t>
      </w:r>
      <w:r>
        <w:t xml:space="preserve">It must be noted that the most popular option among respondents from citizens and consumer</w:t>
      </w:r>
      <w:r>
        <w:t xml:space="preserve"> </w:t>
      </w:r>
      <w:r>
        <w:t xml:space="preserve">organisations was “because I consider some ingredients to be dangerous/harmful”31, followed</w:t>
      </w:r>
      <w:r>
        <w:t xml:space="preserve"> </w:t>
      </w:r>
      <w:r>
        <w:t xml:space="preserve">by “because this information helps me make a purchase decision”32.</w:t>
      </w:r>
      <w:r>
        <w:br/>
      </w:r>
      <w:r>
        <w:t xml:space="preserve">Q21. In what ways do you think that the information on the detergents label could be</w:t>
      </w:r>
      <w:r>
        <w:t xml:space="preserve"> </w:t>
      </w:r>
      <w:r>
        <w:t xml:space="preserve">simplified: (multiple choice possible)</w:t>
      </w:r>
      <w:r>
        <w:t xml:space="preserve"> </w:t>
      </w:r>
      <w:r>
        <w:t xml:space="preserve">Likewise, there also was no clear consensus among the respondents on the ways that the</w:t>
      </w:r>
      <w:r>
        <w:t xml:space="preserve"> </w:t>
      </w:r>
      <w:r>
        <w:t xml:space="preserve">information on detergents label could be simplified. Nevertheless, the most popular option</w:t>
      </w:r>
      <w:r>
        <w:t xml:space="preserve"> </w:t>
      </w:r>
      <w:r>
        <w:t xml:space="preserve">between the respondents also for respondents from citizens and consumer organisations33 was</w:t>
      </w:r>
      <w:r>
        <w:t xml:space="preserve"> </w:t>
      </w:r>
      <w:r>
        <w:t xml:space="preserve">“Avoiding that the same ingredient is listed multiple times on the label34”,</w:t>
      </w:r>
      <w:r>
        <w:br/>
      </w:r>
      <w:r>
        <w:t xml:space="preserve">Q22. To what extent could the following ingredients be removed from the on-pack label</w:t>
      </w:r>
      <w:r>
        <w:t xml:space="preserve"> </w:t>
      </w:r>
      <w:r>
        <w:t xml:space="preserve">of a chemical product (such as a glue, lamp oil, paint, solvent, etc.) and be transferred to</w:t>
      </w:r>
      <w:r>
        <w:t xml:space="preserve"> </w:t>
      </w:r>
      <w:r>
        <w:t xml:space="preserve">a digital label?</w:t>
      </w:r>
      <w:r>
        <w:t xml:space="preserve"> </w:t>
      </w:r>
      <w:r>
        <w:t xml:space="preserve">The majority of the respondents, including consumer representatives35 think that all</w:t>
      </w:r>
      <w:r>
        <w:t xml:space="preserve"> </w:t>
      </w:r>
      <w:r>
        <w:t xml:space="preserve">information should remain on the on-pack label concerning the: identification code for</w:t>
      </w:r>
      <w:r>
        <w:t xml:space="preserve"> </w:t>
      </w:r>
      <w:r>
        <w:t xml:space="preserve">poison centers36; hazard statement or signal word37; and pictogram showing the risk38.</w:t>
      </w:r>
      <w:r>
        <w:t xml:space="preserve"> </w:t>
      </w:r>
      <w:r>
        <w:t xml:space="preserve">In regards to the other sources of information, the respondents (including consumer</w:t>
      </w:r>
      <w:r>
        <w:t xml:space="preserve"> </w:t>
      </w:r>
      <w:r>
        <w:t xml:space="preserve">representatives) had different views on what kind of information should remain on the on-</w:t>
      </w:r>
      <w:r>
        <w:t xml:space="preserve"> </w:t>
      </w:r>
      <w:r>
        <w:t xml:space="preserve">pack label, should be kept on the on-pack label and more details provided via a digital label,</w:t>
      </w:r>
      <w:r>
        <w:t xml:space="preserve"> </w:t>
      </w:r>
      <w:r>
        <w:t xml:space="preserve">or transferred to a digital label completely. The full overview of the responses to this question</w:t>
      </w:r>
      <w:r>
        <w:t xml:space="preserve"> </w:t>
      </w:r>
      <w:r>
        <w:t xml:space="preserve">is provided in the table below.</w:t>
      </w:r>
    </w:p>
    <w:p>
      <w:pPr>
        <w:pStyle w:val="BodyText"/>
      </w:pPr>
      <w:r>
        <w:t xml:space="preserve">30 84 out of 304 total choices.</w:t>
      </w:r>
      <w:r>
        <w:t xml:space="preserve"> </w:t>
      </w:r>
      <w:r>
        <w:t xml:space="preserve">31 38 out of 44 answers.</w:t>
      </w:r>
      <w:r>
        <w:t xml:space="preserve"> </w:t>
      </w:r>
      <w:r>
        <w:t xml:space="preserve">32 35 out of 44 answers.</w:t>
      </w:r>
      <w:r>
        <w:t xml:space="preserve"> </w:t>
      </w:r>
      <w:r>
        <w:t xml:space="preserve">33 45 out of 53 answers.</w:t>
      </w:r>
      <w:r>
        <w:t xml:space="preserve"> </w:t>
      </w:r>
      <w:r>
        <w:t xml:space="preserve">34 113 out of 522 total choices.</w:t>
      </w:r>
      <w:r>
        <w:t xml:space="preserve"> </w:t>
      </w:r>
      <w:r>
        <w:t xml:space="preserve">35 39 out of 50 answers for “pictogram showing the risk”; 35 out of 49 answers for hazard statement or signal</w:t>
      </w:r>
      <w:r>
        <w:t xml:space="preserve"> </w:t>
      </w:r>
      <w:r>
        <w:t xml:space="preserve">word”; and 31 out of 50 answers for identification code for poison centers”.</w:t>
      </w:r>
      <w:r>
        <w:br/>
      </w:r>
      <w:r>
        <w:t xml:space="preserve">36 106 out of 158 total responses.</w:t>
      </w:r>
      <w:r>
        <w:t xml:space="preserve"> </w:t>
      </w:r>
      <w:r>
        <w:t xml:space="preserve">37 109 out of 156 total responses.</w:t>
      </w:r>
      <w:r>
        <w:t xml:space="preserve"> </w:t>
      </w:r>
      <w:r>
        <w:t xml:space="preserve">38 121 out of 157 total responses.</w:t>
      </w:r>
    </w:p>
    <w:p>
      <w:pPr>
        <w:pStyle w:val="BodyText"/>
      </w:pPr>
      <w:r>
        <w:t xml:space="preserve">472</w:t>
      </w:r>
    </w:p>
    <w:p>
      <w:pPr>
        <w:pStyle w:val="BodyText"/>
      </w:pPr>
      <w:r>
        <w:t xml:space="preserve">SPECIFIC QUESTIONS FOR PROFESSIONALS AND INDUSTRY</w:t>
      </w:r>
      <w:r>
        <w:t xml:space="preserve"> </w:t>
      </w:r>
      <w:r>
        <w:t xml:space="preserve">In this part of the questionnaire, all industry stakeholders were asked to answer the questions</w:t>
      </w:r>
      <w:r>
        <w:t xml:space="preserve"> </w:t>
      </w:r>
      <w:r>
        <w:t xml:space="preserve">related to the practicalities of using digital labelling.</w:t>
      </w:r>
      <w:r>
        <w:t xml:space="preserve"> </w:t>
      </w:r>
      <w:r>
        <w:t xml:space="preserve">Q23. Industry stakeholders were asked to give more information about the type of</w:t>
      </w:r>
      <w:r>
        <w:t xml:space="preserve"> </w:t>
      </w:r>
      <w:r>
        <w:t xml:space="preserve">organisation they represent, and in which sectors (multiple choice is possible).</w:t>
      </w:r>
      <w:r>
        <w:t xml:space="preserve"> </w:t>
      </w:r>
      <w:r>
        <w:t xml:space="preserve">Most industry representatives indicated their organisation was active in the sector of ‘other’</w:t>
      </w:r>
      <w:r>
        <w:t xml:space="preserve"> </w:t>
      </w:r>
      <w:r>
        <w:t xml:space="preserve">chemical products39 (in other words, ‘other to fertilising products or detergents’), followed by</w:t>
      </w:r>
      <w:r>
        <w:t xml:space="preserve"> </w:t>
      </w:r>
      <w:r>
        <w:t xml:space="preserve">fertilising products40, while least were active in the detergents41 sector. Please see more details</w:t>
      </w:r>
      <w:r>
        <w:t xml:space="preserve"> </w:t>
      </w:r>
      <w:r>
        <w:t xml:space="preserve">in the table below on the different types of industry stakeholders:</w:t>
      </w:r>
    </w:p>
    <w:p>
      <w:pPr>
        <w:pStyle w:val="BodyText"/>
      </w:pPr>
      <w:r>
        <w:t xml:space="preserve">The following questions were asked to all industry stakeholders responding to the</w:t>
      </w:r>
      <w:r>
        <w:t xml:space="preserve"> </w:t>
      </w:r>
      <w:r>
        <w:t xml:space="preserve">survey:</w:t>
      </w:r>
    </w:p>
    <w:p>
      <w:pPr>
        <w:pStyle w:val="BodyText"/>
      </w:pPr>
      <w:r>
        <w:t xml:space="preserve">39 182 out of 368 total choices (49%) across the 10 terms.</w:t>
      </w:r>
      <w:r>
        <w:t xml:space="preserve"> </w:t>
      </w:r>
      <w:r>
        <w:t xml:space="preserve">40 154 out of 368 total choices (42%) across the 10 terms.</w:t>
      </w:r>
      <w:r>
        <w:t xml:space="preserve"> </w:t>
      </w:r>
      <w:r>
        <w:t xml:space="preserve">41 32 out of 368 total choices (9%) across the 10 terms.</w:t>
      </w:r>
      <w:r>
        <w:t xml:space="preserve"> </w:t>
      </w:r>
      <w:r>
        <w:t xml:space="preserve">77%</w:t>
      </w:r>
      <w:r>
        <w:t xml:space="preserve"> </w:t>
      </w:r>
      <w:r>
        <w:t xml:space="preserve">70%</w:t>
      </w:r>
      <w:r>
        <w:t xml:space="preserve"> </w:t>
      </w:r>
      <w:r>
        <w:t xml:space="preserve">36%</w:t>
      </w:r>
      <w:r>
        <w:t xml:space="preserve"> </w:t>
      </w:r>
      <w:r>
        <w:t xml:space="preserve">30%</w:t>
      </w:r>
      <w:r>
        <w:t xml:space="preserve"> </w:t>
      </w:r>
      <w:r>
        <w:t xml:space="preserve">34%</w:t>
      </w:r>
      <w:r>
        <w:t xml:space="preserve"> </w:t>
      </w:r>
      <w:r>
        <w:t xml:space="preserve">67%</w:t>
      </w:r>
      <w:r>
        <w:t xml:space="preserve"> </w:t>
      </w:r>
      <w:r>
        <w:t xml:space="preserve">22%</w:t>
      </w:r>
      <w:r>
        <w:t xml:space="preserve"> </w:t>
      </w:r>
      <w:r>
        <w:t xml:space="preserve">26%</w:t>
      </w:r>
      <w:r>
        <w:t xml:space="preserve"> </w:t>
      </w:r>
      <w:r>
        <w:t xml:space="preserve">48%</w:t>
      </w:r>
      <w:r>
        <w:t xml:space="preserve"> </w:t>
      </w:r>
      <w:r>
        <w:t xml:space="preserve">37%</w:t>
      </w:r>
      <w:r>
        <w:t xml:space="preserve"> </w:t>
      </w:r>
      <w:r>
        <w:t xml:space="preserve">33%</w:t>
      </w:r>
      <w:r>
        <w:t xml:space="preserve"> </w:t>
      </w:r>
      <w:r>
        <w:t xml:space="preserve">19%</w:t>
      </w:r>
      <w:r>
        <w:t xml:space="preserve"> </w:t>
      </w:r>
      <w:r>
        <w:t xml:space="preserve">1%</w:t>
      </w:r>
      <w:r>
        <w:t xml:space="preserve"> </w:t>
      </w:r>
      <w:r>
        <w:t xml:space="preserve">4%</w:t>
      </w:r>
      <w:r>
        <w:t xml:space="preserve"> </w:t>
      </w:r>
      <w:r>
        <w:t xml:space="preserve">16%</w:t>
      </w:r>
      <w:r>
        <w:t xml:space="preserve"> </w:t>
      </w:r>
      <w:r>
        <w:t xml:space="preserve">33%</w:t>
      </w:r>
      <w:r>
        <w:t xml:space="preserve"> </w:t>
      </w:r>
      <w:r>
        <w:t xml:space="preserve">34%</w:t>
      </w:r>
      <w:r>
        <w:t xml:space="preserve"> </w:t>
      </w:r>
      <w:r>
        <w:t xml:space="preserve">14%</w:t>
      </w:r>
      <w:r>
        <w:t xml:space="preserve"> </w:t>
      </w:r>
      <w:r>
        <w:t xml:space="preserve">0%</w:t>
      </w:r>
      <w:r>
        <w:t xml:space="preserve"> </w:t>
      </w:r>
      <w:r>
        <w:t xml:space="preserve">25%</w:t>
      </w:r>
      <w:r>
        <w:t xml:space="preserve"> </w:t>
      </w:r>
      <w:r>
        <w:t xml:space="preserve">50%</w:t>
      </w:r>
      <w:r>
        <w:t xml:space="preserve"> </w:t>
      </w:r>
      <w:r>
        <w:t xml:space="preserve">75%</w:t>
      </w:r>
      <w:r>
        <w:t xml:space="preserve"> </w:t>
      </w:r>
      <w:r>
        <w:t xml:space="preserve">100%</w:t>
      </w:r>
      <w:r>
        <w:t xml:space="preserve"> </w:t>
      </w:r>
      <w:r>
        <w:t xml:space="preserve">Pictogram showing the risk</w:t>
      </w:r>
      <w:r>
        <w:t xml:space="preserve"> </w:t>
      </w:r>
      <w:r>
        <w:t xml:space="preserve">Hazard statement or signal word</w:t>
      </w:r>
      <w:r>
        <w:t xml:space="preserve"> </w:t>
      </w:r>
      <w:r>
        <w:t xml:space="preserve">Precautionary statements on how to store, dispose, prevent</w:t>
      </w:r>
      <w:r>
        <w:t xml:space="preserve"> </w:t>
      </w:r>
      <w:r>
        <w:t xml:space="preserve">accidents, etc.</w:t>
      </w:r>
      <w:r>
        <w:t xml:space="preserve"> </w:t>
      </w:r>
      <w:r>
        <w:t xml:space="preserve">The name of the chemicals causing the hazard</w:t>
      </w:r>
      <w:r>
        <w:t xml:space="preserve"> </w:t>
      </w:r>
      <w:r>
        <w:t xml:space="preserve">Additional specific labelling information</w:t>
      </w:r>
      <w:r>
        <w:t xml:space="preserve"> </w:t>
      </w:r>
      <w:r>
        <w:t xml:space="preserve">Identification code for poison centers</w:t>
      </w:r>
      <w:r>
        <w:t xml:space="preserve"> </w:t>
      </w:r>
      <w:r>
        <w:t xml:space="preserve">All information should remain on the on-pack label</w:t>
      </w:r>
      <w:r>
        <w:t xml:space="preserve"> </w:t>
      </w:r>
      <w:r>
        <w:t xml:space="preserve">Basic information should be kept on the on-pack label and more details provided via a digital label</w:t>
      </w:r>
      <w:r>
        <w:t xml:space="preserve"> </w:t>
      </w:r>
      <w:r>
        <w:t xml:space="preserve">Information should move to a digital label</w:t>
      </w:r>
      <w:r>
        <w:t xml:space="preserve"> </w:t>
      </w:r>
      <w:r>
        <w:t xml:space="preserve">3%</w:t>
      </w:r>
      <w:r>
        <w:t xml:space="preserve"> </w:t>
      </w:r>
      <w:r>
        <w:t xml:space="preserve">6%</w:t>
      </w:r>
      <w:r>
        <w:t xml:space="preserve"> </w:t>
      </w:r>
      <w:r>
        <w:t xml:space="preserve">6%</w:t>
      </w:r>
      <w:r>
        <w:t xml:space="preserve"> </w:t>
      </w:r>
      <w:r>
        <w:t xml:space="preserve">6%</w:t>
      </w:r>
      <w:r>
        <w:t xml:space="preserve"> </w:t>
      </w:r>
      <w:r>
        <w:t xml:space="preserve">8%</w:t>
      </w:r>
      <w:r>
        <w:t xml:space="preserve"> </w:t>
      </w:r>
      <w:r>
        <w:t xml:space="preserve">11%</w:t>
      </w:r>
      <w:r>
        <w:t xml:space="preserve"> </w:t>
      </w:r>
      <w:r>
        <w:t xml:space="preserve">9%</w:t>
      </w:r>
      <w:r>
        <w:t xml:space="preserve"> </w:t>
      </w:r>
      <w:r>
        <w:t xml:space="preserve">14%</w:t>
      </w:r>
      <w:r>
        <w:t xml:space="preserve"> </w:t>
      </w:r>
      <w:r>
        <w:t xml:space="preserve">26%</w:t>
      </w:r>
      <w:r>
        <w:t xml:space="preserve"> </w:t>
      </w:r>
      <w:r>
        <w:t xml:space="preserve">50%</w:t>
      </w:r>
      <w:r>
        <w:t xml:space="preserve"> </w:t>
      </w:r>
      <w:r>
        <w:t xml:space="preserve">48%</w:t>
      </w:r>
      <w:r>
        <w:t xml:space="preserve"> </w:t>
      </w:r>
      <w:r>
        <w:t xml:space="preserve">42%</w:t>
      </w:r>
      <w:r>
        <w:t xml:space="preserve"> </w:t>
      </w:r>
      <w:r>
        <w:t xml:space="preserve">43%</w:t>
      </w:r>
      <w:r>
        <w:t xml:space="preserve"> </w:t>
      </w:r>
      <w:r>
        <w:t xml:space="preserve">44%</w:t>
      </w:r>
      <w:r>
        <w:t xml:space="preserve"> </w:t>
      </w:r>
      <w:r>
        <w:t xml:space="preserve">39%</w:t>
      </w:r>
      <w:r>
        <w:t xml:space="preserve"> </w:t>
      </w:r>
      <w:r>
        <w:t xml:space="preserve">56%</w:t>
      </w:r>
      <w:r>
        <w:t xml:space="preserve"> </w:t>
      </w:r>
      <w:r>
        <w:t xml:space="preserve">45%</w:t>
      </w:r>
      <w:r>
        <w:t xml:space="preserve"> </w:t>
      </w:r>
      <w:r>
        <w:t xml:space="preserve">22%</w:t>
      </w:r>
      <w:r>
        <w:t xml:space="preserve"> </w:t>
      </w:r>
      <w:r>
        <w:t xml:space="preserve">42%</w:t>
      </w:r>
      <w:r>
        <w:t xml:space="preserve"> </w:t>
      </w:r>
      <w:r>
        <w:t xml:space="preserve">33%</w:t>
      </w:r>
      <w:r>
        <w:t xml:space="preserve"> </w:t>
      </w:r>
      <w:r>
        <w:t xml:space="preserve">49%</w:t>
      </w:r>
      <w:r>
        <w:t xml:space="preserve"> </w:t>
      </w:r>
      <w:r>
        <w:t xml:space="preserve">52%</w:t>
      </w:r>
      <w:r>
        <w:t xml:space="preserve"> </w:t>
      </w:r>
      <w:r>
        <w:t xml:space="preserve">52%</w:t>
      </w:r>
      <w:r>
        <w:t xml:space="preserve"> </w:t>
      </w:r>
      <w:r>
        <w:t xml:space="preserve">50%</w:t>
      </w:r>
      <w:r>
        <w:t xml:space="preserve"> </w:t>
      </w:r>
      <w:r>
        <w:t xml:space="preserve">53%</w:t>
      </w:r>
      <w:r>
        <w:t xml:space="preserve"> </w:t>
      </w:r>
      <w:r>
        <w:t xml:space="preserve">33%</w:t>
      </w:r>
      <w:r>
        <w:t xml:space="preserve"> </w:t>
      </w:r>
      <w:r>
        <w:t xml:space="preserve">45%</w:t>
      </w:r>
      <w:r>
        <w:t xml:space="preserve"> </w:t>
      </w:r>
      <w:r>
        <w:t xml:space="preserve">65%</w:t>
      </w:r>
      <w:r>
        <w:t xml:space="preserve"> </w:t>
      </w:r>
      <w:r>
        <w:t xml:space="preserve">32%</w:t>
      </w:r>
      <w:r>
        <w:t xml:space="preserve"> </w:t>
      </w:r>
      <w:r>
        <w:t xml:space="preserve">17%</w:t>
      </w:r>
      <w:r>
        <w:t xml:space="preserve"> </w:t>
      </w:r>
      <w:r>
        <w:t xml:space="preserve">0%</w:t>
      </w:r>
      <w:r>
        <w:t xml:space="preserve"> </w:t>
      </w:r>
      <w:r>
        <w:t xml:space="preserve">25%</w:t>
      </w:r>
      <w:r>
        <w:t xml:space="preserve"> </w:t>
      </w:r>
      <w:r>
        <w:t xml:space="preserve">50%</w:t>
      </w:r>
      <w:r>
        <w:t xml:space="preserve"> </w:t>
      </w:r>
      <w:r>
        <w:t xml:space="preserve">75%</w:t>
      </w:r>
      <w:r>
        <w:t xml:space="preserve"> </w:t>
      </w:r>
      <w:r>
        <w:t xml:space="preserve">100%</w:t>
      </w:r>
      <w:r>
        <w:t xml:space="preserve"> </w:t>
      </w:r>
      <w:r>
        <w:t xml:space="preserve">Manufacture or produce</w:t>
      </w:r>
      <w:r>
        <w:t xml:space="preserve"> </w:t>
      </w:r>
      <w:r>
        <w:t xml:space="preserve">Blend</w:t>
      </w:r>
      <w:r>
        <w:t xml:space="preserve"> </w:t>
      </w:r>
      <w:r>
        <w:t xml:space="preserve">Sell</w:t>
      </w:r>
      <w:r>
        <w:t xml:space="preserve"> </w:t>
      </w:r>
      <w:r>
        <w:t xml:space="preserve">Import/Export</w:t>
      </w:r>
      <w:r>
        <w:t xml:space="preserve"> </w:t>
      </w:r>
      <w:r>
        <w:t xml:space="preserve">Repackage/Relabel</w:t>
      </w:r>
      <w:r>
        <w:t xml:space="preserve"> </w:t>
      </w:r>
      <w:r>
        <w:t xml:space="preserve">Representative</w:t>
      </w:r>
      <w:r>
        <w:t xml:space="preserve"> </w:t>
      </w:r>
      <w:r>
        <w:t xml:space="preserve">Distribute</w:t>
      </w:r>
      <w:r>
        <w:t xml:space="preserve"> </w:t>
      </w:r>
      <w:r>
        <w:t xml:space="preserve">Use</w:t>
      </w:r>
      <w:r>
        <w:t xml:space="preserve"> </w:t>
      </w:r>
      <w:r>
        <w:t xml:space="preserve">Other</w:t>
      </w:r>
      <w:r>
        <w:t xml:space="preserve"> </w:t>
      </w:r>
      <w:r>
        <w:t xml:space="preserve">None of the above/cannot answer</w:t>
      </w:r>
      <w:r>
        <w:t xml:space="preserve"> </w:t>
      </w:r>
      <w:r>
        <w:t xml:space="preserve">Detergents</w:t>
      </w:r>
      <w:r>
        <w:t xml:space="preserve"> </w:t>
      </w:r>
      <w:r>
        <w:t xml:space="preserve">Fertilising products</w:t>
      </w:r>
      <w:r>
        <w:t xml:space="preserve"> </w:t>
      </w:r>
      <w:r>
        <w:t xml:space="preserve">Other chemical products</w:t>
      </w:r>
    </w:p>
    <w:p>
      <w:pPr>
        <w:pStyle w:val="BodyText"/>
      </w:pPr>
      <w:r>
        <w:t xml:space="preserve">473</w:t>
      </w:r>
    </w:p>
    <w:p>
      <w:pPr>
        <w:pStyle w:val="BodyText"/>
      </w:pPr>
      <w:r>
        <w:t xml:space="preserve">Q24. Do you currently provide any product information via IT solutions or digital tools?</w:t>
      </w:r>
      <w:r>
        <w:t xml:space="preserve"> </w:t>
      </w:r>
      <w:r>
        <w:t xml:space="preserve">The majority of the industry stakeholders (74%42) do provide information about their products</w:t>
      </w:r>
      <w:r>
        <w:t xml:space="preserve"> </w:t>
      </w:r>
      <w:r>
        <w:t xml:space="preserve">via IT solutions or digital tools. Almost half of the respondents from the industry provide</w:t>
      </w:r>
      <w:r>
        <w:t xml:space="preserve"> </w:t>
      </w:r>
      <w:r>
        <w:t xml:space="preserve">additional/complimentary information to an on-pack label, while around one-quarter of the</w:t>
      </w:r>
      <w:r>
        <w:t xml:space="preserve"> </w:t>
      </w:r>
      <w:r>
        <w:t xml:space="preserve">respondents provide the same information online that was presented on the on-pack label.</w:t>
      </w:r>
      <w:r>
        <w:t xml:space="preserve"> </w:t>
      </w:r>
      <w:r>
        <w:t xml:space="preserve">Q25. What are the main reasons for providing information online? (multiple choice</w:t>
      </w:r>
      <w:r>
        <w:t xml:space="preserve"> </w:t>
      </w:r>
      <w:r>
        <w:t xml:space="preserve">possible)</w:t>
      </w:r>
      <w:r>
        <w:t xml:space="preserve"> </w:t>
      </w:r>
      <w:r>
        <w:t xml:space="preserve">There was no clear consensus among the industry stakeholders on the key reasons to provide</w:t>
      </w:r>
      <w:r>
        <w:t xml:space="preserve"> </w:t>
      </w:r>
      <w:r>
        <w:t xml:space="preserve">information online, however, the most popular option between the respondents was</w:t>
      </w:r>
      <w:r>
        <w:t xml:space="preserve"> </w:t>
      </w:r>
      <w:r>
        <w:t xml:space="preserve">“Improved customer service”43.</w:t>
      </w:r>
      <w:r>
        <w:t xml:space="preserve"> </w:t>
      </w:r>
      <w:r>
        <w:t xml:space="preserve">Q26. Please rate the main benefits of introducing a regulatory framework on digital</w:t>
      </w:r>
      <w:r>
        <w:t xml:space="preserve"> </w:t>
      </w:r>
      <w:r>
        <w:t xml:space="preserve">labelling of chemicals for your organisation?</w:t>
      </w:r>
      <w:r>
        <w:t xml:space="preserve"> </w:t>
      </w:r>
      <w:r>
        <w:t xml:space="preserve">The majority of the industry stakeholders have rated all of the listed benefits44 as moderately</w:t>
      </w:r>
      <w:r>
        <w:t xml:space="preserve"> </w:t>
      </w:r>
      <w:r>
        <w:t xml:space="preserve">beneficial or extremely beneficial with the benefit called “Better management of fast</w:t>
      </w:r>
      <w:r>
        <w:t xml:space="preserve"> </w:t>
      </w:r>
      <w:r>
        <w:t xml:space="preserve">changing label information” as the most beneficial45, followed by ”, “Increased ease of</w:t>
      </w:r>
      <w:r>
        <w:t xml:space="preserve"> </w:t>
      </w:r>
      <w:r>
        <w:t xml:space="preserve">complying with labelling requirements”46, “Better targeted communication”47, and “Cost</w:t>
      </w:r>
      <w:r>
        <w:t xml:space="preserve"> </w:t>
      </w:r>
      <w:r>
        <w:t xml:space="preserve">savings” as the least beneficial” option48.</w:t>
      </w:r>
      <w:r>
        <w:t xml:space="preserve"> </w:t>
      </w:r>
      <w:r>
        <w:t xml:space="preserve">Q27. How would you see the following challenges if digital labelling was introduced?</w:t>
      </w:r>
      <w:r>
        <w:t xml:space="preserve"> </w:t>
      </w:r>
      <w:r>
        <w:t xml:space="preserve">Around half of the industry stakeholders have assessed the challenges associated with the</w:t>
      </w:r>
      <w:r>
        <w:t xml:space="preserve"> </w:t>
      </w:r>
      <w:r>
        <w:t xml:space="preserve">“Increased costs associated with training”49 and “Increased costs associated with changes to</w:t>
      </w:r>
      <w:r>
        <w:t xml:space="preserve"> </w:t>
      </w:r>
      <w:r>
        <w:t xml:space="preserve">design /packaging”50 as a little challenging or not challenging at all, while around half of</w:t>
      </w:r>
      <w:r>
        <w:t xml:space="preserve"> </w:t>
      </w:r>
      <w:r>
        <w:t xml:space="preserve">the respondents have rated the challenge of “Implementing IT solutions”51 as moderately or</w:t>
      </w:r>
      <w:r>
        <w:t xml:space="preserve"> </w:t>
      </w:r>
      <w:r>
        <w:t xml:space="preserve">extremely challenging. The opinion of the stakeholders on other challenges proved to be</w:t>
      </w:r>
      <w:r>
        <w:t xml:space="preserve"> </w:t>
      </w:r>
      <w:r>
        <w:t xml:space="preserve">more diverse and marginalised. However, only a minority of respondents considered the</w:t>
      </w:r>
      <w:r>
        <w:t xml:space="preserve"> </w:t>
      </w:r>
      <w:r>
        <w:t xml:space="preserve">introduction of digital labelling as extremely challenging.</w:t>
      </w:r>
    </w:p>
    <w:p>
      <w:pPr>
        <w:pStyle w:val="BodyText"/>
      </w:pPr>
      <w:r>
        <w:t xml:space="preserve">42 123 out of 167 total responses.</w:t>
      </w:r>
      <w:r>
        <w:t xml:space="preserve"> </w:t>
      </w:r>
      <w:r>
        <w:t xml:space="preserve">43 97 out of 390 total choices.</w:t>
      </w:r>
      <w:r>
        <w:t xml:space="preserve"> </w:t>
      </w:r>
      <w:r>
        <w:t xml:space="preserve">44 The listed benefits included: “Better management of fast changing label information”, increased ease of</w:t>
      </w:r>
      <w:r>
        <w:t xml:space="preserve"> </w:t>
      </w:r>
      <w:r>
        <w:t xml:space="preserve">complying with labelling requirements”, better targeted communication” and “cost savings”.</w:t>
      </w:r>
      <w:r>
        <w:br/>
      </w:r>
      <w:r>
        <w:t xml:space="preserve">45 111 out of 124 respondents (90%) have selected options “Extremely beneficial” or “Moderately beneficial”.</w:t>
      </w:r>
      <w:r>
        <w:t xml:space="preserve"> </w:t>
      </w:r>
      <w:r>
        <w:t xml:space="preserve">46 106 out of 125 respondents (85%) have selected options “Extremely beneficial” or “Moderately beneficial”.</w:t>
      </w:r>
      <w:r>
        <w:t xml:space="preserve"> </w:t>
      </w:r>
      <w:r>
        <w:t xml:space="preserve">47 106 out of 125 respondents (85%) have selected options “Extremely beneficial” or “Moderately beneficial”.</w:t>
      </w:r>
      <w:r>
        <w:t xml:space="preserve"> </w:t>
      </w:r>
      <w:r>
        <w:t xml:space="preserve">48 65 out of 117 respondents (56%) have selected options “Extremely beneficial” or “Moderately beneficial”.</w:t>
      </w:r>
      <w:r>
        <w:t xml:space="preserve"> </w:t>
      </w:r>
      <w:r>
        <w:t xml:space="preserve">49 61 out of 122 total responses (50%).</w:t>
      </w:r>
      <w:r>
        <w:t xml:space="preserve"> </w:t>
      </w:r>
      <w:r>
        <w:t xml:space="preserve">50 66 out of 128 total responses (52%).</w:t>
      </w:r>
      <w:r>
        <w:t xml:space="preserve"> </w:t>
      </w:r>
      <w:r>
        <w:t xml:space="preserve">51 63 out of 127 total responses (49.5%).</w:t>
      </w:r>
    </w:p>
    <w:p>
      <w:pPr>
        <w:pStyle w:val="BodyText"/>
      </w:pPr>
      <w:r>
        <w:t xml:space="preserve">474</w:t>
      </w:r>
    </w:p>
    <w:p>
      <w:pPr>
        <w:pStyle w:val="BodyText"/>
      </w:pPr>
      <w:r>
        <w:t xml:space="preserve">Q28. Would your organisation implement digital labelling if it were an option under the</w:t>
      </w:r>
      <w:r>
        <w:t xml:space="preserve"> </w:t>
      </w:r>
      <w:r>
        <w:t xml:space="preserve">revised regulations?</w:t>
      </w:r>
      <w:r>
        <w:t xml:space="preserve"> </w:t>
      </w:r>
      <w:r>
        <w:t xml:space="preserve">More than two-thirds of the industry stakeholders (94 out of 135) think that their</w:t>
      </w:r>
      <w:r>
        <w:t xml:space="preserve"> </w:t>
      </w:r>
      <w:r>
        <w:t xml:space="preserve">organisations would implement digital labelling if it were an option under the revised</w:t>
      </w:r>
      <w:r>
        <w:t xml:space="preserve"> </w:t>
      </w:r>
      <w:r>
        <w:t xml:space="preserve">regulations.</w:t>
      </w:r>
      <w:r>
        <w:t xml:space="preserve"> </w:t>
      </w:r>
      <w:r>
        <w:t xml:space="preserve">Q29. In your view, how should any label information presented via IT solutions be</w:t>
      </w:r>
      <w:r>
        <w:t xml:space="preserve"> </w:t>
      </w:r>
      <w:r>
        <w:t xml:space="preserve">organised?</w:t>
      </w:r>
      <w:r>
        <w:t xml:space="preserve"> </w:t>
      </w:r>
      <w:r>
        <w:t xml:space="preserve">The majority of the industry stakeholders (56%, 89 out of 156) would prefer a decentralised</w:t>
      </w:r>
      <w:r>
        <w:t xml:space="preserve"> </w:t>
      </w:r>
      <w:r>
        <w:t xml:space="preserve">database, operated individually by each manufacturer following standardised templates or</w:t>
      </w:r>
      <w:r>
        <w:t xml:space="preserve"> </w:t>
      </w:r>
      <w:r>
        <w:t xml:space="preserve">guidelines</w:t>
      </w:r>
    </w:p>
    <w:p>
      <w:pPr>
        <w:pStyle w:val="BodyText"/>
      </w:pPr>
      <w:r>
        <w:t xml:space="preserve">Annex 13c - Legal Analysis (digital labelling)</w:t>
      </w:r>
      <w:r>
        <w:t xml:space="preserve"> </w:t>
      </w:r>
      <w:r>
        <w:t xml:space="preserve">This Annex provides a summary of existing labelling requirements under Classification,</w:t>
      </w:r>
      <w:r>
        <w:t xml:space="preserve"> </w:t>
      </w:r>
      <w:r>
        <w:t xml:space="preserve">Labelling and Packaging Regulation (CLP) and Detergents Regulations, including labelling</w:t>
      </w:r>
      <w:r>
        <w:t xml:space="preserve"> </w:t>
      </w:r>
      <w:r>
        <w:t xml:space="preserve">examples and the identification of duplications and legislative overlaps between different</w:t>
      </w:r>
      <w:r>
        <w:t xml:space="preserve"> </w:t>
      </w:r>
      <w:r>
        <w:t xml:space="preserve">pieces of EU legislation.52</w:t>
      </w:r>
      <w:r>
        <w:t xml:space="preserve"> </w:t>
      </w:r>
      <w:r>
        <w:t xml:space="preserve">The analysis of the relevant regulation, in conjunction with the exchanges incurred with the</w:t>
      </w:r>
      <w:r>
        <w:t xml:space="preserve"> </w:t>
      </w:r>
      <w:r>
        <w:t xml:space="preserve">Commission, also allowed the research team to define a “baseline” label53 to be used in the</w:t>
      </w:r>
      <w:r>
        <w:t xml:space="preserve"> </w:t>
      </w:r>
      <w:r>
        <w:t xml:space="preserve">behavioural experiment as described in Annex 4.</w:t>
      </w:r>
    </w:p>
    <w:p>
      <w:pPr>
        <w:pStyle w:val="BodyText"/>
      </w:pPr>
      <w:r>
        <w:t xml:space="preserve">52 CLP, Detergents Regulation, Cosmetic Products Regulation and Biocidal Products Regulation.</w:t>
      </w:r>
      <w:r>
        <w:t xml:space="preserve"> </w:t>
      </w:r>
      <w:r>
        <w:t xml:space="preserve">53 The baseline label is a regulatory-compliant test label which will be tested in the experiment to assess the</w:t>
      </w:r>
      <w:r>
        <w:t xml:space="preserve"> </w:t>
      </w:r>
      <w:r>
        <w:t xml:space="preserve">behaviour and understanding of consumers of specific products (in this experiment detergents and glues) under</w:t>
      </w:r>
      <w:r>
        <w:t xml:space="preserve"> </w:t>
      </w:r>
      <w:r>
        <w:t xml:space="preserve">the currently applicable legislation.</w:t>
      </w:r>
      <w:r>
        <w:t xml:space="preserve"> </w:t>
      </w:r>
      <w:r>
        <w:t xml:space="preserve">10%</w:t>
      </w:r>
      <w:r>
        <w:t xml:space="preserve"> </w:t>
      </w:r>
      <w:r>
        <w:t xml:space="preserve">15%</w:t>
      </w:r>
      <w:r>
        <w:t xml:space="preserve"> </w:t>
      </w:r>
      <w:r>
        <w:t xml:space="preserve">9%</w:t>
      </w:r>
      <w:r>
        <w:t xml:space="preserve"> </w:t>
      </w:r>
      <w:r>
        <w:t xml:space="preserve">10%</w:t>
      </w:r>
      <w:r>
        <w:t xml:space="preserve"> </w:t>
      </w:r>
      <w:r>
        <w:t xml:space="preserve">10%</w:t>
      </w:r>
      <w:r>
        <w:t xml:space="preserve"> </w:t>
      </w:r>
      <w:r>
        <w:t xml:space="preserve">15%</w:t>
      </w:r>
      <w:r>
        <w:t xml:space="preserve"> </w:t>
      </w:r>
      <w:r>
        <w:t xml:space="preserve">20%</w:t>
      </w:r>
      <w:r>
        <w:t xml:space="preserve"> </w:t>
      </w:r>
      <w:r>
        <w:t xml:space="preserve">32%</w:t>
      </w:r>
      <w:r>
        <w:t xml:space="preserve"> </w:t>
      </w:r>
      <w:r>
        <w:t xml:space="preserve">20%</w:t>
      </w:r>
      <w:r>
        <w:t xml:space="preserve"> </w:t>
      </w:r>
      <w:r>
        <w:t xml:space="preserve">22%</w:t>
      </w:r>
      <w:r>
        <w:t xml:space="preserve"> </w:t>
      </w:r>
      <w:r>
        <w:t xml:space="preserve">41%</w:t>
      </w:r>
      <w:r>
        <w:t xml:space="preserve"> </w:t>
      </w:r>
      <w:r>
        <w:t xml:space="preserve">35%</w:t>
      </w:r>
      <w:r>
        <w:t xml:space="preserve"> </w:t>
      </w:r>
      <w:r>
        <w:t xml:space="preserve">24%</w:t>
      </w:r>
      <w:r>
        <w:t xml:space="preserve"> </w:t>
      </w:r>
      <w:r>
        <w:t xml:space="preserve">18%</w:t>
      </w:r>
      <w:r>
        <w:t xml:space="preserve"> </w:t>
      </w:r>
      <w:r>
        <w:t xml:space="preserve">22%</w:t>
      </w:r>
      <w:r>
        <w:t xml:space="preserve"> </w:t>
      </w:r>
      <w:r>
        <w:t xml:space="preserve">34%</w:t>
      </w:r>
      <w:r>
        <w:t xml:space="preserve"> </w:t>
      </w:r>
      <w:r>
        <w:t xml:space="preserve">22%</w:t>
      </w:r>
      <w:r>
        <w:t xml:space="preserve"> </w:t>
      </w:r>
      <w:r>
        <w:t xml:space="preserve">29%</w:t>
      </w:r>
      <w:r>
        <w:t xml:space="preserve"> </w:t>
      </w:r>
      <w:r>
        <w:t xml:space="preserve">30%</w:t>
      </w:r>
      <w:r>
        <w:t xml:space="preserve"> </w:t>
      </w:r>
      <w:r>
        <w:t xml:space="preserve">33%</w:t>
      </w:r>
      <w:r>
        <w:t xml:space="preserve"> </w:t>
      </w:r>
      <w:r>
        <w:t xml:space="preserve">42%</w:t>
      </w:r>
      <w:r>
        <w:t xml:space="preserve"> </w:t>
      </w:r>
      <w:r>
        <w:t xml:space="preserve">30%</w:t>
      </w:r>
      <w:r>
        <w:t xml:space="preserve"> </w:t>
      </w:r>
      <w:r>
        <w:t xml:space="preserve">22%</w:t>
      </w:r>
      <w:r>
        <w:t xml:space="preserve"> </w:t>
      </w:r>
      <w:r>
        <w:t xml:space="preserve">15%</w:t>
      </w:r>
      <w:r>
        <w:t xml:space="preserve"> </w:t>
      </w:r>
      <w:r>
        <w:t xml:space="preserve">15%</w:t>
      </w:r>
      <w:r>
        <w:t xml:space="preserve"> </w:t>
      </w:r>
      <w:r>
        <w:t xml:space="preserve">3%</w:t>
      </w:r>
      <w:r>
        <w:t xml:space="preserve"> </w:t>
      </w:r>
      <w:r>
        <w:t xml:space="preserve">8%</w:t>
      </w:r>
      <w:r>
        <w:t xml:space="preserve"> </w:t>
      </w:r>
      <w:r>
        <w:t xml:space="preserve">4%</w:t>
      </w:r>
      <w:r>
        <w:t xml:space="preserve"> </w:t>
      </w:r>
      <w:r>
        <w:t xml:space="preserve">5%</w:t>
      </w:r>
      <w:r>
        <w:t xml:space="preserve"> </w:t>
      </w:r>
      <w:r>
        <w:t xml:space="preserve">7%</w:t>
      </w:r>
      <w:r>
        <w:t xml:space="preserve"> </w:t>
      </w:r>
      <w:r>
        <w:t xml:space="preserve">0%</w:t>
      </w:r>
      <w:r>
        <w:t xml:space="preserve"> </w:t>
      </w:r>
      <w:r>
        <w:t xml:space="preserve">25%</w:t>
      </w:r>
      <w:r>
        <w:t xml:space="preserve"> </w:t>
      </w:r>
      <w:r>
        <w:t xml:space="preserve">50%</w:t>
      </w:r>
      <w:r>
        <w:t xml:space="preserve"> </w:t>
      </w:r>
      <w:r>
        <w:t xml:space="preserve">75%</w:t>
      </w:r>
      <w:r>
        <w:t xml:space="preserve"> </w:t>
      </w:r>
      <w:r>
        <w:t xml:space="preserve">100%</w:t>
      </w:r>
      <w:r>
        <w:t xml:space="preserve"> </w:t>
      </w:r>
      <w:r>
        <w:t xml:space="preserve">Managing different data formats</w:t>
      </w:r>
      <w:r>
        <w:t xml:space="preserve"> </w:t>
      </w:r>
      <w:r>
        <w:t xml:space="preserve">Managing changes in labelling processes</w:t>
      </w:r>
      <w:r>
        <w:t xml:space="preserve"> </w:t>
      </w:r>
      <w:r>
        <w:t xml:space="preserve">Implementing IT solutions</w:t>
      </w:r>
      <w:r>
        <w:t xml:space="preserve"> </w:t>
      </w:r>
      <w:r>
        <w:t xml:space="preserve">Increased costs associated with implementing</w:t>
      </w:r>
      <w:r>
        <w:t xml:space="preserve"> </w:t>
      </w:r>
      <w:r>
        <w:t xml:space="preserve">technological aspects</w:t>
      </w:r>
      <w:r>
        <w:t xml:space="preserve"> </w:t>
      </w:r>
      <w:r>
        <w:t xml:space="preserve">Increased costs associated with changes to design</w:t>
      </w:r>
      <w:r>
        <w:t xml:space="preserve"> </w:t>
      </w:r>
      <w:r>
        <w:t xml:space="preserve">/packaging</w:t>
      </w:r>
      <w:r>
        <w:t xml:space="preserve"> </w:t>
      </w:r>
      <w:r>
        <w:t xml:space="preserve">Increased costs associated with training</w:t>
      </w:r>
      <w:r>
        <w:t xml:space="preserve"> </w:t>
      </w:r>
      <w:r>
        <w:t xml:space="preserve">Not challenging at all</w:t>
      </w:r>
      <w:r>
        <w:t xml:space="preserve"> </w:t>
      </w:r>
      <w:r>
        <w:t xml:space="preserve">A little challenging</w:t>
      </w:r>
      <w:r>
        <w:t xml:space="preserve"> </w:t>
      </w:r>
      <w:r>
        <w:t xml:space="preserve">Neither challenging nor easy</w:t>
      </w:r>
      <w:r>
        <w:t xml:space="preserve"> </w:t>
      </w:r>
      <w:r>
        <w:t xml:space="preserve">Moderately challenging</w:t>
      </w:r>
      <w:r>
        <w:t xml:space="preserve"> </w:t>
      </w:r>
      <w:r>
        <w:t xml:space="preserve">Extremely challenging</w:t>
      </w:r>
    </w:p>
    <w:p>
      <w:pPr>
        <w:pStyle w:val="BodyText"/>
      </w:pPr>
      <w:r>
        <w:t xml:space="preserve">475</w:t>
      </w:r>
    </w:p>
    <w:p>
      <w:pPr>
        <w:pStyle w:val="BodyText"/>
      </w:pPr>
      <w:r>
        <w:t xml:space="preserve">GENERAL OVERVIEW</w:t>
      </w:r>
      <w:r>
        <w:br/>
      </w:r>
      <w:r>
        <w:t xml:space="preserve">Labelling obligations for substances and mixtures fall under the Classification, Labelling and</w:t>
      </w:r>
      <w:r>
        <w:t xml:space="preserve"> </w:t>
      </w:r>
      <w:r>
        <w:t xml:space="preserve">Packaging Regulation (Regulation (EC) No 1272/2008) in case a substance or mixture is</w:t>
      </w:r>
      <w:r>
        <w:t xml:space="preserve"> </w:t>
      </w:r>
      <w:r>
        <w:t xml:space="preserve">classified as hazardous.</w:t>
      </w:r>
      <w:r>
        <w:t xml:space="preserve"> </w:t>
      </w:r>
      <w:r>
        <w:t xml:space="preserve">The manufacturers, importers, downstream users (including formulators) and distributors</w:t>
      </w:r>
      <w:r>
        <w:t xml:space="preserve"> </w:t>
      </w:r>
      <w:r>
        <w:t xml:space="preserve">(including retailers) must label and package any hazardous substance or mixture before it is</w:t>
      </w:r>
      <w:r>
        <w:t xml:space="preserve"> </w:t>
      </w:r>
      <w:r>
        <w:t xml:space="preserve">placed on the market in accordance with Titles III and IV of the CLP (CLP Article 4(4))54.</w:t>
      </w:r>
      <w:r>
        <w:t xml:space="preserve"> </w:t>
      </w:r>
      <w:r>
        <w:t xml:space="preserve">Following the rules of the CLP a substance or mixture contained in packaging must be</w:t>
      </w:r>
      <w:r>
        <w:t xml:space="preserve"> </w:t>
      </w:r>
      <w:r>
        <w:t xml:space="preserve">labelled in accordance with the CLP rules when:</w:t>
      </w:r>
      <w:r>
        <w:t xml:space="preserve"> </w:t>
      </w:r>
      <w:r>
        <w:t xml:space="preserve">the substance or the mixture itself is classified as hazardous; or</w:t>
      </w:r>
      <w:r>
        <w:t xml:space="preserve"> </w:t>
      </w:r>
      <w:r>
        <w:t xml:space="preserve">if it is a mixture containing one or more substances classified as hazardous above the</w:t>
      </w:r>
      <w:r>
        <w:t xml:space="preserve"> </w:t>
      </w:r>
      <w:r>
        <w:t xml:space="preserve">concentrations referred to in Part 2 of Annex II to the CLP, even if the mixture itself is not</w:t>
      </w:r>
      <w:r>
        <w:t xml:space="preserve"> </w:t>
      </w:r>
      <w:r>
        <w:t xml:space="preserve">classified overall as hazardous. In this case, the supplemental labelling as set out in Part 2 of</w:t>
      </w:r>
      <w:r>
        <w:t xml:space="preserve"> </w:t>
      </w:r>
      <w:r>
        <w:t xml:space="preserve">Annex II to the CLP applies (CLP Article 25(6)); and</w:t>
      </w:r>
      <w:r>
        <w:t xml:space="preserve"> </w:t>
      </w:r>
      <w:r>
        <w:t xml:space="preserve">if it is an explosive article as described in Part 2.1 of Annex I of the CLP.</w:t>
      </w:r>
      <w:r>
        <w:t xml:space="preserve"> </w:t>
      </w:r>
      <w:r>
        <w:t xml:space="preserve">The hazard classifications are set out in parts 2 to 5 of Annex I to the CLP. In general, there is</w:t>
      </w:r>
      <w:r>
        <w:t xml:space="preserve"> </w:t>
      </w:r>
      <w:r>
        <w:t xml:space="preserve">an obligation to classify substances and mixtures for their physical, health or environmental</w:t>
      </w:r>
      <w:r>
        <w:t xml:space="preserve"> </w:t>
      </w:r>
      <w:r>
        <w:t xml:space="preserve">hazards. Each class includes one or more hazard categories. For example, explosives,</w:t>
      </w:r>
      <w:r>
        <w:t xml:space="preserve"> </w:t>
      </w:r>
      <w:r>
        <w:t xml:space="preserve">flammable gases, flammable aerosols, and aerosols are classified under CLP Physical hazards</w:t>
      </w:r>
      <w:r>
        <w:t xml:space="preserve"> </w:t>
      </w:r>
      <w:r>
        <w:t xml:space="preserve">class. Some examples under Health hazards class are “acute toxicity”, “skin</w:t>
      </w:r>
      <w:r>
        <w:t xml:space="preserve"> </w:t>
      </w:r>
      <w:r>
        <w:t xml:space="preserve">corrosion/irritation”, “serious eye damage/eye irritation”, “respiratory or skin sensitisation”.</w:t>
      </w:r>
      <w:r>
        <w:t xml:space="preserve"> </w:t>
      </w:r>
      <w:r>
        <w:t xml:space="preserve">Under Environmental hazards class fall “Hazardous to the aquatic environment” and</w:t>
      </w:r>
      <w:r>
        <w:t xml:space="preserve"> </w:t>
      </w:r>
      <w:r>
        <w:t xml:space="preserve">“Hazardous to the ozone layer” classifications.55</w:t>
      </w:r>
      <w:r>
        <w:t xml:space="preserve"> </w:t>
      </w:r>
      <w:r>
        <w:t xml:space="preserve">The CLP is the primary basis for identifying hazards, providing hazard classification across</w:t>
      </w:r>
      <w:r>
        <w:t xml:space="preserve"> </w:t>
      </w:r>
      <w:r>
        <w:t xml:space="preserve">almost all other pieces of EU legislation as well as labelling and other risk and hazard</w:t>
      </w:r>
      <w:r>
        <w:t xml:space="preserve"> </w:t>
      </w:r>
      <w:r>
        <w:t xml:space="preserve">communication measures. The aim of the CLP is that consumers56, industrial57 and</w:t>
      </w:r>
      <w:r>
        <w:t xml:space="preserve"> </w:t>
      </w:r>
      <w:r>
        <w:t xml:space="preserve">professional users58 should be provided with relevant and adequate information that allows</w:t>
      </w:r>
      <w:r>
        <w:t xml:space="preserve"> </w:t>
      </w:r>
      <w:r>
        <w:t xml:space="preserve">them to recognise the real hazard of a product and get relevant safe use guidance.</w:t>
      </w:r>
      <w:r>
        <w:t xml:space="preserve"> </w:t>
      </w:r>
      <w:r>
        <w:t xml:space="preserve">The labelling requirements of the Detergents Regulation is the primary means by which the</w:t>
      </w:r>
      <w:r>
        <w:t xml:space="preserve"> </w:t>
      </w:r>
      <w:r>
        <w:t xml:space="preserve">Regulation aims to achieve its objective of ensuring the protection of human health. The</w:t>
      </w:r>
      <w:r>
        <w:t xml:space="preserve"> </w:t>
      </w:r>
      <w:r>
        <w:t xml:space="preserve">information included in detergents labels serves as a means of communicating information on</w:t>
      </w:r>
      <w:r>
        <w:t xml:space="preserve"> </w:t>
      </w:r>
      <w:r>
        <w:t xml:space="preserve">the content of detergents59 (e.g., fragrance allergens, enzymes, disinfectants, optical</w:t>
      </w:r>
    </w:p>
    <w:p>
      <w:pPr>
        <w:pStyle w:val="BodyText"/>
      </w:pPr>
      <w:r>
        <w:t xml:space="preserve">54 ‘Where a substance or mixture is classified as hazardous, suppliers shall ensure that the substance or mixture is</w:t>
      </w:r>
      <w:r>
        <w:t xml:space="preserve"> </w:t>
      </w:r>
      <w:r>
        <w:t xml:space="preserve">labelled and packaged in accordance with Titles III and IV, before placing it on the market.’</w:t>
      </w:r>
      <w:r>
        <w:t xml:space="preserve"> </w:t>
      </w:r>
      <w:r>
        <w:t xml:space="preserve">55 The Hazard class table, available at https://www.reach24h.com/en/service/chemical-service/eu-clp.html</w:t>
      </w:r>
      <w:r>
        <w:t xml:space="preserve"> </w:t>
      </w:r>
      <w:r>
        <w:t xml:space="preserve">provides full information for all CLP Hazard Classes and Categories.</w:t>
      </w:r>
      <w:r>
        <w:t xml:space="preserve"> </w:t>
      </w:r>
      <w:r>
        <w:t xml:space="preserve">56 The consumer is a member of the general public who may primarily be exposed to hazardous substances or</w:t>
      </w:r>
      <w:r>
        <w:t xml:space="preserve"> </w:t>
      </w:r>
      <w:r>
        <w:t xml:space="preserve">mixtures by using a consumer product.</w:t>
      </w:r>
      <w:r>
        <w:t xml:space="preserve"> </w:t>
      </w:r>
      <w:r>
        <w:t xml:space="preserve">57 Industrial users – people involved in manufacturing, handling and/or packaging of actives or products in</w:t>
      </w:r>
      <w:r>
        <w:t xml:space="preserve"> </w:t>
      </w:r>
      <w:r>
        <w:t xml:space="preserve">industry.</w:t>
      </w:r>
      <w:r>
        <w:t xml:space="preserve"> </w:t>
      </w:r>
      <w:r>
        <w:t xml:space="preserve">58 Professional users – people using end-products outside industry.</w:t>
      </w:r>
      <w:r>
        <w:t xml:space="preserve"> </w:t>
      </w:r>
      <w:r>
        <w:t xml:space="preserve">59 There are eighteen specific constituents listed in the Annex VII A to the Detergents Regulation, which must be</w:t>
      </w:r>
      <w:r>
        <w:t xml:space="preserve"> </w:t>
      </w:r>
      <w:r>
        <w:t xml:space="preserve">stated on the label if present as a constituent in the detergent at greater than 0.2% by weight for example all</w:t>
      </w:r>
      <w:r>
        <w:t xml:space="preserve"> </w:t>
      </w:r>
      <w:r>
        <w:t xml:space="preserve">surfactant types, phosphates and aliphatic hydrocarbons.</w:t>
      </w:r>
    </w:p>
    <w:p>
      <w:pPr>
        <w:pStyle w:val="BodyText"/>
      </w:pPr>
      <w:r>
        <w:t xml:space="preserve">476</w:t>
      </w:r>
    </w:p>
    <w:p>
      <w:pPr>
        <w:pStyle w:val="BodyText"/>
      </w:pPr>
      <w:r>
        <w:t xml:space="preserve">brighteners, perfumes, and preservation agents) and use instructions to consumers thus</w:t>
      </w:r>
      <w:r>
        <w:t xml:space="preserve"> </w:t>
      </w:r>
      <w:r>
        <w:t xml:space="preserve">allowing them to make more informed choices.</w:t>
      </w:r>
      <w:r>
        <w:br/>
      </w:r>
      <w:r>
        <w:t xml:space="preserve">Whether a particular product falls within the scope of the Detergents Regulation depends on</w:t>
      </w:r>
      <w:r>
        <w:t xml:space="preserve"> </w:t>
      </w:r>
      <w:r>
        <w:t xml:space="preserve">its purpose (cleaning function or not) and not on its composition (containing surfactants or</w:t>
      </w:r>
      <w:r>
        <w:t xml:space="preserve"> </w:t>
      </w:r>
      <w:r>
        <w:t xml:space="preserve">not).60 Further, the labelling of ingredients according to the Detergents Regulation is not</w:t>
      </w:r>
      <w:r>
        <w:t xml:space="preserve"> </w:t>
      </w:r>
      <w:r>
        <w:t xml:space="preserve">dependent on whether these ingredients are hazardous or non-hazardous.</w:t>
      </w:r>
      <w:r>
        <w:t xml:space="preserve"> </w:t>
      </w:r>
      <w:r>
        <w:t xml:space="preserve">The labelling and packaging of all detergent products (i.e., both those intended for consumer</w:t>
      </w:r>
      <w:r>
        <w:t xml:space="preserve"> </w:t>
      </w:r>
      <w:r>
        <w:t xml:space="preserve">use and those intended for professional and industrial use) must comply with the requirements</w:t>
      </w:r>
      <w:r>
        <w:t xml:space="preserve"> </w:t>
      </w:r>
      <w:r>
        <w:t xml:space="preserve">of the Detergent Regulation. All detergent products which are classified as hazardous must</w:t>
      </w:r>
      <w:r>
        <w:t xml:space="preserve"> </w:t>
      </w:r>
      <w:r>
        <w:t xml:space="preserve">be hazard labelled in accordance with CLP. Where the detergent has a biocidal function61</w:t>
      </w:r>
      <w:r>
        <w:t xml:space="preserve"> </w:t>
      </w:r>
      <w:r>
        <w:t xml:space="preserve">or contains a preservation agent, the packaging must also contain labelling information as</w:t>
      </w:r>
      <w:r>
        <w:t xml:space="preserve"> </w:t>
      </w:r>
      <w:r>
        <w:t xml:space="preserve">required by the Biocidal Products Regulation (BPR)62. In addition, the Detergents</w:t>
      </w:r>
      <w:r>
        <w:t xml:space="preserve"> </w:t>
      </w:r>
      <w:r>
        <w:t xml:space="preserve">Regulation makes reference to the Cosmetics Products Regulation (CPR)63 for the labelling of</w:t>
      </w:r>
      <w:r>
        <w:t xml:space="preserve"> </w:t>
      </w:r>
      <w:r>
        <w:t xml:space="preserve">allergenic fragrances64.</w:t>
      </w:r>
      <w:r>
        <w:t xml:space="preserve"> </w:t>
      </w:r>
      <w:r>
        <w:t xml:space="preserve">Labelling elements under CLP Regulation</w:t>
      </w:r>
      <w:r>
        <w:t xml:space="preserve"> </w:t>
      </w:r>
      <w:r>
        <w:t xml:space="preserve">Under the CLP (Article 17(1)) in case a substance or mixture is classified as hazardous the</w:t>
      </w:r>
      <w:r>
        <w:t xml:space="preserve"> </w:t>
      </w:r>
      <w:r>
        <w:t xml:space="preserve">mandatory pieces of information the label has to provide to users are:</w:t>
      </w:r>
      <w:r>
        <w:t xml:space="preserve"> </w:t>
      </w:r>
      <w:r>
        <w:t xml:space="preserve">identification and contact details of the supplier(s);</w:t>
      </w:r>
      <w:r>
        <w:t xml:space="preserve"> </w:t>
      </w:r>
      <w:r>
        <w:t xml:space="preserve">the quantity of hazardous substance/mixture (on the label or on the package), and</w:t>
      </w:r>
      <w:r>
        <w:br/>
      </w:r>
      <w:r>
        <w:t xml:space="preserve">the product identifier.</w:t>
      </w:r>
      <w:r>
        <w:t xml:space="preserve"> </w:t>
      </w:r>
      <w:r>
        <w:t xml:space="preserve">Depending on the hazard severity (hazard category) the label may include:</w:t>
      </w:r>
      <w:r>
        <w:t xml:space="preserve"> </w:t>
      </w:r>
      <w:r>
        <w:t xml:space="preserve"> hazard pictograms;</w:t>
      </w:r>
      <w:r>
        <w:br/>
      </w:r>
      <w:r>
        <w:t xml:space="preserve"> signal words;</w:t>
      </w:r>
      <w:r>
        <w:t xml:space="preserve"> </w:t>
      </w:r>
      <w:r>
        <w:t xml:space="preserve"> precautionary statement; and</w:t>
      </w:r>
      <w:r>
        <w:t xml:space="preserve"> </w:t>
      </w:r>
      <w:r>
        <w:t xml:space="preserve"> a section for supplemental information:</w:t>
      </w:r>
    </w:p>
    <w:p>
      <w:pPr>
        <w:pStyle w:val="BodyText"/>
      </w:pPr>
      <w:r>
        <w:t xml:space="preserve">60 Questions and agreed answers concerning the correct implementation of Regulation (EC) No 648/2004 on</w:t>
      </w:r>
      <w:r>
        <w:t xml:space="preserve"> </w:t>
      </w:r>
      <w:r>
        <w:t xml:space="preserve">detergents, 6.1 Criteria for deciding whether a product falls within the scope of the Regulation, p. 11. Available</w:t>
      </w:r>
      <w:r>
        <w:t xml:space="preserve"> </w:t>
      </w:r>
      <w:r>
        <w:t xml:space="preserve">at: https://ec.europa.eu/docsroom/documents/33168/attachments/1/translations/en/renditions/pdf</w:t>
      </w:r>
      <w:r>
        <w:br/>
      </w:r>
      <w:r>
        <w:t xml:space="preserve">61 A biocidal function, by analogy with the definition of a biocidal product, means the function of destroying,</w:t>
      </w:r>
      <w:r>
        <w:t xml:space="preserve"> </w:t>
      </w:r>
      <w:r>
        <w:t xml:space="preserve">deterring, rendering harmless, preventing the action of, or otherwise exerting a controlling effect on, any harmful</w:t>
      </w:r>
      <w:r>
        <w:t xml:space="preserve"> </w:t>
      </w:r>
      <w:r>
        <w:t xml:space="preserve">organism by any means other than mere physical or mechanical action. CA-Sept13-Doc.5. i.e., “Note for</w:t>
      </w:r>
      <w:r>
        <w:t xml:space="preserve"> </w:t>
      </w:r>
      <w:r>
        <w:t xml:space="preserve">guidance Subject: Frequently asked questions on treated articles”, answer to Q. 10, p. 6. Available at:</w:t>
      </w:r>
      <w:r>
        <w:t xml:space="preserve"> </w:t>
      </w:r>
      <w:r>
        <w:t xml:space="preserve">https://circabc.europa.eu/sd/a/d7363efd-d8fb-43e6-8036-5bcc5e87bf22/CA-Sept13-</w:t>
      </w:r>
      <w:r>
        <w:t xml:space="preserve"> </w:t>
      </w:r>
      <w:r>
        <w:t xml:space="preserve">Doc%205.1.e%20%28Rev1%29%20-%20treated%20articles%20guidance.doc</w:t>
      </w:r>
      <w:r>
        <w:br/>
      </w:r>
      <w:r>
        <w:t xml:space="preserve">62 Regulation (EU) No 528/2012 of the European Parliament and of the Council of 22 May 2012 concerning the</w:t>
      </w:r>
      <w:r>
        <w:t xml:space="preserve"> </w:t>
      </w:r>
      <w:r>
        <w:t xml:space="preserve">making available on the market and use of biocidal products. Available at https://eur-lex.europa.eu/legal-</w:t>
      </w:r>
      <w:r>
        <w:t xml:space="preserve"> </w:t>
      </w:r>
      <w:r>
        <w:t xml:space="preserve">content/EN/TXT/?uri=celex%3A32012R0528</w:t>
      </w:r>
      <w:r>
        <w:br/>
      </w:r>
      <w:r>
        <w:t xml:space="preserve">63 Regulation (EC) No 1223/2009 of the European Parliament and of the Council of 30 November 2009 on</w:t>
      </w:r>
      <w:r>
        <w:t xml:space="preserve"> </w:t>
      </w:r>
      <w:r>
        <w:t xml:space="preserve">cosmetic products, available at https://eur-lex.europa.eu/legal-content/EN/ALL/?uri=CELEX%3A32009R1223</w:t>
      </w:r>
      <w:r>
        <w:t xml:space="preserve"> </w:t>
      </w:r>
      <w:r>
        <w:t xml:space="preserve">64 According to Annex VII A of the Detergents Regulation, the allergenic fragrances as listed by the 7th</w:t>
      </w:r>
      <w:r>
        <w:t xml:space="preserve"> </w:t>
      </w:r>
      <w:r>
        <w:t xml:space="preserve">amendment (2003/15/EC) of Directive 76/768/EEC shall be mentioned on the label if they have been added to</w:t>
      </w:r>
      <w:r>
        <w:t xml:space="preserve"> </w:t>
      </w:r>
      <w:r>
        <w:t xml:space="preserve">detergents sold to the general public at concentrations exceeding 0.01% by weight. This list of allergenic</w:t>
      </w:r>
      <w:r>
        <w:t xml:space="preserve"> </w:t>
      </w:r>
      <w:r>
        <w:t xml:space="preserve">fragrances, to be found in Annex III, Part 1 of Regulation (EC) No 1223/2009 can be adapted to technical</w:t>
      </w:r>
      <w:r>
        <w:t xml:space="preserve"> </w:t>
      </w:r>
      <w:r>
        <w:t xml:space="preserve">progress.</w:t>
      </w:r>
    </w:p>
    <w:p>
      <w:pPr>
        <w:pStyle w:val="BodyText"/>
      </w:pPr>
      <w:r>
        <w:t xml:space="preserve">477</w:t>
      </w:r>
    </w:p>
    <w:p>
      <w:pPr>
        <w:pStyle w:val="BodyText"/>
      </w:pPr>
      <w:r>
        <w:t xml:space="preserve"> obligatory: information which comprise of hazard statements provided</w:t>
      </w:r>
      <w:r>
        <w:t xml:space="preserve"> </w:t>
      </w:r>
      <w:r>
        <w:t xml:space="preserve">for in other parts of the CLP 65 and/or taken over from previous</w:t>
      </w:r>
      <w:r>
        <w:t xml:space="preserve"> </w:t>
      </w:r>
      <w:r>
        <w:t xml:space="preserve">chemical legislation, e.g., EUH001 Explosive when dry and EUH204</w:t>
      </w:r>
      <w:r>
        <w:t xml:space="preserve"> </w:t>
      </w:r>
      <w:r>
        <w:t xml:space="preserve">“Contains isocyanates. May produce an allergic reaction”; and</w:t>
      </w:r>
      <w:r>
        <w:t xml:space="preserve"> </w:t>
      </w:r>
      <w:r>
        <w:t xml:space="preserve"> non-obligatory: not part of the legal labelling requirements under CLP,</w:t>
      </w:r>
      <w:r>
        <w:t xml:space="preserve"> </w:t>
      </w:r>
      <w:r>
        <w:t xml:space="preserve">for example, instructions for use. Such information must not distract</w:t>
      </w:r>
      <w:r>
        <w:t xml:space="preserve"> </w:t>
      </w:r>
      <w:r>
        <w:t xml:space="preserve">from nor contradict the obligatory label elements and statements, for</w:t>
      </w:r>
      <w:r>
        <w:t xml:space="preserve"> </w:t>
      </w:r>
      <w:r>
        <w:t xml:space="preserve">example “non-toxic” or “non-polluting” must not be used;</w:t>
      </w:r>
    </w:p>
    <w:p>
      <w:pPr>
        <w:pStyle w:val="BodyText"/>
      </w:pPr>
      <w:r>
        <w:t xml:space="preserve">a Unique Formula Identifier (UFI66), if applicable, must also be added to, i.e., printed</w:t>
      </w:r>
      <w:r>
        <w:t xml:space="preserve"> </w:t>
      </w:r>
      <w:r>
        <w:t xml:space="preserve">on or affixed to, the label of mixtures falling under the scope of Article 45 and Annex</w:t>
      </w:r>
      <w:r>
        <w:t xml:space="preserve"> </w:t>
      </w:r>
      <w:r>
        <w:t xml:space="preserve">VIII to the CLP on poison centres.</w:t>
      </w:r>
      <w:r>
        <w:t xml:space="preserve"> </w:t>
      </w:r>
      <w:r>
        <w:t xml:space="preserve">The CLP implements the use of the hazard statements, precautionary statements, and</w:t>
      </w:r>
      <w:r>
        <w:t xml:space="preserve"> </w:t>
      </w:r>
      <w:r>
        <w:t xml:space="preserve">pictograms provided for by the United Nations Globally Harmonised System (GHS). The</w:t>
      </w:r>
      <w:r>
        <w:t xml:space="preserve"> </w:t>
      </w:r>
      <w:r>
        <w:t xml:space="preserve">CLP also includes the use of the two GHS signal words “Danger” and “Warning” to indicate</w:t>
      </w:r>
      <w:r>
        <w:t xml:space="preserve"> </w:t>
      </w:r>
      <w:r>
        <w:t xml:space="preserve">the severity of a hazard.</w:t>
      </w:r>
      <w:r>
        <w:t xml:space="preserve"> </w:t>
      </w:r>
      <w:r>
        <w:t xml:space="preserve">Section 1.2 of Annex I to CLP defines the label size, setting out minimum dimensions for the</w:t>
      </w:r>
      <w:r>
        <w:t xml:space="preserve"> </w:t>
      </w:r>
      <w:r>
        <w:t xml:space="preserve">label, with the pictogram size being linked to these minimum dimensions. Nevertheless, the</w:t>
      </w:r>
      <w:r>
        <w:t xml:space="preserve"> </w:t>
      </w:r>
      <w:r>
        <w:t xml:space="preserve">label should be large enough to contain all the label elements defined by the CLP while</w:t>
      </w:r>
      <w:r>
        <w:t xml:space="preserve"> </w:t>
      </w:r>
      <w:r>
        <w:t xml:space="preserve">remaining legible. As a result, the label may need to be larger than the minimum area</w:t>
      </w:r>
      <w:r>
        <w:t xml:space="preserve"> </w:t>
      </w:r>
      <w:r>
        <w:t xml:space="preserve">specified. The table below demonstrates the minimum dimensions of labels and pictograms</w:t>
      </w:r>
      <w:r>
        <w:t xml:space="preserve"> </w:t>
      </w:r>
      <w:r>
        <w:t xml:space="preserve">under the CLP. The size of the pictogram relates here to the dimensions of the pictogram</w:t>
      </w:r>
      <w:r>
        <w:t xml:space="preserve"> </w:t>
      </w:r>
      <w:r>
        <w:t xml:space="preserve">itself, and not to the size of the virtual square into which the pictogram is placed.</w:t>
      </w:r>
      <w:r>
        <w:t xml:space="preserve"> </w:t>
      </w:r>
      <w:r>
        <w:t xml:space="preserve">Table 156: Minimum dimensions of labels and pictograms under the CLP Regulation67</w:t>
      </w:r>
      <w:r>
        <w:t xml:space="preserve"> </w:t>
      </w:r>
      <w:r>
        <w:t xml:space="preserve">Capacity of the package</w:t>
      </w:r>
      <w:r>
        <w:br/>
      </w:r>
      <w:r>
        <w:t xml:space="preserve">Dimensions of the label</w:t>
      </w:r>
      <w:r>
        <w:t xml:space="preserve"> </w:t>
      </w:r>
      <w:r>
        <w:t xml:space="preserve">(in millimetres) for the</w:t>
      </w:r>
      <w:r>
        <w:t xml:space="preserve"> </w:t>
      </w:r>
      <w:r>
        <w:t xml:space="preserve">information required by</w:t>
      </w:r>
      <w:r>
        <w:t xml:space="preserve"> </w:t>
      </w:r>
      <w:r>
        <w:t xml:space="preserve">CLP Article 17</w:t>
      </w:r>
      <w:r>
        <w:br/>
      </w:r>
      <w:r>
        <w:t xml:space="preserve">Dimensions</w:t>
      </w:r>
      <w:r>
        <w:t xml:space="preserve"> </w:t>
      </w:r>
      <w:r>
        <w:t xml:space="preserve">of</w:t>
      </w:r>
      <w:r>
        <w:t xml:space="preserve"> </w:t>
      </w:r>
      <w:r>
        <w:t xml:space="preserve">the</w:t>
      </w:r>
      <w:r>
        <w:t xml:space="preserve"> </w:t>
      </w:r>
      <w:r>
        <w:t xml:space="preserve">pictogram</w:t>
      </w:r>
      <w:r>
        <w:t xml:space="preserve"> </w:t>
      </w:r>
      <w:r>
        <w:t xml:space="preserve">(in</w:t>
      </w:r>
      <w:r>
        <w:t xml:space="preserve"> </w:t>
      </w:r>
      <w:r>
        <w:t xml:space="preserve">millimetres)</w:t>
      </w:r>
      <w:r>
        <w:br/>
      </w:r>
      <w:r>
        <w:t xml:space="preserve">≤ 3 litres</w:t>
      </w:r>
      <w:r>
        <w:br/>
      </w:r>
      <w:r>
        <w:t xml:space="preserve">If possible, at least 52 x 74 Not smaller than 10 x 10</w:t>
      </w:r>
      <w:r>
        <w:br/>
      </w:r>
      <w:r>
        <w:t xml:space="preserve">If possible, at least 16 x 16</w:t>
      </w:r>
      <w:r>
        <w:br/>
      </w:r>
      <w:r>
        <w:t xml:space="preserve">&gt; 3 litres but ≤ 50 litres</w:t>
      </w:r>
      <w:r>
        <w:br/>
      </w:r>
      <w:r>
        <w:t xml:space="preserve">At least 74 x 105</w:t>
      </w:r>
      <w:r>
        <w:br/>
      </w:r>
      <w:r>
        <w:t xml:space="preserve">At least 23 x 23</w:t>
      </w:r>
      <w:r>
        <w:br/>
      </w:r>
      <w:r>
        <w:t xml:space="preserve">&gt; 50 litres but ≤ 500 litres</w:t>
      </w:r>
      <w:r>
        <w:br/>
      </w:r>
      <w:r>
        <w:t xml:space="preserve">At least 105 x 148</w:t>
      </w:r>
      <w:r>
        <w:br/>
      </w:r>
      <w:r>
        <w:t xml:space="preserve">At least 32 x 32</w:t>
      </w:r>
      <w:r>
        <w:br/>
      </w:r>
      <w:r>
        <w:t xml:space="preserve">&gt; 500 litres</w:t>
      </w:r>
      <w:r>
        <w:br/>
      </w:r>
      <w:r>
        <w:t xml:space="preserve">At least 148 x 210</w:t>
      </w:r>
      <w:r>
        <w:br/>
      </w:r>
      <w:r>
        <w:t xml:space="preserve">At least 46 x 46</w:t>
      </w:r>
    </w:p>
    <w:p>
      <w:pPr>
        <w:pStyle w:val="BodyText"/>
      </w:pPr>
      <w:r>
        <w:t xml:space="preserve">The CLP requires that the label elements as referred to in CLP Article 17(1) be of such size</w:t>
      </w:r>
      <w:r>
        <w:t xml:space="preserve"> </w:t>
      </w:r>
      <w:r>
        <w:t xml:space="preserve">and spacing as to be easily read68. Readability is determined by the combination of font size,</w:t>
      </w:r>
      <w:r>
        <w:t xml:space="preserve"> </w:t>
      </w:r>
      <w:r>
        <w:t xml:space="preserve">letter spacing, spacing between lines, stroke width, type colour, typeface, width-height ratio of</w:t>
      </w:r>
    </w:p>
    <w:p>
      <w:pPr>
        <w:pStyle w:val="BodyText"/>
      </w:pPr>
      <w:r>
        <w:t xml:space="preserve">65 For example, the listing of surfactants and perfumes according to the Regulation (EC) No 648/2004 on</w:t>
      </w:r>
      <w:r>
        <w:t xml:space="preserve"> </w:t>
      </w:r>
      <w:r>
        <w:t xml:space="preserve">detergents, as amended; the authorisation number of the biocidal product according to the Biocidal Products</w:t>
      </w:r>
      <w:r>
        <w:t xml:space="preserve"> </w:t>
      </w:r>
      <w:r>
        <w:t xml:space="preserve">Regulation (EU) No 528/2012.</w:t>
      </w:r>
      <w:r>
        <w:t xml:space="preserve"> </w:t>
      </w:r>
      <w:r>
        <w:t xml:space="preserve">66 Mixtures for consumer or professional use must be submitted before 1 January 2021. Mixtures for industrial</w:t>
      </w:r>
      <w:r>
        <w:t xml:space="preserve"> </w:t>
      </w:r>
      <w:r>
        <w:t xml:space="preserve">use are due three years later, by 1 January 2024.</w:t>
      </w:r>
      <w:r>
        <w:t xml:space="preserve"> </w:t>
      </w:r>
      <w:r>
        <w:t xml:space="preserve">67 Guidance on labelling and packaging in accordance with Regulation (EC) No 1272/2008, Version 4.2, March</w:t>
      </w:r>
      <w:r>
        <w:t xml:space="preserve"> </w:t>
      </w:r>
      <w:r>
        <w:t xml:space="preserve">2021.</w:t>
      </w:r>
      <w:r>
        <w:t xml:space="preserve"> </w:t>
      </w:r>
      <w:r>
        <w:t xml:space="preserve">68 CLP, Article 31(3) The label elements referred to in Article 17(1) shall be clearly and indelibly marked. They</w:t>
      </w:r>
      <w:r>
        <w:t xml:space="preserve"> </w:t>
      </w:r>
      <w:r>
        <w:t xml:space="preserve">shall stand out clearly from the background and be of such size and spacing as to be easily read.</w:t>
      </w:r>
    </w:p>
    <w:p>
      <w:pPr>
        <w:pStyle w:val="BodyText"/>
      </w:pPr>
      <w:r>
        <w:t xml:space="preserve">478</w:t>
      </w:r>
    </w:p>
    <w:p>
      <w:pPr>
        <w:pStyle w:val="BodyText"/>
      </w:pPr>
      <w:r>
        <w:t xml:space="preserve">the letters, the surface of the material and significant contrast between the print and the</w:t>
      </w:r>
      <w:r>
        <w:t xml:space="preserve"> </w:t>
      </w:r>
      <w:r>
        <w:t xml:space="preserve">background69.</w:t>
      </w:r>
      <w:r>
        <w:t xml:space="preserve"> </w:t>
      </w:r>
      <w:r>
        <w:t xml:space="preserve">The exact size of the letters of the signal words, hazard statements, precautionary statements</w:t>
      </w:r>
      <w:r>
        <w:t xml:space="preserve"> </w:t>
      </w:r>
      <w:r>
        <w:t xml:space="preserve">and any supplemental information is not further defined in the legal text, i.e., it is up to the</w:t>
      </w:r>
      <w:r>
        <w:t xml:space="preserve"> </w:t>
      </w:r>
      <w:r>
        <w:t xml:space="preserve">supplier to determine the size of the letters that allows the label elements to be easily read.</w:t>
      </w:r>
      <w:r>
        <w:t xml:space="preserve"> </w:t>
      </w:r>
      <w:r>
        <w:t xml:space="preserve">However, the minimum letter size of 1.2 mm (‘x-height’) can be used as a reference70. A</w:t>
      </w:r>
      <w:r>
        <w:t xml:space="preserve"> </w:t>
      </w:r>
      <w:r>
        <w:t xml:space="preserve">supplier may decide whether to increase the letter size with the overall volume of the</w:t>
      </w:r>
      <w:r>
        <w:t xml:space="preserve"> </w:t>
      </w:r>
      <w:r>
        <w:t xml:space="preserve">packaging and dimensions of the label, or to fix it more or less for all volumes and labels.</w:t>
      </w:r>
      <w:r>
        <w:t xml:space="preserve"> </w:t>
      </w:r>
      <w:r>
        <w:t xml:space="preserve">Similarly, a supplier may decide whether to have larger letter sizes for certain label elements</w:t>
      </w:r>
      <w:r>
        <w:t xml:space="preserve"> </w:t>
      </w:r>
      <w:r>
        <w:t xml:space="preserve">while others are presented in smaller letters71.</w:t>
      </w:r>
      <w:r>
        <w:t xml:space="preserve"> </w:t>
      </w:r>
      <w:r>
        <w:t xml:space="preserve">The labelling elements described above must be clearly and indelibly marked on the labels.</w:t>
      </w:r>
      <w:r>
        <w:t xml:space="preserve"> </w:t>
      </w:r>
      <w:r>
        <w:t xml:space="preserve">The labels should be firmly affixed to one or more surfaces of the packaging immediately</w:t>
      </w:r>
      <w:r>
        <w:t xml:space="preserve"> </w:t>
      </w:r>
      <w:r>
        <w:t xml:space="preserve">containing the hazardous substance or mixture (CLP Article 31). They should be readable</w:t>
      </w:r>
      <w:r>
        <w:t xml:space="preserve"> </w:t>
      </w:r>
      <w:r>
        <w:t xml:space="preserve">horizontally when the package is set down normally.</w:t>
      </w:r>
      <w:r>
        <w:t xml:space="preserve"> </w:t>
      </w:r>
      <w:r>
        <w:t xml:space="preserve">A label may accommodate more language(s) than those required by the Member State where</w:t>
      </w:r>
      <w:r>
        <w:t xml:space="preserve"> </w:t>
      </w:r>
      <w:r>
        <w:t xml:space="preserve">the substance or mixture is placed on the market. As long as the label complies with the</w:t>
      </w:r>
      <w:r>
        <w:t xml:space="preserve"> </w:t>
      </w:r>
      <w:r>
        <w:t xml:space="preserve">(minimum) dimensions set out in Table 2 above and as long as legibility of the text elements</w:t>
      </w:r>
      <w:r>
        <w:t xml:space="preserve"> </w:t>
      </w:r>
      <w:r>
        <w:t xml:space="preserve">is warranted, the decision on the number of languages is at the discretion of the respective</w:t>
      </w:r>
      <w:r>
        <w:t xml:space="preserve"> </w:t>
      </w:r>
      <w:r>
        <w:t xml:space="preserve">supplier.</w:t>
      </w:r>
      <w:r>
        <w:t xml:space="preserve"> </w:t>
      </w:r>
      <w:r>
        <w:t xml:space="preserve">All hazard statements must appear on the label unless there is obvious duplication or</w:t>
      </w:r>
      <w:r>
        <w:t xml:space="preserve"> </w:t>
      </w:r>
      <w:r>
        <w:t xml:space="preserve">redundancy. The colour and presentation of the labels must allow the hazard pictogram and its</w:t>
      </w:r>
      <w:r>
        <w:t xml:space="preserve"> </w:t>
      </w:r>
      <w:r>
        <w:t xml:space="preserve">background to be clearly visible. Hazard pictograms are the shape of a square set at a point</w:t>
      </w:r>
      <w:r>
        <w:t xml:space="preserve"> </w:t>
      </w:r>
      <w:r>
        <w:t xml:space="preserve">(diamond shape) and must have a black symbol on a white background with a red border</w:t>
      </w:r>
      <w:r>
        <w:t xml:space="preserve"> </w:t>
      </w:r>
      <w:r>
        <w:t xml:space="preserve">(section 1.2.1 of Annex I to CLP). The CLP links the size of the hazard pictograms to the</w:t>
      </w:r>
      <w:r>
        <w:t xml:space="preserve"> </w:t>
      </w:r>
      <w:r>
        <w:t xml:space="preserve">minimum dimensions of the label. Each hazard pictogram should cover at least one fifteenth</w:t>
      </w:r>
      <w:r>
        <w:t xml:space="preserve"> </w:t>
      </w:r>
      <w:r>
        <w:t xml:space="preserve">of the minimum surface area of the label, but the pictogram area for the smallest capacity of</w:t>
      </w:r>
      <w:r>
        <w:t xml:space="preserve"> </w:t>
      </w:r>
      <w:r>
        <w:t xml:space="preserve">the package should be at least 16 mm x 16 mm, if possible, but must never be less than 1cm2.</w:t>
      </w:r>
      <w:r>
        <w:br/>
      </w:r>
      <w:r>
        <w:t xml:space="preserve">It is important to note that in order to reduce the number of substance (‘chemical’) names</w:t>
      </w:r>
      <w:r>
        <w:t xml:space="preserve"> </w:t>
      </w:r>
      <w:r>
        <w:t xml:space="preserve">on the label, no more than four names should be provided on the label for a mixture, unless</w:t>
      </w:r>
      <w:r>
        <w:t xml:space="preserve"> </w:t>
      </w:r>
      <w:r>
        <w:t xml:space="preserve">necessary due to the nature and severity of the hazards72. If the trade name or the designation</w:t>
      </w:r>
      <w:r>
        <w:t xml:space="preserve"> </w:t>
      </w:r>
      <w:r>
        <w:t xml:space="preserve">of the mixture already includes the name(s) of the substance(s) contributing to the</w:t>
      </w:r>
      <w:r>
        <w:t xml:space="preserve"> </w:t>
      </w:r>
      <w:r>
        <w:t xml:space="preserve">classification of the mixture as defined in paragraph 3(b) of CLP Article 18, they do not need</w:t>
      </w:r>
      <w:r>
        <w:t xml:space="preserve"> </w:t>
      </w:r>
      <w:r>
        <w:t xml:space="preserve">to be repeated. Moreover, if the supplemental information on the label already contains</w:t>
      </w:r>
      <w:r>
        <w:t xml:space="preserve"> </w:t>
      </w:r>
      <w:r>
        <w:t xml:space="preserve">the chemical name of the substance, e.g., in the list of allergens and preservatives</w:t>
      </w:r>
      <w:r>
        <w:t xml:space="preserve"> </w:t>
      </w:r>
      <w:r>
        <w:t xml:space="preserve">required by Regulation (EC) No 648/2004 on detergents, it is advisable to use the same</w:t>
      </w:r>
      <w:r>
        <w:t xml:space="preserve"> </w:t>
      </w:r>
      <w:r>
        <w:t xml:space="preserve">name73.</w:t>
      </w:r>
    </w:p>
    <w:p>
      <w:pPr>
        <w:pStyle w:val="BodyText"/>
      </w:pPr>
      <w:r>
        <w:t xml:space="preserve">69 Guidance on labelling and packaging in accordance with Regulation (EC) No 1272/2008, Version 4.2, March</w:t>
      </w:r>
      <w:r>
        <w:t xml:space="preserve"> </w:t>
      </w:r>
      <w:r>
        <w:t xml:space="preserve">2021.</w:t>
      </w:r>
      <w:r>
        <w:t xml:space="preserve"> </w:t>
      </w:r>
      <w:r>
        <w:t xml:space="preserve">70 Guidance on labelling and packaging in accordance with Regulation (EC) No 1272/2008, Version 4.2, March</w:t>
      </w:r>
      <w:r>
        <w:t xml:space="preserve"> </w:t>
      </w:r>
      <w:r>
        <w:t xml:space="preserve">2021, p.45.</w:t>
      </w:r>
      <w:r>
        <w:t xml:space="preserve"> </w:t>
      </w:r>
      <w:r>
        <w:t xml:space="preserve">71 Guidance on labelling and packaging in accordance with Regulation (EC) No 1272/2008, Version 4.2, March</w:t>
      </w:r>
      <w:r>
        <w:t xml:space="preserve"> </w:t>
      </w:r>
      <w:r>
        <w:t xml:space="preserve">2021.</w:t>
      </w:r>
      <w:r>
        <w:t xml:space="preserve"> </w:t>
      </w:r>
      <w:r>
        <w:t xml:space="preserve">72 CLP, Article 18 (3)</w:t>
      </w:r>
      <w:r>
        <w:t xml:space="preserve"> </w:t>
      </w:r>
      <w:r>
        <w:t xml:space="preserve">73 Guidance on labelling and packaging in accordance with Regulation (EC) No 1272/2008, Version 4.2, March</w:t>
      </w:r>
      <w:r>
        <w:t xml:space="preserve"> </w:t>
      </w:r>
      <w:r>
        <w:t xml:space="preserve">2021.</w:t>
      </w:r>
    </w:p>
    <w:p>
      <w:pPr>
        <w:pStyle w:val="BodyText"/>
      </w:pPr>
      <w:r>
        <w:t xml:space="preserve">479</w:t>
      </w:r>
    </w:p>
    <w:p>
      <w:pPr>
        <w:pStyle w:val="BodyText"/>
      </w:pPr>
      <w:r>
        <w:t xml:space="preserve">Article 32 of CLP provides some limited rules defining the location of information on the</w:t>
      </w:r>
      <w:r>
        <w:t xml:space="preserve"> </w:t>
      </w:r>
      <w:r>
        <w:t xml:space="preserve">label. However, further details as to how label elements are arranged are left to the discretion</w:t>
      </w:r>
      <w:r>
        <w:t xml:space="preserve"> </w:t>
      </w:r>
      <w:r>
        <w:t xml:space="preserve">of the person responsible for compiling the label. As a general rule, the information should be</w:t>
      </w:r>
      <w:r>
        <w:t xml:space="preserve"> </w:t>
      </w:r>
      <w:r>
        <w:t xml:space="preserve">structured in a way that is easy to read and understand or in other words the labels may be</w:t>
      </w:r>
      <w:r>
        <w:t xml:space="preserve"> </w:t>
      </w:r>
      <w:r>
        <w:t xml:space="preserve">organized in any way that leads to best clarity. However, the hazard pictograms, signal</w:t>
      </w:r>
      <w:r>
        <w:t xml:space="preserve"> </w:t>
      </w:r>
      <w:r>
        <w:t xml:space="preserve">word, hazard statements and precautionary statements should be kept together on the</w:t>
      </w:r>
      <w:r>
        <w:t xml:space="preserve"> </w:t>
      </w:r>
      <w:r>
        <w:t xml:space="preserve">labels. The supplier may decide the order of the hazard and precautionary statements.</w:t>
      </w:r>
      <w:r>
        <w:t xml:space="preserve"> </w:t>
      </w:r>
      <w:r>
        <w:t xml:space="preserve">Normally it is required to group them together on the label by language (CLP Article 32). In</w:t>
      </w:r>
      <w:r>
        <w:t xml:space="preserve"> </w:t>
      </w:r>
      <w:r>
        <w:t xml:space="preserve">case more than one language is used on the label, the hazard and precautionary statements of</w:t>
      </w:r>
      <w:r>
        <w:t xml:space="preserve"> </w:t>
      </w:r>
      <w:r>
        <w:t xml:space="preserve">the same language should be treated as one package and grouped together on the label. This</w:t>
      </w:r>
      <w:r>
        <w:t xml:space="preserve"> </w:t>
      </w:r>
      <w:r>
        <w:t xml:space="preserve">should allow the reader to find all relevant hazard and safety information in one place.</w:t>
      </w:r>
    </w:p>
    <w:p>
      <w:pPr>
        <w:pStyle w:val="BodyText"/>
      </w:pPr>
      <w:r>
        <w:t xml:space="preserve">480</w:t>
      </w:r>
    </w:p>
    <w:p>
      <w:pPr>
        <w:pStyle w:val="BodyText"/>
      </w:pPr>
      <w:r>
        <w:t xml:space="preserve">Table 157: CLP labelling requirements versus discretion of the supplier</w:t>
      </w:r>
      <w:r>
        <w:t xml:space="preserve"> </w:t>
      </w:r>
      <w:r>
        <w:t xml:space="preserve">CLP requirement (Article 32)</w:t>
      </w:r>
      <w:r>
        <w:br/>
      </w:r>
      <w:r>
        <w:t xml:space="preserve">Example of decision left to the discretion of</w:t>
      </w:r>
      <w:r>
        <w:t xml:space="preserve"> </w:t>
      </w:r>
      <w:r>
        <w:t xml:space="preserve">the supplier</w:t>
      </w:r>
      <w:r>
        <w:br/>
      </w:r>
      <w:r>
        <w:t xml:space="preserve">The hazard pictograms, signal word, hazard</w:t>
      </w:r>
      <w:r>
        <w:t xml:space="preserve"> </w:t>
      </w:r>
      <w:r>
        <w:t xml:space="preserve">statements and precautionary statements must</w:t>
      </w:r>
      <w:r>
        <w:t xml:space="preserve"> </w:t>
      </w:r>
      <w:r>
        <w:t xml:space="preserve">be kept together on the label.</w:t>
      </w:r>
      <w:r>
        <w:br/>
      </w:r>
      <w:r>
        <w:t xml:space="preserve">The</w:t>
      </w:r>
      <w:r>
        <w:t xml:space="preserve"> </w:t>
      </w:r>
      <w:r>
        <w:t xml:space="preserve">supplier</w:t>
      </w:r>
      <w:r>
        <w:t xml:space="preserve"> </w:t>
      </w:r>
      <w:r>
        <w:t xml:space="preserve">is</w:t>
      </w:r>
      <w:r>
        <w:t xml:space="preserve"> </w:t>
      </w:r>
      <w:r>
        <w:t xml:space="preserve">free</w:t>
      </w:r>
      <w:r>
        <w:t xml:space="preserve"> </w:t>
      </w:r>
      <w:r>
        <w:t xml:space="preserve">to</w:t>
      </w:r>
      <w:r>
        <w:t xml:space="preserve"> </w:t>
      </w:r>
      <w:r>
        <w:t xml:space="preserve">choose</w:t>
      </w:r>
      <w:r>
        <w:t xml:space="preserve"> </w:t>
      </w:r>
      <w:r>
        <w:t xml:space="preserve">the</w:t>
      </w:r>
      <w:r>
        <w:t xml:space="preserve"> </w:t>
      </w:r>
      <w:r>
        <w:t xml:space="preserve">arrangement of the pictograms.</w:t>
      </w:r>
      <w:r>
        <w:br/>
      </w:r>
      <w:r>
        <w:t xml:space="preserve">Hazard statements must be grouped together</w:t>
      </w:r>
      <w:r>
        <w:t xml:space="preserve"> </w:t>
      </w:r>
      <w:r>
        <w:t xml:space="preserve">on the label.</w:t>
      </w:r>
      <w:r>
        <w:br/>
      </w:r>
      <w:r>
        <w:t xml:space="preserve">The supplier may choose the order of the</w:t>
      </w:r>
      <w:r>
        <w:t xml:space="preserve"> </w:t>
      </w:r>
      <w:r>
        <w:t xml:space="preserve">hazard statements.</w:t>
      </w:r>
      <w:r>
        <w:br/>
      </w:r>
      <w:r>
        <w:t xml:space="preserve">The supplier may choose whether these</w:t>
      </w:r>
      <w:r>
        <w:t xml:space="preserve"> </w:t>
      </w:r>
      <w:r>
        <w:t xml:space="preserve">groups are to be presented on the left, on the</w:t>
      </w:r>
      <w:r>
        <w:t xml:space="preserve"> </w:t>
      </w:r>
      <w:r>
        <w:t xml:space="preserve">right or elsewhere on the label.</w:t>
      </w:r>
      <w:r>
        <w:br/>
      </w:r>
      <w:r>
        <w:t xml:space="preserve">Precautionary statements must be grouped</w:t>
      </w:r>
      <w:r>
        <w:t xml:space="preserve"> </w:t>
      </w:r>
      <w:r>
        <w:t xml:space="preserve">together on the label.</w:t>
      </w:r>
      <w:r>
        <w:br/>
      </w:r>
      <w:r>
        <w:t xml:space="preserve">The supplier may choose the order of the</w:t>
      </w:r>
      <w:r>
        <w:t xml:space="preserve"> </w:t>
      </w:r>
      <w:r>
        <w:t xml:space="preserve">precautionary statements but should ensure</w:t>
      </w:r>
      <w:r>
        <w:t xml:space="preserve"> </w:t>
      </w:r>
      <w:r>
        <w:t xml:space="preserve">that they are grouped with the hazard</w:t>
      </w:r>
      <w:r>
        <w:t xml:space="preserve"> </w:t>
      </w:r>
      <w:r>
        <w:t xml:space="preserve">statements.</w:t>
      </w:r>
      <w:r>
        <w:br/>
      </w:r>
      <w:r>
        <w:t xml:space="preserve">The supplier may choose whether these</w:t>
      </w:r>
      <w:r>
        <w:t xml:space="preserve"> </w:t>
      </w:r>
      <w:r>
        <w:t xml:space="preserve">groups are to be presented on the left, on the</w:t>
      </w:r>
      <w:r>
        <w:t xml:space="preserve"> </w:t>
      </w:r>
      <w:r>
        <w:t xml:space="preserve">right or elsewhere on the label.</w:t>
      </w:r>
      <w:r>
        <w:br/>
      </w:r>
      <w:r>
        <w:t xml:space="preserve">In case more than one language is used on the</w:t>
      </w:r>
      <w:r>
        <w:t xml:space="preserve"> </w:t>
      </w:r>
      <w:r>
        <w:t xml:space="preserve">label,</w:t>
      </w:r>
      <w:r>
        <w:t xml:space="preserve"> </w:t>
      </w:r>
      <w:r>
        <w:t xml:space="preserve">the</w:t>
      </w:r>
      <w:r>
        <w:t xml:space="preserve"> </w:t>
      </w:r>
      <w:r>
        <w:t xml:space="preserve">hazard</w:t>
      </w:r>
      <w:r>
        <w:t xml:space="preserve"> </w:t>
      </w:r>
      <w:r>
        <w:t xml:space="preserve">and</w:t>
      </w:r>
      <w:r>
        <w:t xml:space="preserve"> </w:t>
      </w:r>
      <w:r>
        <w:t xml:space="preserve">precautionary</w:t>
      </w:r>
      <w:r>
        <w:t xml:space="preserve"> </w:t>
      </w:r>
      <w:r>
        <w:t xml:space="preserve">statements of the same language must be</w:t>
      </w:r>
      <w:r>
        <w:t xml:space="preserve"> </w:t>
      </w:r>
      <w:r>
        <w:t xml:space="preserve">grouped together on the label.</w:t>
      </w:r>
      <w:r>
        <w:br/>
      </w:r>
      <w:r>
        <w:t xml:space="preserve">Where the supplier needs to use alternative</w:t>
      </w:r>
      <w:r>
        <w:t xml:space="preserve"> </w:t>
      </w:r>
      <w:r>
        <w:t xml:space="preserve">means to meet the requirements of CLP</w:t>
      </w:r>
      <w:r>
        <w:t xml:space="preserve"> </w:t>
      </w:r>
      <w:r>
        <w:t xml:space="preserve">Article 31 in relation to the language(s)</w:t>
      </w:r>
      <w:r>
        <w:t xml:space="preserve"> </w:t>
      </w:r>
      <w:r>
        <w:t xml:space="preserve">required in a particular Member State, he may</w:t>
      </w:r>
      <w:r>
        <w:t xml:space="preserve"> </w:t>
      </w:r>
      <w:r>
        <w:t xml:space="preserve">choose whether to accomplish this using fold-</w:t>
      </w:r>
      <w:r>
        <w:t xml:space="preserve"> </w:t>
      </w:r>
      <w:r>
        <w:t xml:space="preserve">out labels, tie-on tags or on an outer</w:t>
      </w:r>
      <w:r>
        <w:t xml:space="preserve"> </w:t>
      </w:r>
      <w:r>
        <w:t xml:space="preserve">packaging, in accordance with section 1.5.1</w:t>
      </w:r>
      <w:r>
        <w:t xml:space="preserve"> </w:t>
      </w:r>
      <w:r>
        <w:t xml:space="preserve">of Annex I to CLP.</w:t>
      </w:r>
      <w:r>
        <w:br/>
      </w:r>
      <w:r>
        <w:t xml:space="preserve">Any supplemental information as referred to</w:t>
      </w:r>
      <w:r>
        <w:t xml:space="preserve"> </w:t>
      </w:r>
      <w:r>
        <w:t xml:space="preserve">in CLP Article 25 must be included in the</w:t>
      </w:r>
      <w:r>
        <w:t xml:space="preserve"> </w:t>
      </w:r>
      <w:r>
        <w:t xml:space="preserve">section for supplemental labelling and placed</w:t>
      </w:r>
      <w:r>
        <w:t xml:space="preserve"> </w:t>
      </w:r>
      <w:r>
        <w:t xml:space="preserve">alongside the label elements referred to in</w:t>
      </w:r>
      <w:r>
        <w:t xml:space="preserve"> </w:t>
      </w:r>
      <w:r>
        <w:t xml:space="preserve">CLP Article 17(1)(a)–(g).</w:t>
      </w:r>
      <w:r>
        <w:br/>
      </w:r>
      <w:r>
        <w:t xml:space="preserve">The supplier may choose how to visibly</w:t>
      </w:r>
      <w:r>
        <w:t xml:space="preserve"> </w:t>
      </w:r>
      <w:r>
        <w:t xml:space="preserve">separate this section from the section</w:t>
      </w:r>
      <w:r>
        <w:t xml:space="preserve"> </w:t>
      </w:r>
      <w:r>
        <w:t xml:space="preserve">containing the label elements referred to in</w:t>
      </w:r>
      <w:r>
        <w:t xml:space="preserve"> </w:t>
      </w:r>
      <w:r>
        <w:t xml:space="preserve">CLP Article 17(1)(a)-(g). He may also decide</w:t>
      </w:r>
      <w:r>
        <w:t xml:space="preserve"> </w:t>
      </w:r>
      <w:r>
        <w:t xml:space="preserve">to place this information in more than one</w:t>
      </w:r>
      <w:r>
        <w:t xml:space="preserve"> </w:t>
      </w:r>
      <w:r>
        <w:t xml:space="preserve">location on the label.</w:t>
      </w:r>
      <w:r>
        <w:br/>
      </w:r>
      <w:r>
        <w:t xml:space="preserve">The label elements must be easily readable</w:t>
      </w:r>
      <w:r>
        <w:t xml:space="preserve"> </w:t>
      </w:r>
      <w:r>
        <w:t xml:space="preserve">(Article 31(3)).</w:t>
      </w:r>
      <w:r>
        <w:br/>
      </w:r>
      <w:r>
        <w:t xml:space="preserve">It is recommended to keep full sentences</w:t>
      </w:r>
      <w:r>
        <w:t xml:space="preserve"> </w:t>
      </w:r>
      <w:r>
        <w:t xml:space="preserve">together and in one line, if possible. The font</w:t>
      </w:r>
      <w:r>
        <w:t xml:space="preserve"> </w:t>
      </w:r>
      <w:r>
        <w:t xml:space="preserve">size and spacing must be large enough and in</w:t>
      </w:r>
      <w:r>
        <w:t xml:space="preserve"> </w:t>
      </w:r>
      <w:r>
        <w:t xml:space="preserve">relation to the dimensions of the label.</w:t>
      </w:r>
    </w:p>
    <w:p>
      <w:pPr>
        <w:pStyle w:val="BodyText"/>
      </w:pPr>
      <w:r>
        <w:t xml:space="preserve">Principles of precedence</w:t>
      </w:r>
      <w:r>
        <w:br/>
      </w:r>
      <w:r>
        <w:t xml:space="preserve">For hazard pictograms</w:t>
      </w:r>
      <w:r>
        <w:t xml:space="preserve"> </w:t>
      </w:r>
      <w:r>
        <w:t xml:space="preserve">Where the classification of a substance or mixture would result in more than one pictogram on</w:t>
      </w:r>
      <w:r>
        <w:t xml:space="preserve"> </w:t>
      </w:r>
      <w:r>
        <w:t xml:space="preserve">the label, rules of precedence are applied to reduce the number of pictograms required (CLP</w:t>
      </w:r>
      <w:r>
        <w:t xml:space="preserve"> </w:t>
      </w:r>
      <w:r>
        <w:t xml:space="preserve">Article 26). As a general rule, the label must include those pictograms which indicate the</w:t>
      </w:r>
    </w:p>
    <w:p>
      <w:pPr>
        <w:pStyle w:val="BodyText"/>
      </w:pPr>
      <w:r>
        <w:t xml:space="preserve">481</w:t>
      </w:r>
    </w:p>
    <w:p>
      <w:pPr>
        <w:pStyle w:val="BodyText"/>
      </w:pPr>
      <w:r>
        <w:t xml:space="preserve">most severe hazard category of each hazard class. This would also apply in case a</w:t>
      </w:r>
      <w:r>
        <w:t xml:space="preserve"> </w:t>
      </w:r>
      <w:r>
        <w:t xml:space="preserve">substance has both harmonised74 and non-harmonised75 classifications (CLP Article 26(2)).</w:t>
      </w:r>
      <w:r>
        <w:br/>
      </w:r>
      <w:r>
        <w:t xml:space="preserve">In case a substance or mixture is assigned the supplemental hazard statement EUH071</w:t>
      </w:r>
      <w:r>
        <w:t xml:space="preserve"> </w:t>
      </w:r>
      <w:r>
        <w:t xml:space="preserve">(“Corrosive to the respiratory tract”), a corrosivity pictogram (GHS05) may be assigned (see</w:t>
      </w:r>
      <w:r>
        <w:t xml:space="preserve"> </w:t>
      </w:r>
      <w:r>
        <w:t xml:space="preserve">Note 1 of Table 3.1.3 in Annex I to CLP). Where this is done, the pictogram GHS07</w:t>
      </w:r>
      <w:r>
        <w:t xml:space="preserve"> </w:t>
      </w:r>
      <w:r>
        <w:t xml:space="preserve">(exclamation mark) for specific target organ toxicity SE category 3 (“Respiratory tract</w:t>
      </w:r>
      <w:r>
        <w:t xml:space="preserve"> </w:t>
      </w:r>
      <w:r>
        <w:t xml:space="preserve">irritation”) must be omitted from the label, as well as the hazard statement H335 (“May cause</w:t>
      </w:r>
      <w:r>
        <w:t xml:space="preserve"> </w:t>
      </w:r>
      <w:r>
        <w:t xml:space="preserve">respiratory irritation”).</w:t>
      </w:r>
      <w:r>
        <w:t xml:space="preserve"> </w:t>
      </w:r>
      <w:r>
        <w:t xml:space="preserve">For hazard statements</w:t>
      </w:r>
      <w:r>
        <w:t xml:space="preserve"> </w:t>
      </w:r>
      <w:r>
        <w:t xml:space="preserve">If a substance or mixture is classified within several hazard classes or differentiations of a</w:t>
      </w:r>
      <w:r>
        <w:t xml:space="preserve"> </w:t>
      </w:r>
      <w:r>
        <w:t xml:space="preserve">hazard class, all hazard statements resulting from the classification shall appear on the label,</w:t>
      </w:r>
      <w:r>
        <w:t xml:space="preserve"> </w:t>
      </w:r>
      <w:r>
        <w:t xml:space="preserve">unless there is evident duplication or redundancy (CLP Article 27). For example, if the hazard</w:t>
      </w:r>
      <w:r>
        <w:t xml:space="preserve"> </w:t>
      </w:r>
      <w:r>
        <w:t xml:space="preserve">statement H314 (“Causes severe skin burns and eye damage”) is assigned, H318 (“Causes</w:t>
      </w:r>
      <w:r>
        <w:t xml:space="preserve"> </w:t>
      </w:r>
      <w:r>
        <w:t xml:space="preserve">serious eye damage”) may be omitted. Similarly, if the hazard statement H410 (“Very toxic to</w:t>
      </w:r>
      <w:r>
        <w:t xml:space="preserve"> </w:t>
      </w:r>
      <w:r>
        <w:t xml:space="preserve">aquatic life with long lasting effects”) is assigned, H400 (“Very toxic to aquatic life”) may be</w:t>
      </w:r>
      <w:r>
        <w:t xml:space="preserve"> </w:t>
      </w:r>
      <w:r>
        <w:t xml:space="preserve">omitted.</w:t>
      </w:r>
      <w:r>
        <w:br/>
      </w:r>
      <w:r>
        <w:t xml:space="preserve">Duplication or redundancy should also be avoided for a substance or mixture that is assigned</w:t>
      </w:r>
      <w:r>
        <w:t xml:space="preserve"> </w:t>
      </w:r>
      <w:r>
        <w:t xml:space="preserve">the supplemental hazard statement EUH071 “Corrosive to the respiratory tract”. In this case,</w:t>
      </w:r>
      <w:r>
        <w:t xml:space="preserve"> </w:t>
      </w:r>
      <w:r>
        <w:t xml:space="preserve">the hazard statement H335 (“May cause respiratory irritation”) for STOT SE category 3</w:t>
      </w:r>
      <w:r>
        <w:t xml:space="preserve"> </w:t>
      </w:r>
      <w:r>
        <w:t xml:space="preserve">(“Respiratory tract irritation”) should be omitted from the label.</w:t>
      </w:r>
      <w:r>
        <w:t xml:space="preserve"> </w:t>
      </w:r>
      <w:r>
        <w:t xml:space="preserve">For precautionary statements</w:t>
      </w:r>
      <w:r>
        <w:t xml:space="preserve"> </w:t>
      </w:r>
      <w:r>
        <w:t xml:space="preserve">Not more than six precautionary statements shall appear on the label, unless more are</w:t>
      </w:r>
      <w:r>
        <w:t xml:space="preserve"> </w:t>
      </w:r>
      <w:r>
        <w:t xml:space="preserve">necessary to reflect the severity of the hazards. To provide flexibility in the application of</w:t>
      </w:r>
      <w:r>
        <w:t xml:space="preserve"> </w:t>
      </w:r>
      <w:r>
        <w:t xml:space="preserve">precautionary phrases, combinations or consolidations of precautionary statements are</w:t>
      </w:r>
      <w:r>
        <w:t xml:space="preserve"> </w:t>
      </w:r>
      <w:r>
        <w:t xml:space="preserve">encouraged to save label space and improve readability. If the substance or mixture requires</w:t>
      </w:r>
      <w:r>
        <w:t xml:space="preserve"> </w:t>
      </w:r>
      <w:r>
        <w:t xml:space="preserve">labelling and is to be sold to the general public, the label must include one precautionary</w:t>
      </w:r>
      <w:r>
        <w:t xml:space="preserve"> </w:t>
      </w:r>
      <w:r>
        <w:t xml:space="preserve">statement on the disposal of the substance or mixture, as well as the disposal of the</w:t>
      </w:r>
      <w:r>
        <w:t xml:space="preserve"> </w:t>
      </w:r>
      <w:r>
        <w:t xml:space="preserve">packaging (CLP Article 28).</w:t>
      </w:r>
      <w:r>
        <w:t xml:space="preserve"> </w:t>
      </w:r>
      <w:r>
        <w:t xml:space="preserve">Exemptions from labelling and packaging requirements</w:t>
      </w:r>
      <w:r>
        <w:t xml:space="preserve"> </w:t>
      </w:r>
      <w:r>
        <w:t xml:space="preserve">In general substances and mixtures, especially those supplied to the general public, should be</w:t>
      </w:r>
      <w:r>
        <w:t xml:space="preserve"> </w:t>
      </w:r>
      <w:r>
        <w:t xml:space="preserve">supplied in packaging together with the necessary labelling information. Labelling</w:t>
      </w:r>
      <w:r>
        <w:t xml:space="preserve"> </w:t>
      </w:r>
      <w:r>
        <w:t xml:space="preserve">information and other relevant hazard information are provided through other means than a</w:t>
      </w:r>
      <w:r>
        <w:t xml:space="preserve"> </w:t>
      </w:r>
      <w:r>
        <w:t xml:space="preserve">label where unpackaged materials are supplied to professional users, usually in the Safety</w:t>
      </w:r>
      <w:r>
        <w:t xml:space="preserve"> </w:t>
      </w:r>
      <w:r>
        <w:t xml:space="preserve">Data Sheets (SDS). SDS are the main hazard communication tool aside from product labelling</w:t>
      </w:r>
    </w:p>
    <w:p>
      <w:pPr>
        <w:pStyle w:val="BodyText"/>
      </w:pPr>
      <w:r>
        <w:t xml:space="preserve">74 Harmonised classification applies to substances only.</w:t>
      </w:r>
      <w:r>
        <w:t xml:space="preserve"> </w:t>
      </w:r>
      <w:r>
        <w:t xml:space="preserve">75 Under the CLP, a substance must be self-classified by manufacturers, importers or downstream users when it</w:t>
      </w:r>
      <w:r>
        <w:t xml:space="preserve"> </w:t>
      </w:r>
      <w:r>
        <w:t xml:space="preserve">has no harmonised classification in Annex VI to the CLP and it presents hazardous properties. This classification</w:t>
      </w:r>
      <w:r>
        <w:t xml:space="preserve"> </w:t>
      </w:r>
      <w:r>
        <w:t xml:space="preserve">and labelling information for the substances to be placed on the market is then notified by manufacturers and</w:t>
      </w:r>
      <w:r>
        <w:t xml:space="preserve"> </w:t>
      </w:r>
      <w:r>
        <w:t xml:space="preserve">importers to the Classification and Labelling Inventory (CLI) held by European Chemicals Agency. Mixtures</w:t>
      </w:r>
      <w:r>
        <w:t xml:space="preserve"> </w:t>
      </w:r>
      <w:r>
        <w:t xml:space="preserve">must always be self-classified before being placed on the market, as they are not subject to harmonised</w:t>
      </w:r>
      <w:r>
        <w:t xml:space="preserve"> </w:t>
      </w:r>
      <w:r>
        <w:t xml:space="preserve">classification and labelling.</w:t>
      </w:r>
    </w:p>
    <w:p>
      <w:pPr>
        <w:pStyle w:val="BodyText"/>
      </w:pPr>
      <w:r>
        <w:t xml:space="preserve">482</w:t>
      </w:r>
    </w:p>
    <w:p>
      <w:pPr>
        <w:pStyle w:val="BodyText"/>
      </w:pPr>
      <w:r>
        <w:t xml:space="preserve">required and regulated under REACH76. Annex II of the Regulation sets out detailed</w:t>
      </w:r>
      <w:r>
        <w:t xml:space="preserve"> </w:t>
      </w:r>
      <w:r>
        <w:t xml:space="preserve">information which must be provided in a SDS under 16 required headings.</w:t>
      </w:r>
      <w:r>
        <w:t xml:space="preserve"> </w:t>
      </w:r>
      <w:r>
        <w:t xml:space="preserve">In exceptional circumstances, substances and mixtures may also be supplied to the general</w:t>
      </w:r>
      <w:r>
        <w:t xml:space="preserve"> </w:t>
      </w:r>
      <w:r>
        <w:t xml:space="preserve">public unpackaged. In case the substance or mixture is listed in Part 5 of Annex II to CLP</w:t>
      </w:r>
      <w:r>
        <w:t xml:space="preserve"> </w:t>
      </w:r>
      <w:r>
        <w:t xml:space="preserve">(currently only cement and concrete in the wet state), a copy of the labelling elements is</w:t>
      </w:r>
      <w:r>
        <w:t xml:space="preserve"> </w:t>
      </w:r>
      <w:r>
        <w:t xml:space="preserve">always required, for example on an invoice or bill (CLP Article 29(3), Part 5 of Annex II to</w:t>
      </w:r>
      <w:r>
        <w:t xml:space="preserve"> </w:t>
      </w:r>
      <w:r>
        <w:t xml:space="preserve">CLP).</w:t>
      </w:r>
      <w:r>
        <w:t xml:space="preserve"> </w:t>
      </w:r>
      <w:r>
        <w:t xml:space="preserve">Small packages where the contents do not exceed 125 ml</w:t>
      </w:r>
      <w:r>
        <w:t xml:space="preserve"> </w:t>
      </w:r>
      <w:r>
        <w:t xml:space="preserve">CLP Article 29(1) and section 1.5.1 of Annex I to CLP provide derogations for a packaging</w:t>
      </w:r>
      <w:r>
        <w:t xml:space="preserve"> </w:t>
      </w:r>
      <w:r>
        <w:t xml:space="preserve">that is so small or in such a shape or form that it is impossible to meet the requirements of</w:t>
      </w:r>
      <w:r>
        <w:t xml:space="preserve"> </w:t>
      </w:r>
      <w:r>
        <w:t xml:space="preserve">CLP Article 31 (General rules for the application of label). In this case the label elements may</w:t>
      </w:r>
      <w:r>
        <w:t xml:space="preserve"> </w:t>
      </w:r>
      <w:r>
        <w:t xml:space="preserve">be provided in one of the following ways: (a) in fold-out labels; (b) on tie-on tags; or (c) on an</w:t>
      </w:r>
      <w:r>
        <w:t xml:space="preserve"> </w:t>
      </w:r>
      <w:r>
        <w:t xml:space="preserve">outer packaging. The label on any inner packaging shall contain at least hazard pictograms,</w:t>
      </w:r>
      <w:r>
        <w:t xml:space="preserve"> </w:t>
      </w:r>
      <w:r>
        <w:t xml:space="preserve">the product identifier and name and telephone number of the supplier of the substance or</w:t>
      </w:r>
      <w:r>
        <w:t xml:space="preserve"> </w:t>
      </w:r>
      <w:r>
        <w:t xml:space="preserve">mixture.</w:t>
      </w:r>
      <w:r>
        <w:t xml:space="preserve"> </w:t>
      </w:r>
      <w:r>
        <w:t xml:space="preserve">The hazard statements and the precautionary statements linked to hazard categories may be</w:t>
      </w:r>
      <w:r>
        <w:t xml:space="preserve"> </w:t>
      </w:r>
      <w:r>
        <w:t xml:space="preserve">omitted from the label elements 1) where the contents of the package do not exceed 125 ml</w:t>
      </w:r>
      <w:r>
        <w:t xml:space="preserve"> </w:t>
      </w:r>
      <w:r>
        <w:t xml:space="preserve">and 2) the substance or mixture is classified in one or more of 17 hazard categories (section</w:t>
      </w:r>
      <w:r>
        <w:t xml:space="preserve"> </w:t>
      </w:r>
      <w:r>
        <w:t xml:space="preserve">1.5.2.1.1. of Annex I to CLP). Amongst them fall “Skin irritation” of category 2 and “Eye</w:t>
      </w:r>
      <w:r>
        <w:t xml:space="preserve"> </w:t>
      </w:r>
      <w:r>
        <w:t xml:space="preserve">irritation” of category 2.</w:t>
      </w:r>
      <w:r>
        <w:t xml:space="preserve"> </w:t>
      </w:r>
      <w:r>
        <w:t xml:space="preserve">The pictogram, the signal word, the hazard statement, and the precautionary statement linked</w:t>
      </w:r>
      <w:r>
        <w:t xml:space="preserve"> </w:t>
      </w:r>
      <w:r>
        <w:t xml:space="preserve">to hazard categories may be omitted from the label elements where 1) the contents of the</w:t>
      </w:r>
      <w:r>
        <w:t xml:space="preserve"> </w:t>
      </w:r>
      <w:r>
        <w:t xml:space="preserve">package do not exceed 125 ml and 2) the substance or mixture is classified as “Corrosive to</w:t>
      </w:r>
      <w:r>
        <w:t xml:space="preserve"> </w:t>
      </w:r>
      <w:r>
        <w:t xml:space="preserve">metals” hazard categories.</w:t>
      </w:r>
      <w:r>
        <w:t xml:space="preserve"> </w:t>
      </w:r>
      <w:r>
        <w:t xml:space="preserve">The label elements may be omitted from soluble packaging intended for single use where 1)</w:t>
      </w:r>
      <w:r>
        <w:t xml:space="preserve"> </w:t>
      </w:r>
      <w:r>
        <w:t xml:space="preserve">the content of each soluble packaging does not exceed a volume of 25 ml; 2) the</w:t>
      </w:r>
      <w:r>
        <w:t xml:space="preserve"> </w:t>
      </w:r>
      <w:r>
        <w:t xml:space="preserve">classification of the contents of the soluble packaging is exclusively one or more of the hazard</w:t>
      </w:r>
      <w:r>
        <w:t xml:space="preserve"> </w:t>
      </w:r>
      <w:r>
        <w:t xml:space="preserve">categories in 1.5.2.1.1 (b), 1.5.2.1.2 (b) or 1.5.2.1.3 (b); and 3) the soluble packaging is</w:t>
      </w:r>
      <w:r>
        <w:t xml:space="preserve"> </w:t>
      </w:r>
      <w:r>
        <w:t xml:space="preserve">contained within outer packaging that fully meets the requirements of Article 17 CLP.</w:t>
      </w:r>
      <w:r>
        <w:t xml:space="preserve"> </w:t>
      </w:r>
      <w:r>
        <w:t xml:space="preserve">The label elements may be omitted from the inner packaging where 1) the contents of the</w:t>
      </w:r>
      <w:r>
        <w:t xml:space="preserve"> </w:t>
      </w:r>
      <w:r>
        <w:t xml:space="preserve">inner packaging do not exceed 10 ml; 2) the substance or mixture is placed on the market for</w:t>
      </w:r>
      <w:r>
        <w:t xml:space="preserve"> </w:t>
      </w:r>
      <w:r>
        <w:t xml:space="preserve">supply to a distributor or downstream user for scientific research and development or quality</w:t>
      </w:r>
      <w:r>
        <w:t xml:space="preserve"> </w:t>
      </w:r>
      <w:r>
        <w:t xml:space="preserve">control analysis; and 3) the inner packaging is contained within outer packaging that meets</w:t>
      </w:r>
      <w:r>
        <w:t xml:space="preserve"> </w:t>
      </w:r>
      <w:r>
        <w:t xml:space="preserve">the requirements of Article 17 CLP.</w:t>
      </w:r>
      <w:r>
        <w:t xml:space="preserve"> </w:t>
      </w:r>
      <w:r>
        <w:t xml:space="preserve">The below figure presents an example of hazard label for supply to general public</w:t>
      </w:r>
      <w:r>
        <w:t xml:space="preserve"> </w:t>
      </w:r>
      <w:r>
        <w:t xml:space="preserve">demonstrating the required elements according to the CLP.</w:t>
      </w:r>
      <w:r>
        <w:br/>
      </w:r>
      <w:r>
        <w:t xml:space="preserve">Figure 89: Example of Hazard Label for Supply77</w:t>
      </w:r>
    </w:p>
    <w:p>
      <w:pPr>
        <w:pStyle w:val="BodyText"/>
      </w:pPr>
      <w:r>
        <w:t xml:space="preserve">76 Regulation (EC) No 1907/2006 of the European Parliament and of the Council of 18 December 2006</w:t>
      </w:r>
      <w:r>
        <w:t xml:space="preserve"> </w:t>
      </w:r>
      <w:r>
        <w:t xml:space="preserve">concerning the Registration, Evaluation, Authorisation and Restriction of Chemicals (REACH), establishing a</w:t>
      </w:r>
      <w:r>
        <w:t xml:space="preserve"> </w:t>
      </w:r>
      <w:r>
        <w:t xml:space="preserve">European Chemicals Agency, amending Directive 1999/45/EC and repealing Council Regulation (EEC) No</w:t>
      </w:r>
      <w:r>
        <w:t xml:space="preserve"> </w:t>
      </w:r>
      <w:r>
        <w:t xml:space="preserve">793/93 and Commission Regulation (EC) No 1488/94 as well as Council Directive 76/769/EEC and Commission</w:t>
      </w:r>
      <w:r>
        <w:t xml:space="preserve"> </w:t>
      </w:r>
      <w:r>
        <w:t xml:space="preserve">Directives 91/155/EEC, 93/67/EEC, 93/105/EC and 2000/21/EC.</w:t>
      </w:r>
    </w:p>
    <w:p>
      <w:pPr>
        <w:pStyle w:val="BodyText"/>
      </w:pPr>
      <w:r>
        <w:t xml:space="preserve">483</w:t>
      </w:r>
    </w:p>
    <w:p>
      <w:pPr>
        <w:pStyle w:val="BodyText"/>
      </w:pPr>
      <w:r>
        <w:t xml:space="preserve">Labelling of Detergents</w:t>
      </w:r>
      <w:r>
        <w:t xml:space="preserve"> </w:t>
      </w:r>
      <w:r>
        <w:t xml:space="preserve">The labelling of detergents follows three separate regulations: Detergents Regulation</w:t>
      </w:r>
      <w:r>
        <w:t xml:space="preserve"> </w:t>
      </w:r>
      <w:r>
        <w:t xml:space="preserve">648/2004, CLP Regulation 1272/2008 and Biocidal Products Regulation 528/2012.</w:t>
      </w:r>
      <w:r>
        <w:br/>
      </w:r>
      <w:r>
        <w:t xml:space="preserve">A difference exists in the terminology regarding the hazard communication in form of</w:t>
      </w:r>
      <w:r>
        <w:t xml:space="preserve"> </w:t>
      </w:r>
      <w:r>
        <w:t xml:space="preserve">labelling between CLP and the labelling requirements of Detergents Regulations. The CLP</w:t>
      </w:r>
      <w:r>
        <w:t xml:space="preserve"> </w:t>
      </w:r>
      <w:r>
        <w:t xml:space="preserve">refers to a label on the packaging, while Detergents Regulation refers to information that</w:t>
      </w:r>
      <w:r>
        <w:t xml:space="preserve"> </w:t>
      </w:r>
      <w:r>
        <w:t xml:space="preserve">has to appear on the packaging78. The CLP Regulation, Article 17(1) states that if a</w:t>
      </w:r>
      <w:r>
        <w:t xml:space="preserve"> </w:t>
      </w:r>
      <w:r>
        <w:t xml:space="preserve">substance or mixture is classified as hazardous (and contained in packaging), the label shall</w:t>
      </w:r>
      <w:r>
        <w:t xml:space="preserve"> </w:t>
      </w:r>
      <w:r>
        <w:t xml:space="preserve">include the elements described in letters (a) to (h). The Detergents Regulation, Article 11(2)</w:t>
      </w:r>
      <w:r>
        <w:t xml:space="preserve"> </w:t>
      </w:r>
      <w:r>
        <w:t xml:space="preserve">elaborates the information that must appear on the packaging in which the detergents are put.</w:t>
      </w:r>
      <w:r>
        <w:t xml:space="preserve"> </w:t>
      </w:r>
      <w:r>
        <w:t xml:space="preserve">However, the different terminology does not have any impact or consequences on the</w:t>
      </w:r>
      <w:r>
        <w:t xml:space="preserve"> </w:t>
      </w:r>
      <w:r>
        <w:t xml:space="preserve">labelling of detergents and the communication of the relevant and adequate information to</w:t>
      </w:r>
      <w:r>
        <w:t xml:space="preserve"> </w:t>
      </w:r>
      <w:r>
        <w:t xml:space="preserve">consumers, allowing them to recognise the real hazard of a product, get relevant safe use</w:t>
      </w:r>
      <w:r>
        <w:t xml:space="preserve"> </w:t>
      </w:r>
      <w:r>
        <w:t xml:space="preserve">guidance and make more informed choices.</w:t>
      </w:r>
      <w:r>
        <w:t xml:space="preserve"> </w:t>
      </w:r>
      <w:r>
        <w:t xml:space="preserve">The labelling information on the packaging of detergents that are put up for sale to consumers</w:t>
      </w:r>
      <w:r>
        <w:t xml:space="preserve"> </w:t>
      </w:r>
      <w:r>
        <w:t xml:space="preserve">include:</w:t>
      </w:r>
    </w:p>
    <w:p>
      <w:pPr>
        <w:pStyle w:val="BodyText"/>
      </w:pPr>
      <w:r>
        <w:t xml:space="preserve">77 Source: Hazard Labelling &amp; Packaging according to the CLP Regulation Information Sheet. Available at</w:t>
      </w:r>
      <w:r>
        <w:t xml:space="preserve"> </w:t>
      </w:r>
      <w:r>
        <w:t xml:space="preserve">https://www.hsa.ie/eng/Publications_and_Forms/Publications/Chemical_and_Hazardous_Substances/CLP_info_</w:t>
      </w:r>
      <w:r>
        <w:t xml:space="preserve"> </w:t>
      </w:r>
      <w:r>
        <w:t xml:space="preserve">sheet.pdf</w:t>
      </w:r>
      <w:r>
        <w:br/>
      </w:r>
      <w:r>
        <w:t xml:space="preserve">78 Support to the Evaluation of Regulation (EC) No 648/2004 (Detergents Regulation), p. 72. Available at:</w:t>
      </w:r>
      <w:r>
        <w:t xml:space="preserve"> </w:t>
      </w:r>
      <w:r>
        <w:t xml:space="preserve">https://op.europa.eu/en/publication-detail/-/publication/ad2fa114-e952-11e8-b690-01aa75ed71a1</w:t>
      </w:r>
    </w:p>
    <w:p>
      <w:pPr>
        <w:pStyle w:val="BodyText"/>
      </w:pPr>
      <w:r>
        <w:t xml:space="preserve">484</w:t>
      </w:r>
    </w:p>
    <w:p>
      <w:pPr>
        <w:pStyle w:val="BodyText"/>
      </w:pPr>
      <w:r>
        <w:t xml:space="preserve">A section dedicated to the CLP Regulation labelling requirements and elements;</w:t>
      </w:r>
    </w:p>
    <w:p>
      <w:pPr>
        <w:pStyle w:val="BodyText"/>
      </w:pPr>
      <w:r>
        <w:t xml:space="preserve">A section for the additional labelling information according to the Detergents</w:t>
      </w:r>
      <w:r>
        <w:t xml:space="preserve"> </w:t>
      </w:r>
      <w:r>
        <w:t xml:space="preserve">Regulation; and</w:t>
      </w:r>
      <w:r>
        <w:t xml:space="preserve"> </w:t>
      </w:r>
      <w:r>
        <w:t xml:space="preserve">A section for the labelling requirements of the Biocidal Products Regulation, where</w:t>
      </w:r>
      <w:r>
        <w:t xml:space="preserve"> </w:t>
      </w:r>
      <w:r>
        <w:t xml:space="preserve">relevant79.</w:t>
      </w:r>
      <w:r>
        <w:t xml:space="preserve"> </w:t>
      </w:r>
      <w:r>
        <w:t xml:space="preserve">In particular, the section related to the Detergents Regulation includes the following:</w:t>
      </w:r>
    </w:p>
    <w:p>
      <w:pPr>
        <w:pStyle w:val="BodyText"/>
      </w:pPr>
      <w:r>
        <w:t xml:space="preserve">the name and trade name of the product;</w:t>
      </w:r>
    </w:p>
    <w:p>
      <w:pPr>
        <w:pStyle w:val="BodyText"/>
      </w:pPr>
      <w:r>
        <w:t xml:space="preserve">the name or trade name or trademark and full address and telephone number of the</w:t>
      </w:r>
      <w:r>
        <w:t xml:space="preserve"> </w:t>
      </w:r>
      <w:r>
        <w:t xml:space="preserve">party responsible for placing the product on the market;</w:t>
      </w:r>
    </w:p>
    <w:p>
      <w:pPr>
        <w:pStyle w:val="BodyText"/>
      </w:pPr>
      <w:r>
        <w:t xml:space="preserve">the address, email address, where available, and telephone number from which the</w:t>
      </w:r>
      <w:r>
        <w:t xml:space="preserve"> </w:t>
      </w:r>
      <w:r>
        <w:t xml:space="preserve">ingredient datasheet can be obtained80;</w:t>
      </w:r>
    </w:p>
    <w:p>
      <w:pPr>
        <w:pStyle w:val="BodyText"/>
      </w:pPr>
      <w:r>
        <w:t xml:space="preserve">a list of specific constituents if present in concentrations &gt;0.2% in the product e.g.,</w:t>
      </w:r>
      <w:r>
        <w:t xml:space="preserve"> </w:t>
      </w:r>
      <w:r>
        <w:t xml:space="preserve">phosphates, aliphatic hydrocarbons. A weight percentage range must be provided;</w:t>
      </w:r>
    </w:p>
    <w:p>
      <w:pPr>
        <w:pStyle w:val="BodyText"/>
      </w:pPr>
      <w:r>
        <w:t xml:space="preserve">names of any enzymes, disinfectants, perfumes, optical brighteners, preservatives</w:t>
      </w:r>
      <w:r>
        <w:t xml:space="preserve"> </w:t>
      </w:r>
      <w:r>
        <w:t xml:space="preserve">irrespective of the concentration in which they are found in the product;</w:t>
      </w:r>
    </w:p>
    <w:p>
      <w:pPr>
        <w:pStyle w:val="BodyText"/>
      </w:pPr>
      <w:r>
        <w:t xml:space="preserve">names of any allergenic fragrances (as listed in Annex III of the Cosmetics Products</w:t>
      </w:r>
      <w:r>
        <w:t xml:space="preserve"> </w:t>
      </w:r>
      <w:r>
        <w:t xml:space="preserve">Regulation)81;</w:t>
      </w:r>
    </w:p>
    <w:p>
      <w:pPr>
        <w:pStyle w:val="BodyText"/>
      </w:pPr>
      <w:r>
        <w:t xml:space="preserve">the indication of instructions for use and special precautions;</w:t>
      </w:r>
    </w:p>
    <w:p>
      <w:pPr>
        <w:pStyle w:val="BodyText"/>
      </w:pPr>
      <w:r>
        <w:t xml:space="preserve">dosage instructions82;</w:t>
      </w:r>
      <w:r>
        <w:t xml:space="preserve"> </w:t>
      </w:r>
      <w:r>
        <w:t xml:space="preserve">website of the manufacturer where the ingredient datasheet is available83.</w:t>
      </w:r>
      <w:r>
        <w:t xml:space="preserve"> </w:t>
      </w:r>
      <w:r>
        <w:t xml:space="preserve">Detergents might also contain voluntary information (not required under different EU pieces</w:t>
      </w:r>
      <w:r>
        <w:t xml:space="preserve"> </w:t>
      </w:r>
      <w:r>
        <w:t xml:space="preserve">of legislation) such as safe use icons and phrases. The International Association for Soaps,</w:t>
      </w:r>
      <w:r>
        <w:t xml:space="preserve"> </w:t>
      </w:r>
      <w:r>
        <w:t xml:space="preserve">Detergents and Maintenance Products (A.I.S.E) has developed a set of safe use icons</w:t>
      </w:r>
      <w:r>
        <w:t xml:space="preserve"> </w:t>
      </w:r>
      <w:r>
        <w:t xml:space="preserve">complemented with related sensible advice text in order to improve and further develop clear</w:t>
      </w:r>
      <w:r>
        <w:t xml:space="preserve"> </w:t>
      </w:r>
      <w:r>
        <w:t xml:space="preserve">messages for consumers on how to use A.I.S.E. consumer products84. These safe use icons</w:t>
      </w:r>
      <w:r>
        <w:t xml:space="preserve"> </w:t>
      </w:r>
      <w:r>
        <w:t xml:space="preserve">and phrases intend to help the consumers to use and store household detergents and</w:t>
      </w:r>
      <w:r>
        <w:t xml:space="preserve"> </w:t>
      </w:r>
      <w:r>
        <w:t xml:space="preserve">maintenance products safely. They can be found on the label and provide safe use instructions</w:t>
      </w:r>
      <w:r>
        <w:t xml:space="preserve"> </w:t>
      </w:r>
      <w:r>
        <w:t xml:space="preserve">in a simple and user-friendly way85. In addition, there are voluntary icons and tips providing</w:t>
      </w:r>
      <w:r>
        <w:t xml:space="preserve"> </w:t>
      </w:r>
      <w:r>
        <w:t xml:space="preserve">information to consumers how to clean more sustainably saving water, energy, CO2 and</w:t>
      </w:r>
      <w:r>
        <w:t xml:space="preserve"> </w:t>
      </w:r>
      <w:r>
        <w:t xml:space="preserve">money.86</w:t>
      </w:r>
      <w:r>
        <w:t xml:space="preserve"> </w:t>
      </w:r>
      <w:r>
        <w:t xml:space="preserve">The Guidance on Labelling and Packaging in accordance with Regulation (EC) No 1272/2008</w:t>
      </w:r>
      <w:r>
        <w:t xml:space="preserve"> </w:t>
      </w:r>
      <w:r>
        <w:t xml:space="preserve">(Version 4.2 – March 2021)87 provides an example of a single language label for a mixture</w:t>
      </w:r>
    </w:p>
    <w:p>
      <w:pPr>
        <w:pStyle w:val="BodyText"/>
      </w:pPr>
      <w:r>
        <w:t xml:space="preserve">79 For detergents disinfectants and detergents that are also treated articles and which fulfil the labelling</w:t>
      </w:r>
      <w:r>
        <w:t xml:space="preserve"> </w:t>
      </w:r>
      <w:r>
        <w:t xml:space="preserve">requirements of BPR.</w:t>
      </w:r>
      <w:r>
        <w:t xml:space="preserve"> </w:t>
      </w:r>
      <w:r>
        <w:t xml:space="preserve">80 Detergents Regulation, Article 11.</w:t>
      </w:r>
      <w:r>
        <w:t xml:space="preserve"> </w:t>
      </w:r>
      <w:r>
        <w:t xml:space="preserve">81 If present at greater than 0.01% by weight (or at a replacement limit), for example Citral, d-Limonene, Oak</w:t>
      </w:r>
      <w:r>
        <w:t xml:space="preserve"> </w:t>
      </w:r>
      <w:r>
        <w:t xml:space="preserve">moss and tree moss extract and Linalool.</w:t>
      </w:r>
      <w:r>
        <w:t xml:space="preserve"> </w:t>
      </w:r>
      <w:r>
        <w:t xml:space="preserve">82 The packaging of consumer laundry detergents and consumer automatic dishwasher detergents shall bear the</w:t>
      </w:r>
      <w:r>
        <w:t xml:space="preserve"> </w:t>
      </w:r>
      <w:r>
        <w:t xml:space="preserve">information provided for in section B of Annex VII to Detergents Regulation.</w:t>
      </w:r>
      <w:r>
        <w:t xml:space="preserve"> </w:t>
      </w:r>
      <w:r>
        <w:t xml:space="preserve">83 “The website address, from which the list of ingredients mentioned in section D of Annex VII can be obtained,</w:t>
      </w:r>
      <w:r>
        <w:t xml:space="preserve"> </w:t>
      </w:r>
      <w:r>
        <w:t xml:space="preserve">shall be given on the packaging.” Annex VII A to Detergents Regulation as amended by COMMISSION</w:t>
      </w:r>
      <w:r>
        <w:t xml:space="preserve"> </w:t>
      </w:r>
      <w:r>
        <w:t xml:space="preserve">REGULATION (EC) No 907/2006 of 20 June 2006 amending Regulation (EC) No 648/2004 of the European</w:t>
      </w:r>
      <w:r>
        <w:t xml:space="preserve"> </w:t>
      </w:r>
      <w:r>
        <w:t xml:space="preserve">Parliament and of the Council on detergents, in order to adapt Ann exes III and VII thereto. Available at</w:t>
      </w:r>
      <w:r>
        <w:t xml:space="preserve"> </w:t>
      </w:r>
      <w:r>
        <w:t xml:space="preserve">https://eur-lex.europa.eu/legal-content/EN/TXT/?uri=celex%3A32006R0907</w:t>
      </w:r>
      <w:r>
        <w:br/>
      </w:r>
      <w:r>
        <w:t xml:space="preserve">84https://www.aise.eu/documents/document/20140129161815-</w:t>
      </w:r>
      <w:r>
        <w:t xml:space="preserve"> </w:t>
      </w:r>
      <w:r>
        <w:t xml:space="preserve">final_draft_aise_safe_use_guidelines_revjan2014.pdf</w:t>
      </w:r>
      <w:r>
        <w:br/>
      </w:r>
      <w:r>
        <w:t xml:space="preserve">85 https://www.cleanright.eu/en/safe-use.html#safe-use</w:t>
      </w:r>
      <w:r>
        <w:br/>
      </w:r>
      <w:r>
        <w:t xml:space="preserve">86 Such examples can be found at https://www.cleanright.eu/en/sustainable-use.html</w:t>
      </w:r>
      <w:r>
        <w:br/>
      </w:r>
      <w:r>
        <w:t xml:space="preserve">87 https://echa.europa.eu/documents/10162/23036412/clp_labelling_en.pdf</w:t>
      </w:r>
    </w:p>
    <w:p>
      <w:pPr>
        <w:pStyle w:val="BodyText"/>
      </w:pPr>
      <w:r>
        <w:t xml:space="preserve">485</w:t>
      </w:r>
    </w:p>
    <w:p>
      <w:pPr>
        <w:pStyle w:val="BodyText"/>
      </w:pPr>
      <w:r>
        <w:t xml:space="preserve">containing both obligatory and non-obligatory supplemental information (supplied to the</w:t>
      </w:r>
      <w:r>
        <w:t xml:space="preserve"> </w:t>
      </w:r>
      <w:r>
        <w:t xml:space="preserve">general public). The example label given below illustrates the supply and use label for a</w:t>
      </w:r>
      <w:r>
        <w:t xml:space="preserve"> </w:t>
      </w:r>
      <w:r>
        <w:t xml:space="preserve">typical consumer product (detergent).</w:t>
      </w:r>
      <w:r>
        <w:t xml:space="preserve"> </w:t>
      </w:r>
      <w:r>
        <w:t xml:space="preserve">All obligatory labelling information is shown, i.e., the product identifiers (trade name and</w:t>
      </w:r>
      <w:r>
        <w:t xml:space="preserve"> </w:t>
      </w:r>
      <w:r>
        <w:t xml:space="preserve">designation of the mixture; one of them would have been sufficient), the identity of the</w:t>
      </w:r>
      <w:r>
        <w:t xml:space="preserve"> </w:t>
      </w:r>
      <w:r>
        <w:t xml:space="preserve">supplier, the signal word, the UFI code, the hazard and precautionary statements in</w:t>
      </w:r>
      <w:r>
        <w:t xml:space="preserve"> </w:t>
      </w:r>
      <w:r>
        <w:t xml:space="preserve">accordance with CLP and the obligatory supplemental information, in accordance with</w:t>
      </w:r>
      <w:r>
        <w:t xml:space="preserve"> </w:t>
      </w:r>
      <w:r>
        <w:t xml:space="preserve">Detergents Regulation. The supplemental labelling information according to the CLP is</w:t>
      </w:r>
      <w:r>
        <w:t xml:space="preserve"> </w:t>
      </w:r>
      <w:r>
        <w:t xml:space="preserve">grouped together. The UFI can alternatively be placed outside the label (e.g., printed or</w:t>
      </w:r>
      <w:r>
        <w:t xml:space="preserve"> </w:t>
      </w:r>
      <w:r>
        <w:t xml:space="preserve">affixed on the inner packaging) but in proximity to the other obligatory CLP label elements.</w:t>
      </w:r>
      <w:r>
        <w:br/>
      </w:r>
      <w:r>
        <w:t xml:space="preserve">As the product is supplied to the general public, its nominal quantity is also provided on the</w:t>
      </w:r>
      <w:r>
        <w:t xml:space="preserve"> </w:t>
      </w:r>
      <w:r>
        <w:t xml:space="preserve">label. Beyond the obligatory supplemental information, also non-obligatory supplemental</w:t>
      </w:r>
      <w:r>
        <w:t xml:space="preserve"> </w:t>
      </w:r>
      <w:r>
        <w:t xml:space="preserve">information is shown. The non-obligatory supplemental labelling information, the content of</w:t>
      </w:r>
      <w:r>
        <w:t xml:space="preserve"> </w:t>
      </w:r>
      <w:r>
        <w:t xml:space="preserve">which is at the discretion of the supplier, is not part of the labelling requirements under the</w:t>
      </w:r>
      <w:r>
        <w:t xml:space="preserve"> </w:t>
      </w:r>
      <w:r>
        <w:t xml:space="preserve">CLP88. No P-statement on disposal is given as this is not required for a mixture classified as</w:t>
      </w:r>
      <w:r>
        <w:t xml:space="preserve"> </w:t>
      </w:r>
      <w:r>
        <w:t xml:space="preserve">eye irritant.</w:t>
      </w:r>
      <w:r>
        <w:t xml:space="preserve"> </w:t>
      </w:r>
      <w:r>
        <w:t xml:space="preserve">The label shown is primarily drafted for inner packaging. If the chemical is contained in</w:t>
      </w:r>
      <w:r>
        <w:t xml:space="preserve"> </w:t>
      </w:r>
      <w:r>
        <w:t xml:space="preserve">combination (= inner + outer) packaging, the same information has to be shown on the outer</w:t>
      </w:r>
      <w:r>
        <w:t xml:space="preserve"> </w:t>
      </w:r>
      <w:r>
        <w:t xml:space="preserve">packaging, unless the information on the inner packaging can be seen through the outer</w:t>
      </w:r>
      <w:r>
        <w:t xml:space="preserve"> </w:t>
      </w:r>
      <w:r>
        <w:t xml:space="preserve">packaging.</w:t>
      </w:r>
    </w:p>
    <w:p>
      <w:pPr>
        <w:pStyle w:val="BodyText"/>
      </w:pPr>
      <w:r>
        <w:t xml:space="preserve">88 Suppliers may need to include certain elements on the label that are not obligatory but are necessary for the</w:t>
      </w:r>
      <w:r>
        <w:t xml:space="preserve"> </w:t>
      </w:r>
      <w:r>
        <w:t xml:space="preserve">handling and use of the product, for example specific product information, basic instructions for use or P-</w:t>
      </w:r>
      <w:r>
        <w:t xml:space="preserve"> </w:t>
      </w:r>
      <w:r>
        <w:t xml:space="preserve">statements that do not arise directly from the classification of the product (e.g., “Read label before use” or “Do</w:t>
      </w:r>
      <w:r>
        <w:t xml:space="preserve"> </w:t>
      </w:r>
      <w:r>
        <w:t xml:space="preserve">not get in eyes” for eye irritant mixtures).</w:t>
      </w:r>
    </w:p>
    <w:p>
      <w:pPr>
        <w:pStyle w:val="BodyText"/>
      </w:pPr>
      <w:r>
        <w:t xml:space="preserve">486</w:t>
      </w:r>
    </w:p>
    <w:p>
      <w:pPr>
        <w:pStyle w:val="BodyText"/>
      </w:pPr>
      <w:r>
        <w:t xml:space="preserve">Figure 90: Example of detergent label. Hazard class “Eye Irritation”89</w:t>
      </w:r>
    </w:p>
    <w:p>
      <w:pPr>
        <w:pStyle w:val="BodyText"/>
      </w:pPr>
      <w:r>
        <w:t xml:space="preserve">The below figure presents an example of the regulatory requirements according to CLP and</w:t>
      </w:r>
      <w:r>
        <w:t xml:space="preserve"> </w:t>
      </w:r>
      <w:r>
        <w:t xml:space="preserve">Detergents Regulations for a product bleaching detergent supplied to the general public</w:t>
      </w:r>
      <w:r>
        <w:t xml:space="preserve"> </w:t>
      </w:r>
      <w:r>
        <w:t xml:space="preserve">(consumers). The text in the pink boxes relates to the labelling elements required for</w:t>
      </w:r>
    </w:p>
    <w:p>
      <w:pPr>
        <w:pStyle w:val="BodyText"/>
      </w:pPr>
      <w:r>
        <w:t xml:space="preserve">89 Guidance on Labelling and Packaging in accordance with Regulation (EC) No 1272/2008 (Version 4.2 –</w:t>
      </w:r>
      <w:r>
        <w:t xml:space="preserve"> </w:t>
      </w:r>
      <w:r>
        <w:t xml:space="preserve">March 2021); p. 63.</w:t>
      </w:r>
    </w:p>
    <w:p>
      <w:pPr>
        <w:pStyle w:val="BodyText"/>
      </w:pPr>
      <w:r>
        <w:t xml:space="preserve">487</w:t>
      </w:r>
    </w:p>
    <w:p>
      <w:pPr>
        <w:pStyle w:val="BodyText"/>
      </w:pPr>
      <w:r>
        <w:t xml:space="preserve">detergents under CLP while the text in the yellow boxes relates to information requirements</w:t>
      </w:r>
      <w:r>
        <w:t xml:space="preserve"> </w:t>
      </w:r>
      <w:r>
        <w:t xml:space="preserve">under Detergents Regulation.</w:t>
      </w:r>
      <w:r>
        <w:t xml:space="preserve"> </w:t>
      </w:r>
      <w:r>
        <w:t xml:space="preserve">Figure 91: Example of detergent label. Hazard class “Serious eye damage/skin irritation”90</w:t>
      </w:r>
    </w:p>
    <w:p>
      <w:pPr>
        <w:pStyle w:val="BodyText"/>
      </w:pPr>
      <w:r>
        <w:t xml:space="preserve">Detergents labelling under Biocidal Products Regulations</w:t>
      </w:r>
      <w:r>
        <w:t xml:space="preserve"> </w:t>
      </w:r>
      <w:r>
        <w:t xml:space="preserve">There are two types of detergents falling under the scope of Biocidal Products Regulations:</w:t>
      </w:r>
      <w:r>
        <w:t xml:space="preserve"> </w:t>
      </w:r>
      <w:r>
        <w:t xml:space="preserve">detergents that are also disinfectants (biocidal products) and detergents containing an in-can</w:t>
      </w:r>
    </w:p>
    <w:p>
      <w:pPr>
        <w:pStyle w:val="BodyText"/>
      </w:pPr>
      <w:r>
        <w:t xml:space="preserve">90</w:t>
      </w:r>
      <w:r>
        <w:t xml:space="preserve"> </w:t>
      </w:r>
      <w:r>
        <w:t xml:space="preserve">HSA</w:t>
      </w:r>
      <w:r>
        <w:t xml:space="preserve"> </w:t>
      </w:r>
      <w:r>
        <w:t xml:space="preserve">Detergent</w:t>
      </w:r>
      <w:r>
        <w:t xml:space="preserve"> </w:t>
      </w:r>
      <w:r>
        <w:t xml:space="preserve">Labelling</w:t>
      </w:r>
      <w:r>
        <w:t xml:space="preserve"> </w:t>
      </w:r>
      <w:r>
        <w:t xml:space="preserve">&amp;</w:t>
      </w:r>
      <w:r>
        <w:t xml:space="preserve"> </w:t>
      </w:r>
      <w:r>
        <w:t xml:space="preserve">Packaging</w:t>
      </w:r>
      <w:r>
        <w:t xml:space="preserve"> </w:t>
      </w:r>
      <w:r>
        <w:t xml:space="preserve">Requirements,</w:t>
      </w:r>
      <w:r>
        <w:t xml:space="preserve"> </w:t>
      </w:r>
      <w:r>
        <w:t xml:space="preserve">available</w:t>
      </w:r>
      <w:r>
        <w:t xml:space="preserve"> </w:t>
      </w:r>
      <w:r>
        <w:t xml:space="preserve">at:</w:t>
      </w:r>
      <w:r>
        <w:t xml:space="preserve"> </w:t>
      </w:r>
      <w:r>
        <w:t xml:space="preserve">https://www.hsa.ie/eng/Your_Industry/Chemicals/Legislation_Enforcement/Detergents/Detergent_Labelling_Pa</w:t>
      </w:r>
      <w:r>
        <w:t xml:space="preserve"> </w:t>
      </w:r>
      <w:r>
        <w:t xml:space="preserve">ckaging_requirements/</w:t>
      </w:r>
    </w:p>
    <w:p>
      <w:pPr>
        <w:pStyle w:val="BodyText"/>
      </w:pPr>
      <w:r>
        <w:t xml:space="preserve">488</w:t>
      </w:r>
    </w:p>
    <w:p>
      <w:pPr>
        <w:pStyle w:val="BodyText"/>
      </w:pPr>
      <w:r>
        <w:t xml:space="preserve">preservative91 (treated articles), both subject to different definitions and different labelling</w:t>
      </w:r>
      <w:r>
        <w:t xml:space="preserve"> </w:t>
      </w:r>
      <w:r>
        <w:t xml:space="preserve">provisions. The rules apply to both laundry and dishwasher detergents as well as other</w:t>
      </w:r>
      <w:r>
        <w:t xml:space="preserve"> </w:t>
      </w:r>
      <w:r>
        <w:t xml:space="preserve">detergent types, covering detergents for consumer, professional and industrial use.</w:t>
      </w:r>
      <w:r>
        <w:t xml:space="preserve"> </w:t>
      </w:r>
      <w:r>
        <w:t xml:space="preserve">Article 3.1(a) of BPR defines as ‘biocidal product’ any substance or mixture of it “capable of</w:t>
      </w:r>
      <w:r>
        <w:t xml:space="preserve"> </w:t>
      </w:r>
      <w:r>
        <w:t xml:space="preserve">preventing the action” or carrying out a control action on any harmful organism by any means</w:t>
      </w:r>
      <w:r>
        <w:t xml:space="preserve"> </w:t>
      </w:r>
      <w:r>
        <w:t xml:space="preserve">other than mere physical or mechanical action. In brief, biocides are products that destroy</w:t>
      </w:r>
      <w:r>
        <w:t xml:space="preserve"> </w:t>
      </w:r>
      <w:r>
        <w:t xml:space="preserve">harmful organisms through chemical/biological processes.</w:t>
      </w:r>
      <w:r>
        <w:t xml:space="preserve"> </w:t>
      </w:r>
      <w:r>
        <w:t xml:space="preserve">Article 3.1(l) of BPR defines ‘treated article’ as “any substance, mixture or article which has</w:t>
      </w:r>
      <w:r>
        <w:t xml:space="preserve"> </w:t>
      </w:r>
      <w:r>
        <w:t xml:space="preserve">been treated with, or intentionally incorporates, one or more biocidal products.” The</w:t>
      </w:r>
      <w:r>
        <w:t xml:space="preserve"> </w:t>
      </w:r>
      <w:r>
        <w:t xml:space="preserve">definition refers to the explanation of biocidal product in Article 3.1(a) of BPR and it is</w:t>
      </w:r>
      <w:r>
        <w:t xml:space="preserve"> </w:t>
      </w:r>
      <w:r>
        <w:t xml:space="preserve">important to note that the definition of a biocidal product indicates that: a treated article that</w:t>
      </w:r>
      <w:r>
        <w:t xml:space="preserve"> </w:t>
      </w:r>
      <w:r>
        <w:t xml:space="preserve">has a primary biocidal function shall be considered a biocidal product. A liquid laundry</w:t>
      </w:r>
      <w:r>
        <w:t xml:space="preserve"> </w:t>
      </w:r>
      <w:r>
        <w:t xml:space="preserve">sanitizer (with a biocidal claim e.g., kills bacteria) is an example of a treated article with</w:t>
      </w:r>
      <w:r>
        <w:t xml:space="preserve"> </w:t>
      </w:r>
      <w:r>
        <w:t xml:space="preserve">primary biocidal function.</w:t>
      </w:r>
      <w:r>
        <w:br/>
      </w:r>
      <w:r>
        <w:t xml:space="preserve">In addition to the requirements specified in the Detergent Regulation the labelling information</w:t>
      </w:r>
      <w:r>
        <w:t xml:space="preserve"> </w:t>
      </w:r>
      <w:r>
        <w:t xml:space="preserve">on the packaging of detergents that contain biocidal active substance/s92 (e.g., disinfectant,</w:t>
      </w:r>
      <w:r>
        <w:t xml:space="preserve"> </w:t>
      </w:r>
      <w:r>
        <w:t xml:space="preserve">antimicrobial or sanitising product) should contain all the relevant elements specified in</w:t>
      </w:r>
      <w:r>
        <w:t xml:space="preserve"> </w:t>
      </w:r>
      <w:r>
        <w:t xml:space="preserve">Article 69 of the BPR. The label of a detergent that is also a biocide namely with a biocidal</w:t>
      </w:r>
      <w:r>
        <w:t xml:space="preserve"> </w:t>
      </w:r>
      <w:r>
        <w:t xml:space="preserve">function such as antibacterial, antimicrobial, antifungal, sanitizing, and disinfectant etc. “must</w:t>
      </w:r>
      <w:r>
        <w:t xml:space="preserve"> </w:t>
      </w:r>
      <w:r>
        <w:t xml:space="preserve">show clearly and indelibly the following information”:</w:t>
      </w:r>
      <w:r>
        <w:t xml:space="preserve"> </w:t>
      </w:r>
      <w:r>
        <w:t xml:space="preserve"> the name(s) of the biocidal active ingredient(s) and its concentration in the product93;</w:t>
      </w:r>
      <w:r>
        <w:t xml:space="preserve"> </w:t>
      </w:r>
      <w:r>
        <w:t xml:space="preserve"> the notification or approval number (e.g., PCS 9xxxx or IE/BPA 7xxxx)94. Only</w:t>
      </w:r>
      <w:r>
        <w:t xml:space="preserve"> </w:t>
      </w:r>
      <w:r>
        <w:t xml:space="preserve">notified or approved biocides have such a number;</w:t>
      </w:r>
      <w:r>
        <w:t xml:space="preserve"> </w:t>
      </w:r>
      <w:r>
        <w:t xml:space="preserve"> the type of product formulation95;</w:t>
      </w:r>
      <w:r>
        <w:t xml:space="preserve"> </w:t>
      </w:r>
      <w:r>
        <w:t xml:space="preserve"> what the product is approved for96;</w:t>
      </w:r>
      <w:r>
        <w:t xml:space="preserve"> </w:t>
      </w:r>
      <w:r>
        <w:t xml:space="preserve"> the formulation batch number or designation and the expiry date relevant to normal</w:t>
      </w:r>
      <w:r>
        <w:t xml:space="preserve"> </w:t>
      </w:r>
      <w:r>
        <w:t xml:space="preserve">conditions of storage97;</w:t>
      </w:r>
      <w:r>
        <w:t xml:space="preserve"> </w:t>
      </w:r>
      <w:r>
        <w:t xml:space="preserve"> details of any restricted users i.e., for general public or professional/industrial use</w:t>
      </w:r>
      <w:r>
        <w:t xml:space="preserve"> </w:t>
      </w:r>
      <w:r>
        <w:t xml:space="preserve">only98;</w:t>
      </w:r>
      <w:r>
        <w:t xml:space="preserve"> </w:t>
      </w:r>
      <w:r>
        <w:t xml:space="preserve"> instructions on handling, storage, application, use and disposal of the biocide99;</w:t>
      </w:r>
      <w:r>
        <w:t xml:space="preserve"> </w:t>
      </w:r>
      <w:r>
        <w:t xml:space="preserve"> details of any protective clothing or equipment which must be worn when using the</w:t>
      </w:r>
      <w:r>
        <w:t xml:space="preserve"> </w:t>
      </w:r>
      <w:r>
        <w:t xml:space="preserve">biocide; and</w:t>
      </w:r>
      <w:r>
        <w:t xml:space="preserve"> </w:t>
      </w:r>
      <w:r>
        <w:t xml:space="preserve"> whether access to treated areas needs to be restricted100.</w:t>
      </w:r>
    </w:p>
    <w:p>
      <w:pPr>
        <w:pStyle w:val="BodyText"/>
      </w:pPr>
      <w:r>
        <w:t xml:space="preserve">91 Used to preserve water-based formulations such as laundry detergents, surface cleaners, hand dish washing</w:t>
      </w:r>
      <w:r>
        <w:t xml:space="preserve"> </w:t>
      </w:r>
      <w:r>
        <w:t xml:space="preserve">liquids, etc…</w:t>
      </w:r>
      <w:r>
        <w:t xml:space="preserve"> </w:t>
      </w:r>
      <w:r>
        <w:t xml:space="preserve">92 Biocidal substances are incorporated into detergents to give them antibacterial, antimicrobial, disinfecting or</w:t>
      </w:r>
      <w:r>
        <w:t xml:space="preserve"> </w:t>
      </w:r>
      <w:r>
        <w:t xml:space="preserve">sanitizing properties with the intention to destroy, make harmless or control harmful organisms such as bacteria</w:t>
      </w:r>
      <w:r>
        <w:t xml:space="preserve"> </w:t>
      </w:r>
      <w:r>
        <w:t xml:space="preserve">or viruses by means other than mere physical or mechanical action.</w:t>
      </w:r>
      <w:r>
        <w:t xml:space="preserve"> </w:t>
      </w:r>
      <w:r>
        <w:t xml:space="preserve">93 BPR, Article 69 (2) (a) the identity of every active substance and its concentration in metric units;</w:t>
      </w:r>
      <w:r>
        <w:t xml:space="preserve"> </w:t>
      </w:r>
      <w:r>
        <w:t xml:space="preserve">94 BPR, Article 69 (2) (c) the authorisation number allocated to the biocidal product by the competent authority</w:t>
      </w:r>
      <w:r>
        <w:t xml:space="preserve"> </w:t>
      </w:r>
      <w:r>
        <w:t xml:space="preserve">or the Commission;</w:t>
      </w:r>
      <w:r>
        <w:t xml:space="preserve"> </w:t>
      </w:r>
      <w:r>
        <w:t xml:space="preserve">95 BPR, Article 69 (2) (e) the type of formulation;</w:t>
      </w:r>
      <w:r>
        <w:t xml:space="preserve"> </w:t>
      </w:r>
      <w:r>
        <w:t xml:space="preserve">96 BPR, Article 69 (2) (f) the uses for which the biocidal product is authorised;</w:t>
      </w:r>
      <w:r>
        <w:t xml:space="preserve"> </w:t>
      </w:r>
      <w:r>
        <w:t xml:space="preserve">97 BPR, Article 62 (2) (k);</w:t>
      </w:r>
      <w:r>
        <w:t xml:space="preserve"> </w:t>
      </w:r>
      <w:r>
        <w:t xml:space="preserve">98 BPR, Article 69 (2) (m) where applicable, the categories of users to which the biocidal product is restricted;</w:t>
      </w:r>
      <w:r>
        <w:t xml:space="preserve"> </w:t>
      </w:r>
      <w:r>
        <w:t xml:space="preserve">99 BPR, Article 69 (2) (g), (j),</w:t>
      </w:r>
      <w:r>
        <w:br/>
      </w:r>
      <w:r>
        <w:t xml:space="preserve">100 BPR, Article 69 (2) (l).</w:t>
      </w:r>
    </w:p>
    <w:p>
      <w:pPr>
        <w:pStyle w:val="BodyText"/>
      </w:pPr>
      <w:r>
        <w:t xml:space="preserve">489</w:t>
      </w:r>
    </w:p>
    <w:p>
      <w:pPr>
        <w:pStyle w:val="BodyText"/>
      </w:pPr>
      <w:r>
        <w:t xml:space="preserve">The figure below presents the information that must be contained on the package of a</w:t>
      </w:r>
      <w:r>
        <w:t xml:space="preserve"> </w:t>
      </w:r>
      <w:r>
        <w:t xml:space="preserve">detergent that is also a biocide. The text in the green boxes relates to the information</w:t>
      </w:r>
      <w:r>
        <w:t xml:space="preserve"> </w:t>
      </w:r>
      <w:r>
        <w:t xml:space="preserve">requirements for biocidal detergent products (BPR), the text in the pink boxes relates to the</w:t>
      </w:r>
      <w:r>
        <w:t xml:space="preserve"> </w:t>
      </w:r>
      <w:r>
        <w:t xml:space="preserve">labelling elements required for detergents under CLP while the text in the yellow boxes</w:t>
      </w:r>
      <w:r>
        <w:t xml:space="preserve"> </w:t>
      </w:r>
      <w:r>
        <w:t xml:space="preserve">relates to information requirements under Detergents Regulation.</w:t>
      </w:r>
    </w:p>
    <w:p>
      <w:pPr>
        <w:pStyle w:val="BodyText"/>
      </w:pPr>
      <w:r>
        <w:t xml:space="preserve">490</w:t>
      </w:r>
    </w:p>
    <w:p>
      <w:pPr>
        <w:pStyle w:val="BodyText"/>
      </w:pPr>
      <w:r>
        <w:t xml:space="preserve">Figure 92: Example of the information that must be contained on a Detergent package containing a Biocide101</w:t>
      </w:r>
    </w:p>
    <w:p>
      <w:pPr>
        <w:pStyle w:val="BodyText"/>
      </w:pPr>
      <w:r>
        <w:t xml:space="preserve">A laundry liquid detergent formulated with an in-can preservative102 having a preserving</w:t>
      </w:r>
      <w:r>
        <w:t xml:space="preserve"> </w:t>
      </w:r>
      <w:r>
        <w:t xml:space="preserve">function103 in the final product is an example of a detergent that is also a treated article in</w:t>
      </w:r>
      <w:r>
        <w:t xml:space="preserve"> </w:t>
      </w:r>
      <w:r>
        <w:t xml:space="preserve">accordance with BPR.</w:t>
      </w:r>
    </w:p>
    <w:p>
      <w:pPr>
        <w:pStyle w:val="BodyText"/>
      </w:pPr>
      <w:r>
        <w:t xml:space="preserve">101https://www.hsa.ie/eng/Publications_and_Forms/Publications/Chemical_and_Hazardous_Substances/Detergen</w:t>
      </w:r>
      <w:r>
        <w:t xml:space="preserve"> </w:t>
      </w:r>
      <w:r>
        <w:t xml:space="preserve">ts_Info_Sheet.pdf</w:t>
      </w:r>
      <w:r>
        <w:br/>
      </w:r>
      <w:r>
        <w:t xml:space="preserve">102 For example, under the brand names vinkocide, grotan®, grotanol®, parmetol®.</w:t>
      </w:r>
      <w:r>
        <w:t xml:space="preserve"> </w:t>
      </w:r>
      <w:r>
        <w:t xml:space="preserve">103 A preservative’s function is to ensure that products are safe to be used by consumers over a long period of</w:t>
      </w:r>
      <w:r>
        <w:t xml:space="preserve"> </w:t>
      </w:r>
      <w:r>
        <w:t xml:space="preserve">time and to maintain the appearance of the product.</w:t>
      </w:r>
    </w:p>
    <w:p>
      <w:pPr>
        <w:pStyle w:val="BodyText"/>
      </w:pPr>
      <w:r>
        <w:t xml:space="preserve">491</w:t>
      </w:r>
    </w:p>
    <w:p>
      <w:pPr>
        <w:pStyle w:val="BodyText"/>
      </w:pPr>
      <w:r>
        <w:t xml:space="preserve">According to the Commission guidance on treated articles104, detergents, containing an</w:t>
      </w:r>
      <w:r>
        <w:t xml:space="preserve"> </w:t>
      </w:r>
      <w:r>
        <w:t xml:space="preserve">additive, which had an in-can preservative added in order to protect it during storage, where</w:t>
      </w:r>
      <w:r>
        <w:t xml:space="preserve"> </w:t>
      </w:r>
      <w:r>
        <w:t xml:space="preserve">this preservative has no further preserving function in the final product are not</w:t>
      </w:r>
      <w:r>
        <w:t xml:space="preserve"> </w:t>
      </w:r>
      <w:r>
        <w:t xml:space="preserve">considered as treated articles and are not a subject to the BPR labelling provisions listed in</w:t>
      </w:r>
      <w:r>
        <w:t xml:space="preserve"> </w:t>
      </w:r>
      <w:r>
        <w:t xml:space="preserve">Article 58(3). According to the same guidance document detergents, containing what are</w:t>
      </w:r>
      <w:r>
        <w:t xml:space="preserve"> </w:t>
      </w:r>
      <w:r>
        <w:t xml:space="preserve">often referred to as “carry over” preservatives i.e., preservatives that were not added by the</w:t>
      </w:r>
      <w:r>
        <w:t xml:space="preserve"> </w:t>
      </w:r>
      <w:r>
        <w:t xml:space="preserve">manufacturer as such but by a supplier to protect a specific ingredient used for the formulation</w:t>
      </w:r>
      <w:r>
        <w:t xml:space="preserve"> </w:t>
      </w:r>
      <w:r>
        <w:t xml:space="preserve">of a detergent) and which are found in the detergent in very small concentrations are also not</w:t>
      </w:r>
      <w:r>
        <w:t xml:space="preserve"> </w:t>
      </w:r>
      <w:r>
        <w:t xml:space="preserve">subject to BPR labelling provisions. However, Annex VII A of the Detergents Regulation</w:t>
      </w:r>
      <w:r>
        <w:t xml:space="preserve"> </w:t>
      </w:r>
      <w:r>
        <w:t xml:space="preserve">stipulates that “if added, preservation agents shall be listed, irrespective of their</w:t>
      </w:r>
      <w:r>
        <w:t xml:space="preserve"> </w:t>
      </w:r>
      <w:r>
        <w:t xml:space="preserve">concentration”. Thus, even if under BPR some treated articles might not be labelled, under the</w:t>
      </w:r>
      <w:r>
        <w:t xml:space="preserve"> </w:t>
      </w:r>
      <w:r>
        <w:t xml:space="preserve">Detergents Regulation they would always be labelled irrespective of the concentration in</w:t>
      </w:r>
      <w:r>
        <w:t xml:space="preserve"> </w:t>
      </w:r>
      <w:r>
        <w:t xml:space="preserve">which they are added in the detergent.</w:t>
      </w:r>
      <w:r>
        <w:t xml:space="preserve"> </w:t>
      </w:r>
      <w:r>
        <w:t xml:space="preserve">In case the treated articles for which the active substance meets the criteria to be classified as</w:t>
      </w:r>
      <w:r>
        <w:t xml:space="preserve"> </w:t>
      </w:r>
      <w:r>
        <w:t xml:space="preserve">a skin sensitizer category 1 or sub-category 1A in accordance with CLP, the provisions of</w:t>
      </w:r>
      <w:r>
        <w:t xml:space="preserve"> </w:t>
      </w:r>
      <w:r>
        <w:t xml:space="preserve">BPR Article 58(3) should apply105. This specific labelling provision will be imposed through</w:t>
      </w:r>
      <w:r>
        <w:t xml:space="preserve"> </w:t>
      </w:r>
      <w:r>
        <w:t xml:space="preserve">the substance approval decision.</w:t>
      </w:r>
      <w:r>
        <w:t xml:space="preserve"> </w:t>
      </w:r>
      <w:r>
        <w:t xml:space="preserve">The requirements for labelling information for treated articles placed on the market are</w:t>
      </w:r>
      <w:r>
        <w:t xml:space="preserve"> </w:t>
      </w:r>
      <w:r>
        <w:t xml:space="preserve">elaborated in BPR Article 58(3) and are different from the information the label of biocidal</w:t>
      </w:r>
      <w:r>
        <w:t xml:space="preserve"> </w:t>
      </w:r>
      <w:r>
        <w:t xml:space="preserve">product must show106. Treated articles have to be labelled according to Article 58(3) in case</w:t>
      </w:r>
      <w:r>
        <w:t xml:space="preserve"> </w:t>
      </w:r>
      <w:r>
        <w:t xml:space="preserve">that:</w:t>
      </w:r>
      <w:r>
        <w:t xml:space="preserve"> </w:t>
      </w:r>
      <w:r>
        <w:t xml:space="preserve"> A claim is made about the biocidal properties of the treated article e.g., biocide is</w:t>
      </w:r>
      <w:r>
        <w:t xml:space="preserve"> </w:t>
      </w:r>
      <w:r>
        <w:t xml:space="preserve">added intentionally, with claim and/or market positioning regarding its biocidal</w:t>
      </w:r>
      <w:r>
        <w:t xml:space="preserve"> </w:t>
      </w:r>
      <w:r>
        <w:t xml:space="preserve">properties gained from using biocides (e.g., mould resistant polish);107</w:t>
      </w:r>
      <w:r>
        <w:t xml:space="preserve"> </w:t>
      </w:r>
      <w:r>
        <w:t xml:space="preserve"> When the conditions associated with the approval of the active substance concerned</w:t>
      </w:r>
      <w:r>
        <w:t xml:space="preserve"> </w:t>
      </w:r>
      <w:r>
        <w:t xml:space="preserve">require specific labelling provisions.</w:t>
      </w:r>
      <w:r>
        <w:t xml:space="preserve"> </w:t>
      </w:r>
      <w:r>
        <w:t xml:space="preserve">The label of the placed on the market detergent product (in case of treated articles) must</w:t>
      </w:r>
      <w:r>
        <w:t xml:space="preserve"> </w:t>
      </w:r>
      <w:r>
        <w:t xml:space="preserve">provide:</w:t>
      </w:r>
      <w:r>
        <w:t xml:space="preserve"> </w:t>
      </w:r>
      <w:r>
        <w:t xml:space="preserve">a statement that the treated article incorporates biocidal products;</w:t>
      </w:r>
      <w:r>
        <w:t xml:space="preserve"> </w:t>
      </w:r>
      <w:r>
        <w:t xml:space="preserve">the biocidal property attributed to the treated article, where substantiated;</w:t>
      </w:r>
      <w:r>
        <w:t xml:space="preserve"> </w:t>
      </w:r>
      <w:r>
        <w:t xml:space="preserve">the name of all active substances contained in the biocidal products;</w:t>
      </w:r>
      <w:r>
        <w:t xml:space="preserve"> </w:t>
      </w:r>
      <w:r>
        <w:t xml:space="preserve">the name of all nanomaterials contained in the biocidal products, followed by the word ‘nano’</w:t>
      </w:r>
      <w:r>
        <w:t xml:space="preserve"> </w:t>
      </w:r>
      <w:r>
        <w:t xml:space="preserve">in brackets108;</w:t>
      </w:r>
      <w:r>
        <w:t xml:space="preserve"> </w:t>
      </w:r>
      <w:r>
        <w:t xml:space="preserve">any relevant instructions for use, including any precautions to be taken because of the biocidal</w:t>
      </w:r>
      <w:r>
        <w:t xml:space="preserve"> </w:t>
      </w:r>
      <w:r>
        <w:t xml:space="preserve">products with which a treated article was treated or which it incorporates109.</w:t>
      </w:r>
    </w:p>
    <w:p>
      <w:pPr>
        <w:pStyle w:val="BodyText"/>
      </w:pPr>
      <w:r>
        <w:t xml:space="preserve">104 Appendix 1; Commission note on guidance on treated articles, CA-Sept13-Doc.5. I.e., (Revision 1, December</w:t>
      </w:r>
      <w:r>
        <w:t xml:space="preserve"> </w:t>
      </w:r>
      <w:r>
        <w:t xml:space="preserve">2014).</w:t>
      </w:r>
      <w:r>
        <w:t xml:space="preserve"> </w:t>
      </w:r>
      <w:r>
        <w:t xml:space="preserve">105 Commission note CA-May15-Doc.6.1-Final.</w:t>
      </w:r>
      <w:r>
        <w:t xml:space="preserve"> </w:t>
      </w:r>
      <w:r>
        <w:t xml:space="preserve">106 BPR, Article 69.</w:t>
      </w:r>
      <w:r>
        <w:t xml:space="preserve"> </w:t>
      </w:r>
      <w:r>
        <w:t xml:space="preserve">107 It should be pointed out that the majority of ‘regular/ normal’ detergents &amp; cleaning products are not subject</w:t>
      </w:r>
      <w:r>
        <w:t xml:space="preserve"> </w:t>
      </w:r>
      <w:r>
        <w:t xml:space="preserve">to this requirement.</w:t>
      </w:r>
      <w:r>
        <w:t xml:space="preserve"> </w:t>
      </w:r>
      <w:r>
        <w:t xml:space="preserve">108 Preservatives for products during storage PT6 biocidal products are very unlikely to contain nanomaterials.</w:t>
      </w:r>
    </w:p>
    <w:p>
      <w:pPr>
        <w:pStyle w:val="BodyText"/>
      </w:pPr>
      <w:r>
        <w:t xml:space="preserve">492</w:t>
      </w:r>
    </w:p>
    <w:p>
      <w:pPr>
        <w:pStyle w:val="BodyText"/>
      </w:pPr>
      <w:r>
        <w:t xml:space="preserve">Identified overlaps, duplications, and inconsistencies</w:t>
      </w:r>
      <w:r>
        <w:t xml:space="preserve"> </w:t>
      </w:r>
      <w:r>
        <w:t xml:space="preserve">As mentioned in the previous section legal analysis shows a difference in the terminology</w:t>
      </w:r>
      <w:r>
        <w:t xml:space="preserve"> </w:t>
      </w:r>
      <w:r>
        <w:t xml:space="preserve">regarding the hazard communication in form of labelling between CLP and the labelling</w:t>
      </w:r>
      <w:r>
        <w:t xml:space="preserve"> </w:t>
      </w:r>
      <w:r>
        <w:t xml:space="preserve">requirements of Detergents Regulations. The Detergents Regulation refers to placing</w:t>
      </w:r>
      <w:r>
        <w:t xml:space="preserve"> </w:t>
      </w:r>
      <w:r>
        <w:t xml:space="preserve">information “on the packaging” of the detergent product (e.g., Article 11(2)), while CLP</w:t>
      </w:r>
      <w:r>
        <w:t xml:space="preserve"> </w:t>
      </w:r>
      <w:r>
        <w:t xml:space="preserve">refers to placing information “on the label”. However, no evidence has been found for any</w:t>
      </w:r>
      <w:r>
        <w:t xml:space="preserve"> </w:t>
      </w:r>
      <w:r>
        <w:t xml:space="preserve">practical consequences or impact of the different terminology on the hazard communication to</w:t>
      </w:r>
      <w:r>
        <w:t xml:space="preserve"> </w:t>
      </w:r>
      <w:r>
        <w:t xml:space="preserve">consumers, professional or industrial users.</w:t>
      </w:r>
      <w:r>
        <w:t xml:space="preserve"> </w:t>
      </w:r>
      <w:r>
        <w:t xml:space="preserve">The Detergents Regulation is clear on the fact that its labelling provisions are “without</w:t>
      </w:r>
      <w:r>
        <w:t xml:space="preserve"> </w:t>
      </w:r>
      <w:r>
        <w:t xml:space="preserve">prejudice” to the provisions of the CLP, i.e., they come in addition to CLP requirements. For</w:t>
      </w:r>
      <w:r>
        <w:t xml:space="preserve"> </w:t>
      </w:r>
      <w:r>
        <w:t xml:space="preserve">example, where applicable110, the section containing the labelling elements dedicated to the</w:t>
      </w:r>
      <w:r>
        <w:t xml:space="preserve"> </w:t>
      </w:r>
      <w:r>
        <w:t xml:space="preserve">CLP might include on the label hazard pictograms, signal words, hazard statements and</w:t>
      </w:r>
      <w:r>
        <w:t xml:space="preserve"> </w:t>
      </w:r>
      <w:r>
        <w:t xml:space="preserve">precautionary statements that, to some extent, overlap with Article 11(3) of the Detergents</w:t>
      </w:r>
      <w:r>
        <w:t xml:space="preserve"> </w:t>
      </w:r>
      <w:r>
        <w:t xml:space="preserve">Regulation specifying that “the packaging of detergents shall indicate […] instructions for use</w:t>
      </w:r>
      <w:r>
        <w:t xml:space="preserve"> </w:t>
      </w:r>
      <w:r>
        <w:t xml:space="preserve">and special precautions, if required”.</w:t>
      </w:r>
      <w:r>
        <w:br/>
      </w:r>
      <w:r>
        <w:t xml:space="preserve">In practice, the compliance with the labelling provisions of CLP (hazard pictograms, hazard</w:t>
      </w:r>
      <w:r>
        <w:t xml:space="preserve"> </w:t>
      </w:r>
      <w:r>
        <w:t xml:space="preserve">statements, precautionary statements, etc.) has as an effect to, in part, fulfil the requirements</w:t>
      </w:r>
      <w:r>
        <w:t xml:space="preserve"> </w:t>
      </w:r>
      <w:r>
        <w:t xml:space="preserve">of the Detergents Regulation, Article 11(3), although this is not explicitly stated in the legal</w:t>
      </w:r>
      <w:r>
        <w:t xml:space="preserve"> </w:t>
      </w:r>
      <w:r>
        <w:t xml:space="preserve">text of the Regulation. It might be noted that the CLP and Detergents Regulation complement</w:t>
      </w:r>
      <w:r>
        <w:t xml:space="preserve"> </w:t>
      </w:r>
      <w:r>
        <w:t xml:space="preserve">each other in the sense that both Regulations aim to protect the health of consumers, industrial</w:t>
      </w:r>
      <w:r>
        <w:t xml:space="preserve"> </w:t>
      </w:r>
      <w:r>
        <w:t xml:space="preserve">and professional users 111. If a substance is regulated or presents a hazard, then there are</w:t>
      </w:r>
      <w:r>
        <w:t xml:space="preserve"> </w:t>
      </w:r>
      <w:r>
        <w:t xml:space="preserve">standard phrases under CLP that can be used to warn consumers, industrial and professional</w:t>
      </w:r>
      <w:r>
        <w:t xml:space="preserve"> </w:t>
      </w:r>
      <w:r>
        <w:t xml:space="preserve">users.</w:t>
      </w:r>
      <w:r>
        <w:t xml:space="preserve"> </w:t>
      </w:r>
      <w:r>
        <w:t xml:space="preserve">Detergents Regulation, Article 9(3) obliges manufacturers placing on the market the mixtures</w:t>
      </w:r>
      <w:r>
        <w:t xml:space="preserve"> </w:t>
      </w:r>
      <w:r>
        <w:t xml:space="preserve">covered by this Regulation to make available, upon request, without delay and free of charge,</w:t>
      </w:r>
      <w:r>
        <w:t xml:space="preserve"> </w:t>
      </w:r>
      <w:r>
        <w:t xml:space="preserve">to any medical personnel, an ingredient datasheet as stipulated in Annex VII C112. For</w:t>
      </w:r>
      <w:r>
        <w:t xml:space="preserve"> </w:t>
      </w:r>
      <w:r>
        <w:t xml:space="preserve">mixtures (such as detergents, paints, and household chemicals) subject to submission</w:t>
      </w:r>
      <w:r>
        <w:t xml:space="preserve"> </w:t>
      </w:r>
      <w:r>
        <w:t xml:space="preserve">requirements under Article 45 and Annex VIII to CLP, a unique formula identifier (UFI) must</w:t>
      </w:r>
      <w:r>
        <w:t xml:space="preserve"> </w:t>
      </w:r>
      <w:r>
        <w:t xml:space="preserve">be provided. The poison centres can identify the exact product and its composition through</w:t>
      </w:r>
      <w:r>
        <w:t xml:space="preserve"> </w:t>
      </w:r>
      <w:r>
        <w:t xml:space="preserve">the submitted UFI. In this regard there is a duplication between these requirements in the</w:t>
      </w:r>
      <w:r>
        <w:t xml:space="preserve"> </w:t>
      </w:r>
      <w:r>
        <w:t xml:space="preserve">sense that the ingredient data sheet under the Detergents Regulation serves a similar purpose</w:t>
      </w:r>
      <w:r>
        <w:t xml:space="preserve"> </w:t>
      </w:r>
      <w:r>
        <w:t xml:space="preserve">as the harmonised information provided to poison centres under the Annex VIII to the CLP.</w:t>
      </w:r>
      <w:r>
        <w:t xml:space="preserve"> </w:t>
      </w:r>
      <w:r>
        <w:t xml:space="preserve">Further, a certain inconsistency exists between the Detergents Regulation and REACH</w:t>
      </w:r>
      <w:r>
        <w:t xml:space="preserve"> </w:t>
      </w:r>
      <w:r>
        <w:t xml:space="preserve">regarding the information that needs to be included in the safety data sheet for industrial and</w:t>
      </w:r>
      <w:r>
        <w:t xml:space="preserve"> </w:t>
      </w:r>
      <w:r>
        <w:t xml:space="preserve">institutional detergents. This inconsistency results from the fact that the safety data sheet is</w:t>
      </w:r>
      <w:r>
        <w:t xml:space="preserve"> </w:t>
      </w:r>
      <w:r>
        <w:t xml:space="preserve">compiled in accordance with the requirements stipulated in REACH, which are different from</w:t>
      </w:r>
      <w:r>
        <w:t xml:space="preserve"> </w:t>
      </w:r>
      <w:r>
        <w:t xml:space="preserve">the labelling requirements of the Detergents Regulation.</w:t>
      </w:r>
    </w:p>
    <w:p>
      <w:pPr>
        <w:pStyle w:val="BodyText"/>
      </w:pPr>
      <w:r>
        <w:t xml:space="preserve">109 The CLP Regulation requirements for informing and warning users about potential hazards and related</w:t>
      </w:r>
      <w:r>
        <w:t xml:space="preserve"> </w:t>
      </w:r>
      <w:r>
        <w:t xml:space="preserve">precautions to be taken - for example H317 “May cause an allergic skin reaction” and EUH 208 “Contains …</w:t>
      </w:r>
      <w:r>
        <w:t xml:space="preserve"> </w:t>
      </w:r>
      <w:r>
        <w:t xml:space="preserve">May produce an allergic reaction”.</w:t>
      </w:r>
      <w:r>
        <w:t xml:space="preserve"> </w:t>
      </w:r>
      <w:r>
        <w:t xml:space="preserve">110 If a substance is regulated or presents a hazard.</w:t>
      </w:r>
      <w:r>
        <w:t xml:space="preserve"> </w:t>
      </w:r>
      <w:r>
        <w:t xml:space="preserve">111 COMMISSION STAFF WORKING DOCUMENT Evaluation of Regulation (EC) No 648/2004 of the</w:t>
      </w:r>
      <w:r>
        <w:t xml:space="preserve"> </w:t>
      </w:r>
      <w:r>
        <w:t xml:space="preserve">European</w:t>
      </w:r>
      <w:r>
        <w:t xml:space="preserve"> </w:t>
      </w:r>
      <w:r>
        <w:t xml:space="preserve">Parliament</w:t>
      </w:r>
      <w:r>
        <w:t xml:space="preserve"> </w:t>
      </w:r>
      <w:r>
        <w:t xml:space="preserve">and</w:t>
      </w:r>
      <w:r>
        <w:t xml:space="preserve"> </w:t>
      </w:r>
      <w:r>
        <w:t xml:space="preserve">of</w:t>
      </w:r>
      <w:r>
        <w:t xml:space="preserve"> </w:t>
      </w:r>
      <w:r>
        <w:t xml:space="preserve">the</w:t>
      </w:r>
      <w:r>
        <w:t xml:space="preserve"> </w:t>
      </w:r>
      <w:r>
        <w:t xml:space="preserve">Council</w:t>
      </w:r>
      <w:r>
        <w:t xml:space="preserve"> </w:t>
      </w:r>
      <w:r>
        <w:t xml:space="preserve">of</w:t>
      </w:r>
      <w:r>
        <w:t xml:space="preserve"> </w:t>
      </w:r>
      <w:r>
        <w:t xml:space="preserve">31</w:t>
      </w:r>
      <w:r>
        <w:t xml:space="preserve"> </w:t>
      </w:r>
      <w:r>
        <w:t xml:space="preserve">March</w:t>
      </w:r>
      <w:r>
        <w:t xml:space="preserve"> </w:t>
      </w:r>
      <w:r>
        <w:t xml:space="preserve">2004</w:t>
      </w:r>
      <w:r>
        <w:t xml:space="preserve"> </w:t>
      </w:r>
      <w:r>
        <w:t xml:space="preserve">on</w:t>
      </w:r>
      <w:r>
        <w:t xml:space="preserve"> </w:t>
      </w:r>
      <w:r>
        <w:t xml:space="preserve">detergents.</w:t>
      </w:r>
      <w:r>
        <w:t xml:space="preserve"> </w:t>
      </w:r>
      <w:r>
        <w:t xml:space="preserve">https://ec.europa.eu/docsroom/documents/36289</w:t>
      </w:r>
      <w:r>
        <w:br/>
      </w:r>
      <w:r>
        <w:t xml:space="preserve">112 Annex VII C requires “The common chemical name or IUPAC name, the CAS number, and, where available,</w:t>
      </w:r>
      <w:r>
        <w:t xml:space="preserve"> </w:t>
      </w:r>
      <w:r>
        <w:t xml:space="preserve">the INCI name, and the European Pharmacopoeia name, shall be given for each ingredient”. However, this</w:t>
      </w:r>
      <w:r>
        <w:t xml:space="preserve"> </w:t>
      </w:r>
      <w:r>
        <w:t xml:space="preserve">requirement only applies for the ingredient datasheet (to be provided on request).</w:t>
      </w:r>
    </w:p>
    <w:p>
      <w:pPr>
        <w:pStyle w:val="BodyText"/>
      </w:pPr>
      <w:r>
        <w:t xml:space="preserve">493</w:t>
      </w:r>
    </w:p>
    <w:p>
      <w:pPr>
        <w:pStyle w:val="BodyText"/>
      </w:pPr>
      <w:r>
        <w:t xml:space="preserve">The listing of allergens (fragrances and preservatives) “on the packaging” of the detergent</w:t>
      </w:r>
      <w:r>
        <w:t xml:space="preserve"> </w:t>
      </w:r>
      <w:r>
        <w:t xml:space="preserve">product aims to protect and inform all end-users on hazards, including those already</w:t>
      </w:r>
      <w:r>
        <w:t xml:space="preserve"> </w:t>
      </w:r>
      <w:r>
        <w:t xml:space="preserve">sensitized. The Evaluation of Regulation (EC) No 648/2004 of the European Parliament and</w:t>
      </w:r>
      <w:r>
        <w:t xml:space="preserve"> </w:t>
      </w:r>
      <w:r>
        <w:t xml:space="preserve">of the Council of 31 March 2004 on detergents113 reveals some legislative overlaps between</w:t>
      </w:r>
      <w:r>
        <w:t xml:space="preserve"> </w:t>
      </w:r>
      <w:r>
        <w:t xml:space="preserve">the Detergents Regulation and the CLP with regard to the labelling of allergenic fragrances.</w:t>
      </w:r>
      <w:r>
        <w:t xml:space="preserve"> </w:t>
      </w:r>
      <w:r>
        <w:t xml:space="preserve">Other overlaps also exist e.g., on the labelling of surfactants114 and allergenic preservatives</w:t>
      </w:r>
      <w:r>
        <w:t xml:space="preserve"> </w:t>
      </w:r>
      <w:r>
        <w:t xml:space="preserve">when CLP thresholds are met.</w:t>
      </w:r>
      <w:r>
        <w:br/>
      </w:r>
      <w:r>
        <w:t xml:space="preserve">Under CLP, ingredients that present a chemical hazard should be included on the product</w:t>
      </w:r>
      <w:r>
        <w:t xml:space="preserve"> </w:t>
      </w:r>
      <w:r>
        <w:t xml:space="preserve">label using the chemical name (e.g., MEA-dodecylbenzene sulfonate), whereas under the</w:t>
      </w:r>
      <w:r>
        <w:t xml:space="preserve"> </w:t>
      </w:r>
      <w:r>
        <w:t xml:space="preserve">Detergents Regulation ingredients can be listed under a generic name (e.g., anionic</w:t>
      </w:r>
      <w:r>
        <w:t xml:space="preserve"> </w:t>
      </w:r>
      <w:r>
        <w:t xml:space="preserve">surfactant). Complying with the labelling requirements of both Regulations results in the</w:t>
      </w:r>
      <w:r>
        <w:t xml:space="preserve"> </w:t>
      </w:r>
      <w:r>
        <w:t xml:space="preserve">labelling of the same ingredient twice, and in some cases using different names.</w:t>
      </w:r>
      <w:r>
        <w:br/>
      </w:r>
      <w:r>
        <w:t xml:space="preserve">In the public consultation of 2014 the Commission proposed, among others, to Amend Annex</w:t>
      </w:r>
      <w:r>
        <w:t xml:space="preserve"> </w:t>
      </w:r>
      <w:r>
        <w:t xml:space="preserve">III to the CPR (‘List of substances which cosmetic products must not contain except subject to</w:t>
      </w:r>
      <w:r>
        <w:t xml:space="preserve"> </w:t>
      </w:r>
      <w:r>
        <w:t xml:space="preserve">the restrictions laid down’) by submitting additional 62 contact allergens to the obligation of</w:t>
      </w:r>
      <w:r>
        <w:t xml:space="preserve"> </w:t>
      </w:r>
      <w:r>
        <w:t xml:space="preserve">individual labelling, in addition to the 25115 allergens already listed in Annex III. Should the</w:t>
      </w:r>
      <w:r>
        <w:t xml:space="preserve"> </w:t>
      </w:r>
      <w:r>
        <w:t xml:space="preserve">Commission introduce the obligation to label additional 62 fragrance ingredients the number</w:t>
      </w:r>
      <w:r>
        <w:t xml:space="preserve"> </w:t>
      </w:r>
      <w:r>
        <w:t xml:space="preserve">of fragrance allergens to be labelled would increase to 87 substances. The labelling of</w:t>
      </w:r>
      <w:r>
        <w:t xml:space="preserve"> </w:t>
      </w:r>
      <w:r>
        <w:t xml:space="preserve">additional fragrance allergens will have an impact on products regulated by the Detergents</w:t>
      </w:r>
      <w:r>
        <w:t xml:space="preserve"> </w:t>
      </w:r>
      <w:r>
        <w:t xml:space="preserve">Regulation116 resulting in more allergens being listed on the packaging.</w:t>
      </w:r>
      <w:r>
        <w:br/>
      </w:r>
      <w:r>
        <w:t xml:space="preserve">The Detergents Regulation requires the label to include the allergenic fragrances listed in</w:t>
      </w:r>
      <w:r>
        <w:t xml:space="preserve"> </w:t>
      </w:r>
      <w:r>
        <w:t xml:space="preserve">Annex III to the CPR and which are added to detergents at concentrations exceeding 0.01%</w:t>
      </w:r>
      <w:r>
        <w:t xml:space="preserve"> </w:t>
      </w:r>
      <w:r>
        <w:t xml:space="preserve">by weight on detergents’ labels. The labelling of these fragrances shall be done by using the</w:t>
      </w:r>
      <w:r>
        <w:t xml:space="preserve"> </w:t>
      </w:r>
      <w:r>
        <w:t xml:space="preserve">International Nomenclature of Cosmetic Ingredients (</w:t>
      </w:r>
      <w:r>
        <w:t xml:space="preserve">“INCI names”</w:t>
      </w:r>
      <w:r>
        <w:t xml:space="preserve">)117.</w:t>
      </w:r>
      <w:r>
        <w:br/>
      </w:r>
      <w:r>
        <w:t xml:space="preserve">In parallel, the CLP requires the inclusion of skin sensitisers118 (i.e., allergenic substances like</w:t>
      </w:r>
      <w:r>
        <w:t xml:space="preserve"> </w:t>
      </w:r>
      <w:r>
        <w:t xml:space="preserve">preservatives and fragrances) in the list of ingredients that need to figure on the product label</w:t>
      </w:r>
      <w:r>
        <w:t xml:space="preserve"> </w:t>
      </w:r>
      <w:r>
        <w:t xml:space="preserve">when they are present above certain thresholds.119 These thresholds are different from the</w:t>
      </w:r>
    </w:p>
    <w:p>
      <w:pPr>
        <w:pStyle w:val="BodyText"/>
      </w:pPr>
      <w:r>
        <w:t xml:space="preserve">113 Commission Staff Working Document Evaluation of Regulation (EC) No 648/2004 of the European</w:t>
      </w:r>
      <w:r>
        <w:t xml:space="preserve"> </w:t>
      </w:r>
      <w:r>
        <w:t xml:space="preserve">Parliament</w:t>
      </w:r>
      <w:r>
        <w:t xml:space="preserve"> </w:t>
      </w:r>
      <w:r>
        <w:t xml:space="preserve">and</w:t>
      </w:r>
      <w:r>
        <w:t xml:space="preserve"> </w:t>
      </w:r>
      <w:r>
        <w:t xml:space="preserve">of</w:t>
      </w:r>
      <w:r>
        <w:t xml:space="preserve"> </w:t>
      </w:r>
      <w:r>
        <w:t xml:space="preserve">the</w:t>
      </w:r>
      <w:r>
        <w:t xml:space="preserve"> </w:t>
      </w:r>
      <w:r>
        <w:t xml:space="preserve">Council</w:t>
      </w:r>
      <w:r>
        <w:t xml:space="preserve"> </w:t>
      </w:r>
      <w:r>
        <w:t xml:space="preserve">of</w:t>
      </w:r>
      <w:r>
        <w:t xml:space="preserve"> </w:t>
      </w:r>
      <w:r>
        <w:t xml:space="preserve">31</w:t>
      </w:r>
      <w:r>
        <w:t xml:space="preserve"> </w:t>
      </w:r>
      <w:r>
        <w:t xml:space="preserve">March</w:t>
      </w:r>
      <w:r>
        <w:t xml:space="preserve"> </w:t>
      </w:r>
      <w:r>
        <w:t xml:space="preserve">2004</w:t>
      </w:r>
      <w:r>
        <w:t xml:space="preserve"> </w:t>
      </w:r>
      <w:r>
        <w:t xml:space="preserve">on</w:t>
      </w:r>
      <w:r>
        <w:t xml:space="preserve"> </w:t>
      </w:r>
      <w:r>
        <w:t xml:space="preserve">detergents.</w:t>
      </w:r>
      <w:r>
        <w:t xml:space="preserve"> </w:t>
      </w:r>
      <w:r>
        <w:t xml:space="preserve">Available</w:t>
      </w:r>
      <w:r>
        <w:t xml:space="preserve"> </w:t>
      </w:r>
      <w:r>
        <w:t xml:space="preserve">at:</w:t>
      </w:r>
      <w:r>
        <w:t xml:space="preserve"> </w:t>
      </w:r>
      <w:r>
        <w:t xml:space="preserve">https://ec.europa.eu/docsroom/documents/36289</w:t>
      </w:r>
      <w:r>
        <w:t xml:space="preserve"> </w:t>
      </w:r>
      <w:r>
        <w:t xml:space="preserve">114 The word “surfactant” is an abbreviation of the phrase ‘surface active agent’. A surfactant is a chemical</w:t>
      </w:r>
      <w:r>
        <w:t xml:space="preserve"> </w:t>
      </w:r>
      <w:r>
        <w:t xml:space="preserve">compound that reduces the interfacial tension between water and other liquids such as fats and oils. Surfactants</w:t>
      </w:r>
      <w:r>
        <w:t xml:space="preserve"> </w:t>
      </w:r>
      <w:r>
        <w:t xml:space="preserve">are common ingredients in topical products, which can cause both irritant and allergic contact dermatitis.</w:t>
      </w:r>
      <w:r>
        <w:t xml:space="preserve"> </w:t>
      </w:r>
      <w:r>
        <w:t xml:space="preserve">115 One of the 26 allergens currently subject to labelling HICC (3 and 4-(4-Hydroxy-4-methylpentyl) cyclohex-3-</w:t>
      </w:r>
      <w:r>
        <w:t xml:space="preserve"> </w:t>
      </w:r>
      <w:r>
        <w:t xml:space="preserve">ene-1-carbaldehyde) have been excluded from these calculations as it was banned by Regulation 2017/1410 of 2</w:t>
      </w:r>
      <w:r>
        <w:t xml:space="preserve"> </w:t>
      </w:r>
      <w:r>
        <w:t xml:space="preserve">August 2017. Transition periods for the ban end on 23 August 2019 (for placing the substance on the market)</w:t>
      </w:r>
      <w:r>
        <w:t xml:space="preserve"> </w:t>
      </w:r>
      <w:r>
        <w:t xml:space="preserve">and 23 August 2021 (for making it available on the market).</w:t>
      </w:r>
      <w:r>
        <w:t xml:space="preserve"> </w:t>
      </w:r>
      <w:r>
        <w:t xml:space="preserve">116 Inception impact assessment - Ares (2018)6241542. Available at: https://ec.europa.eu/info/law/better-</w:t>
      </w:r>
      <w:r>
        <w:t xml:space="preserve"> </w:t>
      </w:r>
      <w:r>
        <w:t xml:space="preserve">regulation/have-your-say/initiatives/2009-Labelling-fragrance-allergens_en</w:t>
      </w:r>
      <w:r>
        <w:br/>
      </w:r>
      <w:r>
        <w:t xml:space="preserve">117 The International Nomenclature Cosmetic Ingredients (INCI) name is mandatory in the European Union (EU)</w:t>
      </w:r>
      <w:r>
        <w:t xml:space="preserve"> </w:t>
      </w:r>
      <w:r>
        <w:t xml:space="preserve">according to Regulation (EC) No 1223/2009 for labelling the names of ingredients on cosmetic products. Article</w:t>
      </w:r>
      <w:r>
        <w:t xml:space="preserve"> </w:t>
      </w:r>
      <w:r>
        <w:t xml:space="preserve">19(1)(g) of the Regulation requires the labelling information on cosmetic products to include a list of ingredients.</w:t>
      </w:r>
      <w:r>
        <w:t xml:space="preserve"> </w:t>
      </w:r>
      <w:r>
        <w:t xml:space="preserve">The ingredients are to be expressed using the common ingredient name set out in a glossary compiled and</w:t>
      </w:r>
      <w:r>
        <w:t xml:space="preserve"> </w:t>
      </w:r>
      <w:r>
        <w:t xml:space="preserve">updated by the Commission pursuant to Article 33 of that Regulation. The glossary takes account of</w:t>
      </w:r>
      <w:r>
        <w:t xml:space="preserve"> </w:t>
      </w:r>
      <w:r>
        <w:t xml:space="preserve">internationally recognised nomenclatures including the International Nomenclature of Cosmetic Ingredients.</w:t>
      </w:r>
      <w:r>
        <w:t xml:space="preserve"> </w:t>
      </w:r>
      <w:r>
        <w:t xml:space="preserve">Since 2004, the INCI system is mandatory in the EU for labelling of preservatives and allergenic perfume</w:t>
      </w:r>
      <w:r>
        <w:t xml:space="preserve"> </w:t>
      </w:r>
      <w:r>
        <w:t xml:space="preserve">ingredients according to the Detergents Regulation (EC) No 648/2004.</w:t>
      </w:r>
      <w:r>
        <w:t xml:space="preserve"> </w:t>
      </w:r>
      <w:r>
        <w:t xml:space="preserve">118 A skin sensitizer is</w:t>
      </w:r>
      <w:r>
        <w:t xml:space="preserve"> </w:t>
      </w:r>
      <w:r>
        <w:t xml:space="preserve">“a substance that will induce an allergic response following skin contact”</w:t>
      </w:r>
      <w:r>
        <w:t xml:space="preserve">.</w:t>
      </w:r>
      <w:r>
        <w:t xml:space="preserve"> </w:t>
      </w:r>
      <w:r>
        <w:t xml:space="preserve">119 Under CLP, skin sensitisers must be indicated on the label if added at concentrations exceeding 1.0% (skin</w:t>
      </w:r>
      <w:r>
        <w:t xml:space="preserve"> </w:t>
      </w:r>
      <w:r>
        <w:t xml:space="preserve">sensitiser Category 1), 0.1% (skin sensitiser Category 1A) and 1.0% (skin sensitiser Category 1B).</w:t>
      </w:r>
    </w:p>
    <w:p>
      <w:pPr>
        <w:pStyle w:val="BodyText"/>
      </w:pPr>
      <w:r>
        <w:t xml:space="preserve">494</w:t>
      </w:r>
    </w:p>
    <w:p>
      <w:pPr>
        <w:pStyle w:val="BodyText"/>
      </w:pPr>
      <w:r>
        <w:t xml:space="preserve">thresholds provided in the Detergents Regulation. As most allergenic fragrance ingredients</w:t>
      </w:r>
      <w:r>
        <w:t xml:space="preserve"> </w:t>
      </w:r>
      <w:r>
        <w:t xml:space="preserve">under the Cosmetic Products Regulation are also classified as skin sensitisers under the CLP</w:t>
      </w:r>
      <w:r>
        <w:t xml:space="preserve"> </w:t>
      </w:r>
      <w:r>
        <w:t xml:space="preserve">this may lead to the labelling of the same substance twice, once following the Detergents</w:t>
      </w:r>
      <w:r>
        <w:t xml:space="preserve"> </w:t>
      </w:r>
      <w:r>
        <w:t xml:space="preserve">Regulation and once following the CLP.</w:t>
      </w:r>
      <w:r>
        <w:t xml:space="preserve"> </w:t>
      </w:r>
      <w:r>
        <w:t xml:space="preserve">In addition to the different thresholds for the labelling of allergenic fragrances between the</w:t>
      </w:r>
      <w:r>
        <w:t xml:space="preserve"> </w:t>
      </w:r>
      <w:r>
        <w:t xml:space="preserve">Detergents Regulation and the CLP two more differences exist, namely:</w:t>
      </w:r>
      <w:r>
        <w:t xml:space="preserve"> </w:t>
      </w:r>
      <w:r>
        <w:t xml:space="preserve">The product identifier of the substance, i.e., the name (and identification number) under</w:t>
      </w:r>
      <w:r>
        <w:t xml:space="preserve"> </w:t>
      </w:r>
      <w:r>
        <w:t xml:space="preserve">which the allergenic fragrance is to be labelled, is different under these two Regulations: as</w:t>
      </w:r>
      <w:r>
        <w:t xml:space="preserve"> </w:t>
      </w:r>
      <w:r>
        <w:t xml:space="preserve">the Detergents Regulation refers to the Cosmetic Products Regulation for the labelling of</w:t>
      </w:r>
      <w:r>
        <w:t xml:space="preserve"> </w:t>
      </w:r>
      <w:r>
        <w:t xml:space="preserve">allergenic fragrances, the latter are listed on detergents’ labels with their INCI name. Contrary</w:t>
      </w:r>
      <w:r>
        <w:t xml:space="preserve"> </w:t>
      </w:r>
      <w:r>
        <w:t xml:space="preserve">to that, the CLP requires that substances are labelled with either the name and</w:t>
      </w:r>
      <w:r>
        <w:t xml:space="preserve"> </w:t>
      </w:r>
      <w:r>
        <w:t xml:space="preserve">identification number given in Part 3 of Annex VI to the CLP Regulation120 or, in case the</w:t>
      </w:r>
      <w:r>
        <w:t xml:space="preserve"> </w:t>
      </w:r>
      <w:r>
        <w:t xml:space="preserve">substance is not part of the list of substances provided therein, with the name and</w:t>
      </w:r>
      <w:r>
        <w:t xml:space="preserve"> </w:t>
      </w:r>
      <w:r>
        <w:t xml:space="preserve">identification number given in the classification and labelling inventory. If neither of these</w:t>
      </w:r>
      <w:r>
        <w:t xml:space="preserve"> </w:t>
      </w:r>
      <w:r>
        <w:t xml:space="preserve">product identifiers exists, then the substance is labelled either with its CAS121 number</w:t>
      </w:r>
      <w:r>
        <w:t xml:space="preserve"> </w:t>
      </w:r>
      <w:r>
        <w:t xml:space="preserve">together with its IUPAC122 name or only the IUPAC name in case that the substance doesn’t</w:t>
      </w:r>
      <w:r>
        <w:t xml:space="preserve"> </w:t>
      </w:r>
      <w:r>
        <w:t xml:space="preserve">have a CAS number. Finally, under certain conditions, substances can also be listed with their</w:t>
      </w:r>
      <w:r>
        <w:t xml:space="preserve"> </w:t>
      </w:r>
      <w:r>
        <w:t xml:space="preserve">EC names123.</w:t>
      </w:r>
      <w:r>
        <w:t xml:space="preserve"> </w:t>
      </w:r>
      <w:r>
        <w:t xml:space="preserve">For mixtures not classified as sensitising but containing at least one skin sensitiser (e.g., an</w:t>
      </w:r>
      <w:r>
        <w:t xml:space="preserve"> </w:t>
      </w:r>
      <w:r>
        <w:t xml:space="preserve">allergenic fragrance) above a pre-defined concentration threshold, (as is commonly the case</w:t>
      </w:r>
      <w:r>
        <w:t xml:space="preserve"> </w:t>
      </w:r>
      <w:r>
        <w:t xml:space="preserve">for detergents), the CLP requires that a EUH208 statement124 is included in their label.</w:t>
      </w:r>
      <w:r>
        <w:t xml:space="preserve"> </w:t>
      </w:r>
      <w:r>
        <w:t xml:space="preserve">Based on the above it appears that one and the same allergenic fragrance contained in a</w:t>
      </w:r>
      <w:r>
        <w:t xml:space="preserve"> </w:t>
      </w:r>
      <w:r>
        <w:t xml:space="preserve">detergent is very likely to be indicated twice on the detergent’s label and in some cases under</w:t>
      </w:r>
      <w:r>
        <w:t xml:space="preserve"> </w:t>
      </w:r>
      <w:r>
        <w:t xml:space="preserve">different names.</w:t>
      </w:r>
      <w:r>
        <w:br/>
      </w:r>
      <w:r>
        <w:t xml:space="preserve">The example below demonstrates that there can be duplication between – on the one hand –</w:t>
      </w:r>
      <w:r>
        <w:t xml:space="preserve"> </w:t>
      </w:r>
      <w:r>
        <w:t xml:space="preserve">the product identifier of the mixture or EUH statement and – on the other hand – the</w:t>
      </w:r>
      <w:r>
        <w:t xml:space="preserve"> </w:t>
      </w:r>
      <w:r>
        <w:t xml:space="preserve">supplemental information mandated by the Detergents Regulation (i.e., the list of allergens</w:t>
      </w:r>
      <w:r>
        <w:t xml:space="preserve"> </w:t>
      </w:r>
      <w:r>
        <w:t xml:space="preserve">and preservatives, which may be referred to by an INCI name also included in the</w:t>
      </w:r>
      <w:r>
        <w:t xml:space="preserve"> </w:t>
      </w:r>
      <w:r>
        <w:t xml:space="preserve">Classification and Labelling Inventory).</w:t>
      </w:r>
      <w:r>
        <w:t xml:space="preserve"> </w:t>
      </w:r>
      <w:r>
        <w:t xml:space="preserve">Figure 93: Example of dual labelling of ingredients.</w:t>
      </w:r>
    </w:p>
    <w:p>
      <w:pPr>
        <w:pStyle w:val="BodyText"/>
      </w:pPr>
      <w:r>
        <w:t xml:space="preserve">120 Part 3 of Annex VI to the CLP provides a table on the harmonised classification and labelling of hazardous</w:t>
      </w:r>
      <w:r>
        <w:t xml:space="preserve"> </w:t>
      </w:r>
      <w:r>
        <w:t xml:space="preserve">substances.</w:t>
      </w:r>
      <w:r>
        <w:t xml:space="preserve"> </w:t>
      </w:r>
      <w:r>
        <w:t xml:space="preserve">121 CAS Registry Number is a unique numerical identifier assigned by the Chemical Abstracts Service (CAS) to</w:t>
      </w:r>
      <w:r>
        <w:t xml:space="preserve"> </w:t>
      </w:r>
      <w:r>
        <w:t xml:space="preserve">every chemical substance described in the open scientific literature.</w:t>
      </w:r>
      <w:r>
        <w:t xml:space="preserve"> </w:t>
      </w:r>
      <w:r>
        <w:t xml:space="preserve">122 The IUPAC nomenclature of organic chemistry is a systematic method of naming organic chemical</w:t>
      </w:r>
      <w:r>
        <w:t xml:space="preserve"> </w:t>
      </w:r>
      <w:r>
        <w:t xml:space="preserve">compounds as recommended by the International Union of Pure and Applied Chemistry (IUPAC).</w:t>
      </w:r>
      <w:r>
        <w:t xml:space="preserve"> </w:t>
      </w:r>
      <w:r>
        <w:t xml:space="preserve">123 The EC number, i.e., EINECS, ELINCS or NLP, is the official number of the substance within the European</w:t>
      </w:r>
      <w:r>
        <w:t xml:space="preserve"> </w:t>
      </w:r>
      <w:r>
        <w:t xml:space="preserve">Union.</w:t>
      </w:r>
      <w:r>
        <w:t xml:space="preserve"> </w:t>
      </w:r>
      <w:r>
        <w:t xml:space="preserve">124 EUH 208 ‘Contains (name of sensitising substance). May produce an allergic reaction’.</w:t>
      </w:r>
    </w:p>
    <w:p>
      <w:pPr>
        <w:pStyle w:val="BodyText"/>
      </w:pPr>
      <w:r>
        <w:t xml:space="preserve">495</w:t>
      </w:r>
    </w:p>
    <w:p>
      <w:pPr>
        <w:pStyle w:val="BodyText"/>
      </w:pPr>
      <w:r>
        <w:t xml:space="preserve">It should be noted that three EU regulations guide the labelling of (sensitizing) preservatives:</w:t>
      </w:r>
      <w:r>
        <w:t xml:space="preserve"> </w:t>
      </w:r>
      <w:r>
        <w:t xml:space="preserve">the Detergents Regulation, BPR and CLP.</w:t>
      </w:r>
      <w:r>
        <w:br/>
      </w:r>
      <w:r>
        <w:t xml:space="preserve">The Detergents Regulation requires information on the presence of preservative/s regardless</w:t>
      </w:r>
      <w:r>
        <w:t xml:space="preserve"> </w:t>
      </w:r>
      <w:r>
        <w:t xml:space="preserve">of the concentration and BPR requires information on the preservative/s used in the ‘treated</w:t>
      </w:r>
      <w:r>
        <w:t xml:space="preserve"> </w:t>
      </w:r>
      <w:r>
        <w:t xml:space="preserve">article’. The BPR requirement for the label to provide (in case of treated articles) the name of</w:t>
      </w:r>
      <w:r>
        <w:t xml:space="preserve"> </w:t>
      </w:r>
      <w:r>
        <w:t xml:space="preserve">all active substances contained in the biocidal products is already covered by the Detergents</w:t>
      </w:r>
      <w:r>
        <w:t xml:space="preserve"> </w:t>
      </w:r>
      <w:r>
        <w:t xml:space="preserve">Regulation labelling requirements: name of the in-can preservative(s) is listed on the label</w:t>
      </w:r>
      <w:r>
        <w:t xml:space="preserve"> </w:t>
      </w:r>
      <w:r>
        <w:t xml:space="preserve">(INCI name).</w:t>
      </w:r>
      <w:r>
        <w:br/>
      </w:r>
      <w:r>
        <w:t xml:space="preserve">The CLP requires hazard statement for Induction H317 “May cause an allergic skin reaction”</w:t>
      </w:r>
      <w:r>
        <w:t xml:space="preserve"> </w:t>
      </w:r>
      <w:r>
        <w:t xml:space="preserve">and “(substance name)” or Elicitation EUH208 “Contains (substance name). May produce</w:t>
      </w:r>
      <w:r>
        <w:t xml:space="preserve"> </w:t>
      </w:r>
      <w:r>
        <w:t xml:space="preserve">an allergic reaction”. If a EUH statement needs to be included, then the same allergenic</w:t>
      </w:r>
      <w:r>
        <w:t xml:space="preserve"> </w:t>
      </w:r>
      <w:r>
        <w:t xml:space="preserve">fragrance is labelled thrice, i.e., twice under the CLP (product identifier + EUH statement)</w:t>
      </w:r>
      <w:r>
        <w:t xml:space="preserve"> </w:t>
      </w:r>
      <w:r>
        <w:t xml:space="preserve">and once under the Detergents Regulation.</w:t>
      </w:r>
      <w:r>
        <w:t xml:space="preserve"> </w:t>
      </w:r>
      <w:r>
        <w:t xml:space="preserve">The below figure is an example of a typical detergent label highlighting the duplication and</w:t>
      </w:r>
      <w:r>
        <w:t xml:space="preserve"> </w:t>
      </w:r>
      <w:r>
        <w:t xml:space="preserve">inconsistencies between CLP and Detergents Regulations125.</w:t>
      </w:r>
    </w:p>
    <w:p>
      <w:pPr>
        <w:pStyle w:val="BodyText"/>
      </w:pPr>
      <w:r>
        <w:t xml:space="preserve">125 The detergents regulation and opportunities to improve communication of safety information to consumers;</w:t>
      </w:r>
      <w:r>
        <w:t xml:space="preserve"> </w:t>
      </w:r>
      <w:r>
        <w:t xml:space="preserve">GIULIA SEBASTIO International Association for Soaps, Detergents and Maintenance Products (A.I.S.E.),</w:t>
      </w:r>
    </w:p>
    <w:p>
      <w:pPr>
        <w:pStyle w:val="BodyText"/>
      </w:pPr>
      <w:r>
        <w:t xml:space="preserve">496</w:t>
      </w:r>
    </w:p>
    <w:p>
      <w:pPr>
        <w:pStyle w:val="BodyText"/>
      </w:pPr>
      <w:r>
        <w:t xml:space="preserve">Figure 94: Typical Detergent Label and a Highlight of the Duplication and Inconsistency</w:t>
      </w:r>
    </w:p>
    <w:p>
      <w:pPr>
        <w:pStyle w:val="BodyText"/>
      </w:pPr>
      <w:r>
        <w:t xml:space="preserve">497</w:t>
      </w:r>
    </w:p>
    <w:p>
      <w:pPr>
        <w:pStyle w:val="BodyText"/>
      </w:pPr>
      <w:r>
        <w:t xml:space="preserve">Annex 13d – Overview of costs and benefits under</w:t>
      </w:r>
      <w:r>
        <w:t xml:space="preserve"> </w:t>
      </w:r>
      <w:r>
        <w:t xml:space="preserve">the preferred option</w:t>
      </w:r>
      <w:r>
        <w:t xml:space="preserve"> </w:t>
      </w:r>
      <w:r>
        <w:t xml:space="preserve">Overview of Benefits (total for all provisions) – Preferred Option</w:t>
      </w:r>
      <w:r>
        <w:t xml:space="preserve"> </w:t>
      </w:r>
      <w:r>
        <w:t xml:space="preserve">Description</w:t>
      </w:r>
      <w:r>
        <w:t xml:space="preserve"> </w:t>
      </w:r>
      <w:r>
        <w:t xml:space="preserve">Amount</w:t>
      </w:r>
      <w:r>
        <w:t xml:space="preserve"> </w:t>
      </w:r>
      <w:r>
        <w:t xml:space="preserve">Comments</w:t>
      </w:r>
      <w:r>
        <w:t xml:space="preserve"> </w:t>
      </w:r>
      <w:r>
        <w:t xml:space="preserve">Direct benefits</w:t>
      </w:r>
      <w:r>
        <w:t xml:space="preserve"> </w:t>
      </w:r>
      <w:r>
        <w:t xml:space="preserve">Improved consumer safety and label</w:t>
      </w:r>
      <w:r>
        <w:t xml:space="preserve"> </w:t>
      </w:r>
      <w:r>
        <w:t xml:space="preserve">readability</w:t>
      </w:r>
      <w:r>
        <w:t xml:space="preserve"> </w:t>
      </w:r>
      <w:r>
        <w:t xml:space="preserve">N/A</w:t>
      </w:r>
      <w:r>
        <w:t xml:space="preserve"> </w:t>
      </w:r>
      <w:r>
        <w:t xml:space="preserve">Possibility to move supplemental</w:t>
      </w:r>
      <w:r>
        <w:t xml:space="preserve"> </w:t>
      </w:r>
      <w:r>
        <w:t xml:space="preserve">labelling information126 under CLP,</w:t>
      </w:r>
      <w:r>
        <w:t xml:space="preserve"> </w:t>
      </w:r>
      <w:r>
        <w:t xml:space="preserve">and labelling requirements127 under</w:t>
      </w:r>
      <w:r>
        <w:t xml:space="preserve"> </w:t>
      </w:r>
      <w:r>
        <w:t xml:space="preserve">the Detergents Regulation to digital</w:t>
      </w:r>
      <w:r>
        <w:t xml:space="preserve"> </w:t>
      </w:r>
      <w:r>
        <w:t xml:space="preserve">labels, would simplify the labels</w:t>
      </w:r>
      <w:r>
        <w:t xml:space="preserve"> </w:t>
      </w:r>
      <w:r>
        <w:t xml:space="preserve">overall and would improve the well-</w:t>
      </w:r>
      <w:r>
        <w:t xml:space="preserve"> </w:t>
      </w:r>
      <w:r>
        <w:t xml:space="preserve">being of consumers with visual</w:t>
      </w:r>
      <w:r>
        <w:t xml:space="preserve"> </w:t>
      </w:r>
      <w:r>
        <w:t xml:space="preserve">impairments.</w:t>
      </w:r>
      <w:r>
        <w:br/>
      </w:r>
      <w:r>
        <w:t xml:space="preserve">Benefits for the manufacturers</w:t>
      </w:r>
      <w:r>
        <w:t xml:space="preserve"> </w:t>
      </w:r>
      <w:r>
        <w:t xml:space="preserve">N/A</w:t>
      </w:r>
      <w:r>
        <w:t xml:space="preserve"> </w:t>
      </w:r>
      <w:r>
        <w:t xml:space="preserve">Benefits for the manufacturers</w:t>
      </w:r>
      <w:r>
        <w:t xml:space="preserve"> </w:t>
      </w:r>
      <w:r>
        <w:t xml:space="preserve">include:</w:t>
      </w:r>
      <w:r>
        <w:t xml:space="preserve"> </w:t>
      </w:r>
      <w:r>
        <w:t xml:space="preserve">Better management of fast</w:t>
      </w:r>
      <w:r>
        <w:t xml:space="preserve"> </w:t>
      </w:r>
      <w:r>
        <w:t xml:space="preserve">changing label information,</w:t>
      </w:r>
      <w:r>
        <w:t xml:space="preserve"> </w:t>
      </w:r>
      <w:r>
        <w:t xml:space="preserve">and;</w:t>
      </w:r>
      <w:r>
        <w:t xml:space="preserve"> </w:t>
      </w:r>
      <w:r>
        <w:t xml:space="preserve">More space on physical</w:t>
      </w:r>
      <w:r>
        <w:t xml:space="preserve"> </w:t>
      </w:r>
      <w:r>
        <w:t xml:space="preserve">labels for multiple</w:t>
      </w:r>
      <w:r>
        <w:t xml:space="preserve"> </w:t>
      </w:r>
      <w:r>
        <w:t xml:space="preserve">languages which would</w:t>
      </w:r>
      <w:r>
        <w:t xml:space="preserve"> </w:t>
      </w:r>
      <w:r>
        <w:t xml:space="preserve">allow for more cost-</w:t>
      </w:r>
      <w:r>
        <w:t xml:space="preserve"> </w:t>
      </w:r>
      <w:r>
        <w:t xml:space="preserve">effective product</w:t>
      </w:r>
      <w:r>
        <w:t xml:space="preserve"> </w:t>
      </w:r>
      <w:r>
        <w:t xml:space="preserve">distribution across EU</w:t>
      </w:r>
      <w:r>
        <w:t xml:space="preserve"> </w:t>
      </w:r>
      <w:r>
        <w:t xml:space="preserve">markets.</w:t>
      </w:r>
      <w:r>
        <w:t xml:space="preserve"> </w:t>
      </w:r>
      <w:r>
        <w:t xml:space="preserve">Administrative cost savings related to the ‘one in, one out’ approach</w:t>
      </w:r>
      <w:r>
        <w:t xml:space="preserve"> </w:t>
      </w:r>
      <w:r>
        <w:t xml:space="preserve">Possibility to reduce the frequency of</w:t>
      </w:r>
      <w:r>
        <w:t xml:space="preserve"> </w:t>
      </w:r>
      <w:r>
        <w:t xml:space="preserve">changes in physical labels</w:t>
      </w:r>
      <w:r>
        <w:t xml:space="preserve"> </w:t>
      </w:r>
      <w:r>
        <w:t xml:space="preserve">N/A</w:t>
      </w:r>
      <w:r>
        <w:t xml:space="preserve"> </w:t>
      </w:r>
      <w:r>
        <w:t xml:space="preserve">Currently, annual costs related to the</w:t>
      </w:r>
      <w:r>
        <w:t xml:space="preserve"> </w:t>
      </w:r>
      <w:r>
        <w:t xml:space="preserve">disposal of labels reaches around 1 %</w:t>
      </w:r>
      <w:r>
        <w:t xml:space="preserve"> </w:t>
      </w:r>
      <w:r>
        <w:t xml:space="preserve">of manufacturers’ annual turnover</w:t>
      </w:r>
      <w:r>
        <w:t xml:space="preserve"> </w:t>
      </w:r>
      <w:r>
        <w:t xml:space="preserve">with the frequency of disposing the</w:t>
      </w:r>
      <w:r>
        <w:t xml:space="preserve"> </w:t>
      </w:r>
      <w:r>
        <w:t xml:space="preserve">labels around 3-4 times per year.</w:t>
      </w:r>
      <w:r>
        <w:t xml:space="preserve"> </w:t>
      </w:r>
      <w:r>
        <w:t xml:space="preserve">Under Policy Option 3, these costs</w:t>
      </w:r>
      <w:r>
        <w:t xml:space="preserve"> </w:t>
      </w:r>
      <w:r>
        <w:t xml:space="preserve">would likely to be reduced, however,</w:t>
      </w:r>
      <w:r>
        <w:t xml:space="preserve"> </w:t>
      </w:r>
      <w:r>
        <w:t xml:space="preserve">quantification of such theoretical</w:t>
      </w:r>
      <w:r>
        <w:t xml:space="preserve"> </w:t>
      </w:r>
      <w:r>
        <w:t xml:space="preserve">reduction is not possible.</w:t>
      </w:r>
    </w:p>
    <w:p>
      <w:pPr>
        <w:pStyle w:val="BodyText"/>
      </w:pPr>
      <w:r>
        <w:t xml:space="preserve">126 EUH statements as per sections 1.1. and 1.2. of Annex II (Art. 25(1)); Other supplemental labelling</w:t>
      </w:r>
      <w:r>
        <w:t xml:space="preserve"> </w:t>
      </w:r>
      <w:r>
        <w:t xml:space="preserve">information than that in paragraphs (1) and (2) of Art. 25 (Art. 25(3)); EUH statements as per Part 2 of Annex II</w:t>
      </w:r>
      <w:r>
        <w:t xml:space="preserve"> </w:t>
      </w:r>
      <w:r>
        <w:t xml:space="preserve">for certain mixtures (Special rules for supplemental label elements for certain mixtures, Art. 25(6)).</w:t>
      </w:r>
      <w:r>
        <w:t xml:space="preserve"> </w:t>
      </w:r>
      <w:r>
        <w:t xml:space="preserve">127 Detailed dosage instructions, with only simplified dosage instructions kept on pack; Some categories of</w:t>
      </w:r>
      <w:r>
        <w:t xml:space="preserve"> </w:t>
      </w:r>
      <w:r>
        <w:t xml:space="preserve">ingredients (e.g. surfactants) while other categories are kept on pack (e.g. enzymes, bleach); Other labelling</w:t>
      </w:r>
      <w:r>
        <w:t xml:space="preserve"> </w:t>
      </w:r>
      <w:r>
        <w:t xml:space="preserve">information such as the address and telephone number of the manufacturer.</w:t>
      </w:r>
    </w:p>
    <w:p>
      <w:pPr>
        <w:pStyle w:val="BodyText"/>
      </w:pPr>
      <w:r>
        <w:t xml:space="preserve">498</w:t>
      </w:r>
    </w:p>
    <w:p>
      <w:pPr>
        <w:pStyle w:val="BodyText"/>
      </w:pPr>
      <w:r>
        <w:t xml:space="preserve">Citizens/Consumers</w:t>
      </w:r>
      <w:r>
        <w:t xml:space="preserve"> </w:t>
      </w:r>
      <w:r>
        <w:t xml:space="preserve">Businesses</w:t>
      </w:r>
      <w:r>
        <w:t xml:space="preserve"> </w:t>
      </w:r>
      <w:r>
        <w:t xml:space="preserve">Administrations</w:t>
      </w:r>
      <w:r>
        <w:br/>
      </w:r>
      <w:r>
        <w:t xml:space="preserve">Type of cost</w:t>
      </w:r>
      <w:r>
        <w:t xml:space="preserve"> </w:t>
      </w:r>
      <w:r>
        <w:t xml:space="preserve">One-off</w:t>
      </w:r>
      <w:r>
        <w:br/>
      </w:r>
      <w:r>
        <w:t xml:space="preserve">Recurrent</w:t>
      </w:r>
      <w:r>
        <w:br/>
      </w:r>
      <w:r>
        <w:t xml:space="preserve">One-off</w:t>
      </w:r>
      <w:r>
        <w:br/>
      </w:r>
      <w:r>
        <w:t xml:space="preserve">Recurrent</w:t>
      </w:r>
      <w:r>
        <w:br/>
      </w:r>
      <w:r>
        <w:t xml:space="preserve">One-off</w:t>
      </w:r>
      <w:r>
        <w:br/>
      </w:r>
      <w:r>
        <w:t xml:space="preserve">Recurrent</w:t>
      </w:r>
      <w:r>
        <w:br/>
      </w:r>
      <w:r>
        <w:t xml:space="preserve">Familiarisation</w:t>
      </w:r>
      <w:r>
        <w:t xml:space="preserve"> </w:t>
      </w:r>
      <w:r>
        <w:t xml:space="preserve">activities</w:t>
      </w:r>
      <w:r>
        <w:t xml:space="preserve"> </w:t>
      </w:r>
      <w:r>
        <w:t xml:space="preserve">N/A</w:t>
      </w:r>
      <w:r>
        <w:br/>
      </w:r>
      <w:r>
        <w:t xml:space="preserve">N/A</w:t>
      </w:r>
      <w:r>
        <w:br/>
      </w:r>
      <w:r>
        <w:t xml:space="preserve">N/A</w:t>
      </w:r>
      <w:r>
        <w:br/>
      </w:r>
      <w:r>
        <w:t xml:space="preserve">Three to four FTEs</w:t>
      </w:r>
      <w:r>
        <w:t xml:space="preserve"> </w:t>
      </w:r>
      <w:r>
        <w:t xml:space="preserve">who would need 10 to</w:t>
      </w:r>
      <w:r>
        <w:t xml:space="preserve"> </w:t>
      </w:r>
      <w:r>
        <w:t xml:space="preserve">20 working days to</w:t>
      </w:r>
      <w:r>
        <w:t xml:space="preserve"> </w:t>
      </w:r>
      <w:r>
        <w:t xml:space="preserve">conduct</w:t>
      </w:r>
      <w:r>
        <w:t xml:space="preserve"> </w:t>
      </w:r>
      <w:r>
        <w:t xml:space="preserve">familiarisation</w:t>
      </w:r>
      <w:r>
        <w:t xml:space="preserve"> </w:t>
      </w:r>
      <w:r>
        <w:t xml:space="preserve">activities</w:t>
      </w:r>
      <w:r>
        <w:t xml:space="preserve"> </w:t>
      </w:r>
      <w:r>
        <w:t xml:space="preserve">(e.g. </w:t>
      </w:r>
      <w:r>
        <w:t xml:space="preserve"> </w:t>
      </w:r>
      <w:r>
        <w:t xml:space="preserve">training, consulting) at</w:t>
      </w:r>
      <w:r>
        <w:t xml:space="preserve"> </w:t>
      </w:r>
      <w:r>
        <w:t xml:space="preserve">the company level.</w:t>
      </w:r>
      <w:r>
        <w:t xml:space="preserve"> </w:t>
      </w:r>
      <w:r>
        <w:t xml:space="preserve">N/A</w:t>
      </w:r>
      <w:r>
        <w:br/>
      </w:r>
      <w:r>
        <w:t xml:space="preserve">N/A</w:t>
      </w:r>
      <w:r>
        <w:br/>
      </w:r>
      <w:r>
        <w:t xml:space="preserve">Disposal of labels</w:t>
      </w:r>
      <w:r>
        <w:t xml:space="preserve"> </w:t>
      </w:r>
      <w:r>
        <w:t xml:space="preserve">N/A</w:t>
      </w:r>
      <w:r>
        <w:br/>
      </w:r>
      <w:r>
        <w:t xml:space="preserve">N/A</w:t>
      </w:r>
      <w:r>
        <w:br/>
      </w:r>
      <w:r>
        <w:t xml:space="preserve">One-time</w:t>
      </w:r>
      <w:r>
        <w:t xml:space="preserve"> </w:t>
      </w:r>
      <w:r>
        <w:t xml:space="preserve">cost</w:t>
      </w:r>
      <w:r>
        <w:t xml:space="preserve"> </w:t>
      </w:r>
      <w:r>
        <w:t xml:space="preserve">of</w:t>
      </w:r>
      <w:r>
        <w:t xml:space="preserve"> </w:t>
      </w:r>
      <w:r>
        <w:t xml:space="preserve">disposing the labels to</w:t>
      </w:r>
      <w:r>
        <w:t xml:space="preserve"> </w:t>
      </w:r>
      <w:r>
        <w:t xml:space="preserve">comply with the new</w:t>
      </w:r>
      <w:r>
        <w:t xml:space="preserve"> </w:t>
      </w:r>
      <w:r>
        <w:t xml:space="preserve">regulatory</w:t>
      </w:r>
      <w:r>
        <w:t xml:space="preserve"> </w:t>
      </w:r>
      <w:r>
        <w:t xml:space="preserve">requirements</w:t>
      </w:r>
      <w:r>
        <w:t xml:space="preserve"> </w:t>
      </w:r>
      <w:r>
        <w:t xml:space="preserve">under</w:t>
      </w:r>
      <w:r>
        <w:t xml:space="preserve"> </w:t>
      </w:r>
      <w:r>
        <w:t xml:space="preserve">Policy Option 3 is</w:t>
      </w:r>
      <w:r>
        <w:t xml:space="preserve"> </w:t>
      </w:r>
      <w:r>
        <w:t xml:space="preserve">estimated</w:t>
      </w:r>
      <w:r>
        <w:t xml:space="preserve"> </w:t>
      </w:r>
      <w:r>
        <w:t xml:space="preserve">to</w:t>
      </w:r>
      <w:r>
        <w:t xml:space="preserve"> </w:t>
      </w:r>
      <w:r>
        <w:t xml:space="preserve">reach</w:t>
      </w:r>
      <w:r>
        <w:t xml:space="preserve"> </w:t>
      </w:r>
      <w:r>
        <w:t xml:space="preserve">0.25% to 0.33% of</w:t>
      </w:r>
      <w:r>
        <w:t xml:space="preserve"> </w:t>
      </w:r>
      <w:r>
        <w:t xml:space="preserve">companies’</w:t>
      </w:r>
      <w:r>
        <w:t xml:space="preserve"> </w:t>
      </w:r>
      <w:r>
        <w:t xml:space="preserve">annual</w:t>
      </w:r>
      <w:r>
        <w:t xml:space="preserve"> </w:t>
      </w:r>
      <w:r>
        <w:t xml:space="preserve">turnover.</w:t>
      </w:r>
      <w:r>
        <w:t xml:space="preserve"> </w:t>
      </w:r>
      <w:r>
        <w:t xml:space="preserve">Currently, annual costs</w:t>
      </w:r>
      <w:r>
        <w:t xml:space="preserve"> </w:t>
      </w:r>
      <w:r>
        <w:t xml:space="preserve">related to the disposal</w:t>
      </w:r>
      <w:r>
        <w:t xml:space="preserve"> </w:t>
      </w:r>
      <w:r>
        <w:t xml:space="preserve">of</w:t>
      </w:r>
      <w:r>
        <w:t xml:space="preserve"> </w:t>
      </w:r>
      <w:r>
        <w:t xml:space="preserve">labels</w:t>
      </w:r>
      <w:r>
        <w:t xml:space="preserve"> </w:t>
      </w:r>
      <w:r>
        <w:t xml:space="preserve">reaches</w:t>
      </w:r>
      <w:r>
        <w:t xml:space="preserve"> </w:t>
      </w:r>
      <w:r>
        <w:t xml:space="preserve">around</w:t>
      </w:r>
      <w:r>
        <w:t xml:space="preserve"> </w:t>
      </w:r>
      <w:r>
        <w:t xml:space="preserve">1</w:t>
      </w:r>
      <w:r>
        <w:t xml:space="preserve"> </w:t>
      </w:r>
      <w:r>
        <w:t xml:space="preserve">%</w:t>
      </w:r>
      <w:r>
        <w:t xml:space="preserve"> </w:t>
      </w:r>
      <w:r>
        <w:t xml:space="preserve">of</w:t>
      </w:r>
      <w:r>
        <w:t xml:space="preserve"> </w:t>
      </w:r>
      <w:r>
        <w:t xml:space="preserve">manufacturers’ annual</w:t>
      </w:r>
      <w:r>
        <w:t xml:space="preserve"> </w:t>
      </w:r>
      <w:r>
        <w:t xml:space="preserve">turnover</w:t>
      </w:r>
      <w:r>
        <w:t xml:space="preserve"> </w:t>
      </w:r>
      <w:r>
        <w:t xml:space="preserve">with</w:t>
      </w:r>
      <w:r>
        <w:t xml:space="preserve"> </w:t>
      </w:r>
      <w:r>
        <w:t xml:space="preserve">the</w:t>
      </w:r>
      <w:r>
        <w:t xml:space="preserve"> </w:t>
      </w:r>
      <w:r>
        <w:t xml:space="preserve">frequency of disposing</w:t>
      </w:r>
      <w:r>
        <w:t xml:space="preserve"> </w:t>
      </w:r>
      <w:r>
        <w:t xml:space="preserve">the labels around 3-4</w:t>
      </w:r>
      <w:r>
        <w:t xml:space="preserve"> </w:t>
      </w:r>
      <w:r>
        <w:t xml:space="preserve">times per year. Under</w:t>
      </w:r>
      <w:r>
        <w:t xml:space="preserve"> </w:t>
      </w:r>
      <w:r>
        <w:t xml:space="preserve">Policy Option 3, these</w:t>
      </w:r>
      <w:r>
        <w:t xml:space="preserve"> </w:t>
      </w:r>
      <w:r>
        <w:t xml:space="preserve">costs would likely to</w:t>
      </w:r>
      <w:r>
        <w:t xml:space="preserve"> </w:t>
      </w:r>
      <w:r>
        <w:t xml:space="preserve">be reduced, however,</w:t>
      </w:r>
      <w:r>
        <w:t xml:space="preserve"> </w:t>
      </w:r>
      <w:r>
        <w:t xml:space="preserve">quantification of such</w:t>
      </w:r>
      <w:r>
        <w:t xml:space="preserve"> </w:t>
      </w:r>
      <w:r>
        <w:t xml:space="preserve">theoretical reduction is</w:t>
      </w:r>
      <w:r>
        <w:t xml:space="preserve"> </w:t>
      </w:r>
      <w:r>
        <w:t xml:space="preserve">not possible.</w:t>
      </w:r>
      <w:r>
        <w:t xml:space="preserve"> </w:t>
      </w:r>
      <w:r>
        <w:t xml:space="preserve">N/A</w:t>
      </w:r>
      <w:r>
        <w:br/>
      </w:r>
      <w:r>
        <w:t xml:space="preserve">N/A</w:t>
      </w:r>
      <w:r>
        <w:br/>
      </w:r>
      <w:r>
        <w:t xml:space="preserve">Enforcement</w:t>
      </w:r>
      <w:r>
        <w:t xml:space="preserve"> </w:t>
      </w:r>
      <w:r>
        <w:t xml:space="preserve">costs</w:t>
      </w:r>
      <w:r>
        <w:t xml:space="preserve"> </w:t>
      </w:r>
      <w:r>
        <w:t xml:space="preserve">N/A</w:t>
      </w:r>
      <w:r>
        <w:br/>
      </w:r>
      <w:r>
        <w:t xml:space="preserve">N/A</w:t>
      </w:r>
      <w:r>
        <w:br/>
      </w:r>
      <w:r>
        <w:t xml:space="preserve">N/A</w:t>
      </w:r>
      <w:r>
        <w:br/>
      </w:r>
      <w:r>
        <w:t xml:space="preserve">N/A</w:t>
      </w:r>
      <w:r>
        <w:br/>
      </w:r>
      <w:r>
        <w:t xml:space="preserve">N/A</w:t>
      </w:r>
      <w:r>
        <w:t xml:space="preserve"> </w:t>
      </w:r>
      <w:r>
        <w:t xml:space="preserve">The information which</w:t>
      </w:r>
      <w:r>
        <w:t xml:space="preserve"> </w:t>
      </w:r>
      <w:r>
        <w:t xml:space="preserve">will</w:t>
      </w:r>
      <w:r>
        <w:t xml:space="preserve"> </w:t>
      </w:r>
      <w:r>
        <w:t xml:space="preserve">be</w:t>
      </w:r>
      <w:r>
        <w:t xml:space="preserve"> </w:t>
      </w:r>
      <w:r>
        <w:t xml:space="preserve">provided</w:t>
      </w:r>
      <w:r>
        <w:t xml:space="preserve"> </w:t>
      </w:r>
      <w:r>
        <w:t xml:space="preserve">digitally will not be a</w:t>
      </w:r>
      <w:r>
        <w:t xml:space="preserve"> </w:t>
      </w:r>
      <w:r>
        <w:t xml:space="preserve">point of compliance</w:t>
      </w:r>
      <w:r>
        <w:t xml:space="preserve"> </w:t>
      </w:r>
      <w:r>
        <w:t xml:space="preserve">check</w:t>
      </w:r>
      <w:r>
        <w:t xml:space="preserve"> </w:t>
      </w:r>
      <w:r>
        <w:t xml:space="preserve">by</w:t>
      </w:r>
      <w:r>
        <w:t xml:space="preserve"> </w:t>
      </w:r>
      <w:r>
        <w:t xml:space="preserve">the</w:t>
      </w:r>
      <w:r>
        <w:t xml:space="preserve"> </w:t>
      </w:r>
      <w:r>
        <w:t xml:space="preserve">authorities.</w:t>
      </w:r>
      <w:r>
        <w:t xml:space="preserve"> </w:t>
      </w:r>
      <w:r>
        <w:t xml:space="preserve">Under</w:t>
      </w:r>
      <w:r>
        <w:t xml:space="preserve"> </w:t>
      </w:r>
      <w:r>
        <w:t xml:space="preserve">Policy Option 3, the</w:t>
      </w:r>
      <w:r>
        <w:t xml:space="preserve"> </w:t>
      </w:r>
      <w:r>
        <w:t xml:space="preserve">provision of a digital</w:t>
      </w:r>
      <w:r>
        <w:t xml:space="preserve"> </w:t>
      </w:r>
      <w:r>
        <w:t xml:space="preserve">label will be in</w:t>
      </w:r>
      <w:r>
        <w:t xml:space="preserve"> </w:t>
      </w:r>
      <w:r>
        <w:t xml:space="preserve">voluntary basis.</w:t>
      </w:r>
    </w:p>
    <w:p>
      <w:pPr>
        <w:pStyle w:val="BodyText"/>
      </w:pPr>
      <w:r>
        <w:t xml:space="preserve">499</w:t>
      </w:r>
    </w:p>
    <w:p>
      <w:pPr>
        <w:pStyle w:val="BodyText"/>
      </w:pPr>
      <w:r>
        <w:t xml:space="preserve">Annex 13e – Description of the analytical methods</w:t>
      </w:r>
      <w:r>
        <w:t xml:space="preserve"> </w:t>
      </w:r>
      <w:r>
        <w:t xml:space="preserve">used in preparing the impact assessment (digital</w:t>
      </w:r>
      <w:r>
        <w:t xml:space="preserve"> </w:t>
      </w:r>
      <w:r>
        <w:t xml:space="preserve">labelling)</w:t>
      </w:r>
      <w:r>
        <w:t xml:space="preserve"> </w:t>
      </w:r>
      <w:r>
        <w:t xml:space="preserve">This Annex provides a description of an approach to the prospective analysis whose results</w:t>
      </w:r>
      <w:r>
        <w:t xml:space="preserve"> </w:t>
      </w:r>
      <w:r>
        <w:t xml:space="preserve">are described in the main body of this report. The aim of the prospective analysis was to (1)</w:t>
      </w:r>
      <w:r>
        <w:t xml:space="preserve"> </w:t>
      </w:r>
      <w:r>
        <w:t xml:space="preserve">assess the problems identified and its drivers, provide the reasons for the EU action, set</w:t>
      </w:r>
      <w:r>
        <w:t xml:space="preserve"> </w:t>
      </w:r>
      <w:r>
        <w:t xml:space="preserve">general and specific objectives of the new initiative, develop policy options tackling these</w:t>
      </w:r>
      <w:r>
        <w:t xml:space="preserve"> </w:t>
      </w:r>
      <w:r>
        <w:t xml:space="preserve">objectives, assess the developed policy options in terms of their economic, social, and</w:t>
      </w:r>
      <w:r>
        <w:t xml:space="preserve"> </w:t>
      </w:r>
      <w:r>
        <w:t xml:space="preserve">environmental impacts and, finally, compare the policy options under effectiveness,</w:t>
      </w:r>
      <w:r>
        <w:t xml:space="preserve"> </w:t>
      </w:r>
      <w:r>
        <w:t xml:space="preserve">efficiency, and coherence criteria.</w:t>
      </w:r>
    </w:p>
    <w:p>
      <w:pPr>
        <w:pStyle w:val="BodyText"/>
      </w:pPr>
      <w:r>
        <w:t xml:space="preserve">OVERVIEW OF THE METHODS</w:t>
      </w:r>
      <w:r>
        <w:t xml:space="preserve"> </w:t>
      </w:r>
      <w:r>
        <w:t xml:space="preserve">The prospective analysis was carried out between December 2021 and March 2022. The work</w:t>
      </w:r>
      <w:r>
        <w:t xml:space="preserve"> </w:t>
      </w:r>
      <w:r>
        <w:t xml:space="preserve">was structured around seven main tasks, each of them containing various activities. This part</w:t>
      </w:r>
      <w:r>
        <w:t xml:space="preserve"> </w:t>
      </w:r>
      <w:r>
        <w:t xml:space="preserve">summarises the work under the key evidence-gathering and analysis activities.</w:t>
      </w:r>
      <w:r>
        <w:t xml:space="preserve"> </w:t>
      </w:r>
      <w:r>
        <w:t xml:space="preserve">Problem Tree Definition</w:t>
      </w:r>
      <w:r>
        <w:t xml:space="preserve"> </w:t>
      </w:r>
      <w:r>
        <w:t xml:space="preserve">The definition of the problem and its problem tree were identified and refined based on</w:t>
      </w:r>
      <w:r>
        <w:t xml:space="preserve"> </w:t>
      </w:r>
      <w:r>
        <w:t xml:space="preserve">information collected at the Inception Phase of the study and discussions with the</w:t>
      </w:r>
      <w:r>
        <w:t xml:space="preserve"> </w:t>
      </w:r>
      <w:r>
        <w:t xml:space="preserve">Commission. The final version of the problem tree containing the key drivers behind the</w:t>
      </w:r>
      <w:r>
        <w:t xml:space="preserve"> </w:t>
      </w:r>
      <w:r>
        <w:t xml:space="preserve">problems identified and the consequences of these problems to the environment, consumers,</w:t>
      </w:r>
      <w:r>
        <w:t xml:space="preserve"> </w:t>
      </w:r>
      <w:r>
        <w:t xml:space="preserve">and the industry is presented in Chapter 2.</w:t>
      </w:r>
      <w:r>
        <w:t xml:space="preserve"> </w:t>
      </w:r>
      <w:r>
        <w:t xml:space="preserve">Subsidiarity analysis</w:t>
      </w:r>
      <w:r>
        <w:t xml:space="preserve"> </w:t>
      </w:r>
      <w:r>
        <w:t xml:space="preserve">Each of the key problems identified as part of the problem tree definition were carefully</w:t>
      </w:r>
      <w:r>
        <w:t xml:space="preserve"> </w:t>
      </w:r>
      <w:r>
        <w:t xml:space="preserve">assessed with respect to subsidiarity, more specifically, the necessity and added value of EU</w:t>
      </w:r>
      <w:r>
        <w:t xml:space="preserve"> </w:t>
      </w:r>
      <w:r>
        <w:t xml:space="preserve">action.</w:t>
      </w:r>
      <w:r>
        <w:br/>
      </w:r>
      <w:r>
        <w:t xml:space="preserve">Policy Objectives Identification</w:t>
      </w:r>
      <w:r>
        <w:t xml:space="preserve"> </w:t>
      </w:r>
      <w:r>
        <w:t xml:space="preserve">Following the definition of the problems, and the necessity and added value of EU action, the</w:t>
      </w:r>
      <w:r>
        <w:t xml:space="preserve"> </w:t>
      </w:r>
      <w:r>
        <w:t xml:space="preserve">objectives of the policy action were defined, including the general objectives covered in this</w:t>
      </w:r>
      <w:r>
        <w:t xml:space="preserve"> </w:t>
      </w:r>
      <w:r>
        <w:t xml:space="preserve">study, namely:</w:t>
      </w:r>
      <w:r>
        <w:t xml:space="preserve"> </w:t>
      </w:r>
      <w:r>
        <w:t xml:space="preserve">CLP Regulation: to ensure a high level of protection of human health and the environment as</w:t>
      </w:r>
      <w:r>
        <w:t xml:space="preserve"> </w:t>
      </w:r>
      <w:r>
        <w:t xml:space="preserve">well as the free movement of chemical substances, mixtures and certain specific articles,</w:t>
      </w:r>
      <w:r>
        <w:t xml:space="preserve"> </w:t>
      </w:r>
      <w:r>
        <w:t xml:space="preserve">while enhancing competitiveness and innovation;128</w:t>
      </w:r>
      <w:r>
        <w:br/>
      </w:r>
      <w:r>
        <w:t xml:space="preserve">Detergent Regulation: to achieve the free movement of detergents and surfactants for</w:t>
      </w:r>
      <w:r>
        <w:t xml:space="preserve"> </w:t>
      </w:r>
      <w:r>
        <w:t xml:space="preserve">detergents in the internal market while, at the same time, ensuring a high degree of protection</w:t>
      </w:r>
      <w:r>
        <w:t xml:space="preserve"> </w:t>
      </w:r>
      <w:r>
        <w:t xml:space="preserve">of the environment and human health.</w:t>
      </w:r>
      <w:r>
        <w:t xml:space="preserve"> </w:t>
      </w:r>
      <w:r>
        <w:t xml:space="preserve">And the specific objectives of this study, namely:</w:t>
      </w:r>
    </w:p>
    <w:p>
      <w:pPr>
        <w:pStyle w:val="BodyText"/>
      </w:pPr>
      <w:r>
        <w:t xml:space="preserve">128 Recital 1 CLP Regulation.</w:t>
      </w:r>
    </w:p>
    <w:p>
      <w:pPr>
        <w:pStyle w:val="BodyText"/>
      </w:pPr>
      <w:r>
        <w:t xml:space="preserve">500</w:t>
      </w:r>
    </w:p>
    <w:p>
      <w:pPr>
        <w:pStyle w:val="BodyText"/>
      </w:pPr>
      <w:r>
        <w:t xml:space="preserve"> SO1: to improve consumer understanding and awareness of labels, by simplifying and</w:t>
      </w:r>
      <w:r>
        <w:t xml:space="preserve"> </w:t>
      </w:r>
      <w:r>
        <w:t xml:space="preserve">streamlining the existing labelling requirements in the Detergents regulation;</w:t>
      </w:r>
      <w:r>
        <w:t xml:space="preserve"> </w:t>
      </w:r>
      <w:r>
        <w:t xml:space="preserve"> SO2: to set up a future-proof regulatory framework allowing the use of digital tools to</w:t>
      </w:r>
      <w:r>
        <w:t xml:space="preserve"> </w:t>
      </w:r>
      <w:r>
        <w:t xml:space="preserve">communicate product information.</w:t>
      </w:r>
      <w:r>
        <w:t xml:space="preserve"> </w:t>
      </w:r>
      <w:r>
        <w:t xml:space="preserve">Definition of the policy options</w:t>
      </w:r>
      <w:r>
        <w:t xml:space="preserve"> </w:t>
      </w:r>
      <w:r>
        <w:t xml:space="preserve">The definition of the policy options started with defining the baseline policy option based on</w:t>
      </w:r>
      <w:r>
        <w:t xml:space="preserve"> </w:t>
      </w:r>
      <w:r>
        <w:t xml:space="preserve">a projection of the status quo. The definition of the baseline scenario involved understanding,</w:t>
      </w:r>
      <w:r>
        <w:t xml:space="preserve"> </w:t>
      </w:r>
      <w:r>
        <w:t xml:space="preserve">qualifying, quantifying, and monetising (to the extent possible) the key elements of the</w:t>
      </w:r>
      <w:r>
        <w:t xml:space="preserve"> </w:t>
      </w:r>
      <w:r>
        <w:t xml:space="preserve">current situation concerning the critical developments in the EU population, technological</w:t>
      </w:r>
      <w:r>
        <w:t xml:space="preserve"> </w:t>
      </w:r>
      <w:r>
        <w:t xml:space="preserve">uptake of consumers and enterprises and the size of the chemical industry in the EU.</w:t>
      </w:r>
      <w:r>
        <w:t xml:space="preserve"> </w:t>
      </w:r>
      <w:r>
        <w:t xml:space="preserve">Subsequently, the data collected combined with the results of the problem definition and the</w:t>
      </w:r>
      <w:r>
        <w:t xml:space="preserve"> </w:t>
      </w:r>
      <w:r>
        <w:t xml:space="preserve">opinions provided by stakeholders under targeted stakeholder consultation contributed to</w:t>
      </w:r>
      <w:r>
        <w:t xml:space="preserve"> </w:t>
      </w:r>
      <w:r>
        <w:t xml:space="preserve">refining the five policy options developed to tackle these objectives.</w:t>
      </w:r>
      <w:r>
        <w:t xml:space="preserve"> </w:t>
      </w:r>
      <w:r>
        <w:t xml:space="preserve">Assessment of the policy options</w:t>
      </w:r>
      <w:r>
        <w:t xml:space="preserve"> </w:t>
      </w:r>
      <w:r>
        <w:t xml:space="preserve">In alignment with the Better Regulation Toolbox, the first step in the assessment of impacts</w:t>
      </w:r>
      <w:r>
        <w:t xml:space="preserve"> </w:t>
      </w:r>
      <w:r>
        <w:t xml:space="preserve">was the identification of all relevant impacts under the different policy options. The</w:t>
      </w:r>
      <w:r>
        <w:t xml:space="preserve"> </w:t>
      </w:r>
      <w:r>
        <w:t xml:space="preserve">identification of the impacts was based on data and information collected during the previous</w:t>
      </w:r>
      <w:r>
        <w:t xml:space="preserve"> </w:t>
      </w:r>
      <w:r>
        <w:t xml:space="preserve">tasks (i.e. interviews, behavioural experiment, surveys, and analysis of OPC responses). The</w:t>
      </w:r>
      <w:r>
        <w:t xml:space="preserve"> </w:t>
      </w:r>
      <w:r>
        <w:t xml:space="preserve">research collected qualitative information and quantitative data on social, economic and</w:t>
      </w:r>
      <w:r>
        <w:t xml:space="preserve"> </w:t>
      </w:r>
      <w:r>
        <w:t xml:space="preserve">environmental impacts related to the identified policy options.</w:t>
      </w:r>
      <w:r>
        <w:t xml:space="preserve"> </w:t>
      </w:r>
      <w:r>
        <w:t xml:space="preserve">Socio-economic and environmental impacts identified were categorized according to the</w:t>
      </w:r>
      <w:r>
        <w:t xml:space="preserve"> </w:t>
      </w:r>
      <w:r>
        <w:t xml:space="preserve">following criteria:</w:t>
      </w:r>
      <w:r>
        <w:t xml:space="preserve"> </w:t>
      </w:r>
      <w:r>
        <w:t xml:space="preserve"> Economic impacts, in particular focusing on the conduct of business (BR Tools #21-</w:t>
      </w:r>
      <w:r>
        <w:t xml:space="preserve"> </w:t>
      </w:r>
      <w:r>
        <w:t xml:space="preserve">25), sectoral competitiveness, trade and investment flows (BR Tools #21, 27), impact</w:t>
      </w:r>
      <w:r>
        <w:t xml:space="preserve"> </w:t>
      </w:r>
      <w:r>
        <w:t xml:space="preserve">on the SMEs (BR Tool #21), technological development / digital economy (BR Tool</w:t>
      </w:r>
      <w:r>
        <w:t xml:space="preserve"> </w:t>
      </w:r>
      <w:r>
        <w:t xml:space="preserve">#28), and impact to public authorities (BR Tool #58);</w:t>
      </w:r>
      <w:r>
        <w:t xml:space="preserve"> </w:t>
      </w:r>
      <w:r>
        <w:t xml:space="preserve"> Social impacts, focusing on consumers and households (BR Tool #33);</w:t>
      </w:r>
      <w:r>
        <w:t xml:space="preserve"> </w:t>
      </w:r>
      <w:r>
        <w:t xml:space="preserve"> Environmental impacts, in particular focusing on sustainable consumption and</w:t>
      </w:r>
      <w:r>
        <w:t xml:space="preserve"> </w:t>
      </w:r>
      <w:r>
        <w:t xml:space="preserve">production (BR Tool #36).</w:t>
      </w:r>
      <w:r>
        <w:t xml:space="preserve"> </w:t>
      </w:r>
      <w:r>
        <w:t xml:space="preserve">The impacts that were taken into account for this analysis were considered to be the most</w:t>
      </w:r>
      <w:r>
        <w:t xml:space="preserve"> </w:t>
      </w:r>
      <w:r>
        <w:t xml:space="preserve">relevant and the ones for which consulted stakeholders were able to provide insights. A</w:t>
      </w:r>
      <w:r>
        <w:t xml:space="preserve"> </w:t>
      </w:r>
      <w:r>
        <w:t xml:space="preserve">dedicated survey targeting public authorities, consumer organisations and industry</w:t>
      </w:r>
      <w:r>
        <w:t xml:space="preserve"> </w:t>
      </w:r>
      <w:r>
        <w:t xml:space="preserve">representatives (associations and businesses) presented the individual policy options and</w:t>
      </w:r>
      <w:r>
        <w:t xml:space="preserve"> </w:t>
      </w:r>
      <w:r>
        <w:t xml:space="preserve">asked participants to provide direct feedback. The opinions of stakeholders were triangulated</w:t>
      </w:r>
      <w:r>
        <w:t xml:space="preserve"> </w:t>
      </w:r>
      <w:r>
        <w:t xml:space="preserve">with other data sources used in the study. The impacts were modelled in quantitative terms</w:t>
      </w:r>
      <w:r>
        <w:t xml:space="preserve"> </w:t>
      </w:r>
      <w:r>
        <w:t xml:space="preserve">(and monetary terms, whenever possible), and in qualitative terms. The modelling of the</w:t>
      </w:r>
      <w:r>
        <w:t xml:space="preserve"> </w:t>
      </w:r>
      <w:r>
        <w:t xml:space="preserve">impacts involved assessing each option against the baseline scenario, based on the expected</w:t>
      </w:r>
      <w:r>
        <w:t xml:space="preserve"> </w:t>
      </w:r>
      <w:r>
        <w:t xml:space="preserve">evolution of key external trends in the absence of any new policy measures.</w:t>
      </w:r>
    </w:p>
    <w:p>
      <w:pPr>
        <w:pStyle w:val="BodyText"/>
      </w:pPr>
      <w:r>
        <w:t xml:space="preserve">501</w:t>
      </w:r>
    </w:p>
    <w:p>
      <w:pPr>
        <w:pStyle w:val="BodyText"/>
      </w:pPr>
      <w:r>
        <w:t xml:space="preserve">Comparison of the policy options</w:t>
      </w:r>
      <w:r>
        <w:t xml:space="preserve"> </w:t>
      </w:r>
      <w:r>
        <w:t xml:space="preserve">As a final step of the impact assessment, after assessing the identified socio-economic and</w:t>
      </w:r>
      <w:r>
        <w:t xml:space="preserve"> </w:t>
      </w:r>
      <w:r>
        <w:t xml:space="preserve">environmental impacts of each policy option, policy options were compared under</w:t>
      </w:r>
      <w:r>
        <w:t xml:space="preserve"> </w:t>
      </w:r>
      <w:r>
        <w:t xml:space="preserve">effectiveness, efficiency, and coherence criteria.</w:t>
      </w:r>
      <w:r>
        <w:t xml:space="preserve"> </w:t>
      </w:r>
      <w:r>
        <w:t xml:space="preserve">Concerning the effectiveness criteria, policy options were assessed vis-à-vis the two specific</w:t>
      </w:r>
      <w:r>
        <w:t xml:space="preserve"> </w:t>
      </w:r>
      <w:r>
        <w:t xml:space="preserve">objectives of this study, and economic, social, and environmental impacts identified</w:t>
      </w:r>
      <w:r>
        <w:t xml:space="preserve"> </w:t>
      </w:r>
      <w:r>
        <w:t xml:space="preserve">previously. In the analysis, a comparison of the policy options vis-à-vis each specific</w:t>
      </w:r>
      <w:r>
        <w:t xml:space="preserve"> </w:t>
      </w:r>
      <w:r>
        <w:t xml:space="preserve">objective and socio-economic and environmental impact was illustrated in the following</w:t>
      </w:r>
      <w:r>
        <w:t xml:space="preserve"> </w:t>
      </w:r>
      <w:r>
        <w:t xml:space="preserve">method:</w:t>
      </w:r>
      <w:r>
        <w:br/>
      </w:r>
      <w:r>
        <w:t xml:space="preserve">Table 158: Colour coding</w:t>
      </w:r>
      <w:r>
        <w:t xml:space="preserve"> </w:t>
      </w:r>
      <w:r>
        <w:t xml:space="preserve">Colour</w:t>
      </w:r>
      <w:r>
        <w:t xml:space="preserve"> </w:t>
      </w:r>
      <w:r>
        <w:t xml:space="preserve">coding</w:t>
      </w:r>
      <w:r>
        <w:t xml:space="preserve"> </w:t>
      </w:r>
      <w:r>
        <w:t xml:space="preserve">–</w:t>
      </w:r>
      <w:r>
        <w:t xml:space="preserve"> </w:t>
      </w:r>
      <w:r>
        <w:t xml:space="preserve">-</w:t>
      </w:r>
      <w:r>
        <w:t xml:space="preserve"> </w:t>
      </w:r>
      <w:r>
        <w:t xml:space="preserve">O</w:t>
      </w:r>
      <w:r>
        <w:t xml:space="preserve"> </w:t>
      </w:r>
      <w:r>
        <w:t xml:space="preserve">+</w:t>
      </w:r>
      <w:r>
        <w:t xml:space="preserve"> </w:t>
      </w:r>
      <w:r>
        <w:t xml:space="preserve">++</w:t>
      </w:r>
      <w:r>
        <w:t xml:space="preserve"> </w:t>
      </w:r>
      <w:r>
        <w:t xml:space="preserve">U</w:t>
      </w:r>
      <w:r>
        <w:t xml:space="preserve"> </w:t>
      </w:r>
      <w:r>
        <w:t xml:space="preserve">Qualitative</w:t>
      </w:r>
      <w:r>
        <w:t xml:space="preserve"> </w:t>
      </w:r>
      <w:r>
        <w:t xml:space="preserve">Strongly</w:t>
      </w:r>
      <w:r>
        <w:t xml:space="preserve"> </w:t>
      </w:r>
      <w:r>
        <w:t xml:space="preserve">negative</w:t>
      </w:r>
      <w:r>
        <w:t xml:space="preserve"> </w:t>
      </w:r>
      <w:r>
        <w:t xml:space="preserve">Weakly</w:t>
      </w:r>
      <w:r>
        <w:t xml:space="preserve"> </w:t>
      </w:r>
      <w:r>
        <w:t xml:space="preserve">negative</w:t>
      </w:r>
      <w:r>
        <w:t xml:space="preserve"> </w:t>
      </w:r>
      <w:r>
        <w:t xml:space="preserve">No or</w:t>
      </w:r>
      <w:r>
        <w:t xml:space="preserve"> </w:t>
      </w:r>
      <w:r>
        <w:t xml:space="preserve">limited</w:t>
      </w:r>
      <w:r>
        <w:t xml:space="preserve"> </w:t>
      </w:r>
      <w:r>
        <w:t xml:space="preserve">impact</w:t>
      </w:r>
      <w:r>
        <w:t xml:space="preserve"> </w:t>
      </w:r>
      <w:r>
        <w:t xml:space="preserve">Weakly</w:t>
      </w:r>
      <w:r>
        <w:t xml:space="preserve"> </w:t>
      </w:r>
      <w:r>
        <w:t xml:space="preserve">positive</w:t>
      </w:r>
      <w:r>
        <w:t xml:space="preserve"> </w:t>
      </w:r>
      <w:r>
        <w:t xml:space="preserve">Strongly</w:t>
      </w:r>
      <w:r>
        <w:t xml:space="preserve"> </w:t>
      </w:r>
      <w:r>
        <w:t xml:space="preserve">positive</w:t>
      </w:r>
      <w:r>
        <w:t xml:space="preserve"> </w:t>
      </w:r>
      <w:r>
        <w:t xml:space="preserve">Undefined</w:t>
      </w:r>
    </w:p>
    <w:p>
      <w:pPr>
        <w:pStyle w:val="BodyText"/>
      </w:pPr>
      <w:r>
        <w:t xml:space="preserve">In terms of efficiency, the analysis consisted of two parts:</w:t>
      </w:r>
      <w:r>
        <w:t xml:space="preserve"> </w:t>
      </w:r>
      <w:r>
        <w:t xml:space="preserve">Presentation and comparison of monetizable costs and benefits identified in this study, and;</w:t>
      </w:r>
      <w:r>
        <w:t xml:space="preserve"> </w:t>
      </w:r>
      <w:r>
        <w:t xml:space="preserve">Presentation and comparison of stakeholder perception on the costs-benefits ratio under each</w:t>
      </w:r>
      <w:r>
        <w:t xml:space="preserve"> </w:t>
      </w:r>
      <w:r>
        <w:t xml:space="preserve">policy option.</w:t>
      </w:r>
      <w:r>
        <w:t xml:space="preserve"> </w:t>
      </w:r>
      <w:r>
        <w:t xml:space="preserve">In terms of coherence, the criteria used for the assessment of the policy options were:</w:t>
      </w:r>
      <w:r>
        <w:br/>
      </w:r>
      <w:r>
        <w:t xml:space="preserve">Coherence between CLP and Detergents regulations;</w:t>
      </w:r>
      <w:r>
        <w:t xml:space="preserve"> </w:t>
      </w:r>
      <w:r>
        <w:t xml:space="preserve">Coherence with digitalisation trends in the economy and other EU level and international</w:t>
      </w:r>
      <w:r>
        <w:t xml:space="preserve"> </w:t>
      </w:r>
      <w:r>
        <w:t xml:space="preserve">initiatives on the topic;</w:t>
      </w:r>
      <w:r>
        <w:t xml:space="preserve"> </w:t>
      </w:r>
      <w:r>
        <w:t xml:space="preserve">Overall assessment of stakeholders’ opinion on the policy options.</w:t>
      </w:r>
      <w:r>
        <w:t xml:space="preserve"> </w:t>
      </w:r>
      <w:r>
        <w:t xml:space="preserve">Following the comparison of the options, the preferred policy option was selected, namely –</w:t>
      </w:r>
      <w:r>
        <w:t xml:space="preserve"> </w:t>
      </w:r>
      <w:r>
        <w:t xml:space="preserve">Policy Option 3: Revision of the labelling rules in the regulations, introducing optional digital</w:t>
      </w:r>
      <w:r>
        <w:t xml:space="preserve"> </w:t>
      </w:r>
      <w:r>
        <w:t xml:space="preserve">labelling: keep basic information of labelling requirements on physical labels, and move</w:t>
      </w:r>
      <w:r>
        <w:t xml:space="preserve"> </w:t>
      </w:r>
      <w:r>
        <w:t xml:space="preserve">certain labelling requirements on the digital label only.</w:t>
      </w:r>
    </w:p>
    <w:p>
      <w:pPr>
        <w:pStyle w:val="BodyText"/>
      </w:pPr>
      <w:r>
        <w:t xml:space="preserve">LIMITATIONS ENCOUNTERED AND MITIGATION MEASURES</w:t>
      </w:r>
      <w:r>
        <w:t xml:space="preserve"> </w:t>
      </w:r>
      <w:r>
        <w:t xml:space="preserve">Limited availability of updated, EU-level, comparable quantitative data</w:t>
      </w:r>
      <w:r>
        <w:t xml:space="preserve"> </w:t>
      </w:r>
      <w:r>
        <w:t xml:space="preserve">The limitations of quantitative data were the most evident concerning data related to the</w:t>
      </w:r>
      <w:r>
        <w:t xml:space="preserve"> </w:t>
      </w:r>
      <w:r>
        <w:t xml:space="preserve">operational costs i.e. set-up and maintenance of systems supporting digital labelling. Using</w:t>
      </w:r>
      <w:r>
        <w:t xml:space="preserve"> </w:t>
      </w:r>
      <w:r>
        <w:t xml:space="preserve">this data in the assessment and comparison of the policy options would have been really</w:t>
      </w:r>
      <w:r>
        <w:t xml:space="preserve"> </w:t>
      </w:r>
      <w:r>
        <w:t xml:space="preserve">useful, in particular, for monetising the economic impact (conduct of business) and the</w:t>
      </w:r>
      <w:r>
        <w:t xml:space="preserve"> </w:t>
      </w:r>
      <w:r>
        <w:t xml:space="preserve">expected costs to the chemical industry under Policy Options 3, 4, and 5. The majority of the</w:t>
      </w:r>
      <w:r>
        <w:t xml:space="preserve"> </w:t>
      </w:r>
      <w:r>
        <w:t xml:space="preserve">consulted industry stakeholders mentioned that they do not have this information available</w:t>
      </w:r>
      <w:r>
        <w:t xml:space="preserve"> </w:t>
      </w:r>
      <w:r>
        <w:t xml:space="preserve">and the timeline to collect it at company level was too short. Furthermore, although, during</w:t>
      </w:r>
      <w:r>
        <w:t xml:space="preserve"> </w:t>
      </w:r>
      <w:r>
        <w:t xml:space="preserve">the targeted stakeholder consultation, businesses identified specific benefits of transferring</w:t>
      </w:r>
    </w:p>
    <w:p>
      <w:pPr>
        <w:pStyle w:val="BodyText"/>
      </w:pPr>
      <w:r>
        <w:t xml:space="preserve">502</w:t>
      </w:r>
    </w:p>
    <w:p>
      <w:pPr>
        <w:pStyle w:val="BodyText"/>
      </w:pPr>
      <w:r>
        <w:t xml:space="preserve">information from physical to digital labels, these potential benefits could not be estimated</w:t>
      </w:r>
      <w:r>
        <w:t xml:space="preserve"> </w:t>
      </w:r>
      <w:r>
        <w:t xml:space="preserve">quantitatively due to the wide range of variables affecting labels (e.g. size of the label,</w:t>
      </w:r>
      <w:r>
        <w:t xml:space="preserve"> </w:t>
      </w:r>
      <w:r>
        <w:t xml:space="preserve">number of ingredients, type of chemical product, etc.). The combination of these factors</w:t>
      </w:r>
      <w:r>
        <w:t xml:space="preserve"> </w:t>
      </w:r>
      <w:r>
        <w:t xml:space="preserve">resulted in a limited cost-benefit and cost-effectiveness analysis of the policy options that</w:t>
      </w:r>
      <w:r>
        <w:t xml:space="preserve"> </w:t>
      </w:r>
      <w:r>
        <w:t xml:space="preserve">include the use of digital labels.</w:t>
      </w:r>
      <w:r>
        <w:br/>
      </w:r>
      <w:r>
        <w:t xml:space="preserve">Similarly, although consulted public authority stakeholders provided input concerning the</w:t>
      </w:r>
      <w:r>
        <w:t xml:space="preserve"> </w:t>
      </w:r>
      <w:r>
        <w:t xml:space="preserve">cost-benefit ratio for national authorities for each policy option, during the course of the</w:t>
      </w:r>
      <w:r>
        <w:t xml:space="preserve"> </w:t>
      </w:r>
      <w:r>
        <w:t xml:space="preserve">study, no concrete quantifiable data was found concerning, for example, additional FTEs</w:t>
      </w:r>
      <w:r>
        <w:t xml:space="preserve"> </w:t>
      </w:r>
      <w:r>
        <w:t xml:space="preserve">needed from public authorities under each policy option to perform enforcement and</w:t>
      </w:r>
      <w:r>
        <w:t xml:space="preserve"> </w:t>
      </w:r>
      <w:r>
        <w:t xml:space="preserve">monitoring activities. It is difficult to estimate the costs each policy option would include to</w:t>
      </w:r>
      <w:r>
        <w:t xml:space="preserve"> </w:t>
      </w:r>
      <w:r>
        <w:t xml:space="preserve">public authorities, especially considering the current lack of clarity on the digital</w:t>
      </w:r>
      <w:r>
        <w:t xml:space="preserve"> </w:t>
      </w:r>
      <w:r>
        <w:t xml:space="preserve">infrastructure that would be used to store the information on digital labels129.</w:t>
      </w:r>
      <w:r>
        <w:br/>
      </w:r>
      <w:r>
        <w:t xml:space="preserve">The analysis of impacts on consumers focused on assessing the impact on safety (i.e. safe use</w:t>
      </w:r>
      <w:r>
        <w:t xml:space="preserve"> </w:t>
      </w:r>
      <w:r>
        <w:t xml:space="preserve">of products) and label readability. The study gathered valuable qualitative input from the</w:t>
      </w:r>
      <w:r>
        <w:t xml:space="preserve"> </w:t>
      </w:r>
      <w:r>
        <w:t xml:space="preserve">targeted stakeholder consultation. However, the perception on these issues from stakeholders</w:t>
      </w:r>
      <w:r>
        <w:t xml:space="preserve"> </w:t>
      </w:r>
      <w:r>
        <w:t xml:space="preserve">representing consumers (i.e. consumer organisations) is not complete due to the lack of</w:t>
      </w:r>
      <w:r>
        <w:t xml:space="preserve"> </w:t>
      </w:r>
      <w:r>
        <w:t xml:space="preserve">responses from such stakeholders to the survey on the policy options. Nonetheless, data</w:t>
      </w:r>
      <w:r>
        <w:t xml:space="preserve"> </w:t>
      </w:r>
      <w:r>
        <w:t xml:space="preserve">triangulation and the use of other data sources (i.e. OPC, interviews, and behavioural</w:t>
      </w:r>
      <w:r>
        <w:t xml:space="preserve"> </w:t>
      </w:r>
      <w:r>
        <w:t xml:space="preserve">experiment) countered this problem to an extent.</w:t>
      </w:r>
      <w:r>
        <w:t xml:space="preserve"> </w:t>
      </w:r>
      <w:r>
        <w:t xml:space="preserve">Likewise, the assessment of the environmental impacts also was essentially qualitative and</w:t>
      </w:r>
      <w:r>
        <w:t xml:space="preserve"> </w:t>
      </w:r>
      <w:r>
        <w:t xml:space="preserve">focused on the impact on the awareness of consumers about the impacts of dispersion of</w:t>
      </w:r>
      <w:r>
        <w:t xml:space="preserve"> </w:t>
      </w:r>
      <w:r>
        <w:t xml:space="preserve">substances in the natural environment. Thus, the analysis did not include an estimate of waste</w:t>
      </w:r>
      <w:r>
        <w:t xml:space="preserve"> </w:t>
      </w:r>
      <w:r>
        <w:t xml:space="preserve">(i.e. disposal of waste) generated by regulatory changes. In this case, however, policy options</w:t>
      </w:r>
      <w:r>
        <w:t xml:space="preserve"> </w:t>
      </w:r>
      <w:r>
        <w:t xml:space="preserve">include, where relevant, long enough transition periods during which old labels and</w:t>
      </w:r>
      <w:r>
        <w:t xml:space="preserve"> </w:t>
      </w:r>
      <w:r>
        <w:t xml:space="preserve">packaging can be used to avoid costs for duty holders and the creation of waste. Hence,</w:t>
      </w:r>
      <w:r>
        <w:t xml:space="preserve"> </w:t>
      </w:r>
      <w:r>
        <w:t xml:space="preserve">quantitative estimation of the impact on the environment was considered not relevant.</w:t>
      </w:r>
      <w:r>
        <w:t xml:space="preserve"> </w:t>
      </w:r>
      <w:r>
        <w:t xml:space="preserve">In conclusion, the limitations on quantitative data constrained the strength of the argument on</w:t>
      </w:r>
      <w:r>
        <w:t xml:space="preserve"> </w:t>
      </w:r>
      <w:r>
        <w:t xml:space="preserve">the scale of some identified problems and implications of future policy options. In some</w:t>
      </w:r>
      <w:r>
        <w:t xml:space="preserve"> </w:t>
      </w:r>
      <w:r>
        <w:t xml:space="preserve">cases, estimations were corroborated by existing evidence underpinning the key assumptions</w:t>
      </w:r>
      <w:r>
        <w:t xml:space="preserve"> </w:t>
      </w:r>
      <w:r>
        <w:t xml:space="preserve">through alternative data. In addition, for some options where quantification of costs and</w:t>
      </w:r>
      <w:r>
        <w:t xml:space="preserve"> </w:t>
      </w:r>
      <w:r>
        <w:t xml:space="preserve">benefits was not feasible, a qualitative approach was chosen instead.</w:t>
      </w:r>
      <w:r>
        <w:t xml:space="preserve"> </w:t>
      </w:r>
      <w:r>
        <w:t xml:space="preserve">The low response rate from consumer stakeholders regarding the survey on policy</w:t>
      </w:r>
      <w:r>
        <w:t xml:space="preserve"> </w:t>
      </w:r>
      <w:r>
        <w:t xml:space="preserve">options</w:t>
      </w:r>
      <w:r>
        <w:t xml:space="preserve"> </w:t>
      </w:r>
      <w:r>
        <w:t xml:space="preserve">Response rate across all consultation activities, across all major stakeholder categories</w:t>
      </w:r>
      <w:r>
        <w:t xml:space="preserve"> </w:t>
      </w:r>
      <w:r>
        <w:t xml:space="preserve">(industry, public authority, and consumers) was high. Hence, the findings from these</w:t>
      </w:r>
      <w:r>
        <w:t xml:space="preserve"> </w:t>
      </w:r>
      <w:r>
        <w:t xml:space="preserve">activities can be considered, overall, representative. Nonetheless, the most important source</w:t>
      </w:r>
      <w:r>
        <w:t xml:space="preserve"> </w:t>
      </w:r>
      <w:r>
        <w:t xml:space="preserve">of data for the impact assessment part – the online survey on the policy options, had</w:t>
      </w:r>
      <w:r>
        <w:t xml:space="preserve"> </w:t>
      </w:r>
      <w:r>
        <w:t xml:space="preserve">limitations in terms of representativeness. This is particularly the case for stakeholders</w:t>
      </w:r>
      <w:r>
        <w:t xml:space="preserve"> </w:t>
      </w:r>
      <w:r>
        <w:t xml:space="preserve">representing consumers, and, to a lesser extent, public authorities. The survey received a</w:t>
      </w:r>
      <w:r>
        <w:t xml:space="preserve"> </w:t>
      </w:r>
      <w:r>
        <w:t xml:space="preserve">significant number of responses from industry stakeholders (n=67), but a relatively small</w:t>
      </w:r>
      <w:r>
        <w:t xml:space="preserve"> </w:t>
      </w:r>
      <w:r>
        <w:t xml:space="preserve">number from public authorities (n=13), and an insignificant number of responses from</w:t>
      </w:r>
      <w:r>
        <w:t xml:space="preserve"> </w:t>
      </w:r>
      <w:r>
        <w:t xml:space="preserve">consumer organisations (n=2). The low number of responses from consumer organisations</w:t>
      </w:r>
    </w:p>
    <w:p>
      <w:pPr>
        <w:pStyle w:val="BodyText"/>
      </w:pPr>
      <w:r>
        <w:t xml:space="preserve">129 Possible options would include EU centralised database of e-labels held by EU wide public</w:t>
      </w:r>
      <w:r>
        <w:t xml:space="preserve"> </w:t>
      </w:r>
      <w:r>
        <w:t xml:space="preserve">authority/provider; EU centralised database of e-labels held by third-party provider; Independent providers of e-</w:t>
      </w:r>
      <w:r>
        <w:t xml:space="preserve"> </w:t>
      </w:r>
      <w:r>
        <w:t xml:space="preserve">label services (EU or national); Manufacturers’ websites with e-labels of own products.</w:t>
      </w:r>
    </w:p>
    <w:p>
      <w:pPr>
        <w:pStyle w:val="BodyText"/>
      </w:pPr>
      <w:r>
        <w:t xml:space="preserve">503</w:t>
      </w:r>
    </w:p>
    <w:p>
      <w:pPr>
        <w:pStyle w:val="BodyText"/>
      </w:pPr>
      <w:r>
        <w:t xml:space="preserve">resulted in an overall lower level of representation of consumers in terms of assessing the</w:t>
      </w:r>
      <w:r>
        <w:t xml:space="preserve"> </w:t>
      </w:r>
      <w:r>
        <w:t xml:space="preserve">impact on consumer safety (i.e. safe use of products), and label readability. To counter this</w:t>
      </w:r>
      <w:r>
        <w:t xml:space="preserve"> </w:t>
      </w:r>
      <w:r>
        <w:t xml:space="preserve">issue, other sources of data (i.e. OPC, interviews, and the behavioural experiment) were used</w:t>
      </w:r>
      <w:r>
        <w:t xml:space="preserve"> </w:t>
      </w:r>
      <w:r>
        <w:t xml:space="preserve">to add to overall representativeness.</w:t>
      </w:r>
      <w:r>
        <w:t xml:space="preserve"> </w:t>
      </w:r>
      <w:r>
        <w:t xml:space="preserve">Several factors explain the low response rate from consumer stakeholders consulted for this</w:t>
      </w:r>
      <w:r>
        <w:t xml:space="preserve"> </w:t>
      </w:r>
      <w:r>
        <w:t xml:space="preserve">study, notably: the timeline of the assignment, the overlap with other consultation activities</w:t>
      </w:r>
      <w:r>
        <w:t xml:space="preserve"> </w:t>
      </w:r>
      <w:r>
        <w:t xml:space="preserve">on the same topic (i.e. interviews, behavioural experiment, public consultation), resulting in</w:t>
      </w:r>
      <w:r>
        <w:t xml:space="preserve"> </w:t>
      </w:r>
      <w:r>
        <w:t xml:space="preserve">stakeholder fatigue. The lack of interest from the consumer stakeholders in this initiative,</w:t>
      </w:r>
      <w:r>
        <w:t xml:space="preserve"> </w:t>
      </w:r>
      <w:r>
        <w:t xml:space="preserve">especially compared to the response rate from the chemical industry, was noticeable in other</w:t>
      </w:r>
      <w:r>
        <w:t xml:space="preserve"> </w:t>
      </w:r>
      <w:r>
        <w:t xml:space="preserve">stakeholder consultation activities as well. To boost the response rate of the online survey, the</w:t>
      </w:r>
      <w:r>
        <w:t xml:space="preserve"> </w:t>
      </w:r>
      <w:r>
        <w:t xml:space="preserve">study team sent reminders to consumer organisations to complete this survey, however, this</w:t>
      </w:r>
      <w:r>
        <w:t xml:space="preserve"> </w:t>
      </w:r>
      <w:r>
        <w:t xml:space="preserve">did not result in a significantly higher participation rate.</w:t>
      </w:r>
    </w:p>
    <w:p>
      <w:pPr>
        <w:pStyle w:val="BodyText"/>
      </w:pPr>
      <w:r>
        <w:t xml:space="preserve">504</w:t>
      </w:r>
    </w:p>
    <w:p>
      <w:pPr>
        <w:pStyle w:val="BodyText"/>
      </w:pPr>
      <w:r>
        <w:t xml:space="preserve">Annex 14 – Exemption from the scope of CLP for</w:t>
      </w:r>
      <w:r>
        <w:t xml:space="preserve"> </w:t>
      </w:r>
      <w:r>
        <w:t xml:space="preserve">certain products</w:t>
      </w:r>
    </w:p>
    <w:p>
      <w:pPr>
        <w:pStyle w:val="BodyText"/>
      </w:pPr>
      <w:r>
        <w:t xml:space="preserve">CONTEXT</w:t>
      </w:r>
      <w:r>
        <w:t xml:space="preserve"> </w:t>
      </w:r>
      <w:r>
        <w:t xml:space="preserve">The 2019 Fitness Check on chemicals reports that, during consultation activities, some</w:t>
      </w:r>
      <w:r>
        <w:t xml:space="preserve"> </w:t>
      </w:r>
      <w:r>
        <w:t xml:space="preserve">Member States and NGOs pointed to potential gaps and inconsistencies regarding</w:t>
      </w:r>
      <w:r>
        <w:t xml:space="preserve"> </w:t>
      </w:r>
      <w:r>
        <w:t xml:space="preserve">identification and communication of hazards in some sectorial legislation such as cosmetic</w:t>
      </w:r>
      <w:r>
        <w:t xml:space="preserve"> </w:t>
      </w:r>
      <w:r>
        <w:t xml:space="preserve">products, medical devices, food and feed additives. For instance, these stakeholders</w:t>
      </w:r>
      <w:r>
        <w:t xml:space="preserve"> </w:t>
      </w:r>
      <w:r>
        <w:t xml:space="preserve">emphasised that in the case of Cosmetic Products Regulation (CPR), the focus on human</w:t>
      </w:r>
      <w:r>
        <w:t xml:space="preserve"> </w:t>
      </w:r>
      <w:r>
        <w:t xml:space="preserve">health protection could result in not considering environmental hazards and fate of cosmetic</w:t>
      </w:r>
      <w:r>
        <w:t xml:space="preserve"> </w:t>
      </w:r>
      <w:r>
        <w:t xml:space="preserve">ingredients. Additional discussions on this topic took also place at the REACH and CLP</w:t>
      </w:r>
      <w:r>
        <w:t xml:space="preserve"> </w:t>
      </w:r>
      <w:r>
        <w:t xml:space="preserve">competent authorities meeting in 2013130.</w:t>
      </w:r>
      <w:r>
        <w:br/>
      </w:r>
      <w:r>
        <w:t xml:space="preserve">Relevant SDG</w:t>
      </w:r>
      <w:r>
        <w:br/>
      </w:r>
      <w:r>
        <w:t xml:space="preserve">SDG #6 Clean water and sanitation – Target 6.3 ‘By 2030, improve water quality by reducing</w:t>
      </w:r>
      <w:r>
        <w:t xml:space="preserve"> </w:t>
      </w:r>
      <w:r>
        <w:t xml:space="preserve">pollution, eliminating dumping and minimizing release of hazardous chemicals and materials,</w:t>
      </w:r>
      <w:r>
        <w:t xml:space="preserve"> </w:t>
      </w:r>
      <w:r>
        <w:t xml:space="preserve">halving the proportion of untreated wastewater and substantially increasing recycling and</w:t>
      </w:r>
      <w:r>
        <w:t xml:space="preserve"> </w:t>
      </w:r>
      <w:r>
        <w:t xml:space="preserve">safe reuse globally’;</w:t>
      </w:r>
      <w:r>
        <w:br/>
      </w:r>
      <w:r>
        <w:t xml:space="preserve">SDG #12 Responsible consumption and production – Target 12.4 ‘By 2020, achieve the</w:t>
      </w:r>
      <w:r>
        <w:t xml:space="preserve"> </w:t>
      </w:r>
      <w:r>
        <w:t xml:space="preserve">environmentally sound management of chemicals and all wastes throughout their life cycle,</w:t>
      </w:r>
      <w:r>
        <w:t xml:space="preserve"> </w:t>
      </w:r>
      <w:r>
        <w:t xml:space="preserve">in accordance with agreed international frameworks, and significantly reduce their release to</w:t>
      </w:r>
      <w:r>
        <w:t xml:space="preserve"> </w:t>
      </w:r>
      <w:r>
        <w:t xml:space="preserve">air, water and soil in order to minimize their adverse impacts on human health and the</w:t>
      </w:r>
      <w:r>
        <w:t xml:space="preserve"> </w:t>
      </w:r>
      <w:r>
        <w:t xml:space="preserve">environment’.</w:t>
      </w:r>
      <w:r>
        <w:br/>
      </w:r>
      <w:r>
        <w:t xml:space="preserve">Societal trends:</w:t>
      </w:r>
      <w:r>
        <w:br/>
      </w:r>
      <w:r>
        <w:t xml:space="preserve">Consumers and professional users concerned about hazardous chemicals</w:t>
      </w:r>
      <w:r>
        <w:br/>
      </w:r>
      <w:r>
        <w:t xml:space="preserve">Growing environmental awareness of society, move towards more sustainable products</w:t>
      </w:r>
    </w:p>
    <w:p>
      <w:pPr>
        <w:pStyle w:val="BodyText"/>
      </w:pPr>
      <w:r>
        <w:t xml:space="preserve">PROBLEMS</w:t>
      </w:r>
      <w:r>
        <w:t xml:space="preserve"> </w:t>
      </w:r>
      <w:r>
        <w:t xml:space="preserve">The hazards of certain chemical substances and mixtures are not optimally communicated</w:t>
      </w:r>
      <w:r>
        <w:br/>
      </w:r>
      <w:r>
        <w:t xml:space="preserve">The CLP Regulation provides that all substances and mixtures displaying hazardous</w:t>
      </w:r>
      <w:r>
        <w:t xml:space="preserve"> </w:t>
      </w:r>
      <w:r>
        <w:t xml:space="preserve">properties must be labelled and packaged according to their classification (see also Annex 12</w:t>
      </w:r>
      <w:r>
        <w:t xml:space="preserve"> </w:t>
      </w:r>
      <w:r>
        <w:t xml:space="preserve">on labelling); this aims to protect human health and the environment and to ensure free</w:t>
      </w:r>
      <w:r>
        <w:t xml:space="preserve"> </w:t>
      </w:r>
      <w:r>
        <w:t xml:space="preserve">movements of chemicals in the single market. Through the identification and communication</w:t>
      </w:r>
      <w:r>
        <w:t xml:space="preserve"> </w:t>
      </w:r>
      <w:r>
        <w:t xml:space="preserve">of the hazards of substances and mixtures, the CLP Regulation provides key information</w:t>
      </w:r>
      <w:r>
        <w:t xml:space="preserve"> </w:t>
      </w:r>
      <w:r>
        <w:t xml:space="preserve">thereby enabling professional users and consumers to adopt all necessary precautions during</w:t>
      </w:r>
      <w:r>
        <w:t xml:space="preserve"> </w:t>
      </w:r>
      <w:r>
        <w:t xml:space="preserve">its use, storage and disposal; in addition, this allows them to make informed decisions when</w:t>
      </w:r>
      <w:r>
        <w:t xml:space="preserve"> </w:t>
      </w:r>
      <w:r>
        <w:t xml:space="preserve">purchasing a product.</w:t>
      </w:r>
    </w:p>
    <w:p>
      <w:pPr>
        <w:pStyle w:val="BodyText"/>
      </w:pPr>
      <w:r>
        <w:t xml:space="preserve">130 Document CA/40/2013, 13th Meeting of Competent Authorities for REACH and CLP (CARACAL), 26-28</w:t>
      </w:r>
      <w:r>
        <w:t xml:space="preserve"> </w:t>
      </w:r>
      <w:r>
        <w:t xml:space="preserve">November 2013</w:t>
      </w:r>
    </w:p>
    <w:p>
      <w:pPr>
        <w:pStyle w:val="BodyText"/>
      </w:pPr>
      <w:r>
        <w:t xml:space="preserve">505</w:t>
      </w:r>
    </w:p>
    <w:p>
      <w:pPr>
        <w:pStyle w:val="BodyText"/>
      </w:pPr>
      <w:r>
        <w:t xml:space="preserve">The CLP Regulation generally covers all chemicals supplied in the EU, including products</w:t>
      </w:r>
      <w:r>
        <w:t xml:space="preserve"> </w:t>
      </w:r>
      <w:r>
        <w:t xml:space="preserve">sold to consumers. It also addresses a full range of hazards to human health and to the</w:t>
      </w:r>
      <w:r>
        <w:t xml:space="preserve"> </w:t>
      </w:r>
      <w:r>
        <w:t xml:space="preserve">environment, as well as physical hazards (e.g. flammability, explosiveness). However, Article</w:t>
      </w:r>
      <w:r>
        <w:t xml:space="preserve"> </w:t>
      </w:r>
      <w:r>
        <w:t xml:space="preserve">1(5) of CLP exempts a number of substances and mixtures, in the finished state and intended</w:t>
      </w:r>
      <w:r>
        <w:t xml:space="preserve"> </w:t>
      </w:r>
      <w:r>
        <w:t xml:space="preserve">for the final user, from its scope. These scope exemptions concern human131 and veterinary132</w:t>
      </w:r>
      <w:r>
        <w:t xml:space="preserve"> </w:t>
      </w:r>
      <w:r>
        <w:t xml:space="preserve">medicinal products, medical devices133, cosmetics products134, and food and feeding stuffs135.</w:t>
      </w:r>
      <w:r>
        <w:t xml:space="preserve"> </w:t>
      </w:r>
      <w:r>
        <w:t xml:space="preserve">Recital 11 of CLP further clarifies that these exemptions are based on the premise that the</w:t>
      </w:r>
      <w:r>
        <w:t xml:space="preserve"> </w:t>
      </w:r>
      <w:r>
        <w:t xml:space="preserve">exempted sectorial legislations lay down more specific rules on classification and labelling.</w:t>
      </w:r>
      <w:r>
        <w:br/>
      </w:r>
      <w:r>
        <w:t xml:space="preserve">The exempted product categories have a paramount impact on human health because they</w:t>
      </w:r>
      <w:r>
        <w:t xml:space="preserve"> </w:t>
      </w:r>
      <w:r>
        <w:t xml:space="preserve">enter, or come into close contact with, the human body, e.g. by ingestion or application to</w:t>
      </w:r>
      <w:r>
        <w:t xml:space="preserve"> </w:t>
      </w:r>
      <w:r>
        <w:t xml:space="preserve">skin. Therefore, the sectorial legislation exempted by Article 1(5) of CLP is primarily</w:t>
      </w:r>
      <w:r>
        <w:t xml:space="preserve"> </w:t>
      </w:r>
      <w:r>
        <w:t xml:space="preserve">oriented at the protection of health, and uses different measures to assess and ensure the</w:t>
      </w:r>
      <w:r>
        <w:t xml:space="preserve"> </w:t>
      </w:r>
      <w:r>
        <w:t xml:space="preserve">safety for users (e.g. negative and positive lists of substances that can be used in products,</w:t>
      </w:r>
      <w:r>
        <w:t xml:space="preserve"> </w:t>
      </w:r>
      <w:r>
        <w:t xml:space="preserve">risk assessments and authorisation processes, pre-defined lists of products that can be placed</w:t>
      </w:r>
      <w:r>
        <w:t xml:space="preserve"> </w:t>
      </w:r>
      <w:r>
        <w:t xml:space="preserve">on the market, classifications of products according to their complexity and inherent risks to</w:t>
      </w:r>
      <w:r>
        <w:t xml:space="preserve"> </w:t>
      </w:r>
      <w:r>
        <w:t xml:space="preserve">human health, etc.). These legislations may also include the possibility to provide warnings or</w:t>
      </w:r>
      <w:r>
        <w:t xml:space="preserve"> </w:t>
      </w:r>
      <w:r>
        <w:t xml:space="preserve">instructions for safe use to the user through labelling or packaging inserts, but usually</w:t>
      </w:r>
      <w:r>
        <w:t xml:space="preserve"> </w:t>
      </w:r>
      <w:r>
        <w:t xml:space="preserve">information on the hazards of a product is not available to the customer.</w:t>
      </w:r>
      <w:r>
        <w:br/>
      </w:r>
      <w:r>
        <w:t xml:space="preserve">While all exempted legislations require a safety assessment for human health, and</w:t>
      </w:r>
      <w:r>
        <w:t xml:space="preserve"> </w:t>
      </w:r>
      <w:r>
        <w:t xml:space="preserve">communication on necessary precautions is covered by the respective legislation,</w:t>
      </w:r>
      <w:r>
        <w:t xml:space="preserve"> </w:t>
      </w:r>
      <w:r>
        <w:t xml:space="preserve">environmental aspects are addressed only in some of those areas. The quality and quantity of</w:t>
      </w:r>
      <w:r>
        <w:t xml:space="preserve"> </w:t>
      </w:r>
      <w:r>
        <w:t xml:space="preserve">evidence about the negative environmental impacts of the chemical products exempted from</w:t>
      </w:r>
      <w:r>
        <w:t xml:space="preserve"> </w:t>
      </w:r>
      <w:r>
        <w:t xml:space="preserve">CLP varies substantially. However, the analysis136 shows that all exempted product</w:t>
      </w:r>
      <w:r>
        <w:t xml:space="preserve"> </w:t>
      </w:r>
      <w:r>
        <w:t xml:space="preserve">categories (except food and feed where there is no solid evidence) can cause a certain degree</w:t>
      </w:r>
      <w:r>
        <w:t xml:space="preserve"> </w:t>
      </w:r>
      <w:r>
        <w:t xml:space="preserve">of environmental damage. It is important to note here that in some cases adverse</w:t>
      </w:r>
      <w:r>
        <w:t xml:space="preserve"> </w:t>
      </w:r>
      <w:r>
        <w:t xml:space="preserve">environmental effects may be caused by illegal or inappropriate disposal practices (e.g.,</w:t>
      </w:r>
      <w:r>
        <w:t xml:space="preserve"> </w:t>
      </w:r>
      <w:r>
        <w:t xml:space="preserve">flushing or pouring pharmaceuticals down the drain), while in other cases it is just the</w:t>
      </w:r>
      <w:r>
        <w:t xml:space="preserve"> </w:t>
      </w:r>
      <w:r>
        <w:t xml:space="preserve">consequence of their use (excretion of medicines).</w:t>
      </w:r>
      <w:r>
        <w:br/>
      </w:r>
      <w:r>
        <w:t xml:space="preserve">There is solid quantitative evidence that human and veterinary medicinal products can</w:t>
      </w:r>
      <w:r>
        <w:t xml:space="preserve"> </w:t>
      </w:r>
      <w:r>
        <w:t xml:space="preserve">negatively affect the environment due to their hazardous properties137, use and overuse but</w:t>
      </w:r>
      <w:r>
        <w:t xml:space="preserve"> </w:t>
      </w:r>
      <w:r>
        <w:t xml:space="preserve">also users’ inappropriate disposal practices (e.g., flushing unused or expired medicines</w:t>
      </w:r>
      <w:r>
        <w:t xml:space="preserve"> </w:t>
      </w:r>
      <w:r>
        <w:t xml:space="preserve">directly to household sewers).</w:t>
      </w:r>
      <w:r>
        <w:t xml:space="preserve"> </w:t>
      </w:r>
      <w:r>
        <w:t xml:space="preserve">Medical devices is a diverse product category with an estimated 5,000 to 24,000 different</w:t>
      </w:r>
      <w:r>
        <w:t xml:space="preserve"> </w:t>
      </w:r>
      <w:r>
        <w:t xml:space="preserve">types of products (most of which are articles and thus not subject to CLP provisions). There</w:t>
      </w:r>
      <w:r>
        <w:t xml:space="preserve"> </w:t>
      </w:r>
      <w:r>
        <w:t xml:space="preserve">is currently not enough evidence to identify the full spectrum of environmental issues that</w:t>
      </w:r>
      <w:r>
        <w:t xml:space="preserve"> </w:t>
      </w:r>
      <w:r>
        <w:t xml:space="preserve">may be caused by their use, storage and disposal for the whole group of medical devices.</w:t>
      </w:r>
    </w:p>
    <w:p>
      <w:pPr>
        <w:pStyle w:val="BodyText"/>
      </w:pPr>
      <w:r>
        <w:t xml:space="preserve">131 as defined in Directive 2001/83/EC</w:t>
      </w:r>
      <w:r>
        <w:t xml:space="preserve"> </w:t>
      </w:r>
      <w:r>
        <w:t xml:space="preserve">132 as defined in Directive 2001/82/EC</w:t>
      </w:r>
      <w:r>
        <w:t xml:space="preserve"> </w:t>
      </w:r>
      <w:r>
        <w:t xml:space="preserve">133 as defined in Directives 90/385/EEC and 93/42/EEC, which are invasive or used in direct physical contact</w:t>
      </w:r>
      <w:r>
        <w:t xml:space="preserve"> </w:t>
      </w:r>
      <w:r>
        <w:t xml:space="preserve">with the human body, and in Directive 98/79/EC</w:t>
      </w:r>
      <w:r>
        <w:t xml:space="preserve"> </w:t>
      </w:r>
      <w:r>
        <w:t xml:space="preserve">134 as defined in Directive 76/768/EEC</w:t>
      </w:r>
      <w:r>
        <w:t xml:space="preserve"> </w:t>
      </w:r>
      <w:r>
        <w:t xml:space="preserve">135 as defined in Regulation (EC) No 178/2002 including when they are used (i) as a food additive in foodstuffs</w:t>
      </w:r>
      <w:r>
        <w:t xml:space="preserve"> </w:t>
      </w:r>
      <w:r>
        <w:t xml:space="preserve">within the scope of Directive 89/107/EEC; (ii) as a flavouring in foodstuffs within the scope of Directive</w:t>
      </w:r>
      <w:r>
        <w:t xml:space="preserve"> </w:t>
      </w:r>
      <w:r>
        <w:t xml:space="preserve">88/388/EEC and Decision 1999/217/EC; (iii) as an additive in feeding stuffs within the scope of Regulation</w:t>
      </w:r>
      <w:r>
        <w:t xml:space="preserve"> </w:t>
      </w:r>
      <w:r>
        <w:t xml:space="preserve">(EC) No 1831/2003; (iv) in animal nutrition within the scope of Directive 82/471/EEC.</w:t>
      </w:r>
      <w:r>
        <w:t xml:space="preserve"> </w:t>
      </w:r>
      <w:r>
        <w:t xml:space="preserve">136 Annex 7 of RPA report</w:t>
      </w:r>
      <w:r>
        <w:t xml:space="preserve"> </w:t>
      </w:r>
      <w:r>
        <w:t xml:space="preserve">137 Zhou et al. (2019). Environment international, 128, 1-10; O’Flynn et al. (2021). Analytical Methods, 13(5),</w:t>
      </w:r>
      <w:r>
        <w:t xml:space="preserve"> </w:t>
      </w:r>
      <w:r>
        <w:t xml:space="preserve">575-594; Barbosa et al. (2016). Water Research, 94, 257-279.</w:t>
      </w:r>
    </w:p>
    <w:p>
      <w:pPr>
        <w:pStyle w:val="BodyText"/>
      </w:pPr>
      <w:r>
        <w:t xml:space="preserve">506</w:t>
      </w:r>
    </w:p>
    <w:p>
      <w:pPr>
        <w:pStyle w:val="BodyText"/>
      </w:pPr>
      <w:r>
        <w:t xml:space="preserve">However, human health and environmentally hazardous substances can be used in some</w:t>
      </w:r>
      <w:r>
        <w:t xml:space="preserve"> </w:t>
      </w:r>
      <w:r>
        <w:t xml:space="preserve">medical devices when their use is justified and the benefits clearly outweigh the risks.138</w:t>
      </w:r>
      <w:r>
        <w:t xml:space="preserve"> </w:t>
      </w:r>
      <w:r>
        <w:t xml:space="preserve">While there are examples of hazardous substances being used in medical devices (e.g. </w:t>
      </w:r>
      <w:r>
        <w:t xml:space="preserve"> </w:t>
      </w:r>
      <w:r>
        <w:t xml:space="preserve">octylphenol ethoxylate), no comprehensive evidence has been found on the environmental</w:t>
      </w:r>
      <w:r>
        <w:t xml:space="preserve"> </w:t>
      </w:r>
      <w:r>
        <w:t xml:space="preserve">hazards and effects of in-vitro diagnostics and other medical devices composed of substances</w:t>
      </w:r>
      <w:r>
        <w:t xml:space="preserve"> </w:t>
      </w:r>
      <w:r>
        <w:t xml:space="preserve">and mixtures.</w:t>
      </w:r>
      <w:r>
        <w:t xml:space="preserve"> </w:t>
      </w:r>
      <w:r>
        <w:t xml:space="preserve">A number of extensive literature reviews139 highlight that cosmetics that contain ingredients</w:t>
      </w:r>
      <w:r>
        <w:t xml:space="preserve"> </w:t>
      </w:r>
      <w:r>
        <w:t xml:space="preserve">hazardous to the environment may have a substantial impact on the environment. Release into</w:t>
      </w:r>
      <w:r>
        <w:t xml:space="preserve"> </w:t>
      </w:r>
      <w:r>
        <w:t xml:space="preserve">the environment occurs in particular from rinse-off products that enter the wastewater system</w:t>
      </w:r>
      <w:r>
        <w:t xml:space="preserve"> </w:t>
      </w:r>
      <w:r>
        <w:t xml:space="preserve">and sunscreen products that are directly released into surface waters. Some cosmetic</w:t>
      </w:r>
      <w:r>
        <w:t xml:space="preserve"> </w:t>
      </w:r>
      <w:r>
        <w:t xml:space="preserve">products, such as personal care products containing plastic microbeads, siloxanes, synthetic</w:t>
      </w:r>
      <w:r>
        <w:t xml:space="preserve"> </w:t>
      </w:r>
      <w:r>
        <w:t xml:space="preserve">fragrances, and UV filters or triclosan, have negative effects on the environment due to their</w:t>
      </w:r>
      <w:r>
        <w:t xml:space="preserve"> </w:t>
      </w:r>
      <w:r>
        <w:t xml:space="preserve">hazardous properties and their releases to the environment during use.</w:t>
      </w:r>
      <w:r>
        <w:br/>
      </w:r>
      <w:r>
        <w:t xml:space="preserve">Searching the ECHA registered substances database for substances with notified uses in</w:t>
      </w:r>
      <w:r>
        <w:t xml:space="preserve"> </w:t>
      </w:r>
      <w:r>
        <w:t xml:space="preserve">Product Category (PC) 28 ‘Perfumes, fragrances’ and PC39 ‘Cosmetics, personal care</w:t>
      </w:r>
      <w:r>
        <w:t xml:space="preserve"> </w:t>
      </w:r>
      <w:r>
        <w:t xml:space="preserve">products’ returns 3,248 substances. Around 8% of the substances have CLH for different</w:t>
      </w:r>
      <w:r>
        <w:t xml:space="preserve"> </w:t>
      </w:r>
      <w:r>
        <w:t xml:space="preserve">hazard classes. Fifty-six (56) substances have CLH for acute aquatic toxicity and 111 for</w:t>
      </w:r>
      <w:r>
        <w:t xml:space="preserve"> </w:t>
      </w:r>
      <w:r>
        <w:t xml:space="preserve">chronic aquatic toxicity. When self-classifications are included, ca 35% of substances with</w:t>
      </w:r>
      <w:r>
        <w:t xml:space="preserve"> </w:t>
      </w:r>
      <w:r>
        <w:t xml:space="preserve">notified uses in the above product categories have self-classifications for environmental</w:t>
      </w:r>
      <w:r>
        <w:t xml:space="preserve"> </w:t>
      </w:r>
      <w:r>
        <w:t xml:space="preserve">hazards, based on REACH registration data.</w:t>
      </w:r>
      <w:r>
        <w:t xml:space="preserve"> </w:t>
      </w:r>
      <w:r>
        <w:t xml:space="preserve">An ongoing study140 which assesses the feasibility of an extended producer responsibility</w:t>
      </w:r>
      <w:r>
        <w:t xml:space="preserve"> </w:t>
      </w:r>
      <w:r>
        <w:t xml:space="preserve">(EPR) scheme for micropollutants141 in the context of the revision of the Urban Waste Water</w:t>
      </w:r>
      <w:r>
        <w:t xml:space="preserve"> </w:t>
      </w:r>
      <w:r>
        <w:t xml:space="preserve">Treatment Directive (UWWTD) identified pharmaceuticals and personal care products</w:t>
      </w:r>
      <w:r>
        <w:t xml:space="preserve"> </w:t>
      </w:r>
      <w:r>
        <w:t xml:space="preserve">(PCPs) as the main sources of micropollutants reaching urban waste water treatment plants,</w:t>
      </w:r>
      <w:r>
        <w:t xml:space="preserve"> </w:t>
      </w:r>
      <w:r>
        <w:t xml:space="preserve">albeit the contribution from PCPs was lower than from pharmaceuticals. It was estimated that</w:t>
      </w:r>
      <w:r>
        <w:t xml:space="preserve"> </w:t>
      </w:r>
      <w:r>
        <w:t xml:space="preserve">PCPs constitute 26% of the total PNEC toxicity load (pharmaceuticals 66%).</w:t>
      </w:r>
      <w:r>
        <w:t xml:space="preserve"> </w:t>
      </w:r>
      <w:r>
        <w:t xml:space="preserve">There is solid evidence of adverse environmental effects arising from food waste, which, in</w:t>
      </w:r>
      <w:r>
        <w:t xml:space="preserve"> </w:t>
      </w:r>
      <w:r>
        <w:t xml:space="preserve">turn, originates from improper use, storage and disposal of food products. However, the</w:t>
      </w:r>
      <w:r>
        <w:t xml:space="preserve"> </w:t>
      </w:r>
      <w:r>
        <w:t xml:space="preserve">problem of food waste is not related to the environmental hazardous properties of food, but</w:t>
      </w:r>
      <w:r>
        <w:t xml:space="preserve"> </w:t>
      </w:r>
      <w:r>
        <w:t xml:space="preserve">rather the volume of food waste. Scientific peer-reviewed papers discuss the environmental</w:t>
      </w:r>
      <w:r>
        <w:t xml:space="preserve"> </w:t>
      </w:r>
      <w:r>
        <w:t xml:space="preserve">hazards of some food antioxidants (e.g., synthetic phenolic antioxidants142). In 2015,</w:t>
      </w:r>
      <w:r>
        <w:t xml:space="preserve"> </w:t>
      </w:r>
      <w:r>
        <w:t xml:space="preserve">butylated hydroxytoluene (BHT) was included in the first Watch List for potential pollutants</w:t>
      </w:r>
      <w:r>
        <w:t xml:space="preserve"> </w:t>
      </w:r>
      <w:r>
        <w:t xml:space="preserve">of surface and ground waters in the EU143.</w:t>
      </w:r>
    </w:p>
    <w:p>
      <w:pPr>
        <w:pStyle w:val="BodyText"/>
      </w:pPr>
      <w:r>
        <w:t xml:space="preserve">138 EC, (2019). Why are potential dangerous phthalates allowed in medical devices, and who decides if their use</w:t>
      </w:r>
      <w:r>
        <w:t xml:space="preserve"> </w:t>
      </w:r>
      <w:r>
        <w:t xml:space="preserve">is</w:t>
      </w:r>
      <w:r>
        <w:t xml:space="preserve"> </w:t>
      </w:r>
      <w:r>
        <w:t xml:space="preserve">warranted?</w:t>
      </w:r>
      <w:r>
        <w:t xml:space="preserve"> </w:t>
      </w:r>
      <w:r>
        <w:t xml:space="preserve">Available</w:t>
      </w:r>
      <w:r>
        <w:t xml:space="preserve"> </w:t>
      </w:r>
      <w:r>
        <w:t xml:space="preserve">at:</w:t>
      </w:r>
      <w:r>
        <w:t xml:space="preserve"> </w:t>
      </w:r>
      <w:r>
        <w:t xml:space="preserve">https://ec.europa.eu/health/sites/default/files/scientific_committees/docs/citizens_phthalates_en.pdf</w:t>
      </w:r>
      <w:r>
        <w:br/>
      </w:r>
      <w:r>
        <w:t xml:space="preserve">139 Vita et al. (2018). Toxicology letters, 287, 70-82; Bom et al. (2019). Journal of Cleaner Production, 225, 270-</w:t>
      </w:r>
      <w:r>
        <w:t xml:space="preserve"> </w:t>
      </w:r>
      <w:r>
        <w:t xml:space="preserve">290; Juliano and Magrini (2017). Cosmetics, 4, 11-29; Brausch and Rand (2010). Chemosphere, 82, 1518-1532</w:t>
      </w:r>
      <w:r>
        <w:t xml:space="preserve"> </w:t>
      </w:r>
      <w:r>
        <w:t xml:space="preserve">140 Bioinnovation Service, 2022. Feasibility of an EPR system for micro-pollutants. Study for DG ENV, Unit C2</w:t>
      </w:r>
      <w:r>
        <w:t xml:space="preserve"> </w:t>
      </w:r>
      <w:r>
        <w:t xml:space="preserve">(under publication, exact ref to be added)</w:t>
      </w:r>
      <w:r>
        <w:t xml:space="preserve"> </w:t>
      </w:r>
      <w:r>
        <w:t xml:space="preserve">141 Micropollutants are substances found in water bodies or waste water with some toxic activity to humans or</w:t>
      </w:r>
      <w:r>
        <w:t xml:space="preserve"> </w:t>
      </w:r>
      <w:r>
        <w:t xml:space="preserve">ecosystems; some of them are toxic even in small concentrations (e.g. endocrine disruptors) and there is concern</w:t>
      </w:r>
      <w:r>
        <w:t xml:space="preserve"> </w:t>
      </w:r>
      <w:r>
        <w:t xml:space="preserve">about their chronic effect and about so-called cocktail effects when combining diffuse exposition to multiple</w:t>
      </w:r>
      <w:r>
        <w:t xml:space="preserve"> </w:t>
      </w:r>
      <w:r>
        <w:t xml:space="preserve">pollutants.</w:t>
      </w:r>
      <w:r>
        <w:t xml:space="preserve"> </w:t>
      </w:r>
      <w:r>
        <w:t xml:space="preserve">142 Wang et al. (2021). Environmental Research, 111531.</w:t>
      </w:r>
      <w:r>
        <w:t xml:space="preserve"> </w:t>
      </w:r>
      <w:r>
        <w:t xml:space="preserve">143 Negrão De Carvalho, R. et al. (2015). Publications Office of the European Union; 2015. JRC95018.</w:t>
      </w:r>
    </w:p>
    <w:p>
      <w:pPr>
        <w:pStyle w:val="BodyText"/>
      </w:pPr>
      <w:r>
        <w:t xml:space="preserve">507</w:t>
      </w:r>
    </w:p>
    <w:p>
      <w:pPr>
        <w:pStyle w:val="BodyText"/>
      </w:pPr>
      <w:r>
        <w:t xml:space="preserve">Problem drivers: Exemption of human and veterinary medicines, medical devices, cosmetics</w:t>
      </w:r>
      <w:r>
        <w:t xml:space="preserve"> </w:t>
      </w:r>
      <w:r>
        <w:t xml:space="preserve">and food and feed from the scope of CLP</w:t>
      </w:r>
      <w:r>
        <w:t xml:space="preserve"> </w:t>
      </w:r>
      <w:r>
        <w:t xml:space="preserve">The CLP Regulation provides information about the environmental hazards of substances and</w:t>
      </w:r>
      <w:r>
        <w:t xml:space="preserve"> </w:t>
      </w:r>
      <w:r>
        <w:t xml:space="preserve">mixtures to their recipients, i.e., professional users and consumers. The sectorial legislation</w:t>
      </w:r>
      <w:r>
        <w:t xml:space="preserve"> </w:t>
      </w:r>
      <w:r>
        <w:t xml:space="preserve">covers environmental aspects to a varying degree, but generally does not provide hazard</w:t>
      </w:r>
      <w:r>
        <w:t xml:space="preserve"> </w:t>
      </w:r>
      <w:r>
        <w:t xml:space="preserve">information to the users as it is required by the CLP Regulation on environmental endpoints.</w:t>
      </w:r>
      <w:r>
        <w:t xml:space="preserve"> </w:t>
      </w:r>
      <w:r>
        <w:t xml:space="preserve">The products which are exempted from CLP are equally exempted from the provisions in</w:t>
      </w:r>
      <w:r>
        <w:t xml:space="preserve"> </w:t>
      </w:r>
      <w:r>
        <w:t xml:space="preserve">REACH concerning information in the supply chain (Title IV), which i.e. provides that</w:t>
      </w:r>
      <w:r>
        <w:t xml:space="preserve"> </w:t>
      </w:r>
      <w:r>
        <w:t xml:space="preserve">professional users can request a safety data sheet, which could provide information on</w:t>
      </w:r>
      <w:r>
        <w:t xml:space="preserve"> </w:t>
      </w:r>
      <w:r>
        <w:t xml:space="preserve">hazardous properties of a mixture.</w:t>
      </w:r>
      <w:r>
        <w:t xml:space="preserve"> </w:t>
      </w:r>
      <w:r>
        <w:t xml:space="preserve">Human and veterinary medicinal products</w:t>
      </w:r>
      <w:r>
        <w:t xml:space="preserve"> </w:t>
      </w:r>
      <w:r>
        <w:t xml:space="preserve">The effects of human medicinal products (HMPs) and veterinary medicinal products</w:t>
      </w:r>
      <w:r>
        <w:t xml:space="preserve"> </w:t>
      </w:r>
      <w:r>
        <w:t xml:space="preserve">(VMPs) on the environment are addressed in the environmental risk assessment which</w:t>
      </w:r>
      <w:r>
        <w:t xml:space="preserve"> </w:t>
      </w:r>
      <w:r>
        <w:t xml:space="preserve">must be submitted as part of the marketing authorisation dossier. In cases where the</w:t>
      </w:r>
      <w:r>
        <w:t xml:space="preserve"> </w:t>
      </w:r>
      <w:r>
        <w:t xml:space="preserve">environmental risk assessments identifies a potential risk to the environment that</w:t>
      </w:r>
      <w:r>
        <w:t xml:space="preserve"> </w:t>
      </w:r>
      <w:r>
        <w:t xml:space="preserve">cannot be avoided, the applicant has to propose a risk mitigation strategy, including</w:t>
      </w:r>
      <w:r>
        <w:t xml:space="preserve"> </w:t>
      </w:r>
      <w:r>
        <w:t xml:space="preserve">information about the environmental risks of the medicinal product, appropriate use,</w:t>
      </w:r>
      <w:r>
        <w:t xml:space="preserve"> </w:t>
      </w:r>
      <w:r>
        <w:t xml:space="preserve">storage and disposal indicated on the label or in the package leaflet.144 However, the</w:t>
      </w:r>
      <w:r>
        <w:t xml:space="preserve"> </w:t>
      </w:r>
      <w:r>
        <w:t xml:space="preserve">environmental hazards of HMPs and VMPs are not communicated as such as it is</w:t>
      </w:r>
      <w:r>
        <w:t xml:space="preserve"> </w:t>
      </w:r>
      <w:r>
        <w:t xml:space="preserve">required for other chemical products in the scope of the CLP Regulation.</w:t>
      </w:r>
      <w:r>
        <w:t xml:space="preserve"> </w:t>
      </w:r>
      <w:r>
        <w:t xml:space="preserve">The review of evaluation studies, as well as scientific and technical reports, did not</w:t>
      </w:r>
      <w:r>
        <w:t xml:space="preserve"> </w:t>
      </w:r>
      <w:r>
        <w:t xml:space="preserve">find any conclusive evidence that more extensive labelling of medicines (based on</w:t>
      </w:r>
      <w:r>
        <w:t xml:space="preserve"> </w:t>
      </w:r>
      <w:r>
        <w:t xml:space="preserve">CLP environmental hazards) would substantially contribute to the mitigation of the</w:t>
      </w:r>
      <w:r>
        <w:t xml:space="preserve"> </w:t>
      </w:r>
      <w:r>
        <w:t xml:space="preserve">environmental hazards of pharmaceuticals. Furthermore, the systematic literature</w:t>
      </w:r>
      <w:r>
        <w:t xml:space="preserve"> </w:t>
      </w:r>
      <w:r>
        <w:t xml:space="preserve">reviews did not identify a clear link between environmental awareness and positive</w:t>
      </w:r>
      <w:r>
        <w:t xml:space="preserve"> </w:t>
      </w:r>
      <w:r>
        <w:t xml:space="preserve">change in consumer behaviour145 and indicated that more factors – e.g., availability of</w:t>
      </w:r>
      <w:r>
        <w:t xml:space="preserve"> </w:t>
      </w:r>
      <w:r>
        <w:t xml:space="preserve">medicine take-back programme, advice by doctors and pharmacists etc. shape the</w:t>
      </w:r>
      <w:r>
        <w:t xml:space="preserve"> </w:t>
      </w:r>
      <w:r>
        <w:t xml:space="preserve">behaviour of consumers with regard to the proper disposal of medicines146.</w:t>
      </w:r>
      <w:r>
        <w:br/>
      </w:r>
      <w:r>
        <w:t xml:space="preserve">Medical devices</w:t>
      </w:r>
      <w:r>
        <w:t xml:space="preserve"> </w:t>
      </w:r>
      <w:r>
        <w:t xml:space="preserve">The relevant legislation on Medical Devices and In Vitro Medical Devices147 does not</w:t>
      </w:r>
      <w:r>
        <w:t xml:space="preserve"> </w:t>
      </w:r>
      <w:r>
        <w:t xml:space="preserve">explicitly focus on environmental hazards; however, some safety requirements</w:t>
      </w:r>
      <w:r>
        <w:t xml:space="preserve"> </w:t>
      </w:r>
      <w:r>
        <w:t xml:space="preserve">addressing the safety of disposal of and emissions from medical devices (incl. in vitro</w:t>
      </w:r>
      <w:r>
        <w:t xml:space="preserve"> </w:t>
      </w:r>
      <w:r>
        <w:t xml:space="preserve">medical devices) might be relevant to the protection of the environment. Professional</w:t>
      </w:r>
      <w:r>
        <w:t xml:space="preserve"> </w:t>
      </w:r>
      <w:r>
        <w:t xml:space="preserve">users and consumers do not have access to information about environmental hazards</w:t>
      </w:r>
      <w:r>
        <w:t xml:space="preserve"> </w:t>
      </w:r>
      <w:r>
        <w:t xml:space="preserve">of medical devices, although some information on the environmental hazards is</w:t>
      </w:r>
      <w:r>
        <w:t xml:space="preserve"> </w:t>
      </w:r>
      <w:r>
        <w:t xml:space="preserve">provided for in vitro medical devices containing substances or mixtures which may be</w:t>
      </w:r>
      <w:r>
        <w:t xml:space="preserve"> </w:t>
      </w:r>
      <w:r>
        <w:t xml:space="preserve">considered dangerous. The labels and instructions for use of medical devices</w:t>
      </w:r>
    </w:p>
    <w:p>
      <w:pPr>
        <w:pStyle w:val="BodyText"/>
      </w:pPr>
      <w:r>
        <w:t xml:space="preserve">144 EMA (2018). Guideline on the environmental risk assessment of medicinal products for human use.</w:t>
      </w:r>
      <w:r>
        <w:t xml:space="preserve"> </w:t>
      </w:r>
      <w:r>
        <w:t xml:space="preserve">Available at: https://www.ema.europa.eu/en/documents/scientific-guideline/draft-guideline-environmental-risk-</w:t>
      </w:r>
      <w:r>
        <w:t xml:space="preserve"> </w:t>
      </w:r>
      <w:r>
        <w:t xml:space="preserve">assessment-medicinal-products-human-use-revision-1_en.pdf</w:t>
      </w:r>
      <w:r>
        <w:br/>
      </w:r>
      <w:r>
        <w:t xml:space="preserve">145 Kusturica et al. (2016). Reviews of Environmental Contamination and Toxicology, 240, 71-104.</w:t>
      </w:r>
      <w:r>
        <w:br/>
      </w:r>
      <w:r>
        <w:t xml:space="preserve">146 Makki et al. (2019). Pharmacy, 7(2), 61.</w:t>
      </w:r>
      <w:r>
        <w:t xml:space="preserve"> </w:t>
      </w:r>
      <w:r>
        <w:t xml:space="preserve">147 Regulation (EU) 2017/745 of the European Parliament and of the Council of 5 April 2017 on medical</w:t>
      </w:r>
      <w:r>
        <w:t xml:space="preserve"> </w:t>
      </w:r>
      <w:r>
        <w:t xml:space="preserve">devices, OJ L 117, 5.5.2017, p. 1–175; Regulation (EU) 2017/746 of the European Parliament and of the</w:t>
      </w:r>
      <w:r>
        <w:t xml:space="preserve"> </w:t>
      </w:r>
      <w:r>
        <w:t xml:space="preserve">Council of 5 April 2017 on in vitro diagnostic medical devices, OJ L 117, 5.5.2017, p. 176–332</w:t>
      </w:r>
    </w:p>
    <w:p>
      <w:pPr>
        <w:pStyle w:val="BodyText"/>
      </w:pPr>
      <w:r>
        <w:t xml:space="preserve">508</w:t>
      </w:r>
    </w:p>
    <w:p>
      <w:pPr>
        <w:pStyle w:val="BodyText"/>
      </w:pPr>
      <w:r>
        <w:t xml:space="preserve">communicate relevant information on safe use, storage, handling and disposal of the</w:t>
      </w:r>
      <w:r>
        <w:t xml:space="preserve"> </w:t>
      </w:r>
      <w:r>
        <w:t xml:space="preserve">devices, where necessary.</w:t>
      </w:r>
      <w:r>
        <w:br/>
      </w:r>
      <w:r>
        <w:t xml:space="preserve">Cosmetic products</w:t>
      </w:r>
      <w:r>
        <w:t xml:space="preserve"> </w:t>
      </w:r>
      <w:r>
        <w:t xml:space="preserve">The Cosmetic Products Regulation (CPR)148 does not contain any specific</w:t>
      </w:r>
      <w:r>
        <w:t xml:space="preserve"> </w:t>
      </w:r>
      <w:r>
        <w:t xml:space="preserve">requirements related to the identification, and assessment of the environmental</w:t>
      </w:r>
      <w:r>
        <w:t xml:space="preserve"> </w:t>
      </w:r>
      <w:r>
        <w:t xml:space="preserve">hazards of cosmetic ingredients or products, nor on the communication related to such</w:t>
      </w:r>
      <w:r>
        <w:t xml:space="preserve"> </w:t>
      </w:r>
      <w:r>
        <w:t xml:space="preserve">hazards. As stated in Recital (5) of CPR, the environmental concerns for cosmetics</w:t>
      </w:r>
      <w:r>
        <w:t xml:space="preserve"> </w:t>
      </w:r>
      <w:r>
        <w:t xml:space="preserve">products are to be addressed by REACH. While the Annexes of CPR prescribes</w:t>
      </w:r>
      <w:r>
        <w:t xml:space="preserve"> </w:t>
      </w:r>
      <w:r>
        <w:t xml:space="preserve">labelling for certain ingredients, including specific instructions for use, these are</w:t>
      </w:r>
      <w:r>
        <w:t xml:space="preserve"> </w:t>
      </w:r>
      <w:r>
        <w:t xml:space="preserve">limited to the human health related aspects under the scope of this legislation.</w:t>
      </w:r>
      <w:r>
        <w:t xml:space="preserve"> </w:t>
      </w:r>
      <w:r>
        <w:t xml:space="preserve">According to REACH, manufacturers and downstream users are obliged to assess</w:t>
      </w:r>
      <w:r>
        <w:t xml:space="preserve"> </w:t>
      </w:r>
      <w:r>
        <w:t xml:space="preserve">identified uses, including in cosmetic products, in a chemical safety report. Moreover,</w:t>
      </w:r>
      <w:r>
        <w:t xml:space="preserve"> </w:t>
      </w:r>
      <w:r>
        <w:t xml:space="preserve">REACH can place restrictions on certain uses of substances, including on cosmetic</w:t>
      </w:r>
      <w:r>
        <w:t xml:space="preserve"> </w:t>
      </w:r>
      <w:r>
        <w:t xml:space="preserve">ingredients. However, only a limited number of relevant cosmetic ingredients have</w:t>
      </w:r>
      <w:r>
        <w:t xml:space="preserve"> </w:t>
      </w:r>
      <w:r>
        <w:t xml:space="preserve">yet</w:t>
      </w:r>
      <w:r>
        <w:t xml:space="preserve"> </w:t>
      </w:r>
      <w:r>
        <w:t xml:space="preserve">been</w:t>
      </w:r>
      <w:r>
        <w:t xml:space="preserve"> </w:t>
      </w:r>
      <w:r>
        <w:t xml:space="preserve">addressed</w:t>
      </w:r>
      <w:r>
        <w:t xml:space="preserve"> </w:t>
      </w:r>
      <w:r>
        <w:t xml:space="preserve">through</w:t>
      </w:r>
      <w:r>
        <w:t xml:space="preserve"> </w:t>
      </w:r>
      <w:r>
        <w:t xml:space="preserve">restrictions</w:t>
      </w:r>
      <w:r>
        <w:t xml:space="preserve"> </w:t>
      </w:r>
      <w:r>
        <w:t xml:space="preserve">under</w:t>
      </w:r>
      <w:r>
        <w:t xml:space="preserve"> </w:t>
      </w:r>
      <w:r>
        <w:t xml:space="preserve">REACH</w:t>
      </w:r>
      <w:r>
        <w:t xml:space="preserve"> </w:t>
      </w:r>
      <w:r>
        <w:t xml:space="preserve">(e.g. </w:t>
      </w:r>
      <w:r>
        <w:t xml:space="preserve"> </w:t>
      </w:r>
      <w:r>
        <w:t xml:space="preserve">Octamethylyclotetrasiloxane</w:t>
      </w:r>
      <w:r>
        <w:t xml:space="preserve"> </w:t>
      </w:r>
      <w:r>
        <w:t xml:space="preserve">(D4)</w:t>
      </w:r>
      <w:r>
        <w:t xml:space="preserve"> </w:t>
      </w:r>
      <w:r>
        <w:t xml:space="preserve">and</w:t>
      </w:r>
      <w:r>
        <w:t xml:space="preserve"> </w:t>
      </w:r>
      <w:r>
        <w:t xml:space="preserve">Decamethylcyclopentasiloxane</w:t>
      </w:r>
      <w:r>
        <w:t xml:space="preserve"> </w:t>
      </w:r>
      <w:r>
        <w:t xml:space="preserve">(D5),</w:t>
      </w:r>
      <w:r>
        <w:t xml:space="preserve"> </w:t>
      </w:r>
      <w:r>
        <w:t xml:space="preserve">microplastics (under development)).</w:t>
      </w:r>
      <w:r>
        <w:br/>
      </w:r>
      <w:r>
        <w:t xml:space="preserve">Studies about environmental concerns and cosmetics purchasing behaviour show</w:t>
      </w:r>
      <w:r>
        <w:t xml:space="preserve"> </w:t>
      </w:r>
      <w:r>
        <w:t xml:space="preserve">multiple interacting factors that shape consumer behaviour. In the systematic review</w:t>
      </w:r>
      <w:r>
        <w:t xml:space="preserve"> </w:t>
      </w:r>
      <w:r>
        <w:t xml:space="preserve">of 80 research papers published in 2011-2017, One publication149 showed different</w:t>
      </w:r>
      <w:r>
        <w:t xml:space="preserve"> </w:t>
      </w:r>
      <w:r>
        <w:t xml:space="preserve">types of motivational factors and their interplay in purchasing decisions of green</w:t>
      </w:r>
      <w:r>
        <w:t xml:space="preserve"> </w:t>
      </w:r>
      <w:r>
        <w:t xml:space="preserve">personal care products and colour cosmetics. According to the study, in buying green</w:t>
      </w:r>
      <w:r>
        <w:t xml:space="preserve"> </w:t>
      </w:r>
      <w:r>
        <w:t xml:space="preserve">personal care products, health concerns are the main deciding factor that also</w:t>
      </w:r>
      <w:r>
        <w:t xml:space="preserve"> </w:t>
      </w:r>
      <w:r>
        <w:t xml:space="preserve">influences other motivational factors, such as internal (environmental attitudes,</w:t>
      </w:r>
      <w:r>
        <w:t xml:space="preserve"> </w:t>
      </w:r>
      <w:r>
        <w:t xml:space="preserve">values,</w:t>
      </w:r>
      <w:r>
        <w:t xml:space="preserve"> </w:t>
      </w:r>
      <w:r>
        <w:t xml:space="preserve">environmental</w:t>
      </w:r>
      <w:r>
        <w:t xml:space="preserve"> </w:t>
      </w:r>
      <w:r>
        <w:t xml:space="preserve">consciousness</w:t>
      </w:r>
      <w:r>
        <w:t xml:space="preserve"> </w:t>
      </w:r>
      <w:r>
        <w:t xml:space="preserve">and</w:t>
      </w:r>
      <w:r>
        <w:t xml:space="preserve"> </w:t>
      </w:r>
      <w:r>
        <w:t xml:space="preserve">attitude</w:t>
      </w:r>
      <w:r>
        <w:t xml:space="preserve"> </w:t>
      </w:r>
      <w:r>
        <w:t xml:space="preserve">towards</w:t>
      </w:r>
      <w:r>
        <w:t xml:space="preserve"> </w:t>
      </w:r>
      <w:r>
        <w:t xml:space="preserve">environmental</w:t>
      </w:r>
      <w:r>
        <w:t xml:space="preserve"> </w:t>
      </w:r>
      <w:r>
        <w:t xml:space="preserve">consumption), social (social pressure, family, friends’ attitudes etc.) and external</w:t>
      </w:r>
      <w:r>
        <w:t xml:space="preserve"> </w:t>
      </w:r>
      <w:r>
        <w:t xml:space="preserve">(environmental awareness, price, supply, etc.). Differently, when buying colour and</w:t>
      </w:r>
      <w:r>
        <w:t xml:space="preserve"> </w:t>
      </w:r>
      <w:r>
        <w:t xml:space="preserve">styling cosmetics, which is considered a luxury product, brand and quality play a</w:t>
      </w:r>
      <w:r>
        <w:t xml:space="preserve"> </w:t>
      </w:r>
      <w:r>
        <w:t xml:space="preserve">dominant role and influence other motivational factors.</w:t>
      </w:r>
      <w:r>
        <w:br/>
      </w:r>
      <w:r>
        <w:t xml:space="preserve">Food and feed stuffs</w:t>
      </w:r>
      <w:r>
        <w:t xml:space="preserve"> </w:t>
      </w:r>
      <w:r>
        <w:t xml:space="preserve">In food legislation, the Regulation on genetically modified food and feed150 requires</w:t>
      </w:r>
      <w:r>
        <w:t xml:space="preserve"> </w:t>
      </w:r>
      <w:r>
        <w:t xml:space="preserve">the identification of environmental hazards is a part of the environmental risk</w:t>
      </w:r>
      <w:r>
        <w:t xml:space="preserve"> </w:t>
      </w:r>
      <w:r>
        <w:t xml:space="preserve">assessment. Other food legislation does not directly cover environmental risk</w:t>
      </w:r>
      <w:r>
        <w:t xml:space="preserve"> </w:t>
      </w:r>
      <w:r>
        <w:t xml:space="preserve">assessment, although some legal acts specify that environmental factors may be</w:t>
      </w:r>
      <w:r>
        <w:t xml:space="preserve"> </w:t>
      </w:r>
      <w:r>
        <w:t xml:space="preserve">considered, if relevant, in the approval of authorisation applications or as a part of</w:t>
      </w:r>
      <w:r>
        <w:t xml:space="preserve"> </w:t>
      </w:r>
      <w:r>
        <w:t xml:space="preserve">scientific risk assessments. All analysed animal feed legal acts provide an explicit</w:t>
      </w:r>
      <w:r>
        <w:t xml:space="preserve"> </w:t>
      </w:r>
      <w:r>
        <w:t xml:space="preserve">requirement for animal feed and animal feed additives to be safe for the environment.</w:t>
      </w:r>
      <w:r>
        <w:t xml:space="preserve"> </w:t>
      </w:r>
      <w:r>
        <w:t xml:space="preserve">The analysis of the effects on the environment must be provided in authorisation</w:t>
      </w:r>
      <w:r>
        <w:t xml:space="preserve"> </w:t>
      </w:r>
      <w:r>
        <w:t xml:space="preserve">applications. The review of the food and feed legislation did not find any specific</w:t>
      </w:r>
      <w:r>
        <w:t xml:space="preserve"> </w:t>
      </w:r>
      <w:r>
        <w:t xml:space="preserve">labelling requirements addressing the environmental hazards covered by CLP.</w:t>
      </w:r>
    </w:p>
    <w:p>
      <w:pPr>
        <w:pStyle w:val="BodyText"/>
      </w:pPr>
      <w:r>
        <w:t xml:space="preserve">148 Regulation (EC) No 1223/2009 of the European Parliament and of the Council of 30 November 2009 on</w:t>
      </w:r>
      <w:r>
        <w:t xml:space="preserve"> </w:t>
      </w:r>
      <w:r>
        <w:t xml:space="preserve">cosmetic products, OJ L 342, 22.12.2009, p. 59–209</w:t>
      </w:r>
      <w:r>
        <w:t xml:space="preserve"> </w:t>
      </w:r>
      <w:r>
        <w:t xml:space="preserve">149 Liobikienė, G. and Bernatonienė, J. (2017). Journal of Cleaner Production, 162, 109-120.</w:t>
      </w:r>
      <w:r>
        <w:br/>
      </w:r>
      <w:r>
        <w:t xml:space="preserve">150 Regulation (EC) No 1829/2003 of the European Parliament and of the Council of 22 September 2003 on</w:t>
      </w:r>
      <w:r>
        <w:t xml:space="preserve"> </w:t>
      </w:r>
      <w:r>
        <w:t xml:space="preserve">genetically modified food and feed, OJ L 268, 18.10.2003, p. 1–23.</w:t>
      </w:r>
    </w:p>
    <w:p>
      <w:pPr>
        <w:pStyle w:val="BodyText"/>
      </w:pPr>
      <w:r>
        <w:t xml:space="preserve">509</w:t>
      </w:r>
    </w:p>
    <w:p>
      <w:pPr>
        <w:pStyle w:val="BodyText"/>
      </w:pPr>
      <w:r>
        <w:t xml:space="preserve">How likely is the problem to persist?</w:t>
      </w:r>
      <w:r>
        <w:br/>
      </w:r>
      <w:r>
        <w:t xml:space="preserve">Human and veterinary medicinal products</w:t>
      </w:r>
      <w:r>
        <w:t xml:space="preserve"> </w:t>
      </w:r>
      <w:r>
        <w:t xml:space="preserve">Pharmaceutical consumption is growing worldwide. In the EU, due to an aging population,</w:t>
      </w:r>
      <w:r>
        <w:t xml:space="preserve"> </w:t>
      </w:r>
      <w:r>
        <w:t xml:space="preserve">the consumption of drugs to treat ageing-related and chronic diseases is expected to remain</w:t>
      </w:r>
      <w:r>
        <w:t xml:space="preserve"> </w:t>
      </w:r>
      <w:r>
        <w:t xml:space="preserve">significant, although a reduction in the consumption of all pharmaceuticals has been observed</w:t>
      </w:r>
      <w:r>
        <w:t xml:space="preserve"> </w:t>
      </w:r>
      <w:r>
        <w:t xml:space="preserve">since 2015. Due to the inappropriate management, treatment, and disposal, discharges of</w:t>
      </w:r>
      <w:r>
        <w:t xml:space="preserve"> </w:t>
      </w:r>
      <w:r>
        <w:t xml:space="preserve">pharmaceuticals and their metabolites into the environment are expected to increase151. The</w:t>
      </w:r>
      <w:r>
        <w:t xml:space="preserve"> </w:t>
      </w:r>
      <w:r>
        <w:t xml:space="preserve">European Commission has a number of ongoing initiatives to address environmental</w:t>
      </w:r>
      <w:r>
        <w:t xml:space="preserve"> </w:t>
      </w:r>
      <w:r>
        <w:t xml:space="preserve">pollution from medicinal products. The Strategic approach to pharmaceuticals in the</w:t>
      </w:r>
      <w:r>
        <w:t xml:space="preserve"> </w:t>
      </w:r>
      <w:r>
        <w:t xml:space="preserve">environment and the Farm to Fork Strategy aim to mitigate the environmental issues caused</w:t>
      </w:r>
      <w:r>
        <w:t xml:space="preserve"> </w:t>
      </w:r>
      <w:r>
        <w:t xml:space="preserve">by both human and veterinary medicines. To tackle the presence of pharmaceuticals and their</w:t>
      </w:r>
      <w:r>
        <w:t xml:space="preserve"> </w:t>
      </w:r>
      <w:r>
        <w:t xml:space="preserve">negative effects on the environment, in 2019 the European Commission has adopted the</w:t>
      </w:r>
      <w:r>
        <w:t xml:space="preserve"> </w:t>
      </w:r>
      <w:r>
        <w:t xml:space="preserve">Strategic approach to pharmaceuticals in the environment, which aims to mitigate the</w:t>
      </w:r>
      <w:r>
        <w:t xml:space="preserve"> </w:t>
      </w:r>
      <w:r>
        <w:t xml:space="preserve">environmental issues caused by human and veterinary medicines. The strategy provides many</w:t>
      </w:r>
      <w:r>
        <w:t xml:space="preserve"> </w:t>
      </w:r>
      <w:r>
        <w:t xml:space="preserve">measures for improving the environmental risk assessment of medicinal products and raising</w:t>
      </w:r>
      <w:r>
        <w:t xml:space="preserve"> </w:t>
      </w:r>
      <w:r>
        <w:t xml:space="preserve">public awareness about proper use and disposal.</w:t>
      </w:r>
      <w:r>
        <w:t xml:space="preserve"> </w:t>
      </w:r>
      <w:r>
        <w:t xml:space="preserve">Cosmetics</w:t>
      </w:r>
      <w:r>
        <w:t xml:space="preserve"> </w:t>
      </w:r>
      <w:r>
        <w:t xml:space="preserve">The global market for cosmetics has grown at an average rate of 4% in the period 2011-</w:t>
      </w:r>
      <w:r>
        <w:t xml:space="preserve"> </w:t>
      </w:r>
      <w:r>
        <w:t xml:space="preserve">2019.152 The European market is expected to follow the global trends, both in terms of</w:t>
      </w:r>
      <w:r>
        <w:t xml:space="preserve"> </w:t>
      </w:r>
      <w:r>
        <w:t xml:space="preserve">growth of the different business segments (skincare, haircare, makeup, fragrances and</w:t>
      </w:r>
      <w:r>
        <w:t xml:space="preserve"> </w:t>
      </w:r>
      <w:r>
        <w:t xml:space="preserve">hygiene products) and channels (strong growth of online sales).</w:t>
      </w:r>
      <w:r>
        <w:br/>
      </w:r>
      <w:r>
        <w:t xml:space="preserve">There are ongoing regulatory initiatives that can have an impact on mitigating the</w:t>
      </w:r>
      <w:r>
        <w:t xml:space="preserve"> </w:t>
      </w:r>
      <w:r>
        <w:t xml:space="preserve">environmental risks of chemicals including cosmetic products:</w:t>
      </w:r>
      <w:r>
        <w:br/>
      </w:r>
      <w:r>
        <w:t xml:space="preserve">Currently, the CPR is being reviewed to align the current rules on cosmetics with the</w:t>
      </w:r>
      <w:r>
        <w:t xml:space="preserve"> </w:t>
      </w:r>
      <w:r>
        <w:t xml:space="preserve">objectives of the Chemicals Strategy for Sustainability.</w:t>
      </w:r>
      <w:r>
        <w:br/>
      </w:r>
      <w:r>
        <w:t xml:space="preserve">The Sustainable Product Initiative (SPI), a legislative framework, announced in 2020 in the</w:t>
      </w:r>
      <w:r>
        <w:t xml:space="preserve"> </w:t>
      </w:r>
      <w:r>
        <w:t xml:space="preserve">Circular Economy Action Plan, targets the environmental performance of goods and services.</w:t>
      </w:r>
      <w:r>
        <w:t xml:space="preserve"> </w:t>
      </w:r>
      <w:r>
        <w:t xml:space="preserve">By revising the Ecodesign Directive, high environmental performance will be ensured for all</w:t>
      </w:r>
      <w:r>
        <w:t xml:space="preserve"> </w:t>
      </w:r>
      <w:r>
        <w:t xml:space="preserve">products (i.e. covering cosmetic products as well) on the EU market. For this purpose,</w:t>
      </w:r>
      <w:r>
        <w:t xml:space="preserve"> </w:t>
      </w:r>
      <w:r>
        <w:t xml:space="preserve">specific environmental requirements and sustainability principles will be developed. SPI will</w:t>
      </w:r>
      <w:r>
        <w:t xml:space="preserve"> </w:t>
      </w:r>
      <w:r>
        <w:t xml:space="preserve">address the current lack of reliable sustainability information about the products. By offering</w:t>
      </w:r>
      <w:r>
        <w:t xml:space="preserve"> </w:t>
      </w:r>
      <w:r>
        <w:t xml:space="preserve">relevant solutions, such as e.g., digital tagging, digital product passports, it will improve</w:t>
      </w:r>
      <w:r>
        <w:t xml:space="preserve"> </w:t>
      </w:r>
      <w:r>
        <w:t xml:space="preserve">communication of the environmental performance of the product to consumers and enable</w:t>
      </w:r>
      <w:r>
        <w:t xml:space="preserve"> </w:t>
      </w:r>
      <w:r>
        <w:t xml:space="preserve">them to make informed decisions when buying a product. The revision is planned to be</w:t>
      </w:r>
      <w:r>
        <w:t xml:space="preserve"> </w:t>
      </w:r>
      <w:r>
        <w:t xml:space="preserve">completed in the first quarter of 2022.</w:t>
      </w:r>
      <w:r>
        <w:t xml:space="preserve"> </w:t>
      </w:r>
      <w:r>
        <w:t xml:space="preserve">The Introduction of new hazard classes in CLP (intervention area 1), in conjunction with the</w:t>
      </w:r>
      <w:r>
        <w:t xml:space="preserve"> </w:t>
      </w:r>
      <w:r>
        <w:t xml:space="preserve">revision of REACH in 2022 which i.e. aims at extending the use of the Generic approach to</w:t>
      </w:r>
      <w:r>
        <w:t xml:space="preserve"> </w:t>
      </w:r>
      <w:r>
        <w:t xml:space="preserve">risk management</w:t>
      </w:r>
    </w:p>
    <w:p>
      <w:pPr>
        <w:pStyle w:val="BodyText"/>
      </w:pPr>
      <w:r>
        <w:t xml:space="preserve">151 González Peña et al. (2021). Int. J. Environ. Res. Public Health 2021, 18, 2532.</w:t>
      </w:r>
      <w:r>
        <w:br/>
      </w:r>
      <w:r>
        <w:t xml:space="preserve">152 L’Oreal, Cosmetics Market 2020. https://www.loreal-finance.com/en/annual-report-2020/cosmetics-market-</w:t>
      </w:r>
      <w:r>
        <w:t xml:space="preserve"> </w:t>
      </w:r>
      <w:r>
        <w:t xml:space="preserve">2-1-0/</w:t>
      </w:r>
    </w:p>
    <w:p>
      <w:pPr>
        <w:pStyle w:val="BodyText"/>
      </w:pPr>
      <w:r>
        <w:t xml:space="preserve">510</w:t>
      </w:r>
    </w:p>
    <w:p>
      <w:pPr>
        <w:pStyle w:val="BodyText"/>
      </w:pPr>
      <w:r>
        <w:t xml:space="preserve">The ongoing revision of UWWTD included a feasibility study of establishing an Extended</w:t>
      </w:r>
      <w:r>
        <w:t xml:space="preserve"> </w:t>
      </w:r>
      <w:r>
        <w:t xml:space="preserve">producer responsibility (EPR) scheme for products responsible for introducing contaminants</w:t>
      </w:r>
      <w:r>
        <w:t xml:space="preserve"> </w:t>
      </w:r>
      <w:r>
        <w:t xml:space="preserve">of emerging concern into waste water. Following the polluter-pays principle, this would</w:t>
      </w:r>
      <w:r>
        <w:t xml:space="preserve"> </w:t>
      </w:r>
      <w:r>
        <w:t xml:space="preserve">ensure that those who place the concerned products on the EU market (producers, importers,</w:t>
      </w:r>
      <w:r>
        <w:t xml:space="preserve"> </w:t>
      </w:r>
      <w:r>
        <w:t xml:space="preserve">retailers, etc.) are responsible for the complete lifecycle of the products, including reduction</w:t>
      </w:r>
      <w:r>
        <w:t xml:space="preserve"> </w:t>
      </w:r>
      <w:r>
        <w:t xml:space="preserve">of discharges into the environment. Such a scheme could improve product composition so</w:t>
      </w:r>
      <w:r>
        <w:t xml:space="preserve"> </w:t>
      </w:r>
      <w:r>
        <w:t xml:space="preserve">that their environmental impacts at the end of life is eliminated or reduced, and/or finance</w:t>
      </w:r>
      <w:r>
        <w:t xml:space="preserve"> </w:t>
      </w:r>
      <w:r>
        <w:t xml:space="preserve">additional costs for removing pollutants from waste water by additional cleaning steps.</w:t>
      </w:r>
      <w:r>
        <w:t xml:space="preserve"> </w:t>
      </w:r>
      <w:r>
        <w:t xml:space="preserve">There is a growing interest in the environmental performance of products in general and</w:t>
      </w:r>
      <w:r>
        <w:t xml:space="preserve"> </w:t>
      </w:r>
      <w:r>
        <w:t xml:space="preserve">providing consumer with transparent information in particular. In 2021, the European</w:t>
      </w:r>
      <w:r>
        <w:t xml:space="preserve"> </w:t>
      </w:r>
      <w:r>
        <w:t xml:space="preserve">Commission revised the EU Ecolabel criteria for cosmetics. The revised criteria for awarding</w:t>
      </w:r>
      <w:r>
        <w:t xml:space="preserve"> </w:t>
      </w:r>
      <w:r>
        <w:t xml:space="preserve">the EU Ecolabel now apply both to rinse-off and leave-on cosmetic products and include i.a.</w:t>
      </w:r>
      <w:r>
        <w:t xml:space="preserve"> </w:t>
      </w:r>
      <w:r>
        <w:t xml:space="preserve">toxicity to aquatic organisms and biodegradability of rinse-off products and leave-on</w:t>
      </w:r>
      <w:r>
        <w:t xml:space="preserve"> </w:t>
      </w:r>
      <w:r>
        <w:t xml:space="preserve">products, specific exclusions and restrictions of hazardous ingredients, packaging and</w:t>
      </w:r>
      <w:r>
        <w:t xml:space="preserve"> </w:t>
      </w:r>
      <w:r>
        <w:t xml:space="preserve">sustainable sourcing of certain oils. Growing interest in getting the EU Ecolabel has been</w:t>
      </w:r>
      <w:r>
        <w:t xml:space="preserve"> </w:t>
      </w:r>
      <w:r>
        <w:t xml:space="preserve">recently observed. According to the European Commission, 2,057 licences have been</w:t>
      </w:r>
      <w:r>
        <w:t xml:space="preserve"> </w:t>
      </w:r>
      <w:r>
        <w:t xml:space="preserve">awarded for 83,590 products in the EU. Of those, the share of 21% (118) of licenses were</w:t>
      </w:r>
      <w:r>
        <w:t xml:space="preserve"> </w:t>
      </w:r>
      <w:r>
        <w:t xml:space="preserve">awarded to rinse-off cosmetic products with 3% (2,575) of products in this group granted the</w:t>
      </w:r>
      <w:r>
        <w:t xml:space="preserve"> </w:t>
      </w:r>
      <w:r>
        <w:t xml:space="preserve">EU Ecolabel (EC, 2021g).</w:t>
      </w:r>
      <w:r>
        <w:t xml:space="preserve"> </w:t>
      </w:r>
      <w:r>
        <w:t xml:space="preserve">Cosmetics Europe argues in its environmental sustainability report153 that many members of</w:t>
      </w:r>
      <w:r>
        <w:t xml:space="preserve"> </w:t>
      </w:r>
      <w:r>
        <w:t xml:space="preserve">the association have been systematically reporting their environmental performance on their</w:t>
      </w:r>
      <w:r>
        <w:t xml:space="preserve"> </w:t>
      </w:r>
      <w:r>
        <w:t xml:space="preserve">websites and provides some examples of environmental performance assessment in some</w:t>
      </w:r>
      <w:r>
        <w:t xml:space="preserve"> </w:t>
      </w:r>
      <w:r>
        <w:t xml:space="preserve">cosmetics companies. Finally, in 2021, a global consortium of cosmetic manufacturers</w:t>
      </w:r>
      <w:r>
        <w:t xml:space="preserve"> </w:t>
      </w:r>
      <w:r>
        <w:t xml:space="preserve">launched an initiative to develop an environmental impact assessment and scoring system for</w:t>
      </w:r>
      <w:r>
        <w:t xml:space="preserve"> </w:t>
      </w:r>
      <w:r>
        <w:t xml:space="preserve">cosmetics products. The assessment and scoring systems will be based on a common product</w:t>
      </w:r>
      <w:r>
        <w:t xml:space="preserve"> </w:t>
      </w:r>
      <w:r>
        <w:t xml:space="preserve">lifecycle assessment methodology for measuring the environmental impacts of a product,</w:t>
      </w:r>
      <w:r>
        <w:t xml:space="preserve"> </w:t>
      </w:r>
      <w:r>
        <w:t xml:space="preserve">common database of environmental impacts and tools to calculate them in line with a</w:t>
      </w:r>
      <w:r>
        <w:t xml:space="preserve"> </w:t>
      </w:r>
      <w:r>
        <w:t xml:space="preserve">harmonized system for scoring the environmental performance.154 This initiative is under</w:t>
      </w:r>
      <w:r>
        <w:t xml:space="preserve"> </w:t>
      </w:r>
      <w:r>
        <w:t xml:space="preserve">preparation and in a recent press release155 (23 February 2022) the consortium announced that</w:t>
      </w:r>
      <w:r>
        <w:t xml:space="preserve"> </w:t>
      </w:r>
      <w:r>
        <w:t xml:space="preserve">“A footprinting and scoring prototype is targeted for end of 2022, providing the</w:t>
      </w:r>
      <w:r>
        <w:t xml:space="preserve"> </w:t>
      </w:r>
      <w:r>
        <w:t xml:space="preserve">environmental scoring for a selection of product categories at first.”</w:t>
      </w:r>
      <w:r>
        <w:t xml:space="preserve"> </w:t>
      </w:r>
      <w:r>
        <w:t xml:space="preserve">Stakeholders’ views</w:t>
      </w:r>
      <w:r>
        <w:t xml:space="preserve"> </w:t>
      </w:r>
      <w:r>
        <w:t xml:space="preserve">According to the findings of two recent Eurobarometer surveys, the European citizens are</w:t>
      </w:r>
      <w:r>
        <w:t xml:space="preserve"> </w:t>
      </w:r>
      <w:r>
        <w:t xml:space="preserve">highly concerned about the environmental issues and would like to be informed about them.</w:t>
      </w:r>
      <w:r>
        <w:t xml:space="preserve"> </w:t>
      </w:r>
      <w:r>
        <w:t xml:space="preserve">A recent survey on the attitudes of Europeans towards the environment has shown that most</w:t>
      </w:r>
      <w:r>
        <w:t xml:space="preserve"> </w:t>
      </w:r>
      <w:r>
        <w:t xml:space="preserve">Europeans (94%) think that protecting the environment is important to them personally, while</w:t>
      </w:r>
      <w:r>
        <w:t xml:space="preserve"> </w:t>
      </w:r>
      <w:r>
        <w:t xml:space="preserve">over half (53%) believe that it is very important. Moreover, 90% of Europeans are worried</w:t>
      </w:r>
      <w:r>
        <w:t xml:space="preserve"> </w:t>
      </w:r>
      <w:r>
        <w:t xml:space="preserve">about the impact of chemicals present in everyday products on the environment156. The</w:t>
      </w:r>
      <w:r>
        <w:t xml:space="preserve"> </w:t>
      </w:r>
      <w:r>
        <w:t xml:space="preserve">Eurobarometer survey on chemical safety demonstrated that slightly less than half Europeans</w:t>
      </w:r>
      <w:r>
        <w:t xml:space="preserve"> </w:t>
      </w:r>
      <w:r>
        <w:t xml:space="preserve">feel well-informed about chemicals contained in products such as paints, detergents,</w:t>
      </w:r>
    </w:p>
    <w:p>
      <w:pPr>
        <w:pStyle w:val="BodyText"/>
      </w:pPr>
      <w:r>
        <w:t xml:space="preserve">153 Cosmetics Europe, 2019</w:t>
      </w:r>
      <w:r>
        <w:t xml:space="preserve"> </w:t>
      </w:r>
      <w:r>
        <w:t xml:space="preserve">154 Unilever, 2021</w:t>
      </w:r>
      <w:r>
        <w:t xml:space="preserve"> </w:t>
      </w:r>
      <w:r>
        <w:t xml:space="preserve">155 ecobeautyscore-consortium–pr–english-version.pdf (loreal.com)</w:t>
      </w:r>
      <w:r>
        <w:br/>
      </w:r>
      <w:r>
        <w:t xml:space="preserve">156 Kantar (2020). Special Eurobarometer 501: attitudes of European citizens towards the environment.</w:t>
      </w:r>
      <w:r>
        <w:t xml:space="preserve"> </w:t>
      </w:r>
      <w:r>
        <w:t xml:space="preserve">Available at: https://europa.eu/eurobarometer/surveys/detail/2257</w:t>
      </w:r>
    </w:p>
    <w:p>
      <w:pPr>
        <w:pStyle w:val="BodyText"/>
      </w:pPr>
      <w:r>
        <w:t xml:space="preserve">511</w:t>
      </w:r>
    </w:p>
    <w:p>
      <w:pPr>
        <w:pStyle w:val="BodyText"/>
      </w:pPr>
      <w:r>
        <w:t xml:space="preserve">cosmetics, etc. Yet, the main sources about potential dangers of chemicals in products are</w:t>
      </w:r>
      <w:r>
        <w:t xml:space="preserve"> </w:t>
      </w:r>
      <w:r>
        <w:t xml:space="preserve">product labels (for 70% of respondents) and the media (for 53%)157.</w:t>
      </w:r>
      <w:r>
        <w:br/>
      </w:r>
      <w:r>
        <w:t xml:space="preserve">A recent behavioural experiment158 assessed the objective understandability of labels by</w:t>
      </w:r>
      <w:r>
        <w:t xml:space="preserve"> </w:t>
      </w:r>
      <w:r>
        <w:t xml:space="preserve">Europeans from selected countries. It concluded that when the label information was</w:t>
      </w:r>
      <w:r>
        <w:t xml:space="preserve"> </w:t>
      </w:r>
      <w:r>
        <w:t xml:space="preserve">available the majority of participants were able to identify less harmful products much better</w:t>
      </w:r>
      <w:r>
        <w:t xml:space="preserve"> </w:t>
      </w:r>
      <w:r>
        <w:t xml:space="preserve">than in cases when there was no label information. Similarly, when the label information was</w:t>
      </w:r>
      <w:r>
        <w:t xml:space="preserve"> </w:t>
      </w:r>
      <w:r>
        <w:t xml:space="preserve">available the experiment participants performed much better in correctly identifying the</w:t>
      </w:r>
      <w:r>
        <w:t xml:space="preserve"> </w:t>
      </w:r>
      <w:r>
        <w:t xml:space="preserve">hazards of a product than when no label information was presented.</w:t>
      </w:r>
      <w:r>
        <w:t xml:space="preserve"> </w:t>
      </w:r>
      <w:r>
        <w:t xml:space="preserve">A large group of OPC respondents, including citizens, public authorities and civil societies</w:t>
      </w:r>
      <w:r>
        <w:t xml:space="preserve"> </w:t>
      </w:r>
      <w:r>
        <w:t xml:space="preserve">felt that the provision of information on the environmental hazards of veterinary medicines,</w:t>
      </w:r>
      <w:r>
        <w:t xml:space="preserve"> </w:t>
      </w:r>
      <w:r>
        <w:t xml:space="preserve">medical devices, cosmetics, and food or feed, was ‘an issue which should be immediately</w:t>
      </w:r>
      <w:r>
        <w:t xml:space="preserve"> </w:t>
      </w:r>
      <w:r>
        <w:t xml:space="preserve">solved’ (see also synopsis report in Annex 2). Differently from other respondents, business</w:t>
      </w:r>
      <w:r>
        <w:t xml:space="preserve"> </w:t>
      </w:r>
      <w:r>
        <w:t xml:space="preserve">entities and associations felt that there is an issue to be immediately solved only for human</w:t>
      </w:r>
      <w:r>
        <w:t xml:space="preserve"> </w:t>
      </w:r>
      <w:r>
        <w:t xml:space="preserve">medicines, while for other exempted products there is no issue at all. Opinions on the</w:t>
      </w:r>
      <w:r>
        <w:t xml:space="preserve"> </w:t>
      </w:r>
      <w:r>
        <w:t xml:space="preserve">regulatory gaps in addressing the environmental hazards borne by the products exempted</w:t>
      </w:r>
      <w:r>
        <w:t xml:space="preserve"> </w:t>
      </w:r>
      <w:r>
        <w:t xml:space="preserve">from the CLP Regulation gathered through the TSS vary. Business entities and associations</w:t>
      </w:r>
      <w:r>
        <w:t xml:space="preserve"> </w:t>
      </w:r>
      <w:r>
        <w:t xml:space="preserve">are of the view that the environmental hazards of the exempted products are properly covered</w:t>
      </w:r>
      <w:r>
        <w:t xml:space="preserve"> </w:t>
      </w:r>
      <w:r>
        <w:t xml:space="preserve">by sectorial legislation. Public authorities believed that the environmental hazards are</w:t>
      </w:r>
      <w:r>
        <w:t xml:space="preserve"> </w:t>
      </w:r>
      <w:r>
        <w:t xml:space="preserve">insufficiently addressed by the sectorial legislation regulating human and medicinal products,</w:t>
      </w:r>
      <w:r>
        <w:t xml:space="preserve"> </w:t>
      </w:r>
      <w:r>
        <w:t xml:space="preserve">as well as medical devices, but they considered that the sectorial legislation adequately</w:t>
      </w:r>
      <w:r>
        <w:t xml:space="preserve"> </w:t>
      </w:r>
      <w:r>
        <w:t xml:space="preserve">addresses the environmental hazards of cosmetics, food and feed products. It should be noted</w:t>
      </w:r>
      <w:r>
        <w:t xml:space="preserve"> </w:t>
      </w:r>
      <w:r>
        <w:t xml:space="preserve">that a very low number of public authorities and NGOs participated in the TSS to confidently</w:t>
      </w:r>
      <w:r>
        <w:t xml:space="preserve"> </w:t>
      </w:r>
      <w:r>
        <w:t xml:space="preserve">draw conclusions about predominant view within these groups.</w:t>
      </w:r>
      <w:r>
        <w:br/>
      </w:r>
      <w:r>
        <w:t xml:space="preserve">The analysis of the position papers in the OPC has shown a very low number of position</w:t>
      </w:r>
      <w:r>
        <w:t xml:space="preserve"> </w:t>
      </w:r>
      <w:r>
        <w:t xml:space="preserve">papers dedicated to the issue of CLP scope exemptions. The findings from the analysis of</w:t>
      </w:r>
      <w:r>
        <w:t xml:space="preserve"> </w:t>
      </w:r>
      <w:r>
        <w:t xml:space="preserve">open questions in TSS demonstrated conflicting opinions on the problem in this intervention</w:t>
      </w:r>
      <w:r>
        <w:t xml:space="preserve"> </w:t>
      </w:r>
      <w:r>
        <w:t xml:space="preserve">area. While some respondents believed that the sectorial legislation regulating the exempted</w:t>
      </w:r>
      <w:r>
        <w:t xml:space="preserve"> </w:t>
      </w:r>
      <w:r>
        <w:t xml:space="preserve">products is fit for purpose, others indicated that the exempted products are not properly</w:t>
      </w:r>
      <w:r>
        <w:t xml:space="preserve"> </w:t>
      </w:r>
      <w:r>
        <w:t xml:space="preserve">regulated under sectorial legal acts. However, in the latter case, no substantial argument was</w:t>
      </w:r>
      <w:r>
        <w:t xml:space="preserve"> </w:t>
      </w:r>
      <w:r>
        <w:t xml:space="preserve">provided on the gaps in the sectorial legislation. Many interviewees commented that the</w:t>
      </w:r>
      <w:r>
        <w:t xml:space="preserve"> </w:t>
      </w:r>
      <w:r>
        <w:t xml:space="preserve">measures to address the potential environmental hazards of the exempted products are in</w:t>
      </w:r>
      <w:r>
        <w:t xml:space="preserve"> </w:t>
      </w:r>
      <w:r>
        <w:t xml:space="preserve">place, although they are risk-based rather than hazard-based.</w:t>
      </w:r>
    </w:p>
    <w:p>
      <w:pPr>
        <w:pStyle w:val="BodyText"/>
      </w:pPr>
      <w:r>
        <w:t xml:space="preserve">POTENTIAL POLICY MEASURES</w:t>
      </w:r>
      <w:r>
        <w:t xml:space="preserve"> </w:t>
      </w:r>
      <w:r>
        <w:t xml:space="preserve">The problem that consumers (as well as professional users of certain products) do not receive</w:t>
      </w:r>
      <w:r>
        <w:t xml:space="preserve"> </w:t>
      </w:r>
      <w:r>
        <w:t xml:space="preserve">optimal information on the hazards of certain chemical substances could be addressed by</w:t>
      </w:r>
      <w:r>
        <w:t xml:space="preserve"> </w:t>
      </w:r>
      <w:r>
        <w:t xml:space="preserve">amending Article 1(5)(a) of CLP to revoke the exemption for the labelling for the hazards of</w:t>
      </w:r>
      <w:r>
        <w:t xml:space="preserve"> </w:t>
      </w:r>
      <w:r>
        <w:t xml:space="preserve">these products. Sub-options of this measure would be to selectively revoke the exemption for</w:t>
      </w:r>
      <w:r>
        <w:t xml:space="preserve"> </w:t>
      </w:r>
      <w:r>
        <w:t xml:space="preserve">a certain product area i.e. human medicinal products, veterinary medicinal products, medical</w:t>
      </w:r>
      <w:r>
        <w:t xml:space="preserve"> </w:t>
      </w:r>
      <w:r>
        <w:t xml:space="preserve">devices, cosmetic products or food and feeding stuff.</w:t>
      </w:r>
    </w:p>
    <w:p>
      <w:pPr>
        <w:pStyle w:val="BodyText"/>
      </w:pPr>
      <w:r>
        <w:t xml:space="preserve">157 TNS opinion &amp; social (2017). Special Eurobarometer 456: chemical safety. Available at:</w:t>
      </w:r>
      <w:r>
        <w:t xml:space="preserve"> </w:t>
      </w:r>
      <w:r>
        <w:t xml:space="preserve">https://europa.eu/eurobarometer/surveys/detail/2111</w:t>
      </w:r>
      <w:r>
        <w:t xml:space="preserve"> </w:t>
      </w:r>
      <w:r>
        <w:t xml:space="preserve">158 VVA Economics &amp; Policy, ConPolicy, Ecorys (2021). Impact assessment study on the simplification of the</w:t>
      </w:r>
      <w:r>
        <w:t xml:space="preserve"> </w:t>
      </w:r>
      <w:r>
        <w:t xml:space="preserve">labelling requirements for chemicals and the use of the e-labelling. Available at: in press.</w:t>
      </w:r>
    </w:p>
    <w:p>
      <w:pPr>
        <w:pStyle w:val="BodyText"/>
      </w:pPr>
      <w:r>
        <w:t xml:space="preserve">512</w:t>
      </w:r>
    </w:p>
    <w:p>
      <w:pPr>
        <w:pStyle w:val="BodyText"/>
      </w:pPr>
      <w:r>
        <w:t xml:space="preserve">SCREENING AND ASSESSMENT OF THE POTENTIAL MEASURES</w:t>
      </w:r>
      <w:r>
        <w:t xml:space="preserve"> </w:t>
      </w:r>
      <w:r>
        <w:t xml:space="preserve">The option to extend the human health labelling to chemicals that are currently excluded from</w:t>
      </w:r>
      <w:r>
        <w:t xml:space="preserve"> </w:t>
      </w:r>
      <w:r>
        <w:t xml:space="preserve">the scope of CLP was discarded as the analysed legislation contains comprehensive</w:t>
      </w:r>
      <w:r>
        <w:t xml:space="preserve"> </w:t>
      </w:r>
      <w:r>
        <w:t xml:space="preserve">provisions to assess hazards and risks to human health and to provide relevant information</w:t>
      </w:r>
      <w:r>
        <w:t xml:space="preserve"> </w:t>
      </w:r>
      <w:r>
        <w:t xml:space="preserve">and instructions to users. Therefore, additional labelling for human health hazards according</w:t>
      </w:r>
      <w:r>
        <w:t xml:space="preserve"> </w:t>
      </w:r>
      <w:r>
        <w:t xml:space="preserve">to CLP would not contribute to an increased level of protection</w:t>
      </w:r>
      <w:r>
        <w:t xml:space="preserve"> </w:t>
      </w:r>
      <w:r>
        <w:t xml:space="preserve">The option of amending Article 1(5)(a) of CLP to revoke the exemption for the labelling of</w:t>
      </w:r>
      <w:r>
        <w:t xml:space="preserve"> </w:t>
      </w:r>
      <w:r>
        <w:t xml:space="preserve">the environmental hazards of all or individual exempted product categories was discarded and</w:t>
      </w:r>
      <w:r>
        <w:t xml:space="preserve"> </w:t>
      </w:r>
      <w:r>
        <w:t xml:space="preserve">not further pursued in the impact assessment on the following grounds:</w:t>
      </w:r>
      <w:r>
        <w:t xml:space="preserve"> </w:t>
      </w:r>
      <w:r>
        <w:t xml:space="preserve">Human and veterinary medicinal products</w:t>
      </w:r>
      <w:r>
        <w:t xml:space="preserve"> </w:t>
      </w:r>
      <w:r>
        <w:t xml:space="preserve">There is abundant evidence on the presence of pharmaceuticals in the environment, and for</w:t>
      </w:r>
      <w:r>
        <w:t xml:space="preserve"> </w:t>
      </w:r>
      <w:r>
        <w:t xml:space="preserve">their negative effects. The relevant legislation already contains provisions for environmental</w:t>
      </w:r>
      <w:r>
        <w:t xml:space="preserve"> </w:t>
      </w:r>
      <w:r>
        <w:t xml:space="preserve">risk assessment, risk mitigation and provision of information and instructions to users. To</w:t>
      </w:r>
      <w:r>
        <w:t xml:space="preserve"> </w:t>
      </w:r>
      <w:r>
        <w:t xml:space="preserve">mitigate the environmental issues caused by both human and veterinary medicines, the</w:t>
      </w:r>
      <w:r>
        <w:t xml:space="preserve"> </w:t>
      </w:r>
      <w:r>
        <w:t xml:space="preserve">Commission adopted the Strategic approach to pharmaceuticals in the environment159 in</w:t>
      </w:r>
      <w:r>
        <w:t xml:space="preserve"> </w:t>
      </w:r>
      <w:r>
        <w:t xml:space="preserve">2019, which includes numerous measures for improving the environmental risk assessment of</w:t>
      </w:r>
      <w:r>
        <w:t xml:space="preserve"> </w:t>
      </w:r>
      <w:r>
        <w:t xml:space="preserve">medicinal products and for raising public awareness about proper use and disposal. The</w:t>
      </w:r>
      <w:r>
        <w:t xml:space="preserve"> </w:t>
      </w:r>
      <w:r>
        <w:t xml:space="preserve">analysis done (see Appendix to this Annex) did not reveal any solid evidence that hazard</w:t>
      </w:r>
      <w:r>
        <w:t xml:space="preserve"> </w:t>
      </w:r>
      <w:r>
        <w:t xml:space="preserve">labelling according to CLP would substantially contribute to the mitigation of the</w:t>
      </w:r>
      <w:r>
        <w:t xml:space="preserve"> </w:t>
      </w:r>
      <w:r>
        <w:t xml:space="preserve">environmental hazards of pharmaceuticals. The current provisions on environmental hazard</w:t>
      </w:r>
      <w:r>
        <w:t xml:space="preserve"> </w:t>
      </w:r>
      <w:r>
        <w:t xml:space="preserve">assessment and communication to consumers in the relevant legislation, as well as already</w:t>
      </w:r>
      <w:r>
        <w:t xml:space="preserve"> </w:t>
      </w:r>
      <w:r>
        <w:t xml:space="preserve">ongoing initiatives, sufficiently address the problem and that the extension of additional</w:t>
      </w:r>
      <w:r>
        <w:t xml:space="preserve"> </w:t>
      </w:r>
      <w:r>
        <w:t xml:space="preserve">classification and labelling measures under CLP is unlikely to provide a significant added</w:t>
      </w:r>
      <w:r>
        <w:t xml:space="preserve"> </w:t>
      </w:r>
      <w:r>
        <w:t xml:space="preserve">value.</w:t>
      </w:r>
      <w:r>
        <w:br/>
      </w:r>
      <w:r>
        <w:t xml:space="preserve">Medical devices</w:t>
      </w:r>
      <w:r>
        <w:t xml:space="preserve"> </w:t>
      </w:r>
      <w:r>
        <w:t xml:space="preserve">While environmental hazardous substances are used in some medical devices, there is no</w:t>
      </w:r>
      <w:r>
        <w:t xml:space="preserve"> </w:t>
      </w:r>
      <w:r>
        <w:t xml:space="preserve">solid evidence for a significant environmental impact from the diverse group of medical</w:t>
      </w:r>
      <w:r>
        <w:t xml:space="preserve"> </w:t>
      </w:r>
      <w:r>
        <w:t xml:space="preserve">devices (most of which are not substances and mixtures). The relevant legislation addresses,</w:t>
      </w:r>
      <w:r>
        <w:t xml:space="preserve"> </w:t>
      </w:r>
      <w:r>
        <w:t xml:space="preserve">to a certain degree, environmental effects and the provision of information to users.</w:t>
      </w:r>
      <w:r>
        <w:t xml:space="preserve"> </w:t>
      </w:r>
      <w:r>
        <w:t xml:space="preserve">Therefore, labelling for environmental hazards according to CLP is not expected to have a</w:t>
      </w:r>
      <w:r>
        <w:t xml:space="preserve"> </w:t>
      </w:r>
      <w:r>
        <w:t xml:space="preserve">significant added value.</w:t>
      </w:r>
      <w:r>
        <w:t xml:space="preserve"> </w:t>
      </w:r>
      <w:r>
        <w:t xml:space="preserve">Cosmetic products</w:t>
      </w:r>
      <w:r>
        <w:t xml:space="preserve"> </w:t>
      </w:r>
      <w:r>
        <w:t xml:space="preserve">A number of regulatory initiatives, including the revision of the CPR itself, as well as</w:t>
      </w:r>
      <w:r>
        <w:t xml:space="preserve"> </w:t>
      </w:r>
      <w:r>
        <w:t xml:space="preserve">revision of other legislations that may have an influence on the environmental hazard of</w:t>
      </w:r>
      <w:r>
        <w:t xml:space="preserve"> </w:t>
      </w:r>
      <w:r>
        <w:t xml:space="preserve">cosmetic products (Sustainable Product Initiative, Revision of the Urban Waste Water</w:t>
      </w:r>
      <w:r>
        <w:t xml:space="preserve"> </w:t>
      </w:r>
      <w:r>
        <w:t xml:space="preserve">Treatment Directive), make it difficult to conclude at this point in time on the possible</w:t>
      </w:r>
      <w:r>
        <w:t xml:space="preserve"> </w:t>
      </w:r>
      <w:r>
        <w:t xml:space="preserve">impacts and the appropriateness of revoking the exemption from CLP for cosmetic products.</w:t>
      </w:r>
      <w:r>
        <w:br/>
      </w:r>
      <w:r>
        <w:t xml:space="preserve">There is solid evidence for negative environmental impacts from certain ingredients. The</w:t>
      </w:r>
      <w:r>
        <w:t xml:space="preserve"> </w:t>
      </w:r>
      <w:r>
        <w:t xml:space="preserve">relevant legislation does not provide for assessment of or information on environmental</w:t>
      </w:r>
    </w:p>
    <w:p>
      <w:pPr>
        <w:pStyle w:val="BodyText"/>
      </w:pPr>
      <w:r>
        <w:t xml:space="preserve">159 Communication from the Commission to the European Parliament, the Council and the European Economic</w:t>
      </w:r>
      <w:r>
        <w:t xml:space="preserve"> </w:t>
      </w:r>
      <w:r>
        <w:t xml:space="preserve">and Social Committee. European Union Strategic Approach to Pharmaceuticals in the Environment. Available</w:t>
      </w:r>
      <w:r>
        <w:t xml:space="preserve"> </w:t>
      </w:r>
      <w:r>
        <w:t xml:space="preserve">at: https://ec.europa.eu/environment/water/waterdangersub/pdf/strategic_approach_pharmaceuticals_env.PDF</w:t>
      </w:r>
    </w:p>
    <w:p>
      <w:pPr>
        <w:pStyle w:val="BodyText"/>
      </w:pPr>
      <w:r>
        <w:t xml:space="preserve">513</w:t>
      </w:r>
    </w:p>
    <w:p>
      <w:pPr>
        <w:pStyle w:val="BodyText"/>
      </w:pPr>
      <w:r>
        <w:t xml:space="preserve">aspects. While environmental risks posed by cosmetic ingredients can be addressed by the</w:t>
      </w:r>
      <w:r>
        <w:t xml:space="preserve"> </w:t>
      </w:r>
      <w:r>
        <w:t xml:space="preserve">horizontal provisions of REACH, there is a regulatory gap in relation to information on</w:t>
      </w:r>
      <w:r>
        <w:t xml:space="preserve"> </w:t>
      </w:r>
      <w:r>
        <w:t xml:space="preserve">environmental hazards to users, which may be closed by removing the exemption in CLP for</w:t>
      </w:r>
      <w:r>
        <w:t xml:space="preserve"> </w:t>
      </w:r>
      <w:r>
        <w:t xml:space="preserve">cosmetic products. However, the impact of CLP labelling on consumer behaviour (use,</w:t>
      </w:r>
      <w:r>
        <w:t xml:space="preserve"> </w:t>
      </w:r>
      <w:r>
        <w:t xml:space="preserve">purchasing choices) is uncertain. Furthermore, a number of relevant initiatives are currently</w:t>
      </w:r>
      <w:r>
        <w:t xml:space="preserve"> </w:t>
      </w:r>
      <w:r>
        <w:t xml:space="preserve">under way, including the revision of the CPR itself, revision of other legislations that may</w:t>
      </w:r>
      <w:r>
        <w:t xml:space="preserve"> </w:t>
      </w:r>
      <w:r>
        <w:t xml:space="preserve">have an influence on the environmental hazard of cosmetic products (Sustainable Product</w:t>
      </w:r>
      <w:r>
        <w:t xml:space="preserve"> </w:t>
      </w:r>
      <w:r>
        <w:t xml:space="preserve">Initiative, Revision of the Urban Waste Water Treatment Directive), as well as actions of the</w:t>
      </w:r>
      <w:r>
        <w:t xml:space="preserve"> </w:t>
      </w:r>
      <w:r>
        <w:t xml:space="preserve">concerned industry to assess the environmental impact of products. These initiatives may</w:t>
      </w:r>
      <w:r>
        <w:t xml:space="preserve"> </w:t>
      </w:r>
      <w:r>
        <w:t xml:space="preserve">significantly change the availability of information on environmental impacts, as well as the</w:t>
      </w:r>
      <w:r>
        <w:t xml:space="preserve"> </w:t>
      </w:r>
      <w:r>
        <w:t xml:space="preserve">impact itself, of cosmetic products. Therefore, it is currently difficult to assess the likely</w:t>
      </w:r>
      <w:r>
        <w:t xml:space="preserve"> </w:t>
      </w:r>
      <w:r>
        <w:t xml:space="preserve">effect of labelling for environmental hazards according to CLP, and not possible to conclude</w:t>
      </w:r>
      <w:r>
        <w:t xml:space="preserve"> </w:t>
      </w:r>
      <w:r>
        <w:t xml:space="preserve">whether removing the exemption for cosmetic products in CLP is a suitable option.</w:t>
      </w:r>
      <w:r>
        <w:t xml:space="preserve"> </w:t>
      </w:r>
      <w:r>
        <w:t xml:space="preserve">Food and feeding stuff</w:t>
      </w:r>
      <w:r>
        <w:t xml:space="preserve"> </w:t>
      </w:r>
      <w:r>
        <w:t xml:space="preserve">There is no solid evidence for a negative environmental impact of such products.</w:t>
      </w:r>
      <w:r>
        <w:t xml:space="preserve"> </w:t>
      </w:r>
      <w:r>
        <w:t xml:space="preserve">Furthermore, the relevant legislation addresses, to a certain degree, environmental effects and</w:t>
      </w:r>
      <w:r>
        <w:t xml:space="preserve"> </w:t>
      </w:r>
      <w:r>
        <w:t xml:space="preserve">the provision of information to users. Therefore, labelling for environmental hazards</w:t>
      </w:r>
      <w:r>
        <w:t xml:space="preserve"> </w:t>
      </w:r>
      <w:r>
        <w:t xml:space="preserve">according to CLP is not expected to have a significant added value for most of these</w:t>
      </w:r>
      <w:r>
        <w:t xml:space="preserve"> </w:t>
      </w:r>
      <w:r>
        <w:t xml:space="preserve">products. However, regarding feed additives, the current revision of Feed Additive</w:t>
      </w:r>
      <w:r>
        <w:t xml:space="preserve"> </w:t>
      </w:r>
      <w:r>
        <w:t xml:space="preserve">Regulation addresses the environmental safety of feed additives as well as labelling issues</w:t>
      </w:r>
      <w:r>
        <w:t xml:space="preserve"> </w:t>
      </w:r>
      <w:r>
        <w:t xml:space="preserve">(EC, 2020e).</w:t>
      </w:r>
    </w:p>
    <w:p>
      <w:pPr>
        <w:pStyle w:val="BodyText"/>
      </w:pPr>
      <w:r>
        <w:t xml:space="preserve">514</w:t>
      </w:r>
    </w:p>
    <w:p>
      <w:pPr>
        <w:pStyle w:val="BodyText"/>
      </w:pPr>
      <w:r>
        <w:t xml:space="preserve">Appendix – Exemption from the scope of CLP for</w:t>
      </w:r>
      <w:r>
        <w:t xml:space="preserve"> </w:t>
      </w:r>
      <w:r>
        <w:t xml:space="preserve">certain products: Legislative Analysis and</w:t>
      </w:r>
      <w:r>
        <w:t xml:space="preserve"> </w:t>
      </w:r>
      <w:r>
        <w:t xml:space="preserve">Literature Review160</w:t>
      </w:r>
    </w:p>
    <w:p>
      <w:pPr>
        <w:pStyle w:val="BodyText"/>
      </w:pPr>
      <w:r>
        <w:t xml:space="preserve">INTRODUCTION</w:t>
      </w:r>
      <w:r>
        <w:t xml:space="preserve"> </w:t>
      </w:r>
      <w:r>
        <w:t xml:space="preserve">The objective of this evidence collection exercise is to support the review of the scope of</w:t>
      </w:r>
      <w:r>
        <w:t xml:space="preserve"> </w:t>
      </w:r>
      <w:r>
        <w:t xml:space="preserve">exemptions from the CLP Regulation. According to Article 1(5) of the CLP Regulation, it</w:t>
      </w:r>
      <w:r>
        <w:t xml:space="preserve"> </w:t>
      </w:r>
      <w:r>
        <w:t xml:space="preserve">covers all chemicals placed on the market except for those excluded from its scope.</w:t>
      </w:r>
      <w:r>
        <w:t xml:space="preserve"> </w:t>
      </w:r>
      <w:r>
        <w:t xml:space="preserve">Veterinary and human medicinal products and medical devices fall out of the scope of the</w:t>
      </w:r>
      <w:r>
        <w:t xml:space="preserve"> </w:t>
      </w:r>
      <w:r>
        <w:t xml:space="preserve">CLP Regulation, as well as cosmetics products, feed and food (senso largo). As provided by</w:t>
      </w:r>
      <w:r>
        <w:t xml:space="preserve"> </w:t>
      </w:r>
      <w:r>
        <w:t xml:space="preserve">Recital 11 of CLP, this exemption is based on the assumption that sectorial legislation</w:t>
      </w:r>
      <w:r>
        <w:t xml:space="preserve"> </w:t>
      </w:r>
      <w:r>
        <w:t xml:space="preserve">provides for specific classification and labelling rules (“This Regulation should, as a general</w:t>
      </w:r>
      <w:r>
        <w:t xml:space="preserve"> </w:t>
      </w:r>
      <w:r>
        <w:t xml:space="preserve">principle, apply to all substances and mixtures supplied in the Community, except where</w:t>
      </w:r>
      <w:r>
        <w:t xml:space="preserve"> </w:t>
      </w:r>
      <w:r>
        <w:t xml:space="preserve">other Community legislation lays down more specific rules on classification and labelling</w:t>
      </w:r>
      <w:r>
        <w:t xml:space="preserve"> </w:t>
      </w:r>
      <w:r>
        <w:t xml:space="preserve">…“). However, the hazards borne by those excluded products, especially environmental</w:t>
      </w:r>
      <w:r>
        <w:t xml:space="preserve"> </w:t>
      </w:r>
      <w:r>
        <w:t xml:space="preserve">hazards, may not be covered to the extent provided by the CLP Regulation. Moreover, it may</w:t>
      </w:r>
      <w:r>
        <w:t xml:space="preserve"> </w:t>
      </w:r>
      <w:r>
        <w:t xml:space="preserve">not be clear how the exclusion provisions must be applied in all cases, because some</w:t>
      </w:r>
      <w:r>
        <w:t xml:space="preserve"> </w:t>
      </w:r>
      <w:r>
        <w:t xml:space="preserve">definitions diverge between the CLP Regulation and specific products legislation (in</w:t>
      </w:r>
      <w:r>
        <w:t xml:space="preserve"> </w:t>
      </w:r>
      <w:r>
        <w:t xml:space="preserve">particular the wording of ‘in the finish state’ and ‘intended for the final user’) and for other</w:t>
      </w:r>
      <w:r>
        <w:t xml:space="preserve"> </w:t>
      </w:r>
      <w:r>
        <w:t xml:space="preserve">reasons.</w:t>
      </w:r>
      <w:r>
        <w:t xml:space="preserve"> </w:t>
      </w:r>
      <w:r>
        <w:t xml:space="preserve">In consultation activities carried out for the supporting study to the Fitness Check of</w:t>
      </w:r>
      <w:r>
        <w:t xml:space="preserve"> </w:t>
      </w:r>
      <w:r>
        <w:t xml:space="preserve">chemicals legislation (RPA et al., 2017), Member State authorities and NGOs have identified</w:t>
      </w:r>
      <w:r>
        <w:t xml:space="preserve"> </w:t>
      </w:r>
      <w:r>
        <w:t xml:space="preserve">gaps and inconsistencies in identification and communication of health and environmental</w:t>
      </w:r>
      <w:r>
        <w:t xml:space="preserve"> </w:t>
      </w:r>
      <w:r>
        <w:t xml:space="preserve">hazards caused by cosmetic products, food and feeding additives and medical devices.</w:t>
      </w:r>
      <w:r>
        <w:t xml:space="preserve"> </w:t>
      </w:r>
      <w:r>
        <w:t xml:space="preserve">However, the Fitness Check of chemicals legislation did not cover all exempted areas. Only</w:t>
      </w:r>
      <w:r>
        <w:t xml:space="preserve"> </w:t>
      </w:r>
      <w:r>
        <w:t xml:space="preserve">the CPR and the Medical Devices Directives were extensively covered by the analysis. Few</w:t>
      </w:r>
      <w:r>
        <w:t xml:space="preserve"> </w:t>
      </w:r>
      <w:r>
        <w:t xml:space="preserve">other legal acts concerning human and veterinary medicines and food additives were briefly</w:t>
      </w:r>
      <w:r>
        <w:t xml:space="preserve"> </w:t>
      </w:r>
      <w:r>
        <w:t xml:space="preserve">considered without a thorough examination.</w:t>
      </w:r>
      <w:r>
        <w:t xml:space="preserve"> </w:t>
      </w:r>
      <w:r>
        <w:t xml:space="preserve">The following research questions are investigated:</w:t>
      </w:r>
      <w:r>
        <w:t xml:space="preserve"> </w:t>
      </w:r>
      <w:r>
        <w:t xml:space="preserve">RQ1: Does the sectorial legislation that regulates the exempted products provide the same</w:t>
      </w:r>
      <w:r>
        <w:t xml:space="preserve"> </w:t>
      </w:r>
      <w:r>
        <w:t xml:space="preserve">level of protection from the environmental hazards borne by these products as the CLP</w:t>
      </w:r>
      <w:r>
        <w:t xml:space="preserve"> </w:t>
      </w:r>
      <w:r>
        <w:t xml:space="preserve">Regulation?</w:t>
      </w:r>
      <w:r>
        <w:t xml:space="preserve"> </w:t>
      </w:r>
      <w:r>
        <w:t xml:space="preserve">RQ2: Do the definitions in the CLP Regulation and sectorial legislation covering the</w:t>
      </w:r>
      <w:r>
        <w:t xml:space="preserve"> </w:t>
      </w:r>
      <w:r>
        <w:t xml:space="preserve">exempted products (particularly those related to ‘in the finished state’ and ‘intended for the</w:t>
      </w:r>
      <w:r>
        <w:t xml:space="preserve"> </w:t>
      </w:r>
      <w:r>
        <w:t xml:space="preserve">final user’) provide sufficient clarity to decide whether the CLP exemptions apply to a</w:t>
      </w:r>
      <w:r>
        <w:t xml:space="preserve"> </w:t>
      </w:r>
      <w:r>
        <w:t xml:space="preserve">product?</w:t>
      </w:r>
      <w:r>
        <w:t xml:space="preserve"> </w:t>
      </w:r>
      <w:r>
        <w:t xml:space="preserve">For several reasons, this study does not cover health hazards borne by the products that are</w:t>
      </w:r>
      <w:r>
        <w:t xml:space="preserve"> </w:t>
      </w:r>
      <w:r>
        <w:t xml:space="preserve">exempted from the CLP Regulation. All exempted products have a paramount impact on</w:t>
      </w:r>
      <w:r>
        <w:t xml:space="preserve"> </w:t>
      </w:r>
      <w:r>
        <w:t xml:space="preserve">human health because of close contact with and use by humans. Therefore, the sectorial</w:t>
      </w:r>
    </w:p>
    <w:p>
      <w:pPr>
        <w:pStyle w:val="BodyText"/>
      </w:pPr>
      <w:r>
        <w:t xml:space="preserve">160 Performed in the context of the Service contract “Technical and Scientific Support to the Commission’s</w:t>
      </w:r>
      <w:r>
        <w:t xml:space="preserve"> </w:t>
      </w:r>
      <w:r>
        <w:t xml:space="preserve">Impact Assessment for the revision of the Regulation on Classification, Labelling and Packaging of substances</w:t>
      </w:r>
      <w:r>
        <w:t xml:space="preserve"> </w:t>
      </w:r>
      <w:r>
        <w:t xml:space="preserve">and mixtures” (group led by RPA Europe). See Annex 1</w:t>
      </w:r>
    </w:p>
    <w:p>
      <w:pPr>
        <w:pStyle w:val="BodyText"/>
      </w:pPr>
      <w:r>
        <w:t xml:space="preserve">515</w:t>
      </w:r>
    </w:p>
    <w:p>
      <w:pPr>
        <w:pStyle w:val="BodyText"/>
      </w:pPr>
      <w:r>
        <w:t xml:space="preserve">legislation covered by Article 1(5) of the CLP Regulation is specifically oriented at the</w:t>
      </w:r>
      <w:r>
        <w:t xml:space="preserve"> </w:t>
      </w:r>
      <w:r>
        <w:t xml:space="preserve">protection of health and uses a lot of different measures for this purpose comparable to</w:t>
      </w:r>
      <w:r>
        <w:t xml:space="preserve"> </w:t>
      </w:r>
      <w:r>
        <w:t xml:space="preserve">classification and labelling – e.g., negative and positive lists of substances that could be used</w:t>
      </w:r>
      <w:r>
        <w:t xml:space="preserve"> </w:t>
      </w:r>
      <w:r>
        <w:t xml:space="preserve">in products, extensive risk assessments and rigorous authorisation processes, the pre-defined</w:t>
      </w:r>
      <w:r>
        <w:t xml:space="preserve"> </w:t>
      </w:r>
      <w:r>
        <w:t xml:space="preserve">lists of products that could be placed on the European market, extensive classifications of</w:t>
      </w:r>
      <w:r>
        <w:t xml:space="preserve"> </w:t>
      </w:r>
      <w:r>
        <w:t xml:space="preserve">products in according to the complexity and inherent risks to human health, etc. So far,</w:t>
      </w:r>
      <w:r>
        <w:t xml:space="preserve"> </w:t>
      </w:r>
      <w:r>
        <w:t xml:space="preserve">previous review and evaluation activities of chemical legislation do not provide any solid</w:t>
      </w:r>
      <w:r>
        <w:t xml:space="preserve"> </w:t>
      </w:r>
      <w:r>
        <w:t xml:space="preserve">quantitative evidence of gaps in protecting human health from the hazards borne by the</w:t>
      </w:r>
      <w:r>
        <w:t xml:space="preserve"> </w:t>
      </w:r>
      <w:r>
        <w:t xml:space="preserve">exempted products.</w:t>
      </w:r>
      <w:r>
        <w:br/>
      </w:r>
      <w:r>
        <w:t xml:space="preserve">For the reasons outline above, this analysis is focused on the classification and labelling</w:t>
      </w:r>
      <w:r>
        <w:t xml:space="preserve"> </w:t>
      </w:r>
      <w:r>
        <w:t xml:space="preserve">requirements related to the environmental hazards borne by the products exempted from the</w:t>
      </w:r>
      <w:r>
        <w:t xml:space="preserve"> </w:t>
      </w:r>
      <w:r>
        <w:t xml:space="preserve">CLP Regulation.</w:t>
      </w:r>
      <w:r>
        <w:t xml:space="preserve"> </w:t>
      </w:r>
      <w:r>
        <w:t xml:space="preserve">Article 1(5) of the CLP Regulation states:</w:t>
      </w:r>
      <w:r>
        <w:t xml:space="preserve"> </w:t>
      </w:r>
      <w:r>
        <w:t xml:space="preserve">This Regulation shall not apply to substances and mixtures in the following forms, which are</w:t>
      </w:r>
      <w:r>
        <w:t xml:space="preserve"> </w:t>
      </w:r>
      <w:r>
        <w:t xml:space="preserve">in the finished state, intended for the final user:</w:t>
      </w:r>
      <w:r>
        <w:t xml:space="preserve"> </w:t>
      </w:r>
      <w:r>
        <w:t xml:space="preserve">(a) medicinal products as defined in Directive 2001/83/EC;</w:t>
      </w:r>
      <w:r>
        <w:t xml:space="preserve"> </w:t>
      </w:r>
      <w:r>
        <w:t xml:space="preserve">(b) veterinary medicinal products as defined in Directive 2001/82/EC;</w:t>
      </w:r>
      <w:r>
        <w:t xml:space="preserve"> </w:t>
      </w:r>
      <w:r>
        <w:t xml:space="preserve">(c) cosmetic products as defined in Directive 76/768/EEC;</w:t>
      </w:r>
      <w:r>
        <w:t xml:space="preserve"> </w:t>
      </w:r>
      <w:r>
        <w:t xml:space="preserve">(d) medical devices as defined in Directives 90/385/EEC and 93/42/EEC, which are</w:t>
      </w:r>
      <w:r>
        <w:t xml:space="preserve"> </w:t>
      </w:r>
      <w:r>
        <w:t xml:space="preserve">invasive or used in direct physical contact with the human body, and in Directive</w:t>
      </w:r>
      <w:r>
        <w:t xml:space="preserve"> </w:t>
      </w:r>
      <w:r>
        <w:t xml:space="preserve">98/79/EC;</w:t>
      </w:r>
      <w:r>
        <w:t xml:space="preserve"> </w:t>
      </w:r>
      <w:r>
        <w:t xml:space="preserve">(e) food or feeding stuffs as defined in Regulation (EC) No 178/2002 including when</w:t>
      </w:r>
      <w:r>
        <w:t xml:space="preserve"> </w:t>
      </w:r>
      <w:r>
        <w:t xml:space="preserve">they are used:</w:t>
      </w:r>
      <w:r>
        <w:t xml:space="preserve"> </w:t>
      </w:r>
      <w:r>
        <w:t xml:space="preserve">(i) as a food additive in foodstuffs within the scope of Directive 89/107/EEC;</w:t>
      </w:r>
      <w:r>
        <w:t xml:space="preserve"> </w:t>
      </w:r>
      <w:r>
        <w:t xml:space="preserve">(ii) as a flavouring in foodstuffs within the scope ofDirective 88/388/EEC and</w:t>
      </w:r>
      <w:r>
        <w:t xml:space="preserve"> </w:t>
      </w:r>
      <w:r>
        <w:t xml:space="preserve">Decision 1999/217/EC;</w:t>
      </w:r>
      <w:r>
        <w:t xml:space="preserve"> </w:t>
      </w:r>
      <w:r>
        <w:t xml:space="preserve">(iii) as an additive in feeding stuffs within the scope of Regulation (EC) No</w:t>
      </w:r>
      <w:r>
        <w:t xml:space="preserve"> </w:t>
      </w:r>
      <w:r>
        <w:t xml:space="preserve">1831/2003;</w:t>
      </w:r>
      <w:r>
        <w:t xml:space="preserve"> </w:t>
      </w:r>
      <w:r>
        <w:t xml:space="preserve">(iv) in animal nutrition within the scope of Directive 82/471/EEC.</w:t>
      </w:r>
      <w:r>
        <w:t xml:space="preserve"> </w:t>
      </w:r>
      <w:r>
        <w:t xml:space="preserve">To answer the research questions two methodological approaches – analysis of legislation</w:t>
      </w:r>
      <w:r>
        <w:t xml:space="preserve"> </w:t>
      </w:r>
      <w:r>
        <w:t xml:space="preserve">and rapid literature review of the evidence available in the scientific peer-reviewed and grey</w:t>
      </w:r>
      <w:r>
        <w:t xml:space="preserve"> </w:t>
      </w:r>
      <w:r>
        <w:t xml:space="preserve">literature sources – are applied.</w:t>
      </w:r>
    </w:p>
    <w:p>
      <w:pPr>
        <w:pStyle w:val="BodyText"/>
      </w:pPr>
      <w:r>
        <w:t xml:space="preserve">METHODOLOGY</w:t>
      </w:r>
      <w:r>
        <w:t xml:space="preserve"> </w:t>
      </w:r>
      <w:r>
        <w:t xml:space="preserve">To answer the research questions outlined in the introduction specific methodological</w:t>
      </w:r>
      <w:r>
        <w:t xml:space="preserve"> </w:t>
      </w:r>
      <w:r>
        <w:t xml:space="preserve">approaches were developed. Each research question was detailed into relevant sub-questions,</w:t>
      </w:r>
      <w:r>
        <w:t xml:space="preserve"> </w:t>
      </w:r>
      <w:r>
        <w:t xml:space="preserve">tasks necessary to collect relevant evidence, methods to collect the evidence and data sources.</w:t>
      </w:r>
      <w:r>
        <w:t xml:space="preserve"> </w:t>
      </w:r>
      <w:r>
        <w:t xml:space="preserve">Figure 95 shows the structural scheme of the suggested research methodology.</w:t>
      </w:r>
    </w:p>
    <w:p>
      <w:pPr>
        <w:pStyle w:val="BodyText"/>
      </w:pPr>
      <w:r>
        <w:t xml:space="preserve">516</w:t>
      </w:r>
    </w:p>
    <w:p>
      <w:pPr>
        <w:pStyle w:val="BodyText"/>
      </w:pPr>
      <w:r>
        <w:t xml:space="preserve">Figure 95: Structural scheme of research methodology</w:t>
      </w:r>
    </w:p>
    <w:p>
      <w:pPr>
        <w:pStyle w:val="BodyText"/>
      </w:pPr>
      <w:r>
        <w:t xml:space="preserve">RQ1 was divided into two sub-questions, investigating:</w:t>
      </w:r>
      <w:r>
        <w:br/>
      </w:r>
      <w:r>
        <w:t xml:space="preserve">the differences/commonalities in provisions related to identification and communication of</w:t>
      </w:r>
      <w:r>
        <w:t xml:space="preserve"> </w:t>
      </w:r>
      <w:r>
        <w:t xml:space="preserve">hazards of the exempted products in the sectorial legislation and the CLP Regulation</w:t>
      </w:r>
      <w:r>
        <w:t xml:space="preserve"> </w:t>
      </w:r>
      <w:r>
        <w:t xml:space="preserve">(RQ1.1);</w:t>
      </w:r>
      <w:r>
        <w:t xml:space="preserve"> </w:t>
      </w:r>
      <w:r>
        <w:t xml:space="preserve">whether the differences identified in answering RQ1.1 could cause gaps in the protection</w:t>
      </w:r>
      <w:r>
        <w:t xml:space="preserve"> </w:t>
      </w:r>
      <w:r>
        <w:t xml:space="preserve">from the environmental hazards borne by the exempted products (RQ1.2).</w:t>
      </w:r>
      <w:r>
        <w:t xml:space="preserve"> </w:t>
      </w:r>
      <w:r>
        <w:t xml:space="preserve">To answer RQ1.1, the sectorial legislation regulating the exempted products was analysed.</w:t>
      </w:r>
      <w:r>
        <w:t xml:space="preserve"> </w:t>
      </w:r>
      <w:r>
        <w:t xml:space="preserve">For each product type, the legislative framework has been identified by consulting the</w:t>
      </w:r>
      <w:r>
        <w:t xml:space="preserve"> </w:t>
      </w:r>
      <w:r>
        <w:t xml:space="preserve">thematic websites of the European Commission. Regulations, Directives and guidelines were</w:t>
      </w:r>
      <w:r>
        <w:t xml:space="preserve"> </w:t>
      </w:r>
      <w:r>
        <w:t xml:space="preserve">screened for general safety requirements, product market authorisation and environmental</w:t>
      </w:r>
      <w:r>
        <w:t xml:space="preserve"> </w:t>
      </w:r>
      <w:r>
        <w:t xml:space="preserve">risk assessment procedures, including labelling requirements. Twenty-two relevant legal acts</w:t>
      </w:r>
      <w:r>
        <w:t xml:space="preserve"> </w:t>
      </w:r>
      <w:r>
        <w:t xml:space="preserve">were identified and analysed (see Table 158).</w:t>
      </w:r>
      <w:r>
        <w:t xml:space="preserve"> </w:t>
      </w:r>
      <w:r>
        <w:t xml:space="preserve">Table 159: Legal acts regulating the exempted products</w:t>
      </w:r>
      <w:r>
        <w:t xml:space="preserve"> </w:t>
      </w:r>
      <w:r>
        <w:t xml:space="preserve">Product</w:t>
      </w:r>
      <w:r>
        <w:t xml:space="preserve"> </w:t>
      </w:r>
      <w:r>
        <w:t xml:space="preserve">Legal acts</w:t>
      </w:r>
    </w:p>
    <w:p>
      <w:pPr>
        <w:pStyle w:val="BodyText"/>
      </w:pPr>
      <w:r>
        <w:t xml:space="preserve">517</w:t>
      </w:r>
    </w:p>
    <w:p>
      <w:pPr>
        <w:pStyle w:val="BodyText"/>
      </w:pPr>
      <w:r>
        <w:t xml:space="preserve">Table 159: Legal acts regulating the exempted products</w:t>
      </w:r>
      <w:r>
        <w:t xml:space="preserve"> </w:t>
      </w:r>
      <w:r>
        <w:t xml:space="preserve">Human</w:t>
      </w:r>
      <w:r>
        <w:t xml:space="preserve"> </w:t>
      </w:r>
      <w:r>
        <w:t xml:space="preserve">and</w:t>
      </w:r>
      <w:r>
        <w:t xml:space="preserve"> </w:t>
      </w:r>
      <w:r>
        <w:t xml:space="preserve">veterinary</w:t>
      </w:r>
      <w:r>
        <w:t xml:space="preserve"> </w:t>
      </w:r>
      <w:r>
        <w:t xml:space="preserve">medicinal</w:t>
      </w:r>
      <w:r>
        <w:t xml:space="preserve"> </w:t>
      </w:r>
      <w:r>
        <w:t xml:space="preserve">products</w:t>
      </w:r>
      <w:r>
        <w:t xml:space="preserve"> </w:t>
      </w:r>
      <w:r>
        <w:t xml:space="preserve">Regulation 726/2004 laying down Community procedures for the authorisation and supervision</w:t>
      </w:r>
      <w:r>
        <w:t xml:space="preserve"> </w:t>
      </w:r>
      <w:r>
        <w:t xml:space="preserve">of medicinal products for human and veterinary use and establishing a European Medicines</w:t>
      </w:r>
      <w:r>
        <w:t xml:space="preserve"> </w:t>
      </w:r>
      <w:r>
        <w:t xml:space="preserve">Agency (Regulation on Authorisation and Supervision of Medicinal Products)</w:t>
      </w:r>
      <w:r>
        <w:t xml:space="preserve"> </w:t>
      </w:r>
      <w:r>
        <w:t xml:space="preserve">Medicinal Products Directive 2001/83/EC</w:t>
      </w:r>
      <w:r>
        <w:t xml:space="preserve"> </w:t>
      </w:r>
      <w:r>
        <w:t xml:space="preserve">Veterinary Medicinal Products Regulation 2019/6 (will come into force on 28 January 2022)</w:t>
      </w:r>
      <w:r>
        <w:t xml:space="preserve"> </w:t>
      </w:r>
      <w:r>
        <w:t xml:space="preserve">Cosmetics</w:t>
      </w:r>
      <w:r>
        <w:t xml:space="preserve"> </w:t>
      </w:r>
      <w:r>
        <w:t xml:space="preserve">Cosmetics Regulation 1223/2009</w:t>
      </w:r>
      <w:r>
        <w:t xml:space="preserve"> </w:t>
      </w:r>
      <w:r>
        <w:t xml:space="preserve">Medical</w:t>
      </w:r>
      <w:r>
        <w:t xml:space="preserve"> </w:t>
      </w:r>
      <w:r>
        <w:t xml:space="preserve">devices</w:t>
      </w:r>
      <w:r>
        <w:t xml:space="preserve"> </w:t>
      </w:r>
      <w:r>
        <w:t xml:space="preserve">The Medical Devices Regulation 2017/745</w:t>
      </w:r>
      <w:r>
        <w:br/>
      </w:r>
      <w:r>
        <w:t xml:space="preserve">In Vitro Medical Devices Regulation 2017/746</w:t>
      </w:r>
      <w:r>
        <w:t xml:space="preserve"> </w:t>
      </w:r>
      <w:r>
        <w:t xml:space="preserve">Food</w:t>
      </w:r>
      <w:r>
        <w:t xml:space="preserve"> </w:t>
      </w:r>
      <w:r>
        <w:t xml:space="preserve">and</w:t>
      </w:r>
      <w:r>
        <w:t xml:space="preserve"> </w:t>
      </w:r>
      <w:r>
        <w:t xml:space="preserve">feed</w:t>
      </w:r>
      <w:r>
        <w:t xml:space="preserve"> </w:t>
      </w:r>
      <w:r>
        <w:t xml:space="preserve">General:</w:t>
      </w:r>
      <w:r>
        <w:t xml:space="preserve"> </w:t>
      </w:r>
      <w:r>
        <w:t xml:space="preserve">Regulation 178/2002 laying down the general principles and requirements of food law,</w:t>
      </w:r>
      <w:r>
        <w:t xml:space="preserve"> </w:t>
      </w:r>
      <w:r>
        <w:t xml:space="preserve">establishing the European Food Safety Authority and laying down procedures in matters of</w:t>
      </w:r>
      <w:r>
        <w:t xml:space="preserve"> </w:t>
      </w:r>
      <w:r>
        <w:t xml:space="preserve">food safety (Regulation on food law)</w:t>
      </w:r>
      <w:r>
        <w:t xml:space="preserve"> </w:t>
      </w:r>
      <w:r>
        <w:t xml:space="preserve">Regulation 1829/2003 on genetically modified food and feed (Regulation on GM food and</w:t>
      </w:r>
      <w:r>
        <w:t xml:space="preserve"> </w:t>
      </w:r>
      <w:r>
        <w:t xml:space="preserve">feed)</w:t>
      </w:r>
      <w:r>
        <w:t xml:space="preserve"> </w:t>
      </w:r>
      <w:r>
        <w:t xml:space="preserve">Regulation 1830/2003 of the European Parliament and of the Council of 22 September 2003</w:t>
      </w:r>
      <w:r>
        <w:t xml:space="preserve"> </w:t>
      </w:r>
      <w:r>
        <w:t xml:space="preserve">concerning the traceability and labelling of genetically modified organisms and the traceability</w:t>
      </w:r>
      <w:r>
        <w:t xml:space="preserve"> </w:t>
      </w:r>
      <w:r>
        <w:t xml:space="preserve">of food and feed products produced from genetically modified organisms (Regulation on</w:t>
      </w:r>
      <w:r>
        <w:t xml:space="preserve"> </w:t>
      </w:r>
      <w:r>
        <w:t xml:space="preserve">traceability and labelling of GMO in food and feed)</w:t>
      </w:r>
    </w:p>
    <w:p>
      <w:pPr>
        <w:pStyle w:val="BodyText"/>
      </w:pPr>
      <w:r>
        <w:t xml:space="preserve">Food–specific obligations and procedures:</w:t>
      </w:r>
      <w:r>
        <w:t xml:space="preserve"> </w:t>
      </w:r>
      <w:r>
        <w:t xml:space="preserve">Regulation 1169/2011 on the provision of food information to consumers (Regulation on Food</w:t>
      </w:r>
      <w:r>
        <w:t xml:space="preserve"> </w:t>
      </w:r>
      <w:r>
        <w:t xml:space="preserve">Information to Consumers)</w:t>
      </w:r>
      <w:r>
        <w:t xml:space="preserve"> </w:t>
      </w:r>
      <w:r>
        <w:t xml:space="preserve">Regulation 2019/1381 on the transparency and sustainability of the EU risk assessment in the</w:t>
      </w:r>
      <w:r>
        <w:t xml:space="preserve"> </w:t>
      </w:r>
      <w:r>
        <w:t xml:space="preserve">food chain</w:t>
      </w:r>
      <w:r>
        <w:br/>
      </w:r>
      <w:r>
        <w:t xml:space="preserve">Regulation 1331/2008 establishing a common authorisation procedure for food additives, food</w:t>
      </w:r>
      <w:r>
        <w:t xml:space="preserve"> </w:t>
      </w:r>
      <w:r>
        <w:t xml:space="preserve">enzymes and food flavourings (Regulation on a common authorisation procedure)</w:t>
      </w:r>
    </w:p>
    <w:p>
      <w:pPr>
        <w:pStyle w:val="BodyText"/>
      </w:pPr>
      <w:r>
        <w:t xml:space="preserve">Specific food products:</w:t>
      </w:r>
      <w:r>
        <w:t xml:space="preserve"> </w:t>
      </w:r>
      <w:r>
        <w:t xml:space="preserve">Regulation 2015/2283 on novel foods</w:t>
      </w:r>
      <w:r>
        <w:t xml:space="preserve"> </w:t>
      </w:r>
      <w:r>
        <w:t xml:space="preserve">Regulation 2017/2468 laying down administrative and scientific requirements concerning</w:t>
      </w:r>
      <w:r>
        <w:t xml:space="preserve"> </w:t>
      </w:r>
      <w:r>
        <w:t xml:space="preserve">traditional foods from third countries in accordance with Regulation (EU) 2015/2283 of the</w:t>
      </w:r>
      <w:r>
        <w:t xml:space="preserve"> </w:t>
      </w:r>
      <w:r>
        <w:t xml:space="preserve">European Parliament and of the Council on novel foods (Traditional Foods Regulation)</w:t>
      </w:r>
      <w:r>
        <w:t xml:space="preserve"> </w:t>
      </w:r>
      <w:r>
        <w:t xml:space="preserve">Regulation 2017/2469 laying down administrative and scientific requirements for applications</w:t>
      </w:r>
      <w:r>
        <w:t xml:space="preserve"> </w:t>
      </w:r>
      <w:r>
        <w:t xml:space="preserve">referred to in Article 10 of Regulation (EU) 2015/2283 of the European Parliament and of the</w:t>
      </w:r>
      <w:r>
        <w:t xml:space="preserve"> </w:t>
      </w:r>
      <w:r>
        <w:t xml:space="preserve">Council on novel foods (Regulation 2017/2469 on requirements for novel foods applications)</w:t>
      </w:r>
      <w:r>
        <w:t xml:space="preserve"> </w:t>
      </w:r>
      <w:r>
        <w:t xml:space="preserve">Regulation 1333/2008 on food additives (Food Additives Regulation)</w:t>
      </w:r>
      <w:r>
        <w:t xml:space="preserve"> </w:t>
      </w:r>
      <w:r>
        <w:t xml:space="preserve">Regulation 1332/2008 on food enzymes and amending Council Directive 83/417/EEC, Council</w:t>
      </w:r>
      <w:r>
        <w:t xml:space="preserve"> </w:t>
      </w:r>
      <w:r>
        <w:t xml:space="preserve">Regulation (EC) No 1493/1999, Directive 2000/13/EC, Council Directive 2001/112/EC and</w:t>
      </w:r>
      <w:r>
        <w:t xml:space="preserve"> </w:t>
      </w:r>
      <w:r>
        <w:t xml:space="preserve">Regulation (EC) No 258/97 (Food Enzymes Regulation)</w:t>
      </w:r>
      <w:r>
        <w:t xml:space="preserve"> </w:t>
      </w:r>
      <w:r>
        <w:t xml:space="preserve">Regulation 1334/2008 on flavourings and certain food ingredients with flavouring properties</w:t>
      </w:r>
      <w:r>
        <w:t xml:space="preserve"> </w:t>
      </w:r>
      <w:r>
        <w:t xml:space="preserve">for use in and on foods (Food Flavourings’ Regulation)</w:t>
      </w:r>
    </w:p>
    <w:p>
      <w:pPr>
        <w:pStyle w:val="BodyText"/>
      </w:pPr>
      <w:r>
        <w:t xml:space="preserve">Feed:</w:t>
      </w:r>
      <w:r>
        <w:t xml:space="preserve"> </w:t>
      </w:r>
      <w:r>
        <w:t xml:space="preserve">Regulation 767/2009 on the placing on the market and use of feed (Feed Regulation)</w:t>
      </w:r>
      <w:r>
        <w:t xml:space="preserve"> </w:t>
      </w:r>
      <w:r>
        <w:t xml:space="preserve">Regulation 429/2008 on detailed rules for the implementation of Regulation (EC) No</w:t>
      </w:r>
      <w:r>
        <w:t xml:space="preserve"> </w:t>
      </w:r>
      <w:r>
        <w:t xml:space="preserve">1831/2003 of the European Parliament and of the Council as regards the preparation and the</w:t>
      </w:r>
      <w:r>
        <w:t xml:space="preserve"> </w:t>
      </w:r>
      <w:r>
        <w:t xml:space="preserve">presentation of applications and the assessment and the authorisation of feed additives</w:t>
      </w:r>
      <w:r>
        <w:t xml:space="preserve"> </w:t>
      </w:r>
      <w:r>
        <w:t xml:space="preserve">(Regulation on the Implementation rules)</w:t>
      </w:r>
      <w:r>
        <w:t xml:space="preserve"> </w:t>
      </w:r>
      <w:r>
        <w:t xml:space="preserve">Regulation 1831/2003 on additives for use in animal nutrition (Regulation on additives in</w:t>
      </w:r>
      <w:r>
        <w:t xml:space="preserve"> </w:t>
      </w:r>
      <w:r>
        <w:t xml:space="preserve">animal nutrition)</w:t>
      </w:r>
    </w:p>
    <w:p>
      <w:pPr>
        <w:pStyle w:val="BodyText"/>
      </w:pPr>
      <w:r>
        <w:t xml:space="preserve">518</w:t>
      </w:r>
    </w:p>
    <w:p>
      <w:pPr>
        <w:pStyle w:val="BodyText"/>
      </w:pPr>
      <w:r>
        <w:t xml:space="preserve">To answer RQ1.2, in the first place, the European Commission legislation evaluations and</w:t>
      </w:r>
      <w:r>
        <w:t xml:space="preserve"> </w:t>
      </w:r>
      <w:r>
        <w:t xml:space="preserve">checks as well as other studies conducted for and by other European institutions were</w:t>
      </w:r>
      <w:r>
        <w:t xml:space="preserve"> </w:t>
      </w:r>
      <w:r>
        <w:t xml:space="preserve">analysed. This analysis was necessary to understand if any regulatory gaps on hazard</w:t>
      </w:r>
      <w:r>
        <w:t xml:space="preserve"> </w:t>
      </w:r>
      <w:r>
        <w:t xml:space="preserve">identification and communication in the sectorial legislation (as detected through the</w:t>
      </w:r>
      <w:r>
        <w:t xml:space="preserve"> </w:t>
      </w:r>
      <w:r>
        <w:t xml:space="preserve">legislation analysis) could lead to issues in protection from the environmental hazards of the</w:t>
      </w:r>
      <w:r>
        <w:t xml:space="preserve"> </w:t>
      </w:r>
      <w:r>
        <w:t xml:space="preserve">exempted products. Furthermore, where relevant we identified the EU policy documents</w:t>
      </w:r>
      <w:r>
        <w:t xml:space="preserve"> </w:t>
      </w:r>
      <w:r>
        <w:t xml:space="preserve">supported by evidence and used them as a source for evidence collection (e.g., Strategic</w:t>
      </w:r>
      <w:r>
        <w:t xml:space="preserve"> </w:t>
      </w:r>
      <w:r>
        <w:t xml:space="preserve">Approach to Pharmaceuticals in the Environment, Farm to Fork Strategy, etc.). The analysis</w:t>
      </w:r>
      <w:r>
        <w:t xml:space="preserve"> </w:t>
      </w:r>
      <w:r>
        <w:t xml:space="preserve">of the relevant EU documents and studies was followed by the investigation of scientific</w:t>
      </w:r>
      <w:r>
        <w:t xml:space="preserve"> </w:t>
      </w:r>
      <w:r>
        <w:t xml:space="preserve">peer-reviewed and grey literature publications. For each exempted product, the analysis</w:t>
      </w:r>
      <w:r>
        <w:t xml:space="preserve"> </w:t>
      </w:r>
      <w:r>
        <w:t xml:space="preserve">followed four main steps, shown in Figure 96.</w:t>
      </w:r>
    </w:p>
    <w:p>
      <w:pPr>
        <w:pStyle w:val="BodyText"/>
      </w:pPr>
      <w:r>
        <w:t xml:space="preserve">Figure 96: Main steps of analysis to answer RQ1.2</w:t>
      </w:r>
    </w:p>
    <w:p>
      <w:pPr>
        <w:pStyle w:val="BodyText"/>
      </w:pPr>
      <w:r>
        <w:t xml:space="preserve">At each step, the quality of evidence was assessed to understand whether available evidence</w:t>
      </w:r>
      <w:r>
        <w:t xml:space="preserve"> </w:t>
      </w:r>
      <w:r>
        <w:t xml:space="preserve">is sound. For this purpose, the guidance provided by Better Regulation Tool #4 (EC, 2021c)</w:t>
      </w:r>
      <w:r>
        <w:t xml:space="preserve"> </w:t>
      </w:r>
      <w:r>
        <w:t xml:space="preserve">combined with the hierarchy of evidence suggested by Evans (2003) was used. The quality of</w:t>
      </w:r>
      <w:r>
        <w:t xml:space="preserve"> </w:t>
      </w:r>
      <w:r>
        <w:t xml:space="preserve">the evidence is understood as its strength in terms of the influence of the research design on</w:t>
      </w:r>
      <w:r>
        <w:t xml:space="preserve"> </w:t>
      </w:r>
      <w:r>
        <w:t xml:space="preserve">the generalizability and argumentation of research results. For instance, the results of</w:t>
      </w:r>
      <w:r>
        <w:t xml:space="preserve"> </w:t>
      </w:r>
      <w:r>
        <w:t xml:space="preserve">international cross-sectional quantitative survey could be representative of the European</w:t>
      </w:r>
      <w:r>
        <w:t xml:space="preserve"> </w:t>
      </w:r>
      <w:r>
        <w:t xml:space="preserve">Union if it covers relevant countries, while the findings of a national survey could not. The</w:t>
      </w:r>
      <w:r>
        <w:t xml:space="preserve"> </w:t>
      </w:r>
      <w:r>
        <w:t xml:space="preserve">following grading framework has been applied:</w:t>
      </w:r>
      <w:r>
        <w:t xml:space="preserve"> </w:t>
      </w:r>
      <w:r>
        <w:t xml:space="preserve">Excellent – large-scale studies that cover international datasets of substantial quantity and</w:t>
      </w:r>
      <w:r>
        <w:t xml:space="preserve"> </w:t>
      </w:r>
      <w:r>
        <w:t xml:space="preserve">diversity. E.g., systematic literature reviews, international cross-sectional quantitative surveys</w:t>
      </w:r>
      <w:r>
        <w:t xml:space="preserve"> </w:t>
      </w:r>
      <w:r>
        <w:t xml:space="preserve">(e.g., for studying attitudes, perceptions and behaviour).</w:t>
      </w:r>
      <w:r>
        <w:t xml:space="preserve"> </w:t>
      </w:r>
      <w:r>
        <w:t xml:space="preserve">Good – results obtained by direct observation or survey studies of a lesser scale, such as, e.g.,</w:t>
      </w:r>
      <w:r>
        <w:t xml:space="preserve"> </w:t>
      </w:r>
      <w:r>
        <w:t xml:space="preserve">national quantitative surveys.</w:t>
      </w:r>
      <w:r>
        <w:t xml:space="preserve"> </w:t>
      </w:r>
      <w:r>
        <w:t xml:space="preserve">Fair – studies that do not cover large audiences even at national level and/or does not provide</w:t>
      </w:r>
      <w:r>
        <w:t xml:space="preserve"> </w:t>
      </w:r>
      <w:r>
        <w:t xml:space="preserve">a reproducible quantitative methodology. These are for instance, narrative literature reviews</w:t>
      </w:r>
      <w:r>
        <w:t xml:space="preserve"> </w:t>
      </w:r>
      <w:r>
        <w:t xml:space="preserve">(i.e. without a systematic approach to collection and selection of evidence), qualitative</w:t>
      </w:r>
      <w:r>
        <w:t xml:space="preserve"> </w:t>
      </w:r>
      <w:r>
        <w:t xml:space="preserve">research (focus groups, interviews).</w:t>
      </w:r>
    </w:p>
    <w:p>
      <w:pPr>
        <w:pStyle w:val="BodyText"/>
      </w:pPr>
      <w:r>
        <w:t xml:space="preserve">519</w:t>
      </w:r>
    </w:p>
    <w:p>
      <w:pPr>
        <w:pStyle w:val="BodyText"/>
      </w:pPr>
      <w:r>
        <w:t xml:space="preserve">Poor – expert opinions expressed in expert working groups, dedicated events or through</w:t>
      </w:r>
      <w:r>
        <w:t xml:space="preserve"> </w:t>
      </w:r>
      <w:r>
        <w:t xml:space="preserve">stakeholder surveys, case studies with a qualitative methodology.</w:t>
      </w:r>
      <w:r>
        <w:t xml:space="preserve"> </w:t>
      </w:r>
      <w:r>
        <w:t xml:space="preserve">N/A – legal acts, guidelines and policy documents were not assessed for the quality/strength</w:t>
      </w:r>
      <w:r>
        <w:t xml:space="preserve"> </w:t>
      </w:r>
      <w:r>
        <w:t xml:space="preserve">of evidence.</w:t>
      </w:r>
      <w:r>
        <w:t xml:space="preserve"> </w:t>
      </w:r>
      <w:r>
        <w:t xml:space="preserve">Evidence assessment matrix for all evidence sources used in this study is provided in</w:t>
      </w:r>
      <w:r>
        <w:t xml:space="preserve"> </w:t>
      </w:r>
      <w:r>
        <w:t xml:space="preserve">Appendix 1 to Annex 4.</w:t>
      </w:r>
      <w:r>
        <w:t xml:space="preserve"> </w:t>
      </w:r>
      <w:r>
        <w:t xml:space="preserve">To answer RQ2, it was divided into two sub-questions (detailed motivation is provided in the</w:t>
      </w:r>
      <w:r>
        <w:t xml:space="preserve"> </w:t>
      </w:r>
      <w:r>
        <w:t xml:space="preserve">analysis section):</w:t>
      </w:r>
      <w:r>
        <w:t xml:space="preserve"> </w:t>
      </w:r>
      <w:r>
        <w:t xml:space="preserve">RQ2.1: what issues are faced by the duty holders as a result of the absence of definitions of</w:t>
      </w:r>
      <w:r>
        <w:t xml:space="preserve"> </w:t>
      </w:r>
      <w:r>
        <w:t xml:space="preserve">‘in the finished state’ and ‘intended for the final user’ in Article 1(5) of the CLP Regulation?</w:t>
      </w:r>
      <w:r>
        <w:t xml:space="preserve"> </w:t>
      </w:r>
      <w:r>
        <w:t xml:space="preserve">RQ2.2: Whether legislation on the products exempted from the CLP Regulation provides any</w:t>
      </w:r>
      <w:r>
        <w:t xml:space="preserve"> </w:t>
      </w:r>
      <w:r>
        <w:t xml:space="preserve">concepts related to ‘in the finished state’ and ‘intended for the final user’ that could facilitate</w:t>
      </w:r>
      <w:r>
        <w:t xml:space="preserve"> </w:t>
      </w:r>
      <w:r>
        <w:t xml:space="preserve">decisions on the application of the CLP exemption provisions?</w:t>
      </w:r>
      <w:r>
        <w:t xml:space="preserve"> </w:t>
      </w:r>
      <w:r>
        <w:t xml:space="preserve">To answer RQ2.1, annual reports on the activities of national helpdesks published by ECHA</w:t>
      </w:r>
      <w:r>
        <w:t xml:space="preserve"> </w:t>
      </w:r>
      <w:r>
        <w:t xml:space="preserve">in 2018, 2019 and 2020 were analysed to understand what the most frequent and relevant</w:t>
      </w:r>
      <w:r>
        <w:t xml:space="preserve"> </w:t>
      </w:r>
      <w:r>
        <w:t xml:space="preserve">questions to the helpdesks are. Furthermore, questions related to the definitions in ECHA’s</w:t>
      </w:r>
      <w:r>
        <w:t xml:space="preserve"> </w:t>
      </w:r>
      <w:r>
        <w:t xml:space="preserve">Q&amp;A section were investigated.</w:t>
      </w:r>
      <w:r>
        <w:t xml:space="preserve"> </w:t>
      </w:r>
      <w:r>
        <w:t xml:space="preserve">To collect evidence on RQ2.2, an analysis of definitions in the sectorial legislation regulating</w:t>
      </w:r>
      <w:r>
        <w:t xml:space="preserve"> </w:t>
      </w:r>
      <w:r>
        <w:t xml:space="preserve">the exempted products was conducted. The quality of available evidence was evaluated based</w:t>
      </w:r>
      <w:r>
        <w:t xml:space="preserve"> </w:t>
      </w:r>
      <w:r>
        <w:t xml:space="preserve">on the recommendations of Better Regulation Tool #4 (EC, 2021c).</w:t>
      </w:r>
      <w:r>
        <w:t xml:space="preserve"> </w:t>
      </w:r>
      <w:r>
        <w:t xml:space="preserve">The main limitation of the evidence analysis is that it does not give an exhaustive evidence</w:t>
      </w:r>
      <w:r>
        <w:t xml:space="preserve"> </w:t>
      </w:r>
      <w:r>
        <w:t xml:space="preserve">review on each product exempted from the CLP Regulation. Due to the broadness of topics</w:t>
      </w:r>
      <w:r>
        <w:t xml:space="preserve"> </w:t>
      </w:r>
      <w:r>
        <w:t xml:space="preserve">addressed (i.e. human and veterinary medicinal products, cosmetics, medical devices, food</w:t>
      </w:r>
      <w:r>
        <w:t xml:space="preserve"> </w:t>
      </w:r>
      <w:r>
        <w:t xml:space="preserve">and feed), a thorough systematic literature review on each exempted product is not possible</w:t>
      </w:r>
      <w:r>
        <w:t xml:space="preserve"> </w:t>
      </w:r>
      <w:r>
        <w:t xml:space="preserve">within the scope of this supporting study. Therefore, this evidence collection exercise aimed</w:t>
      </w:r>
      <w:r>
        <w:t xml:space="preserve"> </w:t>
      </w:r>
      <w:r>
        <w:t xml:space="preserve">to identify the main trends and evidence sources related to each product. The evidence</w:t>
      </w:r>
      <w:r>
        <w:t xml:space="preserve"> </w:t>
      </w:r>
      <w:r>
        <w:t xml:space="preserve">search was focused on several types of sources:</w:t>
      </w:r>
      <w:r>
        <w:br/>
      </w:r>
      <w:r>
        <w:t xml:space="preserve">systematic literature reviews,</w:t>
      </w:r>
      <w:r>
        <w:br/>
      </w:r>
      <w:r>
        <w:t xml:space="preserve">narrative literature reviews, where systematic ones were not available,</w:t>
      </w:r>
      <w:r>
        <w:br/>
      </w:r>
      <w:r>
        <w:t xml:space="preserve">EU-wide quantitative surveys, and</w:t>
      </w:r>
      <w:r>
        <w:br/>
      </w:r>
      <w:r>
        <w:t xml:space="preserve">national surveys or case studies if the sources covering EU were not available.</w:t>
      </w:r>
      <w:r>
        <w:br/>
      </w:r>
      <w:r>
        <w:t xml:space="preserve">This approach was adopted from the hierarchy of evidence by Evans (2003); in his model,</w:t>
      </w:r>
      <w:r>
        <w:t xml:space="preserve"> </w:t>
      </w:r>
      <w:r>
        <w:t xml:space="preserve">systematic literature reviews are the best sources of evidence in terms of effectiveness,</w:t>
      </w:r>
      <w:r>
        <w:t xml:space="preserve"> </w:t>
      </w:r>
      <w:r>
        <w:t xml:space="preserve">appropriateness, and feasibility. Systematic literature reviews provide a transparent and</w:t>
      </w:r>
      <w:r>
        <w:t xml:space="preserve"> </w:t>
      </w:r>
      <w:r>
        <w:t xml:space="preserve">reproducible methodology for including publications under analysis and assessing their</w:t>
      </w:r>
      <w:r>
        <w:t xml:space="preserve"> </w:t>
      </w:r>
      <w:r>
        <w:t xml:space="preserve">quality. They cover substantial periods and number of publications (usually, from 5-10 years</w:t>
      </w:r>
      <w:r>
        <w:t xml:space="preserve"> </w:t>
      </w:r>
      <w:r>
        <w:t xml:space="preserve">and several dozens to hundreds of publications) to reflect the main trends in scientific</w:t>
      </w:r>
      <w:r>
        <w:t xml:space="preserve"> </w:t>
      </w:r>
      <w:r>
        <w:t xml:space="preserve">knowledge and gaps. Similarly, international surveys provide stronger evidence than national</w:t>
      </w:r>
      <w:r>
        <w:t xml:space="preserve"> </w:t>
      </w:r>
      <w:r>
        <w:t xml:space="preserve">surveys and case studies.</w:t>
      </w:r>
    </w:p>
    <w:p>
      <w:pPr>
        <w:pStyle w:val="BodyText"/>
      </w:pPr>
      <w:r>
        <w:t xml:space="preserve">520</w:t>
      </w:r>
    </w:p>
    <w:p>
      <w:pPr>
        <w:pStyle w:val="BodyText"/>
      </w:pPr>
      <w:r>
        <w:t xml:space="preserve">MEDICINAL AND VETERINARY MEDICINAL PRODUCTS</w:t>
      </w:r>
      <w:r>
        <w:t xml:space="preserve"> </w:t>
      </w:r>
      <w:r>
        <w:t xml:space="preserve">Legislative framework</w:t>
      </w:r>
      <w:r>
        <w:t xml:space="preserve"> </w:t>
      </w:r>
      <w:r>
        <w:t xml:space="preserve">Three legal acts focused on veterinary medicinal products (VMP) and medicinal products for</w:t>
      </w:r>
      <w:r>
        <w:t xml:space="preserve"> </w:t>
      </w:r>
      <w:r>
        <w:t xml:space="preserve">human use (HMP) were identified (see Table 159). A market authorisation is needed for</w:t>
      </w:r>
      <w:r>
        <w:t xml:space="preserve"> </w:t>
      </w:r>
      <w:r>
        <w:t xml:space="preserve">placing these types of products on the market. Common market authorisation procedures for</w:t>
      </w:r>
      <w:r>
        <w:t xml:space="preserve"> </w:t>
      </w:r>
      <w:r>
        <w:t xml:space="preserve">veterinary medicinal products and medicinal products for human use are laid out in</w:t>
      </w:r>
      <w:r>
        <w:t xml:space="preserve"> </w:t>
      </w:r>
      <w:r>
        <w:t xml:space="preserve">Regulation 726/2004 on Authorisation and Supervision of Medicinal Products. Specific</w:t>
      </w:r>
      <w:r>
        <w:t xml:space="preserve"> </w:t>
      </w:r>
      <w:r>
        <w:t xml:space="preserve">requirements for each type of medicinal product are provided in Medicinal Products Directive</w:t>
      </w:r>
      <w:r>
        <w:t xml:space="preserve"> </w:t>
      </w:r>
      <w:r>
        <w:t xml:space="preserve">2001/83/EC and Veterinary Medicinal Products Directive 2001/82/EC. Regulation 2019/6</w:t>
      </w:r>
      <w:r>
        <w:t xml:space="preserve"> </w:t>
      </w:r>
      <w:r>
        <w:t xml:space="preserve">lays down rules for the placing on the market, manufacturing, import, export, supply,</w:t>
      </w:r>
      <w:r>
        <w:t xml:space="preserve"> </w:t>
      </w:r>
      <w:r>
        <w:t xml:space="preserve">distribution, pharmacovigilance, control and use of veterinary medicinal products. This</w:t>
      </w:r>
      <w:r>
        <w:t xml:space="preserve"> </w:t>
      </w:r>
      <w:r>
        <w:t xml:space="preserve">repeals Directive</w:t>
      </w:r>
      <w:r>
        <w:t xml:space="preserve"> </w:t>
      </w:r>
      <w:r>
        <w:t xml:space="preserve">2001/82/EC and</w:t>
      </w:r>
      <w:r>
        <w:t xml:space="preserve"> </w:t>
      </w:r>
      <w:r>
        <w:t xml:space="preserve">amends</w:t>
      </w:r>
      <w:r>
        <w:t xml:space="preserve"> </w:t>
      </w:r>
      <w:r>
        <w:t xml:space="preserve">the</w:t>
      </w:r>
      <w:r>
        <w:t xml:space="preserve"> </w:t>
      </w:r>
      <w:r>
        <w:t xml:space="preserve">provisions</w:t>
      </w:r>
      <w:r>
        <w:t xml:space="preserve"> </w:t>
      </w:r>
      <w:r>
        <w:t xml:space="preserve">of Regulation</w:t>
      </w:r>
      <w:r>
        <w:t xml:space="preserve"> </w:t>
      </w:r>
      <w:r>
        <w:t xml:space="preserve">(EU)</w:t>
      </w:r>
      <w:r>
        <w:t xml:space="preserve"> </w:t>
      </w:r>
      <w:r>
        <w:t xml:space="preserve">726/2004 relating to the authorisation and supervision of veterinary medicines, which</w:t>
      </w:r>
      <w:r>
        <w:t xml:space="preserve"> </w:t>
      </w:r>
      <w:r>
        <w:t xml:space="preserve">currently governs the centralised marketing authorisation procedure for both human and</w:t>
      </w:r>
      <w:r>
        <w:t xml:space="preserve"> </w:t>
      </w:r>
      <w:r>
        <w:t xml:space="preserve">veterinary medicines. Regulation 2019/6 will apply since 28 January 2022; therefore, the</w:t>
      </w:r>
      <w:r>
        <w:t xml:space="preserve"> </w:t>
      </w:r>
      <w:r>
        <w:t xml:space="preserve">Directive 2001/82/EC was not included in the analysis.</w:t>
      </w:r>
      <w:r>
        <w:t xml:space="preserve"> </w:t>
      </w:r>
      <w:r>
        <w:t xml:space="preserve">Table 160: Overview of medicinal and veterinary medicinal products legislation</w:t>
      </w:r>
      <w:r>
        <w:t xml:space="preserve"> </w:t>
      </w:r>
      <w:r>
        <w:t xml:space="preserve">Type of products</w:t>
      </w:r>
      <w:r>
        <w:t xml:space="preserve"> </w:t>
      </w:r>
      <w:r>
        <w:t xml:space="preserve">Legislation</w:t>
      </w:r>
      <w:r>
        <w:t xml:space="preserve"> </w:t>
      </w:r>
      <w:r>
        <w:t xml:space="preserve">Medicinal</w:t>
      </w:r>
      <w:r>
        <w:t xml:space="preserve"> </w:t>
      </w:r>
      <w:r>
        <w:t xml:space="preserve">and</w:t>
      </w:r>
      <w:r>
        <w:t xml:space="preserve"> </w:t>
      </w:r>
      <w:r>
        <w:t xml:space="preserve">medicinal</w:t>
      </w:r>
      <w:r>
        <w:t xml:space="preserve"> </w:t>
      </w:r>
      <w:r>
        <w:t xml:space="preserve">veterinary</w:t>
      </w:r>
      <w:r>
        <w:t xml:space="preserve"> </w:t>
      </w:r>
      <w:r>
        <w:t xml:space="preserve">products</w:t>
      </w:r>
      <w:r>
        <w:t xml:space="preserve"> </w:t>
      </w:r>
      <w:r>
        <w:t xml:space="preserve">Regulation 726/2004 laying down Community procedures for the authorisation and</w:t>
      </w:r>
      <w:r>
        <w:t xml:space="preserve"> </w:t>
      </w:r>
      <w:r>
        <w:t xml:space="preserve">supervision of medicinal products for human and veterinary use and establishing a</w:t>
      </w:r>
      <w:r>
        <w:t xml:space="preserve"> </w:t>
      </w:r>
      <w:r>
        <w:t xml:space="preserve">European Medicines Agency (Regulation on Authorisation and Supervision of</w:t>
      </w:r>
      <w:r>
        <w:t xml:space="preserve"> </w:t>
      </w:r>
      <w:r>
        <w:t xml:space="preserve">Medicinal Products)</w:t>
      </w:r>
      <w:r>
        <w:t xml:space="preserve"> </w:t>
      </w:r>
      <w:r>
        <w:t xml:space="preserve">Medicinal products for</w:t>
      </w:r>
      <w:r>
        <w:t xml:space="preserve"> </w:t>
      </w:r>
      <w:r>
        <w:t xml:space="preserve">human use</w:t>
      </w:r>
      <w:r>
        <w:t xml:space="preserve"> </w:t>
      </w:r>
      <w:r>
        <w:t xml:space="preserve">Medicinal Products Directive 2001/83/EC</w:t>
      </w:r>
      <w:r>
        <w:t xml:space="preserve"> </w:t>
      </w:r>
      <w:r>
        <w:t xml:space="preserve">Veterinary</w:t>
      </w:r>
      <w:r>
        <w:t xml:space="preserve"> </w:t>
      </w:r>
      <w:r>
        <w:t xml:space="preserve">medicinal</w:t>
      </w:r>
      <w:r>
        <w:t xml:space="preserve"> </w:t>
      </w:r>
      <w:r>
        <w:t xml:space="preserve">products</w:t>
      </w:r>
      <w:r>
        <w:t xml:space="preserve"> </w:t>
      </w:r>
      <w:r>
        <w:t xml:space="preserve">Veterinary Medicinal Products Regulation 2019/6 (will come into force on 28</w:t>
      </w:r>
      <w:r>
        <w:t xml:space="preserve"> </w:t>
      </w:r>
      <w:r>
        <w:t xml:space="preserve">January 2022)</w:t>
      </w:r>
    </w:p>
    <w:p>
      <w:pPr>
        <w:pStyle w:val="BodyText"/>
      </w:pPr>
      <w:r>
        <w:t xml:space="preserve">Legal acts’ search identified several specific regulations on medicinal products, namely,</w:t>
      </w:r>
      <w:r>
        <w:t xml:space="preserve"> </w:t>
      </w:r>
      <w:r>
        <w:t xml:space="preserve">Regulation 141/2000 on medicinal products for rare diseases, Regulation on medicinal</w:t>
      </w:r>
      <w:r>
        <w:t xml:space="preserve"> </w:t>
      </w:r>
      <w:r>
        <w:t xml:space="preserve">products for children 1901/2006 and Regulation on advanced therapy medicinal products</w:t>
      </w:r>
      <w:r>
        <w:t xml:space="preserve"> </w:t>
      </w:r>
      <w:r>
        <w:t xml:space="preserve">1394/2007. These regulations complemented the requirements set in Regulation 726/2004,</w:t>
      </w:r>
      <w:r>
        <w:t xml:space="preserve"> </w:t>
      </w:r>
      <w:r>
        <w:t xml:space="preserve">Directive 2001/83/EC and did not contain any additional provisions focused on the</w:t>
      </w:r>
      <w:r>
        <w:t xml:space="preserve"> </w:t>
      </w:r>
      <w:r>
        <w:t xml:space="preserve">identification, classification and communication of the environmental hazards, so these are</w:t>
      </w:r>
      <w:r>
        <w:t xml:space="preserve"> </w:t>
      </w:r>
      <w:r>
        <w:t xml:space="preserve">not covered in this mapping exercise.</w:t>
      </w:r>
      <w:r>
        <w:t xml:space="preserve"> </w:t>
      </w:r>
      <w:r>
        <w:t xml:space="preserve">Identification and classification of environmental hazards</w:t>
      </w:r>
      <w:r>
        <w:t xml:space="preserve"> </w:t>
      </w:r>
      <w:r>
        <w:t xml:space="preserve">In medicinal and veterinary medicinal products legislation, environmental hazards of</w:t>
      </w:r>
      <w:r>
        <w:t xml:space="preserve"> </w:t>
      </w:r>
      <w:r>
        <w:t xml:space="preserve">products are identified in the environmental risk assessment (ERA), which is carried out as a</w:t>
      </w:r>
      <w:r>
        <w:t xml:space="preserve"> </w:t>
      </w:r>
      <w:r>
        <w:t xml:space="preserve">part of activities in preparing a dossier for marketing authorisation. Marketing authorisation</w:t>
      </w:r>
      <w:r>
        <w:t xml:space="preserve"> </w:t>
      </w:r>
      <w:r>
        <w:t xml:space="preserve">can be granted through various procedures, such as centralised, mutual recognition,</w:t>
      </w:r>
      <w:r>
        <w:t xml:space="preserve"> </w:t>
      </w:r>
      <w:r>
        <w:t xml:space="preserve">decentralised or national procedure. However, an ERA is required for all new marketing</w:t>
      </w:r>
      <w:r>
        <w:t xml:space="preserve"> </w:t>
      </w:r>
      <w:r>
        <w:t xml:space="preserve">authorisation applications for a medicinal product through all these procedures (EMA, 2018).</w:t>
      </w:r>
      <w:r>
        <w:t xml:space="preserve"> </w:t>
      </w:r>
      <w:r>
        <w:t xml:space="preserve">The common procedure for marketing authorisation of medicinal (HMPs – human medicinal</w:t>
      </w:r>
      <w:r>
        <w:t xml:space="preserve"> </w:t>
      </w:r>
      <w:r>
        <w:t xml:space="preserve">products) and veterinary medicinal products (VMPs) is laid out in Regulation 726/2004,</w:t>
      </w:r>
      <w:r>
        <w:t xml:space="preserve"> </w:t>
      </w:r>
      <w:r>
        <w:t xml:space="preserve">while Medicinal Products Directive 2001/83/EC and Veterinary Medicinal Products’</w:t>
      </w:r>
      <w:r>
        <w:t xml:space="preserve"> </w:t>
      </w:r>
      <w:r>
        <w:t xml:space="preserve">Regulation 2019/6 provide specific requirements. For both HMP and VMP, an</w:t>
      </w:r>
      <w:r>
        <w:t xml:space="preserve"> </w:t>
      </w:r>
      <w:r>
        <w:t xml:space="preserve">environmental risk assessment is therefore required for placing a product on the market.</w:t>
      </w:r>
    </w:p>
    <w:p>
      <w:pPr>
        <w:pStyle w:val="BodyText"/>
      </w:pPr>
      <w:r>
        <w:t xml:space="preserve">521</w:t>
      </w:r>
    </w:p>
    <w:p>
      <w:pPr>
        <w:pStyle w:val="BodyText"/>
      </w:pPr>
      <w:r>
        <w:t xml:space="preserve">Applicants who intend to place either HMP or VMP on the market are obliged to submit an</w:t>
      </w:r>
      <w:r>
        <w:t xml:space="preserve"> </w:t>
      </w:r>
      <w:r>
        <w:t xml:space="preserve">environmental risk assessment as a part of the authorisation dossier. Table 160 summarises</w:t>
      </w:r>
      <w:r>
        <w:t xml:space="preserve"> </w:t>
      </w:r>
      <w:r>
        <w:t xml:space="preserve">provisions regarding the environmental risk assessment found in the legal acts.</w:t>
      </w:r>
      <w:r>
        <w:t xml:space="preserve"> </w:t>
      </w:r>
      <w:r>
        <w:t xml:space="preserve">Table 161: Provisions regarding identification and classification of environmental hazards in medical</w:t>
      </w:r>
      <w:r>
        <w:t xml:space="preserve"> </w:t>
      </w:r>
      <w:r>
        <w:t xml:space="preserve">devices</w:t>
      </w:r>
      <w:r>
        <w:t xml:space="preserve"> </w:t>
      </w:r>
      <w:r>
        <w:t xml:space="preserve">Legislation</w:t>
      </w:r>
      <w:r>
        <w:t xml:space="preserve"> </w:t>
      </w:r>
      <w:r>
        <w:t xml:space="preserve">Provisions</w:t>
      </w:r>
      <w:r>
        <w:t xml:space="preserve"> </w:t>
      </w:r>
      <w:r>
        <w:t xml:space="preserve">Regulation</w:t>
      </w:r>
      <w:r>
        <w:t xml:space="preserve"> </w:t>
      </w:r>
      <w:r>
        <w:t xml:space="preserve">726/2004 on</w:t>
      </w:r>
      <w:r>
        <w:t xml:space="preserve"> </w:t>
      </w:r>
      <w:r>
        <w:t xml:space="preserve">Authorisation</w:t>
      </w:r>
      <w:r>
        <w:t xml:space="preserve"> </w:t>
      </w:r>
      <w:r>
        <w:t xml:space="preserve">and</w:t>
      </w:r>
      <w:r>
        <w:t xml:space="preserve"> </w:t>
      </w:r>
      <w:r>
        <w:t xml:space="preserve">Supervision of</w:t>
      </w:r>
      <w:r>
        <w:t xml:space="preserve"> </w:t>
      </w:r>
      <w:r>
        <w:t xml:space="preserve">Medicinal</w:t>
      </w:r>
      <w:r>
        <w:t xml:space="preserve"> </w:t>
      </w:r>
      <w:r>
        <w:t xml:space="preserve">Products</w:t>
      </w:r>
      <w:r>
        <w:t xml:space="preserve"> </w:t>
      </w:r>
      <w:r>
        <w:t xml:space="preserve">Article 6(2) states that in the case of a medicinal product for human use containing or</w:t>
      </w:r>
      <w:r>
        <w:t xml:space="preserve"> </w:t>
      </w:r>
      <w:r>
        <w:t xml:space="preserve">consisting of genetically modified organisms within the meaning of Article 2 of Directive</w:t>
      </w:r>
      <w:r>
        <w:t xml:space="preserve"> </w:t>
      </w:r>
      <w:r>
        <w:t xml:space="preserve">2001/18/EC, the application shall be accompanied by:</w:t>
      </w:r>
      <w:r>
        <w:t xml:space="preserve"> </w:t>
      </w:r>
      <w:r>
        <w:t xml:space="preserve">(a) a copy of the competent authorities’ written consent to the deliberate release into</w:t>
      </w:r>
      <w:r>
        <w:t xml:space="preserve"> </w:t>
      </w:r>
      <w:r>
        <w:t xml:space="preserve">the environment of the genetically modified organisms for research and</w:t>
      </w:r>
      <w:r>
        <w:t xml:space="preserve"> </w:t>
      </w:r>
      <w:r>
        <w:t xml:space="preserve">development purposes where provided for in Part B of Directive 2001/18/EC or in</w:t>
      </w:r>
      <w:r>
        <w:t xml:space="preserve"> </w:t>
      </w:r>
      <w:r>
        <w:t xml:space="preserve">Part B of Council Directive 90/220/EEC of 23 April 1990 on the deliberate release</w:t>
      </w:r>
      <w:r>
        <w:t xml:space="preserve"> </w:t>
      </w:r>
      <w:r>
        <w:t xml:space="preserve">into the environment of genetically modified organisms (1);</w:t>
      </w:r>
      <w:r>
        <w:t xml:space="preserve"> </w:t>
      </w:r>
      <w:r>
        <w:t xml:space="preserve">(b) the complete technical dossier supplying the information required by Annexes III</w:t>
      </w:r>
      <w:r>
        <w:t xml:space="preserve"> </w:t>
      </w:r>
      <w:r>
        <w:t xml:space="preserve">and IV to Directive 2001/18/EC;</w:t>
      </w:r>
      <w:r>
        <w:t xml:space="preserve"> </w:t>
      </w:r>
      <w:r>
        <w:t xml:space="preserve">(c) the environmental risk assessment in accordance with the principles set out in</w:t>
      </w:r>
      <w:r>
        <w:t xml:space="preserve"> </w:t>
      </w:r>
      <w:r>
        <w:t xml:space="preserve">Annex II to Directive 2001/18/EC; and</w:t>
      </w:r>
      <w:r>
        <w:t xml:space="preserve"> </w:t>
      </w:r>
      <w:r>
        <w:t xml:space="preserve">(d) the results of any investigations performed for the purposes of research or</w:t>
      </w:r>
      <w:r>
        <w:t xml:space="preserve"> </w:t>
      </w:r>
      <w:r>
        <w:t xml:space="preserve">development.</w:t>
      </w:r>
      <w:r>
        <w:t xml:space="preserve"> </w:t>
      </w:r>
      <w:r>
        <w:t xml:space="preserve">Article 31(2) specifies that in the case of a veterinary medicinal product containing or</w:t>
      </w:r>
      <w:r>
        <w:t xml:space="preserve"> </w:t>
      </w:r>
      <w:r>
        <w:t xml:space="preserve">consisting of genetically modified organisms within the meaning of Article 2 of Directive</w:t>
      </w:r>
      <w:r>
        <w:t xml:space="preserve"> </w:t>
      </w:r>
      <w:r>
        <w:t xml:space="preserve">2001/18/EC, the application shall also be accompanied by:</w:t>
      </w:r>
      <w:r>
        <w:t xml:space="preserve"> </w:t>
      </w:r>
      <w:r>
        <w:t xml:space="preserve">a copy of the written consent of the competent authorities to the deliberate release into the</w:t>
      </w:r>
      <w:r>
        <w:t xml:space="preserve"> </w:t>
      </w:r>
      <w:r>
        <w:t xml:space="preserve">environment of the genetically modified organisms for research and development purposes,</w:t>
      </w:r>
      <w:r>
        <w:t xml:space="preserve"> </w:t>
      </w:r>
      <w:r>
        <w:t xml:space="preserve">as provided for in Part B of Directive 2001/18/EC or in Part B of Directive 90/220/EEC;</w:t>
      </w:r>
      <w:r>
        <w:br/>
      </w:r>
      <w:r>
        <w:t xml:space="preserve">the complete technical file supplying the information required under Annexes III and IV to</w:t>
      </w:r>
      <w:r>
        <w:t xml:space="preserve"> </w:t>
      </w:r>
      <w:r>
        <w:t xml:space="preserve">Directive 2001/18/EC;</w:t>
      </w:r>
      <w:r>
        <w:t xml:space="preserve"> </w:t>
      </w:r>
      <w:r>
        <w:t xml:space="preserve">the environmental risk assessment in accordance with the principles set out in Annex II to</w:t>
      </w:r>
      <w:r>
        <w:t xml:space="preserve"> </w:t>
      </w:r>
      <w:r>
        <w:t xml:space="preserve">Directive 2001/18/EC; and</w:t>
      </w:r>
      <w:r>
        <w:br/>
      </w:r>
      <w:r>
        <w:t xml:space="preserve">the results of any investigations performed for the purposes of research or development.</w:t>
      </w:r>
      <w:r>
        <w:t xml:space="preserve"> </w:t>
      </w:r>
      <w:r>
        <w:t xml:space="preserve">Medicinal</w:t>
      </w:r>
      <w:r>
        <w:t xml:space="preserve"> </w:t>
      </w:r>
      <w:r>
        <w:t xml:space="preserve">Products</w:t>
      </w:r>
      <w:r>
        <w:t xml:space="preserve"> </w:t>
      </w:r>
      <w:r>
        <w:t xml:space="preserve">Directive</w:t>
      </w:r>
      <w:r>
        <w:t xml:space="preserve"> </w:t>
      </w:r>
      <w:r>
        <w:t xml:space="preserve">2001/83/EC</w:t>
      </w:r>
      <w:r>
        <w:t xml:space="preserve"> </w:t>
      </w:r>
      <w:r>
        <w:t xml:space="preserve">Under Article 6(1), no medicinal product may be placed on the market of a Member State</w:t>
      </w:r>
      <w:r>
        <w:t xml:space="preserve"> </w:t>
      </w:r>
      <w:r>
        <w:t xml:space="preserve">unless a marketing authorisation has been issued by the competent authorities of that</w:t>
      </w:r>
      <w:r>
        <w:t xml:space="preserve"> </w:t>
      </w:r>
      <w:r>
        <w:t xml:space="preserve">Member State in accordance with this Directive or an authorisation has been granted in</w:t>
      </w:r>
      <w:r>
        <w:t xml:space="preserve"> </w:t>
      </w:r>
      <w:r>
        <w:t xml:space="preserve">accordance with Regulation (EC) No 726/2004, read in conjunction with Regulation (EC)</w:t>
      </w:r>
      <w:r>
        <w:t xml:space="preserve"> </w:t>
      </w:r>
      <w:r>
        <w:t xml:space="preserve">No 1901/2006 of the European Parliament and of the Council of 12 December 2006 on</w:t>
      </w:r>
      <w:r>
        <w:t xml:space="preserve"> </w:t>
      </w:r>
      <w:r>
        <w:t xml:space="preserve">medicinal products for paediatric use ( 2 ) and Regulation (EC) No 1394/2007.</w:t>
      </w:r>
      <w:r>
        <w:t xml:space="preserve"> </w:t>
      </w:r>
      <w:r>
        <w:t xml:space="preserve">According to Article 8(3), the application for a marketing authorisation of a medicinal</w:t>
      </w:r>
      <w:r>
        <w:t xml:space="preserve"> </w:t>
      </w:r>
      <w:r>
        <w:t xml:space="preserve">product must be accompanied by:</w:t>
      </w:r>
      <w:r>
        <w:t xml:space="preserve"> </w:t>
      </w:r>
      <w:r>
        <w:t xml:space="preserve">(ca) evaluation of the potential environmental risks posed by the medicinal product.</w:t>
      </w:r>
      <w:r>
        <w:t xml:space="preserve"> </w:t>
      </w:r>
      <w:r>
        <w:t xml:space="preserve">This impact shall be assessed and, on a case-by-case basis, specific arrangements to limit it</w:t>
      </w:r>
      <w:r>
        <w:t xml:space="preserve"> </w:t>
      </w:r>
      <w:r>
        <w:t xml:space="preserve">shall be envisaged.</w:t>
      </w:r>
      <w:r>
        <w:t xml:space="preserve"> </w:t>
      </w:r>
      <w:r>
        <w:t xml:space="preserve">(g) reasons for any precautionary and safety measures to be taken for the storage of the</w:t>
      </w:r>
    </w:p>
    <w:p>
      <w:pPr>
        <w:pStyle w:val="BodyText"/>
      </w:pPr>
      <w:r>
        <w:t xml:space="preserve">522</w:t>
      </w:r>
    </w:p>
    <w:p>
      <w:pPr>
        <w:pStyle w:val="BodyText"/>
      </w:pPr>
      <w:r>
        <w:t xml:space="preserve">Table 161: Provisions regarding identification and classification of environmental hazards in medical</w:t>
      </w:r>
      <w:r>
        <w:t xml:space="preserve"> </w:t>
      </w:r>
      <w:r>
        <w:t xml:space="preserve">devices</w:t>
      </w:r>
      <w:r>
        <w:t xml:space="preserve"> </w:t>
      </w:r>
      <w:r>
        <w:t xml:space="preserve">Legislation</w:t>
      </w:r>
      <w:r>
        <w:t xml:space="preserve"> </w:t>
      </w:r>
      <w:r>
        <w:t xml:space="preserve">Provisions</w:t>
      </w:r>
      <w:r>
        <w:t xml:space="preserve"> </w:t>
      </w:r>
      <w:r>
        <w:t xml:space="preserve">medicinal product, its administration to patients and for the disposal of waste products,</w:t>
      </w:r>
      <w:r>
        <w:t xml:space="preserve"> </w:t>
      </w:r>
      <w:r>
        <w:t xml:space="preserve">together with an indication of potential risks presented by the medicinal product for</w:t>
      </w:r>
      <w:r>
        <w:t xml:space="preserve"> </w:t>
      </w:r>
      <w:r>
        <w:t xml:space="preserve">the environment.</w:t>
      </w:r>
      <w:r>
        <w:t xml:space="preserve"> </w:t>
      </w:r>
      <w:r>
        <w:t xml:space="preserve">(iaa) The risk management plan describing the risk management system which the</w:t>
      </w:r>
      <w:r>
        <w:t xml:space="preserve"> </w:t>
      </w:r>
      <w:r>
        <w:t xml:space="preserve">applicant will introduce for the medicinal product concerned, together with a summary</w:t>
      </w:r>
      <w:r>
        <w:t xml:space="preserve"> </w:t>
      </w:r>
      <w:r>
        <w:t xml:space="preserve">thereof.</w:t>
      </w:r>
      <w:r>
        <w:t xml:space="preserve"> </w:t>
      </w:r>
      <w:r>
        <w:t xml:space="preserve">Annex I, Part I, Module I, 1.6 specifies that where applicable, applications for marketing</w:t>
      </w:r>
      <w:r>
        <w:t xml:space="preserve"> </w:t>
      </w:r>
      <w:r>
        <w:t xml:space="preserve">authorisations shall include a risk assessment overview evaluating possible risks to the</w:t>
      </w:r>
      <w:r>
        <w:t xml:space="preserve"> </w:t>
      </w:r>
      <w:r>
        <w:t xml:space="preserve">environment due to the use and/or disposal of the medicinal product and make</w:t>
      </w:r>
      <w:r>
        <w:t xml:space="preserve"> </w:t>
      </w:r>
      <w:r>
        <w:t xml:space="preserve">proposals for appropriate labelling provisions. The environmental risk connected with</w:t>
      </w:r>
      <w:r>
        <w:t xml:space="preserve"> </w:t>
      </w:r>
      <w:r>
        <w:t xml:space="preserve">the release of medicinal products containing or consisting of GMOs (Genetically Modified</w:t>
      </w:r>
      <w:r>
        <w:t xml:space="preserve"> </w:t>
      </w:r>
      <w:r>
        <w:t xml:space="preserve">Organisms) within the meaning of Article 2 of Directive 2001/18/EC of the European</w:t>
      </w:r>
      <w:r>
        <w:t xml:space="preserve"> </w:t>
      </w:r>
      <w:r>
        <w:t xml:space="preserve">Parliament and of the Council of 12 March 2001 on the deliberate release into the</w:t>
      </w:r>
      <w:r>
        <w:t xml:space="preserve"> </w:t>
      </w:r>
      <w:r>
        <w:t xml:space="preserve">environment of modified organisms and repealing Council Directive 90/220/EEC ( 1 ) shall</w:t>
      </w:r>
      <w:r>
        <w:t xml:space="preserve"> </w:t>
      </w:r>
      <w:r>
        <w:t xml:space="preserve">be addressed.</w:t>
      </w:r>
      <w:r>
        <w:t xml:space="preserve"> </w:t>
      </w:r>
      <w:r>
        <w:t xml:space="preserve">Veterinary</w:t>
      </w:r>
      <w:r>
        <w:t xml:space="preserve"> </w:t>
      </w:r>
      <w:r>
        <w:t xml:space="preserve">Medicinal</w:t>
      </w:r>
      <w:r>
        <w:t xml:space="preserve"> </w:t>
      </w:r>
      <w:r>
        <w:t xml:space="preserve">Products</w:t>
      </w:r>
      <w:r>
        <w:t xml:space="preserve"> </w:t>
      </w:r>
      <w:r>
        <w:t xml:space="preserve">Regulation</w:t>
      </w:r>
      <w:r>
        <w:t xml:space="preserve"> </w:t>
      </w:r>
      <w:r>
        <w:t xml:space="preserve">2019/6</w:t>
      </w:r>
      <w:r>
        <w:t xml:space="preserve"> </w:t>
      </w:r>
      <w:r>
        <w:t xml:space="preserve">Article 5(1) states that a veterinary medicinal product shall be placed on the market only</w:t>
      </w:r>
      <w:r>
        <w:t xml:space="preserve"> </w:t>
      </w:r>
      <w:r>
        <w:t xml:space="preserve">when a competent authority or the Commission, as applicable, has granted a marketing</w:t>
      </w:r>
      <w:r>
        <w:t xml:space="preserve"> </w:t>
      </w:r>
      <w:r>
        <w:t xml:space="preserve">authorisation for that product in accordance with Article 44, 47, 49, 52, 53 or 54.</w:t>
      </w:r>
      <w:r>
        <w:t xml:space="preserve"> </w:t>
      </w:r>
      <w:r>
        <w:t xml:space="preserve">Article 8(1) specifies the requirements to the content of a marketing authorisation. It refers</w:t>
      </w:r>
      <w:r>
        <w:t xml:space="preserve"> </w:t>
      </w:r>
      <w:r>
        <w:t xml:space="preserve">to Annex I of the Regulation for the documentation requirements. Article 8(2) defines</w:t>
      </w:r>
      <w:r>
        <w:t xml:space="preserve"> </w:t>
      </w:r>
      <w:r>
        <w:t xml:space="preserve">additional requirements for antimicrobial medicinal products as follows:</w:t>
      </w:r>
      <w:r>
        <w:t xml:space="preserve"> </w:t>
      </w:r>
      <w:r>
        <w:t xml:space="preserve">(a) documentation on the direct or indirect risks to public or animal health or to the</w:t>
      </w:r>
      <w:r>
        <w:t xml:space="preserve"> </w:t>
      </w:r>
      <w:r>
        <w:t xml:space="preserve">environment of use of the antimicrobial veterinary medicinal product in animals;</w:t>
      </w:r>
      <w:r>
        <w:br/>
      </w:r>
      <w:r>
        <w:t xml:space="preserve">(b) information about risk mitigation measures to limit antimicrobial resistance</w:t>
      </w:r>
      <w:r>
        <w:t xml:space="preserve"> </w:t>
      </w:r>
      <w:r>
        <w:t xml:space="preserve">development related to the use of the veterinary medicinal product.</w:t>
      </w:r>
      <w:r>
        <w:t xml:space="preserve"> </w:t>
      </w:r>
      <w:r>
        <w:t xml:space="preserve">Annex I sets the requirements for the particulars and documents accompanying an</w:t>
      </w:r>
      <w:r>
        <w:t xml:space="preserve"> </w:t>
      </w:r>
      <w:r>
        <w:t xml:space="preserve">application for marketing authorisation.</w:t>
      </w:r>
      <w:r>
        <w:t xml:space="preserve"> </w:t>
      </w:r>
      <w:r>
        <w:t xml:space="preserve">Title I of Annex I, Requirements for veterinary medicinal products other than</w:t>
      </w:r>
      <w:r>
        <w:t xml:space="preserve"> </w:t>
      </w:r>
      <w:r>
        <w:t xml:space="preserve">immunological veterinary medicinal products, Part 3: Safety and residues tests, Section 6:</w:t>
      </w:r>
      <w:r>
        <w:t xml:space="preserve"> </w:t>
      </w:r>
      <w:r>
        <w:t xml:space="preserve">Environmental risk assessment describes the procedure of the environmental risk</w:t>
      </w:r>
      <w:r>
        <w:t xml:space="preserve"> </w:t>
      </w:r>
      <w:r>
        <w:t xml:space="preserve">assessment for products containing/not containing genetically modified organisms. Sub-</w:t>
      </w:r>
      <w:r>
        <w:t xml:space="preserve"> </w:t>
      </w:r>
      <w:r>
        <w:t xml:space="preserve">section 6.1 states that an environmental risk assessment shall be performed to assess the</w:t>
      </w:r>
      <w:r>
        <w:t xml:space="preserve"> </w:t>
      </w:r>
      <w:r>
        <w:t xml:space="preserve">potential harmful effects, which the use of the veterinary medicinal product may cause to</w:t>
      </w:r>
      <w:r>
        <w:t xml:space="preserve"> </w:t>
      </w:r>
      <w:r>
        <w:t xml:space="preserve">the environment and to identify the risk of such effects. The assessment shall also identify</w:t>
      </w:r>
      <w:r>
        <w:t xml:space="preserve"> </w:t>
      </w:r>
      <w:r>
        <w:t xml:space="preserve">any precautionary measures which may be necessary to reduce such risk. Sub-section 6.2</w:t>
      </w:r>
      <w:r>
        <w:t xml:space="preserve"> </w:t>
      </w:r>
      <w:r>
        <w:t xml:space="preserve">outlines that in the case of a veterinary medicinal product containing or consisting of</w:t>
      </w:r>
      <w:r>
        <w:t xml:space="preserve"> </w:t>
      </w:r>
      <w:r>
        <w:t xml:space="preserve">genetically modified organisms the application shall also be accompanied by the documents</w:t>
      </w:r>
      <w:r>
        <w:t xml:space="preserve"> </w:t>
      </w:r>
      <w:r>
        <w:t xml:space="preserve">required under Article 2 and Part C of Directive 2001/18/EC.</w:t>
      </w:r>
      <w:r>
        <w:t xml:space="preserve"> </w:t>
      </w:r>
      <w:r>
        <w:t xml:space="preserve">Title II of Annex I, Requirements for immunological veterinary medicinal products, Part D.</w:t>
      </w:r>
      <w:r>
        <w:t xml:space="preserve"> </w:t>
      </w:r>
      <w:r>
        <w:t xml:space="preserve">Environmental risk assessment, Part 3: Safety tests, Section D. Environmental risk</w:t>
      </w:r>
      <w:r>
        <w:t xml:space="preserve"> </w:t>
      </w:r>
      <w:r>
        <w:t xml:space="preserve">assessment describes the procedure of the environmental risk assessment. It states that</w:t>
      </w:r>
      <w:r>
        <w:br/>
      </w:r>
      <w:r>
        <w:t xml:space="preserve">the purpose of the environmental risk assessment is to assess the potential harmful</w:t>
      </w:r>
      <w:r>
        <w:t xml:space="preserve"> </w:t>
      </w:r>
      <w:r>
        <w:t xml:space="preserve">effects, which the use of the product may cause to the environment and to identify any</w:t>
      </w:r>
      <w:r>
        <w:t xml:space="preserve"> </w:t>
      </w:r>
      <w:r>
        <w:t xml:space="preserve">precautionary measures, which may be necessary to reduce such risks.</w:t>
      </w:r>
    </w:p>
    <w:p>
      <w:pPr>
        <w:pStyle w:val="BodyText"/>
      </w:pPr>
      <w:r>
        <w:t xml:space="preserve">523</w:t>
      </w:r>
    </w:p>
    <w:p>
      <w:pPr>
        <w:pStyle w:val="BodyText"/>
      </w:pPr>
      <w:r>
        <w:t xml:space="preserve">The requirements and process of the environmental risk assessment of medicinal products for</w:t>
      </w:r>
      <w:r>
        <w:t xml:space="preserve"> </w:t>
      </w:r>
      <w:r>
        <w:t xml:space="preserve">human use are described in the guidelines by the European Medical Agency (EMA, 2018).</w:t>
      </w:r>
      <w:r>
        <w:br/>
      </w:r>
      <w:r>
        <w:t xml:space="preserve">According to EMA (2018) ‘It is mandatory for the dossier for the marketing authorisation of</w:t>
      </w:r>
      <w:r>
        <w:t xml:space="preserve"> </w:t>
      </w:r>
      <w:r>
        <w:t xml:space="preserve">HMP to include an ERA. This ERA is based on the use of the product and the</w:t>
      </w:r>
      <w:r>
        <w:t xml:space="preserve"> </w:t>
      </w:r>
      <w:r>
        <w:t xml:space="preserve">physicochemical, ecotoxicological, and fate properties of its active substance’. The ERA</w:t>
      </w:r>
      <w:r>
        <w:t xml:space="preserve"> </w:t>
      </w:r>
      <w:r>
        <w:t xml:space="preserve">should be updated if there is an anticipated increase in environmental exposure. It is</w:t>
      </w:r>
      <w:r>
        <w:t xml:space="preserve"> </w:t>
      </w:r>
      <w:r>
        <w:t xml:space="preserve">important to stress that the ERA focuses on the properties of the active substance. EMA</w:t>
      </w:r>
      <w:r>
        <w:t xml:space="preserve"> </w:t>
      </w:r>
      <w:r>
        <w:t xml:space="preserve">(2018) clarifies that ‘excipients do not generally require an ERA unless there is a specific</w:t>
      </w:r>
      <w:r>
        <w:t xml:space="preserve"> </w:t>
      </w:r>
      <w:r>
        <w:t xml:space="preserve">toxicological effect to suggest an environmental risk under the product’s conditions of use.’</w:t>
      </w:r>
      <w:r>
        <w:t xml:space="preserve"> </w:t>
      </w:r>
      <w:r>
        <w:t xml:space="preserve">All medicinal products, in principle, require an ERA and a PBT assessment. An ERA may</w:t>
      </w:r>
      <w:r>
        <w:t xml:space="preserve"> </w:t>
      </w:r>
      <w:r>
        <w:t xml:space="preserve">also consist of a justification for not submitting ERA studies. The ERA consists of two</w:t>
      </w:r>
      <w:r>
        <w:t xml:space="preserve"> </w:t>
      </w:r>
      <w:r>
        <w:t xml:space="preserve">phases: in Phase I, ‘the potential for environmental exposure is assessed based on the nature</w:t>
      </w:r>
      <w:r>
        <w:t xml:space="preserve"> </w:t>
      </w:r>
      <w:r>
        <w:t xml:space="preserve">of the active substance and the intended use’ and ‘products that require a more extensive</w:t>
      </w:r>
      <w:r>
        <w:t xml:space="preserve"> </w:t>
      </w:r>
      <w:r>
        <w:t xml:space="preserve">Phase II risk assessment – either standard or tailored - are identified’.</w:t>
      </w:r>
      <w:r>
        <w:t xml:space="preserve"> </w:t>
      </w:r>
      <w:r>
        <w:t xml:space="preserve">ERA Phase I results in a predicted environmental concentration in surface water (PECSW)</w:t>
      </w:r>
      <w:r>
        <w:t xml:space="preserve"> </w:t>
      </w:r>
      <w:r>
        <w:t xml:space="preserve">value. If the value is above 0.01 μg/L, the medicinal product active substance needs to</w:t>
      </w:r>
      <w:r>
        <w:t xml:space="preserve"> </w:t>
      </w:r>
      <w:r>
        <w:t xml:space="preserve">undergo ERA Phase II. Phase II requires the determination of the physicochemical properties,</w:t>
      </w:r>
      <w:r>
        <w:t xml:space="preserve"> </w:t>
      </w:r>
      <w:r>
        <w:t xml:space="preserve">fate and ecotoxicity. These need to be determined by applying GLP tests following OECD</w:t>
      </w:r>
      <w:r>
        <w:t xml:space="preserve"> </w:t>
      </w:r>
      <w:r>
        <w:t xml:space="preserve">test guidelines. A number of methods are based on methods described in REACH and the</w:t>
      </w:r>
      <w:r>
        <w:t xml:space="preserve"> </w:t>
      </w:r>
      <w:r>
        <w:t xml:space="preserve">Water Framework Directive Environmental Quality Standards. Phase II results in the</w:t>
      </w:r>
      <w:r>
        <w:t xml:space="preserve"> </w:t>
      </w:r>
      <w:r>
        <w:t xml:space="preserve">calculation of predicted no-effect concentration (PNEC) values for different environmental</w:t>
      </w:r>
      <w:r>
        <w:t xml:space="preserve"> </w:t>
      </w:r>
      <w:r>
        <w:t xml:space="preserve">compartments and risk quotients (RQ = PEC / PNEC). If RQ is equal to or above 1, the risk</w:t>
      </w:r>
      <w:r>
        <w:t xml:space="preserve"> </w:t>
      </w:r>
      <w:r>
        <w:t xml:space="preserve">to the environmental compartment cannot be excluded and therefore the applicant should</w:t>
      </w:r>
      <w:r>
        <w:t xml:space="preserve"> </w:t>
      </w:r>
      <w:r>
        <w:t xml:space="preserve">propose adequate precautionary and safety measures to protect soil ecosystems.</w:t>
      </w:r>
      <w:r>
        <w:t xml:space="preserve"> </w:t>
      </w:r>
      <w:r>
        <w:t xml:space="preserve">The PBT assessment follows the criteria for the identification of PBT and vPvB substances</w:t>
      </w:r>
      <w:r>
        <w:t xml:space="preserve"> </w:t>
      </w:r>
      <w:r>
        <w:t xml:space="preserve">specified in Annex XIII of the REACH Regulation.</w:t>
      </w:r>
      <w:r>
        <w:t xml:space="preserve"> </w:t>
      </w:r>
      <w:r>
        <w:t xml:space="preserve">Finally, for active substances with a specific mode of action (e.g. antibiotics and endocrine</w:t>
      </w:r>
      <w:r>
        <w:t xml:space="preserve"> </w:t>
      </w:r>
      <w:r>
        <w:t xml:space="preserve">active substances), EMA (2018) requires tailored assessments.</w:t>
      </w:r>
      <w:r>
        <w:t xml:space="preserve"> </w:t>
      </w:r>
      <w:r>
        <w:t xml:space="preserve">ERA results in assigning a medicinal product to one of the following categories that lead to</w:t>
      </w:r>
      <w:r>
        <w:t xml:space="preserve"> </w:t>
      </w:r>
      <w:r>
        <w:t xml:space="preserve">specific labelling requirements:</w:t>
      </w:r>
    </w:p>
    <w:p>
      <w:pPr>
        <w:pStyle w:val="BodyText"/>
      </w:pPr>
      <w:r>
        <w:t xml:space="preserve">No significant risk to the environment or Current ERA data does not suggest a</w:t>
      </w:r>
      <w:r>
        <w:t xml:space="preserve"> </w:t>
      </w:r>
      <w:r>
        <w:t xml:space="preserve">potential risk to the environment.</w:t>
      </w:r>
      <w:r>
        <w:t xml:space="preserve"> </w:t>
      </w:r>
      <w:r>
        <w:t xml:space="preserve">ERA has identified a potential risk to the environment.</w:t>
      </w:r>
      <w:r>
        <w:t xml:space="preserve"> </w:t>
      </w:r>
      <w:r>
        <w:t xml:space="preserve">In cases, when ERA identified a potential risk to the environment and it cannot be avoided,</w:t>
      </w:r>
      <w:r>
        <w:t xml:space="preserve"> </w:t>
      </w:r>
      <w:r>
        <w:t xml:space="preserve">the applicant should propose a risk mitigation strategy, including information about the</w:t>
      </w:r>
      <w:r>
        <w:t xml:space="preserve"> </w:t>
      </w:r>
      <w:r>
        <w:t xml:space="preserve">environmental risks of the medicinal product, appropriate use, storage and disposal indicated</w:t>
      </w:r>
      <w:r>
        <w:t xml:space="preserve"> </w:t>
      </w:r>
      <w:r>
        <w:t xml:space="preserve">on the label or in the package leaflet. Provision of such information on the label or in the</w:t>
      </w:r>
      <w:r>
        <w:t xml:space="preserve"> </w:t>
      </w:r>
      <w:r>
        <w:t xml:space="preserve">packaging leaflet considered on case-by-case basis depending on the specific risk (EMA,</w:t>
      </w:r>
      <w:r>
        <w:t xml:space="preserve"> </w:t>
      </w:r>
      <w:r>
        <w:t xml:space="preserve">2018).</w:t>
      </w:r>
      <w:r>
        <w:t xml:space="preserve"> </w:t>
      </w:r>
      <w:r>
        <w:t xml:space="preserve">ERA of the veterinary medicinal products (VMPs) is a two-phase process that is detailed in</w:t>
      </w:r>
      <w:r>
        <w:t xml:space="preserve"> </w:t>
      </w:r>
      <w:r>
        <w:t xml:space="preserve">the guidelines describing the requirements and content of each phase (EMA, 2000). Similarly</w:t>
      </w:r>
      <w:r>
        <w:t xml:space="preserve"> </w:t>
      </w:r>
      <w:r>
        <w:t xml:space="preserve">to HMPs, ERA considers only the use of the VMP and physicochemical, ecotoxicological</w:t>
      </w:r>
    </w:p>
    <w:p>
      <w:pPr>
        <w:pStyle w:val="BodyText"/>
      </w:pPr>
      <w:r>
        <w:t xml:space="preserve">524</w:t>
      </w:r>
    </w:p>
    <w:p>
      <w:pPr>
        <w:pStyle w:val="BodyText"/>
      </w:pPr>
      <w:r>
        <w:t xml:space="preserve">and fate properties of its active substance. The results of ERA trigger specific risk mitigation</w:t>
      </w:r>
      <w:r>
        <w:t xml:space="preserve"> </w:t>
      </w:r>
      <w:r>
        <w:t xml:space="preserve">measures and appropriate labelling to inform users and professionals.</w:t>
      </w:r>
      <w:r>
        <w:t xml:space="preserve"> </w:t>
      </w:r>
      <w:r>
        <w:t xml:space="preserve">Phase I is focused on the assessment of the environmental exposure of a VMP and determines</w:t>
      </w:r>
      <w:r>
        <w:t xml:space="preserve"> </w:t>
      </w:r>
      <w:r>
        <w:t xml:space="preserve">if an ecotoxicological assessment is necessary. Phase I assessment considers active substance</w:t>
      </w:r>
      <w:r>
        <w:t xml:space="preserve"> </w:t>
      </w:r>
      <w:r>
        <w:t xml:space="preserve">and other constituents (excipients) of a VMP, its methods of administration, target species</w:t>
      </w:r>
      <w:r>
        <w:t xml:space="preserve"> </w:t>
      </w:r>
      <w:r>
        <w:t xml:space="preserve">and proposed pattern of use. This assessment is mandatory for all VMPs. The decision if</w:t>
      </w:r>
      <w:r>
        <w:t xml:space="preserve"> </w:t>
      </w:r>
      <w:r>
        <w:t xml:space="preserve">Phase II assessment is necessary is taken based on the predicted environmental concentration</w:t>
      </w:r>
      <w:r>
        <w:t xml:space="preserve"> </w:t>
      </w:r>
      <w:r>
        <w:t xml:space="preserve">of a VMP in soil for the terrestrial compartment and environmental introduction</w:t>
      </w:r>
      <w:r>
        <w:t xml:space="preserve"> </w:t>
      </w:r>
      <w:r>
        <w:t xml:space="preserve">concentration for the aquatic compartment and intended use and intrinsic properties of a</w:t>
      </w:r>
      <w:r>
        <w:t xml:space="preserve"> </w:t>
      </w:r>
      <w:r>
        <w:t xml:space="preserve">VMP. For VMPs with predicted environmental concentrations below 100 µg/kg or</w:t>
      </w:r>
      <w:r>
        <w:t xml:space="preserve"> </w:t>
      </w:r>
      <w:r>
        <w:t xml:space="preserve">environmental introduction concentration 1 µg/L, Phase II assessment is not required.</w:t>
      </w:r>
      <w:r>
        <w:t xml:space="preserve"> </w:t>
      </w:r>
      <w:r>
        <w:t xml:space="preserve">However, because of concerns related to the intrinsic properties of a VMP and their effects on</w:t>
      </w:r>
      <w:r>
        <w:t xml:space="preserve"> </w:t>
      </w:r>
      <w:r>
        <w:t xml:space="preserve">the environment, a tailored risk assessment might be needed.</w:t>
      </w:r>
      <w:r>
        <w:t xml:space="preserve"> </w:t>
      </w:r>
      <w:r>
        <w:t xml:space="preserve">Phase II covers a three-tiered ecotoxicological assessment, which is based on risk quotient</w:t>
      </w:r>
      <w:r>
        <w:t xml:space="preserve"> </w:t>
      </w:r>
      <w:r>
        <w:t xml:space="preserve">(RQ), which is a ratio between predicted environmental concentration and predicted no-effect</w:t>
      </w:r>
      <w:r>
        <w:t xml:space="preserve"> </w:t>
      </w:r>
      <w:r>
        <w:t xml:space="preserve">concentration in terrestrial and aquatic compartments. If RQ is lower than 1, no further</w:t>
      </w:r>
      <w:r>
        <w:t xml:space="preserve"> </w:t>
      </w:r>
      <w:r>
        <w:t xml:space="preserve">testing is needed, while if the RQ is equal or above one, assessment moves to tier B to</w:t>
      </w:r>
      <w:r>
        <w:t xml:space="preserve"> </w:t>
      </w:r>
      <w:r>
        <w:t xml:space="preserve">generate more data on the environmental compartments where RQ is higher than one. If the</w:t>
      </w:r>
      <w:r>
        <w:t xml:space="preserve"> </w:t>
      </w:r>
      <w:r>
        <w:t xml:space="preserve">tier-B assessment concludes that a VMP poses a risk to the environment, tier-C assessment</w:t>
      </w:r>
      <w:r>
        <w:t xml:space="preserve"> </w:t>
      </w:r>
      <w:r>
        <w:t xml:space="preserve">based on more realistic scenarios is required. Physicochemical properties, environmental fate</w:t>
      </w:r>
      <w:r>
        <w:t xml:space="preserve"> </w:t>
      </w:r>
      <w:r>
        <w:t xml:space="preserve">and environmental effects studies should be performed following the OECD guidelines and</w:t>
      </w:r>
      <w:r>
        <w:t xml:space="preserve"> </w:t>
      </w:r>
      <w:r>
        <w:t xml:space="preserve">by applying Good Laboratory Practice. If Phase II assessment concludes that a VMP poses an</w:t>
      </w:r>
      <w:r>
        <w:t xml:space="preserve"> </w:t>
      </w:r>
      <w:r>
        <w:t xml:space="preserve">unacceptable risk to the environment, the applicant should propose measures to reduce the</w:t>
      </w:r>
      <w:r>
        <w:t xml:space="preserve"> </w:t>
      </w:r>
      <w:r>
        <w:t xml:space="preserve">risk to an acceptable level.</w:t>
      </w:r>
      <w:r>
        <w:t xml:space="preserve"> </w:t>
      </w:r>
      <w:r>
        <w:t xml:space="preserve">The guidelines for specific aspects of assessing veterinary medicinal products are under</w:t>
      </w:r>
      <w:r>
        <w:t xml:space="preserve"> </w:t>
      </w:r>
      <w:r>
        <w:t xml:space="preserve">development. In the recent concept paper, the European Medicines Agency acknowledged</w:t>
      </w:r>
      <w:r>
        <w:t xml:space="preserve"> </w:t>
      </w:r>
      <w:r>
        <w:t xml:space="preserve">that ‘while the available guidance documents (see above for details) provide detailed</w:t>
      </w:r>
      <w:r>
        <w:t xml:space="preserve"> </w:t>
      </w:r>
      <w:r>
        <w:t xml:space="preserve">information on how to estimate the environmental exposure of VMPs intended for use in</w:t>
      </w:r>
      <w:r>
        <w:t xml:space="preserve"> </w:t>
      </w:r>
      <w:r>
        <w:t xml:space="preserve">terrestrial animals, they do not provide comprehensive guidance on how to perform an ERA</w:t>
      </w:r>
      <w:r>
        <w:t xml:space="preserve"> </w:t>
      </w:r>
      <w:r>
        <w:t xml:space="preserve">for VMPs intended for use in aquaculture facilities’ (EMA, 2021a).</w:t>
      </w:r>
      <w:r>
        <w:t xml:space="preserve"> </w:t>
      </w:r>
      <w:r>
        <w:t xml:space="preserve">Labelling and communication of the environmental hazards of the products to</w:t>
      </w:r>
      <w:r>
        <w:t xml:space="preserve"> </w:t>
      </w:r>
      <w:r>
        <w:t xml:space="preserve">downstream users</w:t>
      </w:r>
      <w:r>
        <w:t xml:space="preserve"> </w:t>
      </w:r>
      <w:r>
        <w:t xml:space="preserve">In all legal acts ‘labelling’ is treated broadly as any information provided on the outer or</w:t>
      </w:r>
      <w:r>
        <w:t xml:space="preserve"> </w:t>
      </w:r>
      <w:r>
        <w:t xml:space="preserve">immediate packaging of the products (see Table 161). HMPs and VMPs are also</w:t>
      </w:r>
      <w:r>
        <w:t xml:space="preserve"> </w:t>
      </w:r>
      <w:r>
        <w:t xml:space="preserve">accompanied by a package leaflet that may also contain important information about the</w:t>
      </w:r>
      <w:r>
        <w:t xml:space="preserve"> </w:t>
      </w:r>
      <w:r>
        <w:t xml:space="preserve">safety of the products, their disposal or any precautionary measures to be taken.</w:t>
      </w:r>
      <w:r>
        <w:br/>
      </w:r>
      <w:r>
        <w:t xml:space="preserve">Table 162: Labelling and related definitions</w:t>
      </w:r>
      <w:r>
        <w:br/>
      </w:r>
      <w:r>
        <w:t xml:space="preserve">Legislation</w:t>
      </w:r>
      <w:r>
        <w:t xml:space="preserve"> </w:t>
      </w:r>
      <w:r>
        <w:t xml:space="preserve">Definitions</w:t>
      </w:r>
      <w:r>
        <w:t xml:space="preserve"> </w:t>
      </w:r>
      <w:r>
        <w:t xml:space="preserve">Regulation</w:t>
      </w:r>
      <w:r>
        <w:t xml:space="preserve"> </w:t>
      </w:r>
      <w:r>
        <w:t xml:space="preserve">726/2004 on</w:t>
      </w:r>
      <w:r>
        <w:t xml:space="preserve"> </w:t>
      </w:r>
      <w:r>
        <w:t xml:space="preserve">Authorisation</w:t>
      </w:r>
      <w:r>
        <w:t xml:space="preserve"> </w:t>
      </w:r>
      <w:r>
        <w:t xml:space="preserve">and Supervision</w:t>
      </w:r>
      <w:r>
        <w:t xml:space="preserve"> </w:t>
      </w:r>
      <w:r>
        <w:t xml:space="preserve">of Medicinal</w:t>
      </w:r>
      <w:r>
        <w:t xml:space="preserve"> </w:t>
      </w:r>
      <w:r>
        <w:t xml:space="preserve">Products</w:t>
      </w:r>
      <w:r>
        <w:t xml:space="preserve"> </w:t>
      </w:r>
      <w:r>
        <w:t xml:space="preserve">Article 2 specifies that the definitions laid down in Article 1 of Directive 2001/83/EC and</w:t>
      </w:r>
      <w:r>
        <w:t xml:space="preserve"> </w:t>
      </w:r>
      <w:r>
        <w:t xml:space="preserve">those laid down in Article 1 of Directive 2001/82/EC shall apply for the purposes of this</w:t>
      </w:r>
      <w:r>
        <w:t xml:space="preserve"> </w:t>
      </w:r>
      <w:r>
        <w:t xml:space="preserve">Regulation.</w:t>
      </w:r>
      <w:r>
        <w:t xml:space="preserve"> </w:t>
      </w:r>
      <w:r>
        <w:t xml:space="preserve">Veterinary</w:t>
      </w:r>
      <w:r>
        <w:t xml:space="preserve"> </w:t>
      </w:r>
      <w:r>
        <w:t xml:space="preserve">Medicinal</w:t>
      </w:r>
      <w:r>
        <w:t xml:space="preserve"> </w:t>
      </w:r>
      <w:r>
        <w:t xml:space="preserve">Products</w:t>
      </w:r>
      <w:r>
        <w:t xml:space="preserve"> </w:t>
      </w:r>
      <w:r>
        <w:t xml:space="preserve">Article 4 provides the following definitions:</w:t>
      </w:r>
      <w:r>
        <w:t xml:space="preserve"> </w:t>
      </w:r>
      <w:r>
        <w:t xml:space="preserve">(24) ‘labelling’ means information on the immediate packaging or the outer packaging;</w:t>
      </w:r>
      <w:r>
        <w:br/>
      </w:r>
      <w:r>
        <w:t xml:space="preserve">(25) ‘immediate packaging’ means the container or any other form of packaging that is in</w:t>
      </w:r>
    </w:p>
    <w:p>
      <w:pPr>
        <w:pStyle w:val="BodyText"/>
      </w:pPr>
      <w:r>
        <w:t xml:space="preserve">525</w:t>
      </w:r>
    </w:p>
    <w:p>
      <w:pPr>
        <w:pStyle w:val="BodyText"/>
      </w:pPr>
      <w:r>
        <w:t xml:space="preserve">Regulation</w:t>
      </w:r>
      <w:r>
        <w:t xml:space="preserve"> </w:t>
      </w:r>
      <w:r>
        <w:t xml:space="preserve">2019/6</w:t>
      </w:r>
      <w:r>
        <w:t xml:space="preserve"> </w:t>
      </w:r>
      <w:r>
        <w:t xml:space="preserve">direct contact with the veterinary medicinal product;</w:t>
      </w:r>
      <w:r>
        <w:br/>
      </w:r>
      <w:r>
        <w:t xml:space="preserve">(26) ‘outer packaging’ means packaging in which the immediate packaging is placed;</w:t>
      </w:r>
      <w:r>
        <w:br/>
      </w:r>
      <w:r>
        <w:t xml:space="preserve">(27) ‘package leaflet’ means a documentation leaflet on a veterinary medicinal product</w:t>
      </w:r>
      <w:r>
        <w:t xml:space="preserve"> </w:t>
      </w:r>
      <w:r>
        <w:t xml:space="preserve">which contains information to ensure its safe and efficacious use;</w:t>
      </w:r>
    </w:p>
    <w:p>
      <w:pPr>
        <w:pStyle w:val="BodyText"/>
      </w:pPr>
      <w:r>
        <w:t xml:space="preserve">Medicinal Products Directive 2001/83/EC indicates that the label must contain specific</w:t>
      </w:r>
      <w:r>
        <w:t xml:space="preserve"> </w:t>
      </w:r>
      <w:r>
        <w:t xml:space="preserve">precautions relating to the disposal of unused medicinal products or waste derived from them.</w:t>
      </w:r>
      <w:r>
        <w:t xml:space="preserve"> </w:t>
      </w:r>
      <w:r>
        <w:t xml:space="preserve">However, such requirement is absent in the newer Veterinary Medicinal Products Regulation</w:t>
      </w:r>
      <w:r>
        <w:t xml:space="preserve"> </w:t>
      </w:r>
      <w:r>
        <w:t xml:space="preserve">2019/6.</w:t>
      </w:r>
      <w:r>
        <w:br/>
      </w:r>
      <w:r>
        <w:t xml:space="preserve">Table 163: Provisions on the communication of product hazards to the environment to users*</w:t>
      </w:r>
      <w:r>
        <w:t xml:space="preserve"> </w:t>
      </w:r>
      <w:r>
        <w:t xml:space="preserve">Legislation</w:t>
      </w:r>
      <w:r>
        <w:t xml:space="preserve"> </w:t>
      </w:r>
      <w:r>
        <w:t xml:space="preserve">Provisions</w:t>
      </w:r>
      <w:r>
        <w:t xml:space="preserve"> </w:t>
      </w:r>
      <w:r>
        <w:t xml:space="preserve">Regulation</w:t>
      </w:r>
      <w:r>
        <w:t xml:space="preserve"> </w:t>
      </w:r>
      <w:r>
        <w:t xml:space="preserve">726/2004</w:t>
      </w:r>
      <w:r>
        <w:t xml:space="preserve"> </w:t>
      </w:r>
      <w:r>
        <w:t xml:space="preserve">on</w:t>
      </w:r>
      <w:r>
        <w:t xml:space="preserve"> </w:t>
      </w:r>
      <w:r>
        <w:t xml:space="preserve">Authorisation</w:t>
      </w:r>
      <w:r>
        <w:t xml:space="preserve"> </w:t>
      </w:r>
      <w:r>
        <w:t xml:space="preserve">and Supervision</w:t>
      </w:r>
      <w:r>
        <w:t xml:space="preserve"> </w:t>
      </w:r>
      <w:r>
        <w:t xml:space="preserve">of</w:t>
      </w:r>
      <w:r>
        <w:t xml:space="preserve"> </w:t>
      </w:r>
      <w:r>
        <w:t xml:space="preserve">Medicinal</w:t>
      </w:r>
      <w:r>
        <w:t xml:space="preserve"> </w:t>
      </w:r>
      <w:r>
        <w:t xml:space="preserve">Products</w:t>
      </w:r>
      <w:r>
        <w:t xml:space="preserve"> </w:t>
      </w:r>
      <w:r>
        <w:t xml:space="preserve">No specific requirements related to the environmental hazards are mentioned.</w:t>
      </w:r>
      <w:r>
        <w:t xml:space="preserve"> </w:t>
      </w:r>
      <w:r>
        <w:t xml:space="preserve">Medicinal</w:t>
      </w:r>
      <w:r>
        <w:t xml:space="preserve"> </w:t>
      </w:r>
      <w:r>
        <w:t xml:space="preserve">Products</w:t>
      </w:r>
      <w:r>
        <w:t xml:space="preserve"> </w:t>
      </w:r>
      <w:r>
        <w:t xml:space="preserve">Directive</w:t>
      </w:r>
      <w:r>
        <w:t xml:space="preserve"> </w:t>
      </w:r>
      <w:r>
        <w:t xml:space="preserve">2001/83/EC</w:t>
      </w:r>
      <w:r>
        <w:t xml:space="preserve"> </w:t>
      </w:r>
      <w:r>
        <w:t xml:space="preserve">Article 54 specifies the content of the medicinal product label. Among other required</w:t>
      </w:r>
      <w:r>
        <w:t xml:space="preserve"> </w:t>
      </w:r>
      <w:r>
        <w:t xml:space="preserve">content it must contain:</w:t>
      </w:r>
      <w:r>
        <w:t xml:space="preserve"> </w:t>
      </w:r>
      <w:r>
        <w:t xml:space="preserve">(g) a special warning, if this is necessary for the medicinal product;</w:t>
      </w:r>
      <w:r>
        <w:t xml:space="preserve"> </w:t>
      </w:r>
      <w:r>
        <w:t xml:space="preserve">(i) special storage precautions, if any;</w:t>
      </w:r>
      <w:r>
        <w:t xml:space="preserve"> </w:t>
      </w:r>
      <w:r>
        <w:t xml:space="preserve">(j) Specific precautions relating to the disposal of unused medicinal products or</w:t>
      </w:r>
      <w:r>
        <w:t xml:space="preserve"> </w:t>
      </w:r>
      <w:r>
        <w:t xml:space="preserve">waste derived from medicinal products, where appropriate, as well as reference to any</w:t>
      </w:r>
      <w:r>
        <w:t xml:space="preserve"> </w:t>
      </w:r>
      <w:r>
        <w:t xml:space="preserve">appropriate collection system in place.</w:t>
      </w:r>
      <w:r>
        <w:br/>
      </w:r>
      <w:r>
        <w:t xml:space="preserve">Annex I, Part I, Module I, 1.6 specifies the content requirements of the risk assessment</w:t>
      </w:r>
      <w:r>
        <w:t xml:space="preserve"> </w:t>
      </w:r>
      <w:r>
        <w:t xml:space="preserve">and indicates that applications for marketing authorisations shall include a risk assessment</w:t>
      </w:r>
      <w:r>
        <w:t xml:space="preserve"> </w:t>
      </w:r>
      <w:r>
        <w:t xml:space="preserve">overview evaluating possible risks to the environment due to the use and/or disposal</w:t>
      </w:r>
      <w:r>
        <w:t xml:space="preserve"> </w:t>
      </w:r>
      <w:r>
        <w:t xml:space="preserve">of the medicinal product and make proposals for appropriate labelling provisions.</w:t>
      </w:r>
      <w:r>
        <w:t xml:space="preserve"> </w:t>
      </w:r>
      <w:r>
        <w:t xml:space="preserve">Article 62 states that the outer packaging and the package leaflet may include symbols or</w:t>
      </w:r>
      <w:r>
        <w:t xml:space="preserve"> </w:t>
      </w:r>
      <w:r>
        <w:t xml:space="preserve">pictograms designed to clarify certain information mentioned in Articles 54 and 59(1) and</w:t>
      </w:r>
      <w:r>
        <w:t xml:space="preserve"> </w:t>
      </w:r>
      <w:r>
        <w:t xml:space="preserve">other information compatible with the summary of the product characteristics which is</w:t>
      </w:r>
      <w:r>
        <w:t xml:space="preserve"> </w:t>
      </w:r>
      <w:r>
        <w:t xml:space="preserve">useful for the patient, to the exclusion of any element of a promotional nature.</w:t>
      </w:r>
      <w:r>
        <w:t xml:space="preserve"> </w:t>
      </w:r>
      <w:r>
        <w:t xml:space="preserve">According to Article 63(1), the particulars for labelling listed in Articles 54, 59 and 62</w:t>
      </w:r>
      <w:r>
        <w:t xml:space="preserve"> </w:t>
      </w:r>
      <w:r>
        <w:t xml:space="preserve">shall appear in an official language or official languages of the Member State where the</w:t>
      </w:r>
      <w:r>
        <w:t xml:space="preserve"> </w:t>
      </w:r>
      <w:r>
        <w:t xml:space="preserve">medicinal product is placed on the market, as specified, for the purposes of this Directive,</w:t>
      </w:r>
      <w:r>
        <w:t xml:space="preserve"> </w:t>
      </w:r>
      <w:r>
        <w:t xml:space="preserve">by that Member State.</w:t>
      </w:r>
      <w:r>
        <w:t xml:space="preserve"> </w:t>
      </w:r>
      <w:r>
        <w:t xml:space="preserve">Veterinary</w:t>
      </w:r>
      <w:r>
        <w:t xml:space="preserve"> </w:t>
      </w:r>
      <w:r>
        <w:t xml:space="preserve">Medicinal</w:t>
      </w:r>
      <w:r>
        <w:t xml:space="preserve"> </w:t>
      </w:r>
      <w:r>
        <w:t xml:space="preserve">Products</w:t>
      </w:r>
      <w:r>
        <w:t xml:space="preserve"> </w:t>
      </w:r>
      <w:r>
        <w:t xml:space="preserve">Regulation</w:t>
      </w:r>
      <w:r>
        <w:t xml:space="preserve"> </w:t>
      </w:r>
      <w:r>
        <w:t xml:space="preserve">2019/6</w:t>
      </w:r>
      <w:r>
        <w:t xml:space="preserve"> </w:t>
      </w:r>
      <w:r>
        <w:t xml:space="preserve">Recital (52): In order to reduce administrative burden and maximise the availability of</w:t>
      </w:r>
      <w:r>
        <w:t xml:space="preserve"> </w:t>
      </w:r>
      <w:r>
        <w:t xml:space="preserve">veterinary medicinal products in the Member States, simplified rules should be laid</w:t>
      </w:r>
      <w:r>
        <w:t xml:space="preserve"> </w:t>
      </w:r>
      <w:r>
        <w:t xml:space="preserve">down as to how their packaging and labelling are to be presented. The textual</w:t>
      </w:r>
      <w:r>
        <w:t xml:space="preserve"> </w:t>
      </w:r>
      <w:r>
        <w:t xml:space="preserve">information provided should be reduced and, if possible, pictograms and abbreviations</w:t>
      </w:r>
      <w:r>
        <w:t xml:space="preserve"> </w:t>
      </w:r>
      <w:r>
        <w:t xml:space="preserve">could be developed and used as an alternative to such textual information. Pictograms and</w:t>
      </w:r>
      <w:r>
        <w:t xml:space="preserve"> </w:t>
      </w:r>
      <w:r>
        <w:t xml:space="preserve">abbreviations should be standardised across the Union. Care should be taken so that</w:t>
      </w:r>
      <w:r>
        <w:t xml:space="preserve"> </w:t>
      </w:r>
      <w:r>
        <w:t xml:space="preserve">those rules do not jeopardise public or animal health or environmental safety.</w:t>
      </w:r>
      <w:r>
        <w:t xml:space="preserve"> </w:t>
      </w:r>
      <w:r>
        <w:t xml:space="preserve">Article 10(1) specifies the requirements for information on the immediate packaging of</w:t>
      </w:r>
      <w:r>
        <w:t xml:space="preserve"> </w:t>
      </w:r>
      <w:r>
        <w:t xml:space="preserve">veterinary medicinal products. Among other required information it must contain (g)</w:t>
      </w:r>
      <w:r>
        <w:t xml:space="preserve"> </w:t>
      </w:r>
      <w:r>
        <w:t xml:space="preserve">special storage precautions, if any.</w:t>
      </w:r>
      <w:r>
        <w:t xml:space="preserve"> </w:t>
      </w:r>
      <w:r>
        <w:t xml:space="preserve">Article 14(1) sets the requirements for information provided in the package leaflet of a</w:t>
      </w:r>
      <w:r>
        <w:t xml:space="preserve"> </w:t>
      </w:r>
      <w:r>
        <w:t xml:space="preserve">veterinary medicinal product. Among other required information it must contain (i)</w:t>
      </w:r>
    </w:p>
    <w:p>
      <w:pPr>
        <w:pStyle w:val="BodyText"/>
      </w:pPr>
      <w:r>
        <w:t xml:space="preserve">526</w:t>
      </w:r>
    </w:p>
    <w:p>
      <w:pPr>
        <w:pStyle w:val="BodyText"/>
      </w:pPr>
      <w:r>
        <w:t xml:space="preserve">Table 163: Provisions on the communication of product hazards to the environment to users*</w:t>
      </w:r>
      <w:r>
        <w:t xml:space="preserve"> </w:t>
      </w:r>
      <w:r>
        <w:t xml:space="preserve">Legislation</w:t>
      </w:r>
      <w:r>
        <w:t xml:space="preserve"> </w:t>
      </w:r>
      <w:r>
        <w:t xml:space="preserve">Provisions</w:t>
      </w:r>
      <w:r>
        <w:t xml:space="preserve"> </w:t>
      </w:r>
      <w:r>
        <w:t xml:space="preserve">information essential for safety or health protection, including any special precautions</w:t>
      </w:r>
      <w:r>
        <w:t xml:space="preserve"> </w:t>
      </w:r>
      <w:r>
        <w:t xml:space="preserve">relating to use and any other warnings.</w:t>
      </w:r>
      <w:r>
        <w:t xml:space="preserve"> </w:t>
      </w:r>
      <w:r>
        <w:t xml:space="preserve">NOTE: *User may include professional users and consumers</w:t>
      </w:r>
    </w:p>
    <w:p>
      <w:pPr>
        <w:pStyle w:val="BodyText"/>
      </w:pPr>
      <w:r>
        <w:t xml:space="preserve">Table 162 shows that some legal acts put requirements to provide information related to</w:t>
      </w:r>
      <w:r>
        <w:t xml:space="preserve"> </w:t>
      </w:r>
      <w:r>
        <w:t xml:space="preserve">storage precautions, special warnings and disposal of the product. However, other</w:t>
      </w:r>
      <w:r>
        <w:t xml:space="preserve"> </w:t>
      </w:r>
      <w:r>
        <w:t xml:space="preserve">environmental hazards identified through risk assessment may not be necessarily displayed.</w:t>
      </w:r>
      <w:r>
        <w:br/>
      </w:r>
      <w:r>
        <w:t xml:space="preserve">According to the VMP Regulation, information on the label and leaflet as well as special</w:t>
      </w:r>
      <w:r>
        <w:t xml:space="preserve"> </w:t>
      </w:r>
      <w:r>
        <w:t xml:space="preserve">precautions for the protection of the environment and other product features are provided in</w:t>
      </w:r>
      <w:r>
        <w:t xml:space="preserve"> </w:t>
      </w:r>
      <w:r>
        <w:t xml:space="preserve">the summary of product characteristics (Article 33(1), Article 35(1)). Summaries of product</w:t>
      </w:r>
      <w:r>
        <w:t xml:space="preserve"> </w:t>
      </w:r>
      <w:r>
        <w:t xml:space="preserve">characteristics are provided in the Union VMP database which is accessible to the general</w:t>
      </w:r>
      <w:r>
        <w:t xml:space="preserve"> </w:t>
      </w:r>
      <w:r>
        <w:t xml:space="preserve">public (Article 55(1) and (2); Article 56(3)).</w:t>
      </w:r>
      <w:r>
        <w:t xml:space="preserve"> </w:t>
      </w:r>
      <w:r>
        <w:t xml:space="preserve">Evidence on the gaps in protection from the environmental hazards</w:t>
      </w:r>
      <w:r>
        <w:t xml:space="preserve"> </w:t>
      </w:r>
      <w:r>
        <w:t xml:space="preserve">Firstly, evaluation, impact assessment and technical and scientific studies that related to HMP</w:t>
      </w:r>
      <w:r>
        <w:t xml:space="preserve"> </w:t>
      </w:r>
      <w:r>
        <w:t xml:space="preserve">and/or VMP legislation were identified and screened to find evidence of potential gaps in</w:t>
      </w:r>
      <w:r>
        <w:t xml:space="preserve"> </w:t>
      </w:r>
      <w:r>
        <w:t xml:space="preserve">protection from the environmental hazards borne by human and/or veterinary medicinal</w:t>
      </w:r>
      <w:r>
        <w:t xml:space="preserve"> </w:t>
      </w:r>
      <w:r>
        <w:t xml:space="preserve">products.</w:t>
      </w:r>
      <w:r>
        <w:br/>
      </w:r>
      <w:r>
        <w:t xml:space="preserve">The research presented in the studies recognised that inappropriate use and disposal of</w:t>
      </w:r>
      <w:r>
        <w:t xml:space="preserve"> </w:t>
      </w:r>
      <w:r>
        <w:t xml:space="preserve">medicinal products and gaps in the environmental risk assessment are among the reasons</w:t>
      </w:r>
      <w:r>
        <w:t xml:space="preserve"> </w:t>
      </w:r>
      <w:r>
        <w:t xml:space="preserve">why medicines occur in the environment. The pharmaceuticals used by humans and animals</w:t>
      </w:r>
      <w:r>
        <w:t xml:space="preserve"> </w:t>
      </w:r>
      <w:r>
        <w:t xml:space="preserve">are excreted with the urine, veterinary medicinal products occur in the environment with</w:t>
      </w:r>
      <w:r>
        <w:t xml:space="preserve"> </w:t>
      </w:r>
      <w:r>
        <w:t xml:space="preserve">animal feed surplus, while human medicines are often disposed of through household sewers</w:t>
      </w:r>
      <w:r>
        <w:t xml:space="preserve"> </w:t>
      </w:r>
      <w:r>
        <w:t xml:space="preserve">or trash bins. The rates of human medicines’ consumptions are high. For instance, in 2008,</w:t>
      </w:r>
      <w:r>
        <w:t xml:space="preserve"> </w:t>
      </w:r>
      <w:r>
        <w:t xml:space="preserve">the consumption of active pharmaceutical ingredients in the EU varied from 50 to 150 g of</w:t>
      </w:r>
      <w:r>
        <w:t xml:space="preserve"> </w:t>
      </w:r>
      <w:r>
        <w:t xml:space="preserve">API per capita annually (with average world consumption of 15 g of API per capita). High</w:t>
      </w:r>
      <w:r>
        <w:t xml:space="preserve"> </w:t>
      </w:r>
      <w:r>
        <w:t xml:space="preserve">quantities of veterinary medicinal products were also reported in the EU farms</w:t>
      </w:r>
      <w:r>
        <w:t xml:space="preserve"> </w:t>
      </w:r>
      <w:r>
        <w:t xml:space="preserve">(BioIntelligence Service, 2013; Deloitte, INERIS, Mileu, LSE, 2016). Trends in sales of</w:t>
      </w:r>
      <w:r>
        <w:t xml:space="preserve"> </w:t>
      </w:r>
      <w:r>
        <w:t xml:space="preserve">veterinary antimicrobial agents have been systematically reported by the European Medicines</w:t>
      </w:r>
      <w:r>
        <w:t xml:space="preserve"> </w:t>
      </w:r>
      <w:r>
        <w:t xml:space="preserve">Agency (EMA). According to the recent report, 5577.8 tonnes of antimicrobial veterinary</w:t>
      </w:r>
      <w:r>
        <w:t xml:space="preserve"> </w:t>
      </w:r>
      <w:r>
        <w:t xml:space="preserve">medicines were sold in 31 European countries in 2020 with the largest amounts of penicillins</w:t>
      </w:r>
      <w:r>
        <w:t xml:space="preserve"> </w:t>
      </w:r>
      <w:r>
        <w:t xml:space="preserve">(with proportion of 31.1% of total amounts sold in mg per population correction unit),</w:t>
      </w:r>
      <w:r>
        <w:t xml:space="preserve"> </w:t>
      </w:r>
      <w:r>
        <w:t xml:space="preserve">tetracyclines (26.7%) and sulfonamides (9.9%). However, a substantial decrease (43.2%) in</w:t>
      </w:r>
      <w:r>
        <w:t xml:space="preserve"> </w:t>
      </w:r>
      <w:r>
        <w:t xml:space="preserve">sales, especially in high selling countries was observed between 2011 and 2020 (EMA,</w:t>
      </w:r>
      <w:r>
        <w:t xml:space="preserve"> </w:t>
      </w:r>
      <w:r>
        <w:t xml:space="preserve">2021c).</w:t>
      </w:r>
      <w:r>
        <w:t xml:space="preserve"> </w:t>
      </w:r>
      <w:r>
        <w:t xml:space="preserve">The evidence for pharmaceuticals in the environment was collected through extensive</w:t>
      </w:r>
      <w:r>
        <w:t xml:space="preserve"> </w:t>
      </w:r>
      <w:r>
        <w:t xml:space="preserve">literature reviews in scientific and technical reports (BioIntelligence Service, 2013; Deloitte,</w:t>
      </w:r>
      <w:r>
        <w:t xml:space="preserve"> </w:t>
      </w:r>
      <w:r>
        <w:t xml:space="preserve">INERIS, Mileu, LSE, 2016; European Commission, 2014). The recent report also focused on</w:t>
      </w:r>
      <w:r>
        <w:t xml:space="preserve"> </w:t>
      </w:r>
      <w:r>
        <w:t xml:space="preserve">the feasibility aspects of the environmental risk assessment of pharmaceuticals (Schwonbeck</w:t>
      </w:r>
      <w:r>
        <w:t xml:space="preserve"> </w:t>
      </w:r>
      <w:r>
        <w:t xml:space="preserve">et al., 2021).</w:t>
      </w:r>
      <w:r>
        <w:br/>
      </w:r>
      <w:r>
        <w:t xml:space="preserve">The effects on the environment vary by individual pharmaceuticals, among documented</w:t>
      </w:r>
      <w:r>
        <w:t xml:space="preserve"> </w:t>
      </w:r>
      <w:r>
        <w:t xml:space="preserve">impacts are decreasing vulture population due to poisoning with diclofenac, impaired</w:t>
      </w:r>
      <w:r>
        <w:t xml:space="preserve"> </w:t>
      </w:r>
      <w:r>
        <w:t xml:space="preserve">reproduction of fish due to contraceptive Ethinylestradiol, and many others (BioIntelligence</w:t>
      </w:r>
    </w:p>
    <w:p>
      <w:pPr>
        <w:pStyle w:val="BodyText"/>
      </w:pPr>
      <w:r>
        <w:t xml:space="preserve">527</w:t>
      </w:r>
    </w:p>
    <w:p>
      <w:pPr>
        <w:pStyle w:val="BodyText"/>
      </w:pPr>
      <w:r>
        <w:t xml:space="preserve">Service, 2013). Based on the growing scientific evidence on the presence of pharmaceuticals</w:t>
      </w:r>
      <w:r>
        <w:t xml:space="preserve"> </w:t>
      </w:r>
      <w:r>
        <w:t xml:space="preserve">in the environments, some of them have been monitored as potential pollutants in surface</w:t>
      </w:r>
      <w:r>
        <w:t xml:space="preserve"> </w:t>
      </w:r>
      <w:r>
        <w:t xml:space="preserve">and groundwaters under the Watch List of priority substances in the field of water policy</w:t>
      </w:r>
      <w:r>
        <w:t xml:space="preserve"> </w:t>
      </w:r>
      <w:r>
        <w:t xml:space="preserve">(European Parliament and Council, 2013) that aims to determine the risks of these substances</w:t>
      </w:r>
      <w:r>
        <w:t xml:space="preserve"> </w:t>
      </w:r>
      <w:r>
        <w:t xml:space="preserve">to the aquatic environment across the EU. The Watch List has been periodically updated. The</w:t>
      </w:r>
      <w:r>
        <w:t xml:space="preserve"> </w:t>
      </w:r>
      <w:r>
        <w:t xml:space="preserve">first Watch List was published in 2015 and contained one synthetic and two natural</w:t>
      </w:r>
      <w:r>
        <w:t xml:space="preserve"> </w:t>
      </w:r>
      <w:r>
        <w:t xml:space="preserve">hormones, a pain killer diclofenac, and three macrolide antibiotics (EC, 2015b). The Watch</w:t>
      </w:r>
      <w:r>
        <w:t xml:space="preserve"> </w:t>
      </w:r>
      <w:r>
        <w:t xml:space="preserve">List was revised in 2018 and covered two new antibiotics – amoxicillin and ciprofloxacin,</w:t>
      </w:r>
      <w:r>
        <w:t xml:space="preserve"> </w:t>
      </w:r>
      <w:r>
        <w:t xml:space="preserve">while the pain killer diclofenac was removed (EC, 2018d). In 2020, the Watch List was</w:t>
      </w:r>
      <w:r>
        <w:t xml:space="preserve"> </w:t>
      </w:r>
      <w:r>
        <w:t xml:space="preserve">updated for the third time and included several new pharmaceuticals – antibiotics</w:t>
      </w:r>
      <w:r>
        <w:t xml:space="preserve"> </w:t>
      </w:r>
      <w:r>
        <w:t xml:space="preserve">(sulfamethoxazole and trimethoprim), antidepressant venlafaxine and its metabolite O-</w:t>
      </w:r>
      <w:r>
        <w:t xml:space="preserve"> </w:t>
      </w:r>
      <w:r>
        <w:t xml:space="preserve">desmethylvenlafaxine, and three azole pharmaceuticals (clotrimazole, fluconazole and</w:t>
      </w:r>
      <w:r>
        <w:t xml:space="preserve"> </w:t>
      </w:r>
      <w:r>
        <w:t xml:space="preserve">miconazole) (EC, 2020f). Substances for the watch list have been selected based on various</w:t>
      </w:r>
      <w:r>
        <w:t xml:space="preserve"> </w:t>
      </w:r>
      <w:r>
        <w:t xml:space="preserve">criteria, including scientific evidence and expert consultations. Proposals of substances and</w:t>
      </w:r>
      <w:r>
        <w:t xml:space="preserve"> </w:t>
      </w:r>
      <w:r>
        <w:t xml:space="preserve">related evidence are documented in the reports by the Joint Research Centre (Gomez Cortes</w:t>
      </w:r>
      <w:r>
        <w:t xml:space="preserve"> </w:t>
      </w:r>
      <w:r>
        <w:t xml:space="preserve">et al., 2020; Loos et al., 2018; Negrão De Carvalho et al., 2015). The Watch List is an</w:t>
      </w:r>
      <w:r>
        <w:t xml:space="preserve"> </w:t>
      </w:r>
      <w:r>
        <w:t xml:space="preserve">important measure for identifying the emerging pollutants and gathering reliable data for</w:t>
      </w:r>
      <w:r>
        <w:t xml:space="preserve"> </w:t>
      </w:r>
      <w:r>
        <w:t xml:space="preserve">identifying their risk posed across the EU.</w:t>
      </w:r>
      <w:r>
        <w:t xml:space="preserve"> </w:t>
      </w:r>
      <w:r>
        <w:t xml:space="preserve">Scientific literature provides abundant evidence about the occurrence of both human</w:t>
      </w:r>
      <w:r>
        <w:t xml:space="preserve"> </w:t>
      </w:r>
      <w:r>
        <w:t xml:space="preserve">and veterinary pharmaceuticals in the environment and their adverse effects. The volume</w:t>
      </w:r>
      <w:r>
        <w:t xml:space="preserve"> </w:t>
      </w:r>
      <w:r>
        <w:t xml:space="preserve">of literature (including literature reviews) is very high; therefore, only some examples of</w:t>
      </w:r>
      <w:r>
        <w:t xml:space="preserve"> </w:t>
      </w:r>
      <w:r>
        <w:t xml:space="preserve">relevant systematic literature reviews are discussed here:</w:t>
      </w:r>
      <w:r>
        <w:t xml:space="preserve"> </w:t>
      </w:r>
      <w:r>
        <w:t xml:space="preserve">O’Flynn et al. (2021) examined over 100 scientific publications covering the 2009-2020</w:t>
      </w:r>
      <w:r>
        <w:t xml:space="preserve"> </w:t>
      </w:r>
      <w:r>
        <w:t xml:space="preserve">period, to understand the whole lifecycle and the concentrations of six pharmaceuticals</w:t>
      </w:r>
      <w:r>
        <w:t xml:space="preserve"> </w:t>
      </w:r>
      <w:r>
        <w:t xml:space="preserve">(azithromycin, ciprofloxacin, sulfamethoxazole, gemfibrozil, diclofenac, and venlafaxine) in</w:t>
      </w:r>
      <w:r>
        <w:t xml:space="preserve"> </w:t>
      </w:r>
      <w:r>
        <w:t xml:space="preserve">the EU surface waters. The researchers emphasised that azithromycin, ciprofloxacin and</w:t>
      </w:r>
      <w:r>
        <w:t xml:space="preserve"> </w:t>
      </w:r>
      <w:r>
        <w:t xml:space="preserve">sulfamethoxazole are of particular concern due to their ability to encourage the growth of</w:t>
      </w:r>
      <w:r>
        <w:t xml:space="preserve"> </w:t>
      </w:r>
      <w:r>
        <w:t xml:space="preserve">antimicrobial-resistant organisms in an environmental setting. Various factors, such as</w:t>
      </w:r>
      <w:r>
        <w:t xml:space="preserve"> </w:t>
      </w:r>
      <w:r>
        <w:t xml:space="preserve">obesity, population growth and an ageing population led to the increased usage of many</w:t>
      </w:r>
      <w:r>
        <w:t xml:space="preserve"> </w:t>
      </w:r>
      <w:r>
        <w:t xml:space="preserve">pharmaceuticals such as gemfibrozil, diclofenac and venlafaxine.</w:t>
      </w:r>
      <w:r>
        <w:t xml:space="preserve"> </w:t>
      </w:r>
      <w:r>
        <w:t xml:space="preserve">According to the systematic literature review of papers published in 1998-2016 that analysed</w:t>
      </w:r>
      <w:r>
        <w:t xml:space="preserve"> </w:t>
      </w:r>
      <w:r>
        <w:t xml:space="preserve">pharmaceuticals in the environment by Zhou et al. (2019), approximately 60% (284) of the</w:t>
      </w:r>
      <w:r>
        <w:t xml:space="preserve"> </w:t>
      </w:r>
      <w:r>
        <w:t xml:space="preserve">analysed substances were positively detected in one or more of 33 European countries. Forty-</w:t>
      </w:r>
      <w:r>
        <w:t xml:space="preserve"> </w:t>
      </w:r>
      <w:r>
        <w:t xml:space="preserve">five analysed compounds showed a potential environmental risk to aquatic ecosystems, 12 of</w:t>
      </w:r>
      <w:r>
        <w:t xml:space="preserve"> </w:t>
      </w:r>
      <w:r>
        <w:t xml:space="preserve">them were indicated to have high environmental risk in aquatic environments, while 17 and 7</w:t>
      </w:r>
      <w:r>
        <w:t xml:space="preserve"> </w:t>
      </w:r>
      <w:r>
        <w:t xml:space="preserve">compounds showed moderate and small-scale environmental risks.</w:t>
      </w:r>
      <w:r>
        <w:t xml:space="preserve"> </w:t>
      </w:r>
      <w:r>
        <w:t xml:space="preserve">In the systematic literature review, Barbosa et al. (2016) summarised the occurrence, adverse</w:t>
      </w:r>
      <w:r>
        <w:t xml:space="preserve"> </w:t>
      </w:r>
      <w:r>
        <w:t xml:space="preserve">effects on the environment and removal in aqueous matrices of 10 substances and group of</w:t>
      </w:r>
      <w:r>
        <w:t xml:space="preserve"> </w:t>
      </w:r>
      <w:r>
        <w:t xml:space="preserve">substances listed in the Second EU Watch List and discussed in the research papers published</w:t>
      </w:r>
      <w:r>
        <w:t xml:space="preserve"> </w:t>
      </w:r>
      <w:r>
        <w:t xml:space="preserve">in 2005-2015. Among the discussed substances – steroid hormones (EE2, E2 and E1),</w:t>
      </w:r>
      <w:r>
        <w:t xml:space="preserve"> </w:t>
      </w:r>
      <w:r>
        <w:t xml:space="preserve">diclofenac, and macrolide antibiotics.</w:t>
      </w:r>
      <w:r>
        <w:t xml:space="preserve"> </w:t>
      </w:r>
      <w:r>
        <w:t xml:space="preserve">In the systematic literature review of 1166 scientific publications, Tim aus der Beek et al. </w:t>
      </w:r>
      <w:r>
        <w:t xml:space="preserve"> </w:t>
      </w:r>
      <w:r>
        <w:t xml:space="preserve">(2015) analysed the global occurrence of human and veterinary pharmaceuticals. Residues of</w:t>
      </w:r>
      <w:r>
        <w:t xml:space="preserve"> </w:t>
      </w:r>
      <w:r>
        <w:t xml:space="preserve">16 human and/or veterinary pharmaceutical substances were detected in the surface, drinking,</w:t>
      </w:r>
      <w:r>
        <w:t xml:space="preserve"> </w:t>
      </w:r>
      <w:r>
        <w:t xml:space="preserve">and groundwater of all analysed regions. Diclofenac was the most widely available</w:t>
      </w:r>
      <w:r>
        <w:t xml:space="preserve"> </w:t>
      </w:r>
      <w:r>
        <w:t xml:space="preserve">pharmaceutical due to its frequent use for humans and animals. However, other</w:t>
      </w:r>
    </w:p>
    <w:p>
      <w:pPr>
        <w:pStyle w:val="BodyText"/>
      </w:pPr>
      <w:r>
        <w:t xml:space="preserve">528</w:t>
      </w:r>
    </w:p>
    <w:p>
      <w:pPr>
        <w:pStyle w:val="BodyText"/>
      </w:pPr>
      <w:r>
        <w:t xml:space="preserve">pharmaceuticals, such as carbamazepine (antiepileptic), sulfamethoxazole (antibiotic),</w:t>
      </w:r>
      <w:r>
        <w:t xml:space="preserve"> </w:t>
      </w:r>
      <w:r>
        <w:t xml:space="preserve">ibuprofen, and naproxen (both analgesics) were found almost as often as diclofenac.</w:t>
      </w:r>
      <w:r>
        <w:br/>
      </w:r>
      <w:r>
        <w:t xml:space="preserve">With regard to veterinary medicinal products, the recent scientific review paper by the</w:t>
      </w:r>
      <w:r>
        <w:t xml:space="preserve"> </w:t>
      </w:r>
      <w:r>
        <w:t xml:space="preserve">European Medicines Agency found that the environmental risk assessment of 108 VMPs in</w:t>
      </w:r>
      <w:r>
        <w:t xml:space="preserve"> </w:t>
      </w:r>
      <w:r>
        <w:t xml:space="preserve">the EU conducted during the centralised authorisation procedure was terminated after Phase I</w:t>
      </w:r>
      <w:r>
        <w:t xml:space="preserve"> </w:t>
      </w:r>
      <w:r>
        <w:t xml:space="preserve">assessment in 95% of cases. Only one negative opinion for a VMP – LONGRANGE, was</w:t>
      </w:r>
      <w:r>
        <w:t xml:space="preserve"> </w:t>
      </w:r>
      <w:r>
        <w:t xml:space="preserve">issued due to a serious long-term risk for dung fauna that could not be mitigated to an</w:t>
      </w:r>
      <w:r>
        <w:t xml:space="preserve"> </w:t>
      </w:r>
      <w:r>
        <w:t xml:space="preserve">acceptable level. The authorisations veterinary medicines containing zinc oxide and</w:t>
      </w:r>
      <w:r>
        <w:t xml:space="preserve"> </w:t>
      </w:r>
      <w:r>
        <w:t xml:space="preserve">Pharmasin were withdrawn because of their environmental risks (Fabrega &amp; Carapeto, 2020).</w:t>
      </w:r>
      <w:r>
        <w:t xml:space="preserve"> </w:t>
      </w:r>
      <w:r>
        <w:t xml:space="preserve">Considering the abundant evidence on the presence of pharmaceuticals and their negative</w:t>
      </w:r>
      <w:r>
        <w:t xml:space="preserve"> </w:t>
      </w:r>
      <w:r>
        <w:t xml:space="preserve">effects on the environment, the Strategic approach to pharmaceuticals in the environment</w:t>
      </w:r>
      <w:r>
        <w:t xml:space="preserve"> </w:t>
      </w:r>
      <w:r>
        <w:t xml:space="preserve">was adopted by the European Commission in 2019, which aims to mitigate the environmental</w:t>
      </w:r>
      <w:r>
        <w:t xml:space="preserve"> </w:t>
      </w:r>
      <w:r>
        <w:t xml:space="preserve">issues caused by both human and veterinary medicines (EC, 2019g). To implement the</w:t>
      </w:r>
      <w:r>
        <w:t xml:space="preserve"> </w:t>
      </w:r>
      <w:r>
        <w:t xml:space="preserve">Strategic approach to pharmaceuticals in the environment many measures for improving the</w:t>
      </w:r>
      <w:r>
        <w:t xml:space="preserve"> </w:t>
      </w:r>
      <w:r>
        <w:t xml:space="preserve">environmental risk assessment of medicinal products and raising public awareness about</w:t>
      </w:r>
      <w:r>
        <w:t xml:space="preserve"> </w:t>
      </w:r>
      <w:r>
        <w:t xml:space="preserve">proper use and disposal of them were foreseen. Table 163 provides examples of measures to</w:t>
      </w:r>
      <w:r>
        <w:t xml:space="preserve"> </w:t>
      </w:r>
      <w:r>
        <w:t xml:space="preserve">ensure protection from the environmental hazards borne by pharmaceuticals that have been</w:t>
      </w:r>
      <w:r>
        <w:t xml:space="preserve"> </w:t>
      </w:r>
      <w:r>
        <w:t xml:space="preserve">implemented within the Strategic approach to pharmaceuticals in the environment.</w:t>
      </w:r>
    </w:p>
    <w:p>
      <w:pPr>
        <w:pStyle w:val="BodyText"/>
      </w:pPr>
      <w:r>
        <w:t xml:space="preserve">529</w:t>
      </w:r>
    </w:p>
    <w:p>
      <w:pPr>
        <w:pStyle w:val="BodyText"/>
      </w:pPr>
      <w:r>
        <w:t xml:space="preserve">Table 164: Overview of measures related to the environmental risk assessment and public awareness of the</w:t>
      </w:r>
      <w:r>
        <w:t xml:space="preserve"> </w:t>
      </w:r>
      <w:r>
        <w:t xml:space="preserve">environmental hazards of pharmaceuticals, compiled from European Commission, 2020</w:t>
      </w:r>
      <w:r>
        <w:t xml:space="preserve"> </w:t>
      </w:r>
      <w:r>
        <w:t xml:space="preserve">Measure</w:t>
      </w:r>
      <w:r>
        <w:t xml:space="preserve"> </w:t>
      </w:r>
      <w:r>
        <w:t xml:space="preserve">Status</w:t>
      </w:r>
      <w:r>
        <w:t xml:space="preserve"> </w:t>
      </w:r>
      <w:r>
        <w:t xml:space="preserve">Action 5.1.1 Promote the development of guidelines for healthcare professionals on the prudent</w:t>
      </w:r>
      <w:r>
        <w:t xml:space="preserve"> </w:t>
      </w:r>
      <w:r>
        <w:t xml:space="preserve">use of pharmaceuticals posing a risk to or via the environment.</w:t>
      </w:r>
      <w:r>
        <w:t xml:space="preserve"> </w:t>
      </w:r>
      <w:r>
        <w:t xml:space="preserve">Ongoing</w:t>
      </w:r>
      <w:r>
        <w:t xml:space="preserve"> </w:t>
      </w:r>
      <w:r>
        <w:t xml:space="preserve">Action 5.1.4 Foster best-practice exchanges between the Member States on how environmental</w:t>
      </w:r>
      <w:r>
        <w:t xml:space="preserve"> </w:t>
      </w:r>
      <w:r>
        <w:t xml:space="preserve">considerations are taken into account in the advertising and prescription of medicinal products</w:t>
      </w:r>
      <w:r>
        <w:t xml:space="preserve"> </w:t>
      </w:r>
      <w:r>
        <w:t xml:space="preserve">and the choice of therapy more generally, where appropriate.</w:t>
      </w:r>
      <w:r>
        <w:t xml:space="preserve"> </w:t>
      </w:r>
      <w:r>
        <w:t xml:space="preserve">Ongoing</w:t>
      </w:r>
      <w:r>
        <w:t xml:space="preserve"> </w:t>
      </w:r>
      <w:r>
        <w:t xml:space="preserve">Action 5.3.1a In collaboration with the European Medicines Agency and the Member States:</w:t>
      </w:r>
      <w:r>
        <w:t xml:space="preserve"> </w:t>
      </w:r>
      <w:r>
        <w:t xml:space="preserve">Seek to improve the level of environmental expertise in the Committees and networks involved</w:t>
      </w:r>
      <w:r>
        <w:t xml:space="preserve"> </w:t>
      </w:r>
      <w:r>
        <w:t xml:space="preserve">in the environmental risk assessment of medicinal products.</w:t>
      </w:r>
      <w:r>
        <w:t xml:space="preserve"> </w:t>
      </w:r>
      <w:r>
        <w:t xml:space="preserve">Ongoing</w:t>
      </w:r>
      <w:r>
        <w:t xml:space="preserve"> </w:t>
      </w:r>
      <w:r>
        <w:t xml:space="preserve">Action 5.3.1b In collaboration with the European Medicines Agency and the Member States:</w:t>
      </w:r>
      <w:r>
        <w:t xml:space="preserve"> </w:t>
      </w:r>
      <w:r>
        <w:t xml:space="preserve">Consider developing guidance on the environmental risk assessment of medicinal products for</w:t>
      </w:r>
      <w:r>
        <w:t xml:space="preserve"> </w:t>
      </w:r>
      <w:r>
        <w:t xml:space="preserve">use in aquaculture including, where appropriate, recommendations for risk management</w:t>
      </w:r>
      <w:r>
        <w:t xml:space="preserve"> </w:t>
      </w:r>
      <w:r>
        <w:t xml:space="preserve">measures.</w:t>
      </w:r>
      <w:r>
        <w:t xml:space="preserve"> </w:t>
      </w:r>
      <w:r>
        <w:t xml:space="preserve">Started</w:t>
      </w:r>
      <w:r>
        <w:t xml:space="preserve"> </w:t>
      </w:r>
      <w:r>
        <w:t xml:space="preserve">Action 5.3.1c In collaboration with the European Medicines Agency and the Member States:</w:t>
      </w:r>
      <w:r>
        <w:t xml:space="preserve"> </w:t>
      </w:r>
      <w:r>
        <w:t xml:space="preserve">Examine how to improve public access to the main environmental risk assessment results and</w:t>
      </w:r>
      <w:r>
        <w:t xml:space="preserve"> </w:t>
      </w:r>
      <w:r>
        <w:t xml:space="preserve">relevant toxicological thresholds for medicinal products while respecting data-protection rules.</w:t>
      </w:r>
      <w:r>
        <w:t xml:space="preserve"> </w:t>
      </w:r>
      <w:r>
        <w:t xml:space="preserve">Ongoing</w:t>
      </w:r>
      <w:r>
        <w:t xml:space="preserve"> </w:t>
      </w:r>
      <w:r>
        <w:t xml:space="preserve">Action 5.3.1d In collaboration with the European Medicines Agency and the Member States:</w:t>
      </w:r>
      <w:r>
        <w:t xml:space="preserve"> </w:t>
      </w:r>
      <w:r>
        <w:t xml:space="preserve">Emphasise to applicants the importance of submitting a completed assessment by the time of the</w:t>
      </w:r>
      <w:r>
        <w:t xml:space="preserve"> </w:t>
      </w:r>
      <w:r>
        <w:t xml:space="preserve">authorisation for marketing human medicinal products, so that adequate risk management</w:t>
      </w:r>
      <w:r>
        <w:t xml:space="preserve"> </w:t>
      </w:r>
      <w:r>
        <w:t xml:space="preserve">measures can be established and published.</w:t>
      </w:r>
      <w:r>
        <w:t xml:space="preserve"> </w:t>
      </w:r>
      <w:r>
        <w:t xml:space="preserve">Ongoing</w:t>
      </w:r>
      <w:r>
        <w:t xml:space="preserve"> </w:t>
      </w:r>
      <w:r>
        <w:t xml:space="preserve">Action 5.3.2 Pursuant to the newly adopted Regulation on veterinary medicinal products, report</w:t>
      </w:r>
      <w:r>
        <w:t xml:space="preserve"> </w:t>
      </w:r>
      <w:r>
        <w:t xml:space="preserve">on the feasibility of setting up an EU-wide review system based on active pharmaceutical</w:t>
      </w:r>
      <w:r>
        <w:t xml:space="preserve"> </w:t>
      </w:r>
      <w:r>
        <w:t xml:space="preserve">ingredients, or similar, to support the environmental risk assessment of veterinary medicinal</w:t>
      </w:r>
      <w:r>
        <w:t xml:space="preserve"> </w:t>
      </w:r>
      <w:r>
        <w:t xml:space="preserve">products at the Union level.</w:t>
      </w:r>
      <w:r>
        <w:t xml:space="preserve"> </w:t>
      </w:r>
      <w:r>
        <w:t xml:space="preserve">Started</w:t>
      </w:r>
      <w:r>
        <w:t xml:space="preserve"> </w:t>
      </w:r>
      <w:r>
        <w:t xml:space="preserve">Action 5.3.3 Initiate a systematic catching-up procedure for veterinary medicinal products</w:t>
      </w:r>
      <w:r>
        <w:t xml:space="preserve"> </w:t>
      </w:r>
      <w:r>
        <w:t xml:space="preserve">without an (adequate) environmental risk assessment, as provided for in the Regulation on</w:t>
      </w:r>
      <w:r>
        <w:t xml:space="preserve"> </w:t>
      </w:r>
      <w:r>
        <w:t xml:space="preserve">veterinary medicinal products, and take stock of the results of research under the Innovative</w:t>
      </w:r>
      <w:r>
        <w:t xml:space="preserve"> </w:t>
      </w:r>
      <w:r>
        <w:t xml:space="preserve">Medicines Initiative in relation to human medicinal products.</w:t>
      </w:r>
      <w:r>
        <w:t xml:space="preserve"> </w:t>
      </w:r>
      <w:r>
        <w:t xml:space="preserve">Ongoing</w:t>
      </w:r>
      <w:r>
        <w:t xml:space="preserve"> </w:t>
      </w:r>
      <w:r>
        <w:t xml:space="preserve">Action 5.4.1b In collaboration with the Member States and the European Medicines Agency:</w:t>
      </w:r>
      <w:r>
        <w:t xml:space="preserve"> </w:t>
      </w:r>
      <w:r>
        <w:t xml:space="preserve">Facilitate the exchange of best practices among healthcare professionals on the environmentally</w:t>
      </w:r>
      <w:r>
        <w:t xml:space="preserve"> </w:t>
      </w:r>
      <w:r>
        <w:t xml:space="preserve">safe disposal of medicinal products and clinical waste, and the collection of pharmaceutical</w:t>
      </w:r>
      <w:r>
        <w:t xml:space="preserve"> </w:t>
      </w:r>
      <w:r>
        <w:t xml:space="preserve">residues as appropriate.</w:t>
      </w:r>
      <w:r>
        <w:t xml:space="preserve"> </w:t>
      </w:r>
      <w:r>
        <w:t xml:space="preserve">Ongoing</w:t>
      </w:r>
      <w:r>
        <w:t xml:space="preserve"> </w:t>
      </w:r>
      <w:r>
        <w:t xml:space="preserve">Action 5.4.2 Assess the implementation of collection schemes for unused pharmaceuticals and</w:t>
      </w:r>
      <w:r>
        <w:t xml:space="preserve"> </w:t>
      </w:r>
      <w:r>
        <w:t xml:space="preserve">consider how their availability and functioning could be improved, how to increase public</w:t>
      </w:r>
      <w:r>
        <w:t xml:space="preserve"> </w:t>
      </w:r>
      <w:r>
        <w:t xml:space="preserve">awareness of the importance of using them, and how extended producer responsibility could</w:t>
      </w:r>
      <w:r>
        <w:t xml:space="preserve"> </w:t>
      </w:r>
      <w:r>
        <w:t xml:space="preserve">play a role in reducing inappropriate disposal.</w:t>
      </w:r>
      <w:r>
        <w:t xml:space="preserve"> </w:t>
      </w:r>
      <w:r>
        <w:t xml:space="preserve">Good</w:t>
      </w:r>
      <w:r>
        <w:t xml:space="preserve"> </w:t>
      </w:r>
      <w:r>
        <w:t xml:space="preserve">progress</w:t>
      </w:r>
    </w:p>
    <w:p>
      <w:pPr>
        <w:pStyle w:val="BodyText"/>
      </w:pPr>
      <w:r>
        <w:t xml:space="preserve">According to the recent Inception Impact Assessment (EC, 2021e), the ongoing evaluation</w:t>
      </w:r>
      <w:r>
        <w:t xml:space="preserve"> </w:t>
      </w:r>
      <w:r>
        <w:t xml:space="preserve">and revision of pharmaceuticals’ legislation cover the improvements in the environmental</w:t>
      </w:r>
      <w:r>
        <w:t xml:space="preserve"> </w:t>
      </w:r>
      <w:r>
        <w:t xml:space="preserve">risk assessment.</w:t>
      </w:r>
      <w:r>
        <w:br/>
      </w:r>
      <w:r>
        <w:t xml:space="preserve">Some of the identified reports focused on the measures to protect the environment from the</w:t>
      </w:r>
      <w:r>
        <w:t xml:space="preserve"> </w:t>
      </w:r>
      <w:r>
        <w:t xml:space="preserve">hazards borne by pharmaceuticals. For instance, the study supporting the Strategic approach</w:t>
      </w:r>
      <w:r>
        <w:t xml:space="preserve"> </w:t>
      </w:r>
      <w:r>
        <w:t xml:space="preserve">to pharmaceuticals in the environment proposed a revision of the CLP Regulation to remove</w:t>
      </w:r>
      <w:r>
        <w:t xml:space="preserve"> </w:t>
      </w:r>
      <w:r>
        <w:t xml:space="preserve">the exemptions on medicinal products (EC, 2019h). However, this option was mainly based</w:t>
      </w:r>
      <w:r>
        <w:t xml:space="preserve"> </w:t>
      </w:r>
      <w:r>
        <w:t xml:space="preserve">on the stakeholder consultation findings (Deloitte, 2017). It is important to note that only</w:t>
      </w:r>
      <w:r>
        <w:t xml:space="preserve"> </w:t>
      </w:r>
      <w:r>
        <w:t xml:space="preserve">20% of the respondents to public consultation believed that clear labelling of environmental</w:t>
      </w:r>
      <w:r>
        <w:t xml:space="preserve"> </w:t>
      </w:r>
      <w:r>
        <w:t xml:space="preserve">risks to allow informed choices of equivalent therapeutic options were most effective actions</w:t>
      </w:r>
      <w:r>
        <w:t xml:space="preserve"> </w:t>
      </w:r>
      <w:r>
        <w:t xml:space="preserve">to limit negative environmental impacts of medicines. Similarly, the expert workshop</w:t>
      </w:r>
      <w:r>
        <w:t xml:space="preserve"> </w:t>
      </w:r>
      <w:r>
        <w:t xml:space="preserve">organised in 2009 by the European Environment Agency came up with a proposal to classify</w:t>
      </w:r>
      <w:r>
        <w:t xml:space="preserve"> </w:t>
      </w:r>
      <w:r>
        <w:t xml:space="preserve">environmental hazards and improve the labelling of pharmaceuticals (EMA, 2010). Again,</w:t>
      </w:r>
      <w:r>
        <w:t xml:space="preserve"> </w:t>
      </w:r>
      <w:r>
        <w:t xml:space="preserve">this proposal was based on the expert opinion of the workshop participants. However, the</w:t>
      </w:r>
      <w:r>
        <w:t xml:space="preserve"> </w:t>
      </w:r>
      <w:r>
        <w:t xml:space="preserve">analysis of review, evaluation and revision studies, as well as scientific and technical</w:t>
      </w:r>
    </w:p>
    <w:p>
      <w:pPr>
        <w:pStyle w:val="BodyText"/>
      </w:pPr>
      <w:r>
        <w:t xml:space="preserve">530</w:t>
      </w:r>
    </w:p>
    <w:p>
      <w:pPr>
        <w:pStyle w:val="BodyText"/>
      </w:pPr>
      <w:r>
        <w:t xml:space="preserve">reports, did not reveal any solid quantitative evidence that more extensive labelling of</w:t>
      </w:r>
      <w:r>
        <w:t xml:space="preserve"> </w:t>
      </w:r>
      <w:r>
        <w:t xml:space="preserve">medicines will substantially contribute to the mitigation of the environmental hazards of</w:t>
      </w:r>
      <w:r>
        <w:t xml:space="preserve"> </w:t>
      </w:r>
      <w:r>
        <w:t xml:space="preserve">pharmaceuticals.</w:t>
      </w:r>
      <w:r>
        <w:t xml:space="preserve"> </w:t>
      </w:r>
      <w:r>
        <w:t xml:space="preserve">Controversial views on the environmental hazards of human and veterinary medicines were</w:t>
      </w:r>
      <w:r>
        <w:t xml:space="preserve"> </w:t>
      </w:r>
      <w:r>
        <w:t xml:space="preserve">collected in consultation activities. A large group of business entities and associations (53%,</w:t>
      </w:r>
      <w:r>
        <w:t xml:space="preserve"> </w:t>
      </w:r>
      <w:r>
        <w:t xml:space="preserve">94) felt that the provision of information on the environmental hazards of human medicines</w:t>
      </w:r>
      <w:r>
        <w:t xml:space="preserve"> </w:t>
      </w:r>
      <w:r>
        <w:t xml:space="preserve">was ‘an issue which should be immediately solved’ (see Annex 2 for OPC response analysis).</w:t>
      </w:r>
      <w:r>
        <w:t xml:space="preserve"> </w:t>
      </w:r>
      <w:r>
        <w:t xml:space="preserve">Similarly, in TSS consultation, business entities and associations were of the view that the</w:t>
      </w:r>
      <w:r>
        <w:t xml:space="preserve"> </w:t>
      </w:r>
      <w:r>
        <w:t xml:space="preserve">environmental hazards of the exempted products are properly covered by sectorial legislation.</w:t>
      </w:r>
      <w:r>
        <w:t xml:space="preserve"> </w:t>
      </w:r>
      <w:r>
        <w:t xml:space="preserve">However, the OPC findings showed that in the groups of citizens and civil societies different</w:t>
      </w:r>
      <w:r>
        <w:t xml:space="preserve"> </w:t>
      </w:r>
      <w:r>
        <w:t xml:space="preserve">opinions prevailed. Fifty-seven per cent (134) of citizens and 67% (42) of civil societies felt</w:t>
      </w:r>
      <w:r>
        <w:t xml:space="preserve"> </w:t>
      </w:r>
      <w:r>
        <w:t xml:space="preserve">that provision of information on the environmental hazards of human medicines is not an</w:t>
      </w:r>
      <w:r>
        <w:t xml:space="preserve"> </w:t>
      </w:r>
      <w:r>
        <w:t xml:space="preserve">issue. Differently, in case of veterinary medicines, 54% (127) of citizens and 65% (40) of</w:t>
      </w:r>
      <w:r>
        <w:t xml:space="preserve"> </w:t>
      </w:r>
      <w:r>
        <w:t xml:space="preserve">civil societies believed that the provision of information on the environmental hazards of</w:t>
      </w:r>
      <w:r>
        <w:t xml:space="preserve"> </w:t>
      </w:r>
      <w:r>
        <w:t xml:space="preserve">VMP requires an immediate solution. The group of respondents representing public</w:t>
      </w:r>
      <w:r>
        <w:t xml:space="preserve"> </w:t>
      </w:r>
      <w:r>
        <w:t xml:space="preserve">authorities was too small both in OPC and TSS to draw any conclusions. This was also the</w:t>
      </w:r>
      <w:r>
        <w:t xml:space="preserve"> </w:t>
      </w:r>
      <w:r>
        <w:t xml:space="preserve">case for citizens respondent group in TSS.161</w:t>
      </w:r>
      <w:r>
        <w:t xml:space="preserve"> </w:t>
      </w:r>
      <w:r>
        <w:t xml:space="preserve">Furthermore, to understand the links between classification and labelling of pharmaceuticals</w:t>
      </w:r>
      <w:r>
        <w:t xml:space="preserve"> </w:t>
      </w:r>
      <w:r>
        <w:t xml:space="preserve">mitigation of their environmental hazards, a search of scientific and grey literature was</w:t>
      </w:r>
      <w:r>
        <w:t xml:space="preserve"> </w:t>
      </w:r>
      <w:r>
        <w:t xml:space="preserve">performed by using Google Scholar and PubMed search engines for scientific publications.</w:t>
      </w:r>
      <w:r>
        <w:t xml:space="preserve"> </w:t>
      </w:r>
      <w:r>
        <w:t xml:space="preserve">This search focused on the studies of consumer behaviours regarding pharmaceuticals and</w:t>
      </w:r>
      <w:r>
        <w:t xml:space="preserve"> </w:t>
      </w:r>
      <w:r>
        <w:t xml:space="preserve">means to prevent medicines to occur in the environment.</w:t>
      </w:r>
      <w:r>
        <w:br/>
      </w:r>
      <w:r>
        <w:t xml:space="preserve">Many studies focused on human pharmaceuticals are available; however, most focus on the</w:t>
      </w:r>
      <w:r>
        <w:t xml:space="preserve"> </w:t>
      </w:r>
      <w:r>
        <w:t xml:space="preserve">non-European countries where the legislative framework and consumer behaviour may</w:t>
      </w:r>
      <w:r>
        <w:t xml:space="preserve"> </w:t>
      </w:r>
      <w:r>
        <w:t xml:space="preserve">substantially differ from the European Union. Therefore, only fourteen studies related to the</w:t>
      </w:r>
      <w:r>
        <w:t xml:space="preserve"> </w:t>
      </w:r>
      <w:r>
        <w:t xml:space="preserve">EU in general and the specific Member States were included. Five of them were grey</w:t>
      </w:r>
      <w:r>
        <w:t xml:space="preserve"> </w:t>
      </w:r>
      <w:r>
        <w:t xml:space="preserve">literature reports published by the international (e.g., OECD) and national (e.g., German</w:t>
      </w:r>
      <w:r>
        <w:t xml:space="preserve"> </w:t>
      </w:r>
      <w:r>
        <w:t xml:space="preserve">Environment Agency, Finnish Environment Institute, etc.) bodies, while nine – scientific</w:t>
      </w:r>
      <w:r>
        <w:t xml:space="preserve"> </w:t>
      </w:r>
      <w:r>
        <w:t xml:space="preserve">peer-reviewed publications. Furthermore, reports and papers published earlier than 2010 were</w:t>
      </w:r>
      <w:r>
        <w:t xml:space="preserve"> </w:t>
      </w:r>
      <w:r>
        <w:t xml:space="preserve">not included as well, since consumer habits, as well as regulatory and non-regulatory</w:t>
      </w:r>
      <w:r>
        <w:t xml:space="preserve"> </w:t>
      </w:r>
      <w:r>
        <w:t xml:space="preserve">measures, evolve.</w:t>
      </w:r>
      <w:r>
        <w:t xml:space="preserve"> </w:t>
      </w:r>
      <w:r>
        <w:t xml:space="preserve">Surveys of consumers of HMP in various countries (Dias-Ferreira et al., 2016; Rogowska et</w:t>
      </w:r>
      <w:r>
        <w:t xml:space="preserve"> </w:t>
      </w:r>
      <w:r>
        <w:t xml:space="preserve">al., 2019; Vellinga et al., 2014; Zorpas et al., 2018; Finnish Environment Institute, 2020;</w:t>
      </w:r>
      <w:r>
        <w:t xml:space="preserve"> </w:t>
      </w:r>
      <w:r>
        <w:t xml:space="preserve">noPILLS, 2015) and systematic literature reviews of such studies (Kusturica et al., 2016;</w:t>
      </w:r>
      <w:r>
        <w:t xml:space="preserve"> </w:t>
      </w:r>
      <w:r>
        <w:t xml:space="preserve">Makki et al., 2019) revealed significant differences in storage and disposal of HMP by</w:t>
      </w:r>
      <w:r>
        <w:t xml:space="preserve"> </w:t>
      </w:r>
      <w:r>
        <w:t xml:space="preserve">consumers. High awareness and proper disposal of HMP was observed in Sweden, Finland,</w:t>
      </w:r>
      <w:r>
        <w:t xml:space="preserve"> </w:t>
      </w:r>
      <w:r>
        <w:t xml:space="preserve">Portugal, and France, while the behaviour of disposing of HMP through household sewage or</w:t>
      </w:r>
      <w:r>
        <w:t xml:space="preserve"> </w:t>
      </w:r>
      <w:r>
        <w:t xml:space="preserve">trash bins was more common in Poland, Latvia, Lithuania, Ireland and Cyprus. However, the</w:t>
      </w:r>
      <w:r>
        <w:t xml:space="preserve"> </w:t>
      </w:r>
      <w:r>
        <w:t xml:space="preserve">surveys were conducted in different periods, so cannot be compared. Different methodologies</w:t>
      </w:r>
      <w:r>
        <w:t xml:space="preserve"> </w:t>
      </w:r>
      <w:r>
        <w:t xml:space="preserve">were used, e.g., questionnaire surveys and interviews. Most national studies were not</w:t>
      </w:r>
      <w:r>
        <w:t xml:space="preserve"> </w:t>
      </w:r>
      <w:r>
        <w:t xml:space="preserve">representative of the whole country because they focused on particular regions (e.g., Vellinga</w:t>
      </w:r>
      <w:r>
        <w:t xml:space="preserve"> </w:t>
      </w:r>
      <w:r>
        <w:t xml:space="preserve">et al., 2014) or applied non-probability sampling (e.g., Rogowska et al., 2019; Zorpas et al.,</w:t>
      </w:r>
      <w:r>
        <w:t xml:space="preserve"> </w:t>
      </w:r>
      <w:r>
        <w:t xml:space="preserve">2018). The systematic literature reviews did not identify a clear link between</w:t>
      </w:r>
    </w:p>
    <w:p>
      <w:pPr>
        <w:pStyle w:val="BodyText"/>
      </w:pPr>
      <w:r>
        <w:t xml:space="preserve">161</w:t>
      </w:r>
      <w:r>
        <w:br/>
      </w:r>
      <w:r>
        <w:t xml:space="preserve">As for all other intervention areas, OPC and TSS results need to be interpreted with caution. Both</w:t>
      </w:r>
      <w:r>
        <w:t xml:space="preserve"> </w:t>
      </w:r>
      <w:r>
        <w:t xml:space="preserve">surveys did not apply a random sampling approach, and the number of respondents in each stakeholder group</w:t>
      </w:r>
      <w:r>
        <w:t xml:space="preserve"> </w:t>
      </w:r>
      <w:r>
        <w:t xml:space="preserve">varies substantially, meaning that the results are not representative for each group of stakeholders.</w:t>
      </w:r>
    </w:p>
    <w:p>
      <w:pPr>
        <w:pStyle w:val="BodyText"/>
      </w:pPr>
      <w:r>
        <w:t xml:space="preserve">531</w:t>
      </w:r>
    </w:p>
    <w:p>
      <w:pPr>
        <w:pStyle w:val="BodyText"/>
      </w:pPr>
      <w:r>
        <w:t xml:space="preserve">environmental awareness and positive change in consumer behaviour (Kusturica et al.,</w:t>
      </w:r>
      <w:r>
        <w:t xml:space="preserve"> </w:t>
      </w:r>
      <w:r>
        <w:t xml:space="preserve">2016) and indicated that more factors – e.g., availability of medicine take-back</w:t>
      </w:r>
      <w:r>
        <w:t xml:space="preserve"> </w:t>
      </w:r>
      <w:r>
        <w:t xml:space="preserve">programme, advice by doctors and pharmacists etc. shape the behaviour of consumers</w:t>
      </w:r>
      <w:r>
        <w:t xml:space="preserve"> </w:t>
      </w:r>
      <w:r>
        <w:t xml:space="preserve">with regard to proper/inappropriate disposal of medicines (Makki et al., 2019). In some</w:t>
      </w:r>
      <w:r>
        <w:t xml:space="preserve"> </w:t>
      </w:r>
      <w:r>
        <w:t xml:space="preserve">cases, environmental awareness did not preclude the inappropriate disposal of medicines</w:t>
      </w:r>
      <w:r>
        <w:t xml:space="preserve"> </w:t>
      </w:r>
      <w:r>
        <w:t xml:space="preserve">(Rogowska et al., 2019). Surveys of pharmacies in Romania (Bungau at al., 2018) revealed</w:t>
      </w:r>
      <w:r>
        <w:t xml:space="preserve"> </w:t>
      </w:r>
      <w:r>
        <w:t xml:space="preserve">that pharmacies may play a significant role – the findings showed that due to unclear</w:t>
      </w:r>
      <w:r>
        <w:t xml:space="preserve"> </w:t>
      </w:r>
      <w:r>
        <w:t xml:space="preserve">regulatory framework and responsibilities, pharmacies refused to collect unused medicines</w:t>
      </w:r>
      <w:r>
        <w:t xml:space="preserve"> </w:t>
      </w:r>
      <w:r>
        <w:t xml:space="preserve">from citizens. The findings of the survey of the European authorities whose work is related to</w:t>
      </w:r>
      <w:r>
        <w:t xml:space="preserve"> </w:t>
      </w:r>
      <w:r>
        <w:t xml:space="preserve">medical waste indicated that combined measures of raising awareness of the citizens would</w:t>
      </w:r>
      <w:r>
        <w:t xml:space="preserve"> </w:t>
      </w:r>
      <w:r>
        <w:t xml:space="preserve">be applied to reduce the streams of household pharmaceutical waste (Vollmer, 2010).</w:t>
      </w:r>
      <w:r>
        <w:t xml:space="preserve"> </w:t>
      </w:r>
      <w:r>
        <w:t xml:space="preserve">Several studies referred to the example of classification of environmental hazards of</w:t>
      </w:r>
      <w:r>
        <w:t xml:space="preserve"> </w:t>
      </w:r>
      <w:r>
        <w:t xml:space="preserve">pharmaceuticals introduced in Sweden and used for advising healthcare professionals on</w:t>
      </w:r>
      <w:r>
        <w:t xml:space="preserve"> </w:t>
      </w:r>
      <w:r>
        <w:t xml:space="preserve">prescribing the medicines (OECD, 2019; Büro für Technikfolgen-Abschätzung beim</w:t>
      </w:r>
      <w:r>
        <w:t xml:space="preserve"> </w:t>
      </w:r>
      <w:r>
        <w:t xml:space="preserve">Deutschen Bundestag, 2019; UBA, 2014). However, all these reports did not provide any</w:t>
      </w:r>
      <w:r>
        <w:t xml:space="preserve"> </w:t>
      </w:r>
      <w:r>
        <w:t xml:space="preserve">reliable evidence of the contribution of this approach to changing the behaviour of Swedish</w:t>
      </w:r>
      <w:r>
        <w:t xml:space="preserve"> </w:t>
      </w:r>
      <w:r>
        <w:t xml:space="preserve">consumers.</w:t>
      </w:r>
      <w:r>
        <w:t xml:space="preserve"> </w:t>
      </w:r>
      <w:r>
        <w:t xml:space="preserve">The literature search did not detect any studies on the disposal behaviours related to VMP in</w:t>
      </w:r>
      <w:r>
        <w:t xml:space="preserve"> </w:t>
      </w:r>
      <w:r>
        <w:t xml:space="preserve">the EU. The scarcely available studies focused on the USA and UK (e.g., Vatovec, 2021;</w:t>
      </w:r>
      <w:r>
        <w:t xml:space="preserve"> </w:t>
      </w:r>
      <w:r>
        <w:t xml:space="preserve">Lam et al., 2018; Higham et al., 2018). Therefore, no conclusions can be made for consumer</w:t>
      </w:r>
      <w:r>
        <w:t xml:space="preserve"> </w:t>
      </w:r>
      <w:r>
        <w:t xml:space="preserve">behaviour related to VMP.</w:t>
      </w:r>
      <w:r>
        <w:t xml:space="preserve"> </w:t>
      </w:r>
      <w:r>
        <w:t xml:space="preserve">To summarise, the current studies show that the issues underlying the occurrence of</w:t>
      </w:r>
      <w:r>
        <w:t xml:space="preserve"> </w:t>
      </w:r>
      <w:r>
        <w:t xml:space="preserve">pharmaceuticals in the environment to a large extent relate to their use. However, the proper</w:t>
      </w:r>
      <w:r>
        <w:t xml:space="preserve"> </w:t>
      </w:r>
      <w:r>
        <w:t xml:space="preserve">use and disposal of human medicinal products depend on multiple factors that include the</w:t>
      </w:r>
      <w:r>
        <w:t xml:space="preserve"> </w:t>
      </w:r>
      <w:r>
        <w:t xml:space="preserve">availability of collection systems for pharmaceuticals, literacy and motivation of consumers</w:t>
      </w:r>
      <w:r>
        <w:t xml:space="preserve"> </w:t>
      </w:r>
      <w:r>
        <w:t xml:space="preserve">to dispose of medicines in appropriate ways as well as active engagement and advice to</w:t>
      </w:r>
      <w:r>
        <w:t xml:space="preserve"> </w:t>
      </w:r>
      <w:r>
        <w:t xml:space="preserve">consumers from other actors – e.g., pharmacists, healthcare professionals. Current activities</w:t>
      </w:r>
      <w:r>
        <w:t xml:space="preserve"> </w:t>
      </w:r>
      <w:r>
        <w:t xml:space="preserve">to mitigate the challenges caused by pharmaceuticals in the environment cover a variety of</w:t>
      </w:r>
      <w:r>
        <w:t xml:space="preserve"> </w:t>
      </w:r>
      <w:r>
        <w:t xml:space="preserve">regulatory and non-regulatory measures to raise public awareness of the issue and influence</w:t>
      </w:r>
      <w:r>
        <w:t xml:space="preserve"> </w:t>
      </w:r>
      <w:r>
        <w:t xml:space="preserve">consumer behaviour as well as to improve the environmental risk assessment of VMP and</w:t>
      </w:r>
      <w:r>
        <w:t xml:space="preserve"> </w:t>
      </w:r>
      <w:r>
        <w:t xml:space="preserve">HMP. Therefore, it can be concluded that the current provisions on environmental</w:t>
      </w:r>
      <w:r>
        <w:t xml:space="preserve"> </w:t>
      </w:r>
      <w:r>
        <w:t xml:space="preserve">hazard assessment and communication to consumers are sufficiently addressed in the</w:t>
      </w:r>
      <w:r>
        <w:t xml:space="preserve"> </w:t>
      </w:r>
      <w:r>
        <w:t xml:space="preserve">current legislation and that there is no evidence that the extension of additional</w:t>
      </w:r>
      <w:r>
        <w:t xml:space="preserve"> </w:t>
      </w:r>
      <w:r>
        <w:t xml:space="preserve">classification and labelling measures under CLP Regulation would provide benefits.</w:t>
      </w:r>
    </w:p>
    <w:p>
      <w:pPr>
        <w:pStyle w:val="BodyText"/>
      </w:pPr>
      <w:r>
        <w:t xml:space="preserve">COSMETIC PRODUCTS</w:t>
      </w:r>
      <w:r>
        <w:t xml:space="preserve"> </w:t>
      </w:r>
      <w:r>
        <w:t xml:space="preserve">Legislative framework</w:t>
      </w:r>
      <w:r>
        <w:t xml:space="preserve"> </w:t>
      </w:r>
      <w:r>
        <w:t xml:space="preserve">The Cosmetics Regulation 1223/2009 is the main legal act that establishes rules for cosmetic</w:t>
      </w:r>
      <w:r>
        <w:t xml:space="preserve"> </w:t>
      </w:r>
      <w:r>
        <w:t xml:space="preserve">products available on the EU market. The Regulation aims to ensure the functioning of the</w:t>
      </w:r>
      <w:r>
        <w:t xml:space="preserve"> </w:t>
      </w:r>
      <w:r>
        <w:t xml:space="preserve">internal market and a high level of protection of human health.</w:t>
      </w:r>
      <w:r>
        <w:t xml:space="preserve"> </w:t>
      </w:r>
      <w:r>
        <w:t xml:space="preserve">Identification and classification of environmental hazards</w:t>
      </w:r>
      <w:r>
        <w:t xml:space="preserve"> </w:t>
      </w:r>
      <w:r>
        <w:t xml:space="preserve">Before being placed on the market, a cosmetic product must undergo a safety assessment</w:t>
      </w:r>
      <w:r>
        <w:t xml:space="preserve"> </w:t>
      </w:r>
      <w:r>
        <w:t xml:space="preserve">based on potential human health effects (Article 10). Annex I of the Regulation sets the</w:t>
      </w:r>
      <w:r>
        <w:t xml:space="preserve"> </w:t>
      </w:r>
      <w:r>
        <w:t xml:space="preserve">requirements to the content of a safety assessment report. Several annexes of the Regulation</w:t>
      </w:r>
      <w:r>
        <w:t xml:space="preserve"> </w:t>
      </w:r>
      <w:r>
        <w:t xml:space="preserve">list substances that are authorized for specific uses or that are prohibited or restricted under</w:t>
      </w:r>
      <w:r>
        <w:t xml:space="preserve"> </w:t>
      </w:r>
      <w:r>
        <w:t xml:space="preserve">certain conditions:</w:t>
      </w:r>
    </w:p>
    <w:p>
      <w:pPr>
        <w:pStyle w:val="BodyText"/>
      </w:pPr>
      <w:r>
        <w:t xml:space="preserve">532</w:t>
      </w:r>
    </w:p>
    <w:p>
      <w:pPr>
        <w:pStyle w:val="BodyText"/>
      </w:pPr>
      <w:r>
        <w:t xml:space="preserve">Annex II lists substances that are prohibited in cosmetic products;</w:t>
      </w:r>
    </w:p>
    <w:p>
      <w:pPr>
        <w:pStyle w:val="BodyText"/>
      </w:pPr>
      <w:r>
        <w:t xml:space="preserve">Annex III lists the substances that cosmetic products must not contain except subject</w:t>
      </w:r>
      <w:r>
        <w:t xml:space="preserve"> </w:t>
      </w:r>
      <w:r>
        <w:t xml:space="preserve">to specified restrictions;</w:t>
      </w:r>
    </w:p>
    <w:p>
      <w:pPr>
        <w:pStyle w:val="BodyText"/>
      </w:pPr>
      <w:r>
        <w:t xml:space="preserve">Annex IV lists the substances allowed to be used as colourants;</w:t>
      </w:r>
    </w:p>
    <w:p>
      <w:pPr>
        <w:pStyle w:val="BodyText"/>
      </w:pPr>
      <w:r>
        <w:t xml:space="preserve">Annex V lists the substances allowed to be used as preservatives; and</w:t>
      </w:r>
      <w:r>
        <w:br/>
      </w:r>
      <w:r>
        <w:t xml:space="preserve">Annex VI –lists the substances allowed to be used as UV filters.</w:t>
      </w:r>
      <w:r>
        <w:br/>
      </w:r>
      <w:r>
        <w:t xml:space="preserve">There are no specific requirements related to the identification and classification of the</w:t>
      </w:r>
      <w:r>
        <w:t xml:space="preserve"> </w:t>
      </w:r>
      <w:r>
        <w:t xml:space="preserve">environmental hazards in the Cosmetics Regulation. As stated in Recital (5) the</w:t>
      </w:r>
      <w:r>
        <w:t xml:space="preserve"> </w:t>
      </w:r>
      <w:r>
        <w:t xml:space="preserve">environmental concerns for cosmetics products are addressed by the REACH Regulation.</w:t>
      </w:r>
      <w:r>
        <w:t xml:space="preserve"> </w:t>
      </w:r>
      <w:r>
        <w:t xml:space="preserve">Table 165: Provisions regarding identification and classification of environmental hazards in medical</w:t>
      </w:r>
      <w:r>
        <w:t xml:space="preserve"> </w:t>
      </w:r>
      <w:r>
        <w:t xml:space="preserve">devices</w:t>
      </w:r>
      <w:r>
        <w:t xml:space="preserve"> </w:t>
      </w:r>
      <w:r>
        <w:t xml:space="preserve">Legislation</w:t>
      </w:r>
      <w:r>
        <w:t xml:space="preserve"> </w:t>
      </w:r>
      <w:r>
        <w:t xml:space="preserve">Provisions</w:t>
      </w:r>
      <w:r>
        <w:t xml:space="preserve"> </w:t>
      </w:r>
      <w:r>
        <w:t xml:space="preserve">Cosmetics</w:t>
      </w:r>
      <w:r>
        <w:t xml:space="preserve"> </w:t>
      </w:r>
      <w:r>
        <w:t xml:space="preserve">Regulation</w:t>
      </w:r>
      <w:r>
        <w:t xml:space="preserve"> </w:t>
      </w:r>
      <w:r>
        <w:t xml:space="preserve">1223/2009</w:t>
      </w:r>
      <w:r>
        <w:t xml:space="preserve"> </w:t>
      </w:r>
      <w:r>
        <w:t xml:space="preserve">Recital (5): The environmental concerns that substances used in cosmetic products may</w:t>
      </w:r>
      <w:r>
        <w:t xml:space="preserve"> </w:t>
      </w:r>
      <w:r>
        <w:t xml:space="preserve">raise are considered through the application of Regulation (EC) No 1907/2006 of the</w:t>
      </w:r>
      <w:r>
        <w:t xml:space="preserve"> </w:t>
      </w:r>
      <w:r>
        <w:t xml:space="preserve">European Parliament and of the Council of 18 December 2006 concerning the Registration,</w:t>
      </w:r>
      <w:r>
        <w:t xml:space="preserve"> </w:t>
      </w:r>
      <w:r>
        <w:t xml:space="preserve">Evaluation, Authorisation and Restriction of Chemicals (REACH) and establishing a</w:t>
      </w:r>
      <w:r>
        <w:t xml:space="preserve"> </w:t>
      </w:r>
      <w:r>
        <w:t xml:space="preserve">European Chemicals Agency, which enables the assessment of environmental safety in a</w:t>
      </w:r>
      <w:r>
        <w:t xml:space="preserve"> </w:t>
      </w:r>
      <w:r>
        <w:t xml:space="preserve">cross-sectoral manner.</w:t>
      </w:r>
      <w:r>
        <w:t xml:space="preserve"> </w:t>
      </w:r>
      <w:r>
        <w:t xml:space="preserve">The content and requirements to a cosmetic product safety report are specified in Annex 1 of</w:t>
      </w:r>
      <w:r>
        <w:t xml:space="preserve"> </w:t>
      </w:r>
      <w:r>
        <w:t xml:space="preserve">Regulation 1223/2009. The annex does not contain specific provisions for assessing the risk</w:t>
      </w:r>
      <w:r>
        <w:t xml:space="preserve"> </w:t>
      </w:r>
      <w:r>
        <w:t xml:space="preserve">of cosmetic products to the environment.</w:t>
      </w:r>
    </w:p>
    <w:p>
      <w:pPr>
        <w:pStyle w:val="BodyText"/>
      </w:pPr>
      <w:r>
        <w:t xml:space="preserve">Labelling and communication of the environmental hazards of the products to</w:t>
      </w:r>
      <w:r>
        <w:t xml:space="preserve"> </w:t>
      </w:r>
      <w:r>
        <w:t xml:space="preserve">downstream users</w:t>
      </w:r>
      <w:r>
        <w:t xml:space="preserve"> </w:t>
      </w:r>
      <w:r>
        <w:t xml:space="preserve">In compliance with Recital 5, the Cosmetics Regulation 1223/2009 does not define specific</w:t>
      </w:r>
      <w:r>
        <w:t xml:space="preserve"> </w:t>
      </w:r>
      <w:r>
        <w:t xml:space="preserve">provisions for classification and labelling for environmental hazards; otherwise, there are</w:t>
      </w:r>
      <w:r>
        <w:t xml:space="preserve"> </w:t>
      </w:r>
      <w:r>
        <w:t xml:space="preserve">substantive labelling requirements for cosmetic products in the Regulation. The analysis of</w:t>
      </w:r>
      <w:r>
        <w:t xml:space="preserve"> </w:t>
      </w:r>
      <w:r>
        <w:t xml:space="preserve">the legal requirements did not identify specific provisions on the communication of the</w:t>
      </w:r>
      <w:r>
        <w:t xml:space="preserve"> </w:t>
      </w:r>
      <w:r>
        <w:t xml:space="preserve">environmental hazards to cosmetics users. In addition to information placed on the label,</w:t>
      </w:r>
      <w:r>
        <w:t xml:space="preserve"> </w:t>
      </w:r>
      <w:r>
        <w:t xml:space="preserve">Recital (53) and Article 21 outlines conditions when the users can access relevant</w:t>
      </w:r>
      <w:r>
        <w:t xml:space="preserve"> </w:t>
      </w:r>
      <w:r>
        <w:t xml:space="preserve">information about cosmetic products. However, it does not consider specific information</w:t>
      </w:r>
      <w:r>
        <w:t xml:space="preserve"> </w:t>
      </w:r>
      <w:r>
        <w:t xml:space="preserve">about environmental hazards.</w:t>
      </w:r>
    </w:p>
    <w:p>
      <w:pPr>
        <w:pStyle w:val="BodyText"/>
      </w:pPr>
      <w:r>
        <w:t xml:space="preserve">533</w:t>
      </w:r>
    </w:p>
    <w:p>
      <w:pPr>
        <w:pStyle w:val="BodyText"/>
      </w:pPr>
      <w:r>
        <w:t xml:space="preserve">Table 166: Provisions on the communication of environmental hazards of cosmetic products to users*</w:t>
      </w:r>
      <w:r>
        <w:t xml:space="preserve"> </w:t>
      </w:r>
      <w:r>
        <w:t xml:space="preserve">Legislation</w:t>
      </w:r>
      <w:r>
        <w:t xml:space="preserve"> </w:t>
      </w:r>
      <w:r>
        <w:t xml:space="preserve">Provisions</w:t>
      </w:r>
      <w:r>
        <w:t xml:space="preserve"> </w:t>
      </w:r>
      <w:r>
        <w:t xml:space="preserve">Cosmetics</w:t>
      </w:r>
      <w:r>
        <w:t xml:space="preserve"> </w:t>
      </w:r>
      <w:r>
        <w:t xml:space="preserve">Regulation</w:t>
      </w:r>
      <w:r>
        <w:t xml:space="preserve"> </w:t>
      </w:r>
      <w:r>
        <w:t xml:space="preserve">1223/2009</w:t>
      </w:r>
      <w:r>
        <w:t xml:space="preserve"> </w:t>
      </w:r>
      <w:r>
        <w:t xml:space="preserve">Annex V Preamble Point 2: All finished products containing formaldehyde or substances in</w:t>
      </w:r>
      <w:r>
        <w:t xml:space="preserve"> </w:t>
      </w:r>
      <w:r>
        <w:t xml:space="preserve">this Annex and which release formaldehyde must be labelled with the warning ‘contains</w:t>
      </w:r>
      <w:r>
        <w:t xml:space="preserve"> </w:t>
      </w:r>
      <w:r>
        <w:t xml:space="preserve">formaldehyde’ where the concentration of formaldehyde in the finished product exceeds</w:t>
      </w:r>
      <w:r>
        <w:t xml:space="preserve"> </w:t>
      </w:r>
      <w:r>
        <w:t xml:space="preserve">0.05 %.</w:t>
      </w:r>
      <w:r>
        <w:t xml:space="preserve"> </w:t>
      </w:r>
      <w:r>
        <w:t xml:space="preserve">Recital (53): In addition to the labelled information, consumers should be given the</w:t>
      </w:r>
      <w:r>
        <w:t xml:space="preserve"> </w:t>
      </w:r>
      <w:r>
        <w:t xml:space="preserve">possibility to request certain product-related information from the responsible person in</w:t>
      </w:r>
      <w:r>
        <w:t xml:space="preserve"> </w:t>
      </w:r>
      <w:r>
        <w:t xml:space="preserve">order to make informed product choices.</w:t>
      </w:r>
      <w:r>
        <w:t xml:space="preserve"> </w:t>
      </w:r>
      <w:r>
        <w:t xml:space="preserve">Pursuant to Article 21, without prejudice to the protection, in particular, of commercial</w:t>
      </w:r>
      <w:r>
        <w:t xml:space="preserve"> </w:t>
      </w:r>
      <w:r>
        <w:t xml:space="preserve">secrecy and of intellectual property rights, the responsible person shall ensure that the</w:t>
      </w:r>
      <w:r>
        <w:t xml:space="preserve"> </w:t>
      </w:r>
      <w:r>
        <w:t xml:space="preserve">qualitative and quantitative composition of the cosmetic product and, in the case of perfume</w:t>
      </w:r>
      <w:r>
        <w:t xml:space="preserve"> </w:t>
      </w:r>
      <w:r>
        <w:t xml:space="preserve">and aromatic compositions, the name and code number of the composition and the identity</w:t>
      </w:r>
      <w:r>
        <w:t xml:space="preserve"> </w:t>
      </w:r>
      <w:r>
        <w:t xml:space="preserve">of the supplier, as well as existing data on undesirable effects and serious undesirable</w:t>
      </w:r>
      <w:r>
        <w:t xml:space="preserve"> </w:t>
      </w:r>
      <w:r>
        <w:t xml:space="preserve">effects resulting from use of the cosmetic product are made easily accessible to the</w:t>
      </w:r>
      <w:r>
        <w:t xml:space="preserve"> </w:t>
      </w:r>
      <w:r>
        <w:t xml:space="preserve">public by any appropriate means.</w:t>
      </w:r>
      <w:r>
        <w:t xml:space="preserve"> </w:t>
      </w:r>
      <w:r>
        <w:t xml:space="preserve">The quantitative information regarding composition of the cosmetic product required</w:t>
      </w:r>
      <w:r>
        <w:t xml:space="preserve"> </w:t>
      </w:r>
      <w:r>
        <w:t xml:space="preserve">to be made publicly accessible shall be limited to hazardous substances in accordance</w:t>
      </w:r>
      <w:r>
        <w:t xml:space="preserve"> </w:t>
      </w:r>
      <w:r>
        <w:t xml:space="preserve">with Article 3 of Regulation (EC) No 1272/2008. (Article 21).</w:t>
      </w:r>
      <w:r>
        <w:t xml:space="preserve"> </w:t>
      </w:r>
      <w:r>
        <w:t xml:space="preserve">NOTE: *User may include professional users and consumers</w:t>
      </w:r>
    </w:p>
    <w:p>
      <w:pPr>
        <w:pStyle w:val="BodyText"/>
      </w:pPr>
      <w:r>
        <w:t xml:space="preserve">Evidence on the gaps in protection from the environmental HAZARDS</w:t>
      </w:r>
      <w:r>
        <w:t xml:space="preserve"> </w:t>
      </w:r>
      <w:r>
        <w:t xml:space="preserve">Studies on evaluation, impact assessment as well as supporting studies that cover Cosmetics</w:t>
      </w:r>
      <w:r>
        <w:t xml:space="preserve"> </w:t>
      </w:r>
      <w:r>
        <w:t xml:space="preserve">Regulation were identified and screened to find evidence of potential gaps in protection from</w:t>
      </w:r>
      <w:r>
        <w:t xml:space="preserve"> </w:t>
      </w:r>
      <w:r>
        <w:t xml:space="preserve">the environmental hazards borne by cosmetics products. Only two studies address the</w:t>
      </w:r>
      <w:r>
        <w:t xml:space="preserve"> </w:t>
      </w:r>
      <w:r>
        <w:t xml:space="preserve">environmental hazards of cosmetic products. “Study on the regulatory fitness of the</w:t>
      </w:r>
      <w:r>
        <w:t xml:space="preserve"> </w:t>
      </w:r>
      <w:r>
        <w:t xml:space="preserve">legislative framework governing the risk management of chemicals (excluding REACH), in</w:t>
      </w:r>
      <w:r>
        <w:t xml:space="preserve"> </w:t>
      </w:r>
      <w:r>
        <w:t xml:space="preserve">particular, the CLP Regulation and related legislation” (RPA, European Commission, 2017)</w:t>
      </w:r>
      <w:r>
        <w:t xml:space="preserve"> </w:t>
      </w:r>
      <w:r>
        <w:t xml:space="preserve">provides the opinion of some public authorities in the Member States and NGOs on the lack</w:t>
      </w:r>
      <w:r>
        <w:t xml:space="preserve"> </w:t>
      </w:r>
      <w:r>
        <w:t xml:space="preserve">of classification and labelling requirements for environmental hazards under the Cosmetics</w:t>
      </w:r>
      <w:r>
        <w:t xml:space="preserve"> </w:t>
      </w:r>
      <w:r>
        <w:t xml:space="preserve">Regulation. “Study for the strategy for a non-toxic environment of the 7th Environment</w:t>
      </w:r>
      <w:r>
        <w:t xml:space="preserve"> </w:t>
      </w:r>
      <w:r>
        <w:t xml:space="preserve">Action Programme” (2017) discusses the environmental effects of chemicals used in</w:t>
      </w:r>
      <w:r>
        <w:t xml:space="preserve"> </w:t>
      </w:r>
      <w:r>
        <w:t xml:space="preserve">cosmetic products. The report reviewed the negative environmental effects of siloxanes that</w:t>
      </w:r>
      <w:r>
        <w:t xml:space="preserve"> </w:t>
      </w:r>
      <w:r>
        <w:t xml:space="preserve">are often used in cosmetic products. However, it should be noted that a proposal for</w:t>
      </w:r>
      <w:r>
        <w:t xml:space="preserve"> </w:t>
      </w:r>
      <w:r>
        <w:t xml:space="preserve">restriction</w:t>
      </w:r>
      <w:r>
        <w:t xml:space="preserve"> </w:t>
      </w:r>
      <w:r>
        <w:t xml:space="preserve">of</w:t>
      </w:r>
      <w:r>
        <w:t xml:space="preserve"> </w:t>
      </w:r>
      <w:r>
        <w:t xml:space="preserve">the</w:t>
      </w:r>
      <w:r>
        <w:t xml:space="preserve"> </w:t>
      </w:r>
      <w:r>
        <w:t xml:space="preserve">following</w:t>
      </w:r>
      <w:r>
        <w:t xml:space="preserve"> </w:t>
      </w:r>
      <w:r>
        <w:t xml:space="preserve">siloxanes</w:t>
      </w:r>
      <w:r>
        <w:t xml:space="preserve"> </w:t>
      </w:r>
      <w:r>
        <w:t xml:space="preserve">–</w:t>
      </w:r>
      <w:r>
        <w:t xml:space="preserve"> </w:t>
      </w:r>
      <w:r>
        <w:t xml:space="preserve">Octamethylcyclotetrasiloxane</w:t>
      </w:r>
      <w:r>
        <w:t xml:space="preserve"> </w:t>
      </w:r>
      <w:r>
        <w:t xml:space="preserve">(D4)</w:t>
      </w:r>
      <w:r>
        <w:t xml:space="preserve"> </w:t>
      </w:r>
      <w:r>
        <w:t xml:space="preserve">Decamethylcyclopentasiloxane (D5) Dodecamethylcyclohexasiloxane (D6) (ECHA, 2019a)</w:t>
      </w:r>
      <w:r>
        <w:t xml:space="preserve"> </w:t>
      </w:r>
      <w:r>
        <w:t xml:space="preserve">based on the negative effects on the environment was adopted.162</w:t>
      </w:r>
      <w:r>
        <w:br/>
      </w:r>
      <w:r>
        <w:t xml:space="preserve">Furthermore, studies supporting initiatives by the European Commission regarding protection</w:t>
      </w:r>
      <w:r>
        <w:t xml:space="preserve"> </w:t>
      </w:r>
      <w:r>
        <w:t xml:space="preserve">of the environment by raising customer awareness through labelling have been identified.</w:t>
      </w:r>
      <w:r>
        <w:t xml:space="preserve"> </w:t>
      </w:r>
      <w:r>
        <w:t xml:space="preserve">The first initiative was the EU Ecolabel, a voluntary environmental labelling scheme. The EU</w:t>
      </w:r>
      <w:r>
        <w:t xml:space="preserve"> </w:t>
      </w:r>
      <w:r>
        <w:t xml:space="preserve">Ecolabel is granted to the products for their environmental excellence, covering high</w:t>
      </w:r>
      <w:r>
        <w:t xml:space="preserve"> </w:t>
      </w:r>
      <w:r>
        <w:t xml:space="preserve">environmental performance of a product at different stages of its lifecycle (e.g.,</w:t>
      </w:r>
      <w:r>
        <w:t xml:space="preserve"> </w:t>
      </w:r>
      <w:r>
        <w:t xml:space="preserve">manufacturing, distribution, disposal, etc.). The EU Ecolabel Regulation sets the rules for</w:t>
      </w:r>
      <w:r>
        <w:t xml:space="preserve"> </w:t>
      </w:r>
      <w:r>
        <w:t xml:space="preserve">establishing and applying this scheme. In 2021, the Joint Research Centre carried out a</w:t>
      </w:r>
      <w:r>
        <w:t xml:space="preserve"> </w:t>
      </w:r>
      <w:r>
        <w:t xml:space="preserve">technical study to support the revision of EU Ecolabel criteria for rinse-off cosmetic products.</w:t>
      </w:r>
      <w:r>
        <w:t xml:space="preserve"> </w:t>
      </w:r>
      <w:r>
        <w:t xml:space="preserve">It outlined several criteria for granting Ecolabel based on the environmental performance of a</w:t>
      </w:r>
      <w:r>
        <w:t xml:space="preserve"> </w:t>
      </w:r>
      <w:r>
        <w:t xml:space="preserve">cosmetic product. For the purposes of formulating criteria, the CLP Regulation and REACH</w:t>
      </w:r>
    </w:p>
    <w:p>
      <w:pPr>
        <w:pStyle w:val="BodyText"/>
      </w:pPr>
      <w:r>
        <w:t xml:space="preserve">162 https://echa.europa.eu/substances-restricted-under-reach</w:t>
      </w:r>
    </w:p>
    <w:p>
      <w:pPr>
        <w:pStyle w:val="BodyText"/>
      </w:pPr>
      <w:r>
        <w:t xml:space="preserve">534</w:t>
      </w:r>
    </w:p>
    <w:p>
      <w:pPr>
        <w:pStyle w:val="BodyText"/>
      </w:pPr>
      <w:r>
        <w:t xml:space="preserve">were consulted. Based on the findings, the European Commission revised the EU Ecolabel</w:t>
      </w:r>
      <w:r>
        <w:t xml:space="preserve"> </w:t>
      </w:r>
      <w:r>
        <w:t xml:space="preserve">criteria for cosmetics and extended them to substances or mixtures that fall under the scope of</w:t>
      </w:r>
      <w:r>
        <w:t xml:space="preserve"> </w:t>
      </w:r>
      <w:r>
        <w:t xml:space="preserve">Cosmetics Regulation and “intended to be placed in contact with the external parts of the</w:t>
      </w:r>
      <w:r>
        <w:t xml:space="preserve"> </w:t>
      </w:r>
      <w:r>
        <w:t xml:space="preserve">human body, or with the teeth and the mucous membranes of the oral cavity, with a view</w:t>
      </w:r>
      <w:r>
        <w:t xml:space="preserve"> </w:t>
      </w:r>
      <w:r>
        <w:t xml:space="preserve">exclusively or mainly to cleaning them, perfuming them, changing their appearance,</w:t>
      </w:r>
      <w:r>
        <w:t xml:space="preserve"> </w:t>
      </w:r>
      <w:r>
        <w:t xml:space="preserve">protecting them, keeping them in good condition or correcting body odours” (EC, 2021g,</w:t>
      </w:r>
      <w:r>
        <w:t xml:space="preserve"> </w:t>
      </w:r>
      <w:r>
        <w:t xml:space="preserve">Article 1). The revised criteria for awarding the EU Ecolabel now apply both to rinse-off and</w:t>
      </w:r>
      <w:r>
        <w:t xml:space="preserve"> </w:t>
      </w:r>
      <w:r>
        <w:t xml:space="preserve">leave-on cosmetic products. They contain the following:</w:t>
      </w:r>
    </w:p>
    <w:p>
      <w:pPr>
        <w:pStyle w:val="BodyText"/>
      </w:pPr>
      <w:r>
        <w:t xml:space="preserve">toxicity to aquatic organisms: critical dilution volume (CDV) of rinse-off products,</w:t>
      </w:r>
    </w:p>
    <w:p>
      <w:pPr>
        <w:pStyle w:val="BodyText"/>
      </w:pPr>
      <w:r>
        <w:t xml:space="preserve">biodegradability of rinse-off products,</w:t>
      </w:r>
    </w:p>
    <w:p>
      <w:pPr>
        <w:pStyle w:val="BodyText"/>
      </w:pPr>
      <w:r>
        <w:t xml:space="preserve">aquatic toxicity and biodegradability of leave-on products,</w:t>
      </w:r>
    </w:p>
    <w:p>
      <w:pPr>
        <w:pStyle w:val="BodyText"/>
      </w:pPr>
      <w:r>
        <w:t xml:space="preserve">excluded and restricted substances,</w:t>
      </w:r>
    </w:p>
    <w:p>
      <w:pPr>
        <w:pStyle w:val="BodyText"/>
      </w:pPr>
      <w:r>
        <w:t xml:space="preserve">packaging,</w:t>
      </w:r>
    </w:p>
    <w:p>
      <w:pPr>
        <w:pStyle w:val="BodyText"/>
      </w:pPr>
      <w:r>
        <w:t xml:space="preserve">sustainable sourcing of palm oil, palm kernel oil and their derivatives,</w:t>
      </w:r>
    </w:p>
    <w:p>
      <w:pPr>
        <w:pStyle w:val="BodyText"/>
      </w:pPr>
      <w:r>
        <w:t xml:space="preserve">fitness for use,</w:t>
      </w:r>
      <w:r>
        <w:t xml:space="preserve"> </w:t>
      </w:r>
      <w:r>
        <w:t xml:space="preserve">information on EU Ecolabel.</w:t>
      </w:r>
      <w:r>
        <w:t xml:space="preserve"> </w:t>
      </w:r>
      <w:r>
        <w:t xml:space="preserve">Growing interest in getting the EU Ecolabel has been recently observed. According to the</w:t>
      </w:r>
      <w:r>
        <w:t xml:space="preserve"> </w:t>
      </w:r>
      <w:r>
        <w:t xml:space="preserve">European Commission, 2,057 licences have been awarded for 83,590 products in the EU. Of</w:t>
      </w:r>
      <w:r>
        <w:t xml:space="preserve"> </w:t>
      </w:r>
      <w:r>
        <w:t xml:space="preserve">those, the share of 21% (118) of licenses were awarded to rinse-off cosmetic products with</w:t>
      </w:r>
      <w:r>
        <w:t xml:space="preserve"> </w:t>
      </w:r>
      <w:r>
        <w:t xml:space="preserve">3% (2,575) of products in this group granted the EU Ecolabel (EC, 2021g).</w:t>
      </w:r>
      <w:r>
        <w:t xml:space="preserve"> </w:t>
      </w:r>
      <w:r>
        <w:t xml:space="preserve">The further literature search identified abundant research on the environmental issues of</w:t>
      </w:r>
      <w:r>
        <w:t xml:space="preserve"> </w:t>
      </w:r>
      <w:r>
        <w:t xml:space="preserve">microplastics and especially plastic micro beads in cosmetic products as well as regulatory</w:t>
      </w:r>
      <w:r>
        <w:t xml:space="preserve"> </w:t>
      </w:r>
      <w:r>
        <w:t xml:space="preserve">initiatives to ban and/or reduce their use (Anagnosti et al., 2021). For instance, Eunomia</w:t>
      </w:r>
      <w:r>
        <w:t xml:space="preserve"> </w:t>
      </w:r>
      <w:r>
        <w:t xml:space="preserve">(2016) estimations that microplastics from cosmetic products contribute up to 4.1% or</w:t>
      </w:r>
      <w:r>
        <w:t xml:space="preserve"> </w:t>
      </w:r>
      <w:r>
        <w:t xml:space="preserve">between 2,461 and 8,627 tonnes of microplastics entering the marine environment from</w:t>
      </w:r>
      <w:r>
        <w:t xml:space="preserve"> </w:t>
      </w:r>
      <w:r>
        <w:t xml:space="preserve">Europe every year. However, according to the authors of the report, this estimate was very</w:t>
      </w:r>
      <w:r>
        <w:t xml:space="preserve"> </w:t>
      </w:r>
      <w:r>
        <w:t xml:space="preserve">uncertain due to the limited availability of data. The intentional use of microbeads in</w:t>
      </w:r>
      <w:r>
        <w:t xml:space="preserve"> </w:t>
      </w:r>
      <w:r>
        <w:t xml:space="preserve">cosmetic products was also discussed in the report “Intentionally added microplastics in</w:t>
      </w:r>
      <w:r>
        <w:t xml:space="preserve"> </w:t>
      </w:r>
      <w:r>
        <w:t xml:space="preserve">products” delivered at the request of the European Commission (Scudo et al., 2017). Based</w:t>
      </w:r>
      <w:r>
        <w:t xml:space="preserve"> </w:t>
      </w:r>
      <w:r>
        <w:t xml:space="preserve">on Eunomia (2016) research and other sources, the study estimated that 1250-1910 tonnes of</w:t>
      </w:r>
      <w:r>
        <w:t xml:space="preserve"> </w:t>
      </w:r>
      <w:r>
        <w:t xml:space="preserve">intentionally added plastic microbeads (5 mm or less) that are water insoluble plastic particles</w:t>
      </w:r>
      <w:r>
        <w:t xml:space="preserve"> </w:t>
      </w:r>
      <w:r>
        <w:t xml:space="preserve">are used in personal care products annually. However, this estimate is also uncertain due to</w:t>
      </w:r>
      <w:r>
        <w:t xml:space="preserve"> </w:t>
      </w:r>
      <w:r>
        <w:t xml:space="preserve">substantial gaps in data. The study usefully distinguished between rinse-off and leave-on</w:t>
      </w:r>
      <w:r>
        <w:t xml:space="preserve"> </w:t>
      </w:r>
      <w:r>
        <w:t xml:space="preserve">cosmetic products. Rinse-off products are washed off shortly after their application and enter</w:t>
      </w:r>
      <w:r>
        <w:t xml:space="preserve"> </w:t>
      </w:r>
      <w:r>
        <w:t xml:space="preserve">the environment via wastewater streams or by direct human uptake, while leave-on products</w:t>
      </w:r>
      <w:r>
        <w:t xml:space="preserve"> </w:t>
      </w:r>
      <w:r>
        <w:t xml:space="preserve">can also enter the environment via solid waste pathways (Scudo et al., 2017).</w:t>
      </w:r>
      <w:r>
        <w:t xml:space="preserve"> </w:t>
      </w:r>
      <w:r>
        <w:t xml:space="preserve">The issue of the environmental pollution by microplastics (including by plastic microbeads in</w:t>
      </w:r>
      <w:r>
        <w:t xml:space="preserve"> </w:t>
      </w:r>
      <w:r>
        <w:t xml:space="preserve">cosmetic products) was addressed in A European Strategy for Plastics in a Circular Economy</w:t>
      </w:r>
      <w:r>
        <w:t xml:space="preserve"> </w:t>
      </w:r>
      <w:r>
        <w:t xml:space="preserve">in 2018. Intentional use of plastic microbeads was also voluntarily reduced by the cosmetics</w:t>
      </w:r>
      <w:r>
        <w:t xml:space="preserve"> </w:t>
      </w:r>
      <w:r>
        <w:t xml:space="preserve">industry and microbeads were subject to national bans (EC, 2018g). In January 2019,</w:t>
      </w:r>
      <w:r>
        <w:t xml:space="preserve"> </w:t>
      </w:r>
      <w:r>
        <w:t xml:space="preserve">ECHA proposed a wide-ranging restriction on microplastics in products placed on the</w:t>
      </w:r>
      <w:r>
        <w:t xml:space="preserve"> </w:t>
      </w:r>
      <w:r>
        <w:t xml:space="preserve">EU/EEA market to avoid or reduce their release to the environment. ECHA’s Committee for</w:t>
      </w:r>
      <w:r>
        <w:t xml:space="preserve"> </w:t>
      </w:r>
      <w:r>
        <w:t xml:space="preserve">Risk Assessment (RAC) adopted its opinion on the proposal in June 2020 with some</w:t>
      </w:r>
      <w:r>
        <w:t xml:space="preserve"> </w:t>
      </w:r>
      <w:r>
        <w:t xml:space="preserve">recommendations, while the Committee for Socio-economic Analysis (SEAC) – in December</w:t>
      </w:r>
      <w:r>
        <w:t xml:space="preserve"> </w:t>
      </w:r>
      <w:r>
        <w:t xml:space="preserve">2020. The European Commission decision is currently under preparation.163 According to the</w:t>
      </w:r>
    </w:p>
    <w:p>
      <w:pPr>
        <w:pStyle w:val="BodyText"/>
      </w:pPr>
      <w:r>
        <w:t xml:space="preserve">163</w:t>
      </w:r>
      <w:r>
        <w:br/>
      </w:r>
      <w:r>
        <w:t xml:space="preserve">https://echa.europa.eu/hot-topics/microplastics</w:t>
      </w:r>
    </w:p>
    <w:p>
      <w:pPr>
        <w:pStyle w:val="BodyText"/>
      </w:pPr>
      <w:r>
        <w:t xml:space="preserve">535</w:t>
      </w:r>
    </w:p>
    <w:p>
      <w:pPr>
        <w:pStyle w:val="BodyText"/>
      </w:pPr>
      <w:r>
        <w:t xml:space="preserve">estimations of the impact assessment study on intentionally added microplastics in products,</w:t>
      </w:r>
      <w:r>
        <w:t xml:space="preserve"> </w:t>
      </w:r>
      <w:r>
        <w:t xml:space="preserve">a restriction on the use of all synthetic polymers in personal care products could affect</w:t>
      </w:r>
      <w:r>
        <w:t xml:space="preserve"> </w:t>
      </w:r>
      <w:r>
        <w:t xml:space="preserve">approximately 18% of all EU personal care products (Scudo et al., 2017).</w:t>
      </w:r>
      <w:r>
        <w:t xml:space="preserve"> </w:t>
      </w:r>
      <w:r>
        <w:t xml:space="preserve">As the reports of the European Commission and other institutions lacked information on the</w:t>
      </w:r>
      <w:r>
        <w:t xml:space="preserve"> </w:t>
      </w:r>
      <w:r>
        <w:t xml:space="preserve">environmental issues of cosmetic products, scientific peer-reviewed and grey literature</w:t>
      </w:r>
      <w:r>
        <w:t xml:space="preserve"> </w:t>
      </w:r>
      <w:r>
        <w:t xml:space="preserve">searches were conducted to identify adverse effects of cosmetic products on the environment.</w:t>
      </w:r>
      <w:r>
        <w:t xml:space="preserve"> </w:t>
      </w:r>
      <w:r>
        <w:t xml:space="preserve">Several extensive literature reviews (Vita et al., 2018; Bom et al., 2019) highlight that</w:t>
      </w:r>
      <w:r>
        <w:t xml:space="preserve"> </w:t>
      </w:r>
      <w:r>
        <w:t xml:space="preserve">personal care - especially rinse-off - products that contain ingredients hazardous to the</w:t>
      </w:r>
      <w:r>
        <w:t xml:space="preserve"> </w:t>
      </w:r>
      <w:r>
        <w:t xml:space="preserve">environment may have a substantial impact on the environment because they could be</w:t>
      </w:r>
      <w:r>
        <w:t xml:space="preserve"> </w:t>
      </w:r>
      <w:r>
        <w:t xml:space="preserve">found in the household sewage shortly after their application. Some personal care products,</w:t>
      </w:r>
      <w:r>
        <w:t xml:space="preserve"> </w:t>
      </w:r>
      <w:r>
        <w:t xml:space="preserve">such as sunscreens, enter the aquatic compartment directly because of their use (e.g., use of</w:t>
      </w:r>
      <w:r>
        <w:t xml:space="preserve"> </w:t>
      </w:r>
      <w:r>
        <w:t xml:space="preserve">sunscreens during recreational activities) (Vita et al., 2018; Bom et al., 2019).</w:t>
      </w:r>
      <w:r>
        <w:t xml:space="preserve"> </w:t>
      </w:r>
      <w:r>
        <w:t xml:space="preserve">There is a growing interest of researchers in the environmental impacts of UV filters (Huang</w:t>
      </w:r>
      <w:r>
        <w:t xml:space="preserve"> </w:t>
      </w:r>
      <w:r>
        <w:t xml:space="preserve">et al., 2021) and their occurrence in water compartments (Cadena-Aizaga et al., 2020).</w:t>
      </w:r>
      <w:r>
        <w:t xml:space="preserve"> </w:t>
      </w:r>
      <w:r>
        <w:t xml:space="preserve">Currently, 45 UV filters are allowed in cosmetic products (ECHA, 2021e). Specific organic</w:t>
      </w:r>
      <w:r>
        <w:t xml:space="preserve"> </w:t>
      </w:r>
      <w:r>
        <w:t xml:space="preserve">UV filters in different concentrations were found on the seacoasts in Spain and the</w:t>
      </w:r>
      <w:r>
        <w:t xml:space="preserve"> </w:t>
      </w:r>
      <w:r>
        <w:t xml:space="preserve">Netherlands (Cadena-Aizaga et al., 2020), in the North and Baltic seas (Apel et al., 2018),</w:t>
      </w:r>
      <w:r>
        <w:t xml:space="preserve"> </w:t>
      </w:r>
      <w:r>
        <w:t xml:space="preserve">and French Mediterranean beaches (Labille et al., 2020). One of the widely used substances</w:t>
      </w:r>
      <w:r>
        <w:t xml:space="preserve"> </w:t>
      </w:r>
      <w:r>
        <w:t xml:space="preserve">in sunscreens, a sun blocking agent 2-Ethylhexyl 4-methoxycinnamate (EHMC), was</w:t>
      </w:r>
      <w:r>
        <w:t xml:space="preserve"> </w:t>
      </w:r>
      <w:r>
        <w:t xml:space="preserve">included in the EU Watch List of potential water pollutants (EC, 2015b). According to the</w:t>
      </w:r>
      <w:r>
        <w:t xml:space="preserve"> </w:t>
      </w:r>
      <w:r>
        <w:t xml:space="preserve">scientific evidence collected by the Joint Research Centre, EHMC was ubiquitous in the</w:t>
      </w:r>
      <w:r>
        <w:t xml:space="preserve"> </w:t>
      </w:r>
      <w:r>
        <w:t xml:space="preserve">European environment and was detected in surface water, sediment and biota (Negrão De</w:t>
      </w:r>
      <w:r>
        <w:t xml:space="preserve"> </w:t>
      </w:r>
      <w:r>
        <w:t xml:space="preserve">Carvalho et al., 2015). According to the JRC report, EHMC was included in the Draft</w:t>
      </w:r>
      <w:r>
        <w:t xml:space="preserve"> </w:t>
      </w:r>
      <w:r>
        <w:t xml:space="preserve">Community Rolling Action Plan (CoRAP) with several reasons of concern, such as</w:t>
      </w:r>
      <w:r>
        <w:t xml:space="preserve"> </w:t>
      </w:r>
      <w:r>
        <w:t xml:space="preserve">environment/suspected</w:t>
      </w:r>
      <w:r>
        <w:t xml:space="preserve"> </w:t>
      </w:r>
      <w:r>
        <w:t xml:space="preserve">PBT,</w:t>
      </w:r>
      <w:r>
        <w:t xml:space="preserve"> </w:t>
      </w:r>
      <w:r>
        <w:t xml:space="preserve">potential</w:t>
      </w:r>
      <w:r>
        <w:t xml:space="preserve"> </w:t>
      </w:r>
      <w:r>
        <w:t xml:space="preserve">endocrine</w:t>
      </w:r>
      <w:r>
        <w:t xml:space="preserve"> </w:t>
      </w:r>
      <w:r>
        <w:t xml:space="preserve">disruptor,</w:t>
      </w:r>
      <w:r>
        <w:t xml:space="preserve"> </w:t>
      </w:r>
      <w:r>
        <w:t xml:space="preserve">wide</w:t>
      </w:r>
      <w:r>
        <w:t xml:space="preserve"> </w:t>
      </w:r>
      <w:r>
        <w:t xml:space="preserve">dispersive</w:t>
      </w:r>
      <w:r>
        <w:t xml:space="preserve"> </w:t>
      </w:r>
      <w:r>
        <w:t xml:space="preserve">use,</w:t>
      </w:r>
      <w:r>
        <w:t xml:space="preserve"> </w:t>
      </w:r>
      <w:r>
        <w:t xml:space="preserve">environmental exposure and high (aggregated) tonnage. In the systematic literature review,</w:t>
      </w:r>
      <w:r>
        <w:t xml:space="preserve"> </w:t>
      </w:r>
      <w:r>
        <w:t xml:space="preserve">Barbosa et al. (2016) noted that previous studies documented the presence of EHMC in the</w:t>
      </w:r>
      <w:r>
        <w:t xml:space="preserve"> </w:t>
      </w:r>
      <w:r>
        <w:t xml:space="preserve">lake and rivers sediments and concentrations in diverse organisms. According to Barbosa et</w:t>
      </w:r>
      <w:r>
        <w:t xml:space="preserve"> </w:t>
      </w:r>
      <w:r>
        <w:t xml:space="preserve">al. (2016), little is known about the removal of EHMC from aquatic environments.</w:t>
      </w:r>
      <w:r>
        <w:t xml:space="preserve"> </w:t>
      </w:r>
      <w:r>
        <w:t xml:space="preserve">The literature search identified four papers that experimented with the classification of the</w:t>
      </w:r>
      <w:r>
        <w:t xml:space="preserve"> </w:t>
      </w:r>
      <w:r>
        <w:t xml:space="preserve">ingredients of personal care products and sunscreens by applying the criteria of the CLP</w:t>
      </w:r>
      <w:r>
        <w:t xml:space="preserve"> </w:t>
      </w:r>
      <w:r>
        <w:t xml:space="preserve">Regulation (for details see Appendix 1 to Annex 4). The papers addressed the classification</w:t>
      </w:r>
      <w:r>
        <w:t xml:space="preserve"> </w:t>
      </w:r>
      <w:r>
        <w:t xml:space="preserve">of the environmental hazards of UV filters (Sobek et al., 2013) and personal care products</w:t>
      </w:r>
      <w:r>
        <w:t xml:space="preserve"> </w:t>
      </w:r>
      <w:r>
        <w:t xml:space="preserve">(Klaschka, 2012; Klaschka, 2015; Klaschka, 2016). All papers were case studies that applied</w:t>
      </w:r>
      <w:r>
        <w:t xml:space="preserve"> </w:t>
      </w:r>
      <w:r>
        <w:t xml:space="preserve">either classification and labelling criteria for investigating ingredients of cosmetic products or</w:t>
      </w:r>
      <w:r>
        <w:t xml:space="preserve"> </w:t>
      </w:r>
      <w:r>
        <w:t xml:space="preserve">used information on ingredients available in Classification and Labelling Inventory. The</w:t>
      </w:r>
      <w:r>
        <w:t xml:space="preserve"> </w:t>
      </w:r>
      <w:r>
        <w:t xml:space="preserve">studies stressed that some of the analysed ingredients were hazardous for the environment;</w:t>
      </w:r>
      <w:r>
        <w:t xml:space="preserve"> </w:t>
      </w:r>
      <w:r>
        <w:t xml:space="preserve">however, this information was not properly communicated to consumers of the cosmetic</w:t>
      </w:r>
      <w:r>
        <w:t xml:space="preserve"> </w:t>
      </w:r>
      <w:r>
        <w:t xml:space="preserve">products. Although all studies were based on empirical data collection, they were qualitative</w:t>
      </w:r>
      <w:r>
        <w:t xml:space="preserve"> </w:t>
      </w:r>
      <w:r>
        <w:t xml:space="preserve">small-scale case studies, so they do not provide enough evidence to cover different groups of</w:t>
      </w:r>
      <w:r>
        <w:t xml:space="preserve"> </w:t>
      </w:r>
      <w:r>
        <w:t xml:space="preserve">cosmetic products and ingredients.</w:t>
      </w:r>
      <w:r>
        <w:t xml:space="preserve"> </w:t>
      </w:r>
      <w:r>
        <w:t xml:space="preserve">To understand the role of hazard communication through labelling information, a search</w:t>
      </w:r>
      <w:r>
        <w:t xml:space="preserve"> </w:t>
      </w:r>
      <w:r>
        <w:t xml:space="preserve">was performed for relevant consumer research. Studies of the role of labelling information</w:t>
      </w:r>
      <w:r>
        <w:t xml:space="preserve"> </w:t>
      </w:r>
      <w:r>
        <w:t xml:space="preserve">about the environmental hazards of cosmetic products in their purchasing or use behaviour</w:t>
      </w:r>
      <w:r>
        <w:t xml:space="preserve"> </w:t>
      </w:r>
      <w:r>
        <w:t xml:space="preserve">are rare and mostly qualitative. For instance, Labille et al. (2020) conducted interviews of</w:t>
      </w:r>
      <w:r>
        <w:t xml:space="preserve"> </w:t>
      </w:r>
      <w:r>
        <w:t xml:space="preserve">471 visitors at three different Mediterranean beaches in France to analyse their habits of using</w:t>
      </w:r>
      <w:r>
        <w:t xml:space="preserve"> </w:t>
      </w:r>
      <w:r>
        <w:t xml:space="preserve">sunscreens, while Anderson et al. (2016) carried out four focus groups with 20 participants to</w:t>
      </w:r>
    </w:p>
    <w:p>
      <w:pPr>
        <w:pStyle w:val="BodyText"/>
      </w:pPr>
      <w:r>
        <w:t xml:space="preserve">536</w:t>
      </w:r>
    </w:p>
    <w:p>
      <w:pPr>
        <w:pStyle w:val="BodyText"/>
      </w:pPr>
      <w:r>
        <w:t xml:space="preserve">understand the perceptions considering microplastics in cosmetic products. However, the</w:t>
      </w:r>
      <w:r>
        <w:t xml:space="preserve"> </w:t>
      </w:r>
      <w:r>
        <w:t xml:space="preserve">studies provided quite different results. Labille et al. (2020) found that most of the</w:t>
      </w:r>
      <w:r>
        <w:t xml:space="preserve"> </w:t>
      </w:r>
      <w:r>
        <w:t xml:space="preserve">respondents (60±6%) were aware of the environmental effects of the sunscreens they used,</w:t>
      </w:r>
      <w:r>
        <w:t xml:space="preserve"> </w:t>
      </w:r>
      <w:r>
        <w:t xml:space="preserve">but there were no products labelled as eco-friendly among those they used. Although the</w:t>
      </w:r>
      <w:r>
        <w:t xml:space="preserve"> </w:t>
      </w:r>
      <w:r>
        <w:t xml:space="preserve">composition of the sunscreen was an important selection criterion for the respondents, 19% of</w:t>
      </w:r>
      <w:r>
        <w:t xml:space="preserve"> </w:t>
      </w:r>
      <w:r>
        <w:t xml:space="preserve">consumers cared about the composition of the product because of the possible effects on their</w:t>
      </w:r>
      <w:r>
        <w:t xml:space="preserve"> </w:t>
      </w:r>
      <w:r>
        <w:t xml:space="preserve">health, while only 3% of them expressed environmental concerns. Differently, Anderson et</w:t>
      </w:r>
      <w:r>
        <w:t xml:space="preserve"> </w:t>
      </w:r>
      <w:r>
        <w:t xml:space="preserve">al. (2016) found varying levels of awareness of the participants about the environmental</w:t>
      </w:r>
      <w:r>
        <w:t xml:space="preserve"> </w:t>
      </w:r>
      <w:r>
        <w:t xml:space="preserve">effects of plastic microbeads in cosmetic products and their readiness to change their</w:t>
      </w:r>
      <w:r>
        <w:t xml:space="preserve"> </w:t>
      </w:r>
      <w:r>
        <w:t xml:space="preserve">behaviour after getting information about the environmental hazards. However, as noted by</w:t>
      </w:r>
      <w:r>
        <w:t xml:space="preserve"> </w:t>
      </w:r>
      <w:r>
        <w:t xml:space="preserve">Anderson et al. (2016) the sense of urgency of the environmental issue also depended on</w:t>
      </w:r>
      <w:r>
        <w:t xml:space="preserve"> </w:t>
      </w:r>
      <w:r>
        <w:t xml:space="preserve">other factors: “Microbeads were seen as competing for attention with a number of other</w:t>
      </w:r>
      <w:r>
        <w:t xml:space="preserve"> </w:t>
      </w:r>
      <w:r>
        <w:t xml:space="preserve">environmental and societal issues and relatively low down the list of the public’s priorities”.</w:t>
      </w:r>
      <w:r>
        <w:t xml:space="preserve"> </w:t>
      </w:r>
      <w:r>
        <w:t xml:space="preserve">More general studies about environmental concerns and cosmetics purchasing behaviour</w:t>
      </w:r>
      <w:r>
        <w:t xml:space="preserve"> </w:t>
      </w:r>
      <w:r>
        <w:t xml:space="preserve">show multiple interacting factors that shape consumer behaviour. For instance, in the</w:t>
      </w:r>
      <w:r>
        <w:t xml:space="preserve"> </w:t>
      </w:r>
      <w:r>
        <w:t xml:space="preserve">systematic review of 80 research papers published in 2011-2017, Liobikiene and</w:t>
      </w:r>
      <w:r>
        <w:t xml:space="preserve"> </w:t>
      </w:r>
      <w:r>
        <w:t xml:space="preserve">Bernatoniene (2017) showed different types of motivational factors and their interplay that</w:t>
      </w:r>
      <w:r>
        <w:t xml:space="preserve"> </w:t>
      </w:r>
      <w:r>
        <w:t xml:space="preserve">stimulate a decision to purchase green personal care products and colour cosmetics instead of</w:t>
      </w:r>
      <w:r>
        <w:t xml:space="preserve"> </w:t>
      </w:r>
      <w:r>
        <w:t xml:space="preserve">selecting non-green cosmetics. According to the study, in buying green personal care</w:t>
      </w:r>
      <w:r>
        <w:t xml:space="preserve"> </w:t>
      </w:r>
      <w:r>
        <w:t xml:space="preserve">products, health concerns are the main deciding factor that also influences other motivational</w:t>
      </w:r>
      <w:r>
        <w:t xml:space="preserve"> </w:t>
      </w:r>
      <w:r>
        <w:t xml:space="preserve">factors, such as internal (environmental attitudes, values, environmental consciousness and</w:t>
      </w:r>
      <w:r>
        <w:t xml:space="preserve"> </w:t>
      </w:r>
      <w:r>
        <w:t xml:space="preserve">attitude towards environmental consumption), social (social pressure, family, friends’</w:t>
      </w:r>
      <w:r>
        <w:t xml:space="preserve"> </w:t>
      </w:r>
      <w:r>
        <w:t xml:space="preserve">attitudes etc.) and external (environmental awareness, price, supply, etc.). Differently, when</w:t>
      </w:r>
      <w:r>
        <w:t xml:space="preserve"> </w:t>
      </w:r>
      <w:r>
        <w:t xml:space="preserve">buying colour and styling cosmetics, which is considered a luxury product, brand and quality</w:t>
      </w:r>
      <w:r>
        <w:t xml:space="preserve"> </w:t>
      </w:r>
      <w:r>
        <w:t xml:space="preserve">play a dominant role and influence other motivational factors.</w:t>
      </w:r>
      <w:r>
        <w:br/>
      </w:r>
      <w:r>
        <w:t xml:space="preserve">When asked about possible gaps in information provision on the hazards of cosmetic</w:t>
      </w:r>
      <w:r>
        <w:t xml:space="preserve"> </w:t>
      </w:r>
      <w:r>
        <w:t xml:space="preserve">products (‘when buying or using the product categories listed below, you might not be</w:t>
      </w:r>
      <w:r>
        <w:t xml:space="preserve"> </w:t>
      </w:r>
      <w:r>
        <w:t xml:space="preserve">informed that they could be hazardous to the environment. What is your opinion?’), most</w:t>
      </w:r>
      <w:r>
        <w:t xml:space="preserve"> </w:t>
      </w:r>
      <w:r>
        <w:t xml:space="preserve">citizens (61%), public authorities (67%) and civil societies (69%) who participated in the</w:t>
      </w:r>
      <w:r>
        <w:t xml:space="preserve"> </w:t>
      </w:r>
      <w:r>
        <w:t xml:space="preserve">open public consultation considered that this issue should be immediately solved.</w:t>
      </w:r>
      <w:r>
        <w:t xml:space="preserve"> </w:t>
      </w:r>
      <w:r>
        <w:t xml:space="preserve">To summarise several conclusions can be made:</w:t>
      </w:r>
      <w:r>
        <w:t xml:space="preserve"> </w:t>
      </w:r>
      <w:r>
        <w:t xml:space="preserve"> The screened studies provided sufficient evidence that some cosmetic products have a</w:t>
      </w:r>
      <w:r>
        <w:t xml:space="preserve"> </w:t>
      </w:r>
      <w:r>
        <w:t xml:space="preserve">negative effect on the environment due to hazardous properties of their ingredients.</w:t>
      </w:r>
      <w:r>
        <w:t xml:space="preserve"> </w:t>
      </w:r>
      <w:r>
        <w:t xml:space="preserve">The environmental effect of some of them has been addressed by REACH</w:t>
      </w:r>
      <w:r>
        <w:t xml:space="preserve"> </w:t>
      </w:r>
      <w:r>
        <w:t xml:space="preserve">restrictions. Scientific peer-reviewed sources show that there are environmental issues</w:t>
      </w:r>
      <w:r>
        <w:t xml:space="preserve"> </w:t>
      </w:r>
      <w:r>
        <w:t xml:space="preserve">caused by specific cosmetic products, such as, e.g., sunscreens containing UV filters</w:t>
      </w:r>
      <w:r>
        <w:t xml:space="preserve"> </w:t>
      </w:r>
      <w:r>
        <w:t xml:space="preserve">and personal care products, that favour their release into household sewage or directly</w:t>
      </w:r>
      <w:r>
        <w:t xml:space="preserve"> </w:t>
      </w:r>
      <w:r>
        <w:t xml:space="preserve">into water compartments. REACH restrictions have been issued or are on the way on</w:t>
      </w:r>
      <w:r>
        <w:t xml:space="preserve"> </w:t>
      </w:r>
      <w:r>
        <w:t xml:space="preserve">the grounds of their harm to the environment for siloxanes and plastic microbeads that</w:t>
      </w:r>
      <w:r>
        <w:t xml:space="preserve"> </w:t>
      </w:r>
      <w:r>
        <w:t xml:space="preserve">have been used in cosmetics.</w:t>
      </w:r>
      <w:r>
        <w:t xml:space="preserve"> </w:t>
      </w:r>
      <w:r>
        <w:t xml:space="preserve"> The adverse effects of cosmetic product to the environment result from their use,</w:t>
      </w:r>
      <w:r>
        <w:t xml:space="preserve"> </w:t>
      </w:r>
      <w:r>
        <w:t xml:space="preserve">while appropriate measures of storage, safe use or disposal do not play a substantial</w:t>
      </w:r>
      <w:r>
        <w:t xml:space="preserve"> </w:t>
      </w:r>
      <w:r>
        <w:t xml:space="preserve">role in reducing their harm to the environment. Leave-on and rinse-off cosmetic</w:t>
      </w:r>
      <w:r>
        <w:t xml:space="preserve"> </w:t>
      </w:r>
      <w:r>
        <w:t xml:space="preserve">products follow similar ways to the environmental compartments through wastewater</w:t>
      </w:r>
      <w:r>
        <w:t xml:space="preserve"> </w:t>
      </w:r>
      <w:r>
        <w:t xml:space="preserve">and/or solid waste streams for leave-on cosmetics or may directly enter the</w:t>
      </w:r>
    </w:p>
    <w:p>
      <w:pPr>
        <w:pStyle w:val="BodyText"/>
      </w:pPr>
      <w:r>
        <w:t xml:space="preserve">537</w:t>
      </w:r>
    </w:p>
    <w:p>
      <w:pPr>
        <w:pStyle w:val="BodyText"/>
      </w:pPr>
      <w:r>
        <w:t xml:space="preserve">environment because of their use (e.g., in case of sunscreens). Often the only way to</w:t>
      </w:r>
      <w:r>
        <w:t xml:space="preserve"> </w:t>
      </w:r>
      <w:r>
        <w:t xml:space="preserve">avoid harm to the environment is to refuse using the product.</w:t>
      </w:r>
      <w:r>
        <w:t xml:space="preserve"> </w:t>
      </w:r>
      <w:r>
        <w:t xml:space="preserve"> Information about properties of the cosmetic products or its environmental</w:t>
      </w:r>
      <w:r>
        <w:t xml:space="preserve"> </w:t>
      </w:r>
      <w:r>
        <w:t xml:space="preserve">performance does not play a dominant role in consumer purchasing behaviour.</w:t>
      </w:r>
      <w:r>
        <w:t xml:space="preserve"> </w:t>
      </w:r>
      <w:r>
        <w:t xml:space="preserve">Although some qualitative studies highlight consumer opinions about the importance</w:t>
      </w:r>
      <w:r>
        <w:t xml:space="preserve"> </w:t>
      </w:r>
      <w:r>
        <w:t xml:space="preserve">of awareness about environmental effects of the cosmetic products, the studies of</w:t>
      </w:r>
      <w:r>
        <w:t xml:space="preserve"> </w:t>
      </w:r>
      <w:r>
        <w:t xml:space="preserve">consumer behaviour show that purchasing decisions are shaped by multiple factors.</w:t>
      </w:r>
      <w:r>
        <w:t xml:space="preserve"> </w:t>
      </w:r>
      <w:r>
        <w:t xml:space="preserve">There is a lack of evidence on how these factors interact and whether the informed</w:t>
      </w:r>
      <w:r>
        <w:t xml:space="preserve"> </w:t>
      </w:r>
      <w:r>
        <w:t xml:space="preserve">choice based on the awareness about the environmental hazards would result in</w:t>
      </w:r>
      <w:r>
        <w:t xml:space="preserve"> </w:t>
      </w:r>
      <w:r>
        <w:t xml:space="preserve">purchasing environmentally sustainable cosmetic products. It should also be noted</w:t>
      </w:r>
      <w:r>
        <w:t xml:space="preserve"> </w:t>
      </w:r>
      <w:r>
        <w:t xml:space="preserve">that current sources on green purchases emphasize that environmental awareness does</w:t>
      </w:r>
      <w:r>
        <w:t xml:space="preserve"> </w:t>
      </w:r>
      <w:r>
        <w:t xml:space="preserve">not play yet a dominant role.</w:t>
      </w:r>
      <w:r>
        <w:br/>
      </w:r>
      <w:r>
        <w:t xml:space="preserve">The evidence search did not provide any additional data to change the conclusion made by</w:t>
      </w:r>
      <w:r>
        <w:t xml:space="preserve"> </w:t>
      </w:r>
      <w:r>
        <w:t xml:space="preserve">the Commission in the Staff working document on the evaluation of chemicals legislation:</w:t>
      </w:r>
      <w:r>
        <w:t xml:space="preserve"> </w:t>
      </w:r>
      <w:r>
        <w:t xml:space="preserve">“the focus of the Cosmetic Products Regulation solely on human health aspects was</w:t>
      </w:r>
      <w:r>
        <w:t xml:space="preserve"> </w:t>
      </w:r>
      <w:r>
        <w:t xml:space="preserve">identified as a legal gap by NGO stakeholders. While it may impact consumer ability to</w:t>
      </w:r>
      <w:r>
        <w:t xml:space="preserve"> </w:t>
      </w:r>
      <w:r>
        <w:t xml:space="preserve">differentiate between products in terms of their environmental performance (due to the lack</w:t>
      </w:r>
      <w:r>
        <w:t xml:space="preserve"> </w:t>
      </w:r>
      <w:r>
        <w:t xml:space="preserve">of labelling requirements on environmental hazards) and, therefore, to make better informed</w:t>
      </w:r>
      <w:r>
        <w:t xml:space="preserve"> </w:t>
      </w:r>
      <w:r>
        <w:t xml:space="preserve">purchases, in principle, any potential environmental risks arising from cosmetic ingredients</w:t>
      </w:r>
      <w:r>
        <w:t xml:space="preserve"> </w:t>
      </w:r>
      <w:r>
        <w:t xml:space="preserve">are addressed under REACH, for example, via authorisations or restrictions.” (European</w:t>
      </w:r>
      <w:r>
        <w:t xml:space="preserve"> </w:t>
      </w:r>
      <w:r>
        <w:t xml:space="preserve">Commission, 2019: p. 78-79).</w:t>
      </w:r>
    </w:p>
    <w:p>
      <w:pPr>
        <w:pStyle w:val="BodyText"/>
      </w:pPr>
      <w:r>
        <w:t xml:space="preserve">MEDICAL DEVICES</w:t>
      </w:r>
      <w:r>
        <w:t xml:space="preserve"> </w:t>
      </w:r>
      <w:r>
        <w:t xml:space="preserve">Legislative framework</w:t>
      </w:r>
      <w:r>
        <w:t xml:space="preserve"> </w:t>
      </w:r>
      <w:r>
        <w:t xml:space="preserve">The term ‘medical device’ covers a wide range of products that could be instruments,</w:t>
      </w:r>
      <w:r>
        <w:t xml:space="preserve"> </w:t>
      </w:r>
      <w:r>
        <w:t xml:space="preserve">equipment, appliances, software, chemicals, etc. That are intended to be used for human</w:t>
      </w:r>
      <w:r>
        <w:t xml:space="preserve"> </w:t>
      </w:r>
      <w:r>
        <w:t xml:space="preserve">beings in order to fulfil certain medical purposes, such as diagnosis, prevention, monitoring,</w:t>
      </w:r>
      <w:r>
        <w:t xml:space="preserve"> </w:t>
      </w:r>
      <w:r>
        <w:t xml:space="preserve">treatment of disease or injury, alleviation or compensation for a disability, investigation or</w:t>
      </w:r>
      <w:r>
        <w:t xml:space="preserve"> </w:t>
      </w:r>
      <w:r>
        <w:t xml:space="preserve">modification of different physiological or pathological conditions or processes, in vitro</w:t>
      </w:r>
      <w:r>
        <w:t xml:space="preserve"> </w:t>
      </w:r>
      <w:r>
        <w:t xml:space="preserve">examinations of specimens derived from the human body (see Medical Devices Regulation</w:t>
      </w:r>
      <w:r>
        <w:t xml:space="preserve"> </w:t>
      </w:r>
      <w:r>
        <w:t xml:space="preserve">2017/745).</w:t>
      </w:r>
      <w:r>
        <w:t xml:space="preserve"> </w:t>
      </w:r>
      <w:r>
        <w:t xml:space="preserve">Different types of medical devices could be distinguished. Some medical devices are</w:t>
      </w:r>
      <w:r>
        <w:t xml:space="preserve"> </w:t>
      </w:r>
      <w:r>
        <w:t xml:space="preserve">composed of substances or combination of substances (i.e., mixtures). For classification</w:t>
      </w:r>
      <w:r>
        <w:t xml:space="preserve"> </w:t>
      </w:r>
      <w:r>
        <w:t xml:space="preserve">purposes, the Medical Devices’ Regulation (MDR) introduced the notion of “medical devices</w:t>
      </w:r>
      <w:r>
        <w:t xml:space="preserve"> </w:t>
      </w:r>
      <w:r>
        <w:t xml:space="preserve">composed of substances or combination of substances” (see MDR, Annex VIII, Chapter III.</w:t>
      </w:r>
      <w:r>
        <w:t xml:space="preserve"> </w:t>
      </w:r>
      <w:r>
        <w:t xml:space="preserve">Classification rules, Section 7. Special rules, rule 21). Based on it, medical devices as</w:t>
      </w:r>
      <w:r>
        <w:t xml:space="preserve"> </w:t>
      </w:r>
      <w:r>
        <w:t xml:space="preserve">substances and mixtures could be distinguished from medical devices that are articles.</w:t>
      </w:r>
      <w:r>
        <w:t xml:space="preserve"> </w:t>
      </w:r>
      <w:r>
        <w:t xml:space="preserve">Examples of medical devices composed of substances or mixtures include saline nasal drops</w:t>
      </w:r>
      <w:r>
        <w:t xml:space="preserve"> </w:t>
      </w:r>
      <w:r>
        <w:t xml:space="preserve">or sprays, dental fillings, disinfectants (e.g., iodine solution), syrups or throat sprays,</w:t>
      </w:r>
      <w:r>
        <w:t xml:space="preserve"> </w:t>
      </w:r>
      <w:r>
        <w:t xml:space="preserve">lubricants, artificial tear drops, bone cement, etc. Such medical devices are distinguished</w:t>
      </w:r>
      <w:r>
        <w:t xml:space="preserve"> </w:t>
      </w:r>
      <w:r>
        <w:t xml:space="preserve">from medicinal products based on their mode of action. Medical devices achieve the</w:t>
      </w:r>
      <w:r>
        <w:t xml:space="preserve"> </w:t>
      </w:r>
      <w:r>
        <w:t xml:space="preserve">intended result by physicochemical means (e.g., mechanical action, physical barrier, etc.),</w:t>
      </w:r>
      <w:r>
        <w:t xml:space="preserve"> </w:t>
      </w:r>
      <w:r>
        <w:t xml:space="preserve">while medicinal product reach the intended effect by pharmacological, immunological or</w:t>
      </w:r>
      <w:r>
        <w:t xml:space="preserve"> </w:t>
      </w:r>
      <w:r>
        <w:t xml:space="preserve">metabolic means (EC, 2015d; Racchi &amp; Govoni, 2020). Furthermore, medical devices</w:t>
      </w:r>
      <w:r>
        <w:t xml:space="preserve"> </w:t>
      </w:r>
      <w:r>
        <w:t xml:space="preserve">composed of substances and mixtures should be distinguished from medical devices that are</w:t>
      </w:r>
      <w:r>
        <w:t xml:space="preserve"> </w:t>
      </w:r>
      <w:r>
        <w:t xml:space="preserve">articles, i.e. where the function of such device is determined by their shape, surface or design</w:t>
      </w:r>
    </w:p>
    <w:p>
      <w:pPr>
        <w:pStyle w:val="BodyText"/>
      </w:pPr>
      <w:r>
        <w:t xml:space="preserve">538</w:t>
      </w:r>
    </w:p>
    <w:p>
      <w:pPr>
        <w:pStyle w:val="BodyText"/>
      </w:pPr>
      <w:r>
        <w:t xml:space="preserve">rather than chemical composition. Examples of medical devices that are articles include</w:t>
      </w:r>
      <w:r>
        <w:t xml:space="preserve"> </w:t>
      </w:r>
      <w:r>
        <w:t xml:space="preserve">contact lenses, catheters, blood glucose meters and many others (Mereu &amp; Lantres, 2022).</w:t>
      </w:r>
      <w:r>
        <w:br/>
      </w:r>
      <w:r>
        <w:t xml:space="preserve">According to Article 1(5) of the CLP Regulation, only medical devices that are substances</w:t>
      </w:r>
      <w:r>
        <w:t xml:space="preserve"> </w:t>
      </w:r>
      <w:r>
        <w:t xml:space="preserve">and mixtures which are invasive or used in direct physical contact with the human body and</w:t>
      </w:r>
      <w:r>
        <w:t xml:space="preserve"> </w:t>
      </w:r>
      <w:r>
        <w:t xml:space="preserve">are in the finished form and intended for the final user are exempted from the CLP</w:t>
      </w:r>
      <w:r>
        <w:t xml:space="preserve"> </w:t>
      </w:r>
      <w:r>
        <w:t xml:space="preserve">Regulation.</w:t>
      </w:r>
      <w:r>
        <w:t xml:space="preserve"> </w:t>
      </w:r>
      <w:r>
        <w:t xml:space="preserve">The search for legislation identified two legal acts regulating medical devices in the EU:</w:t>
      </w:r>
      <w:r>
        <w:t xml:space="preserve"> </w:t>
      </w:r>
      <w:r>
        <w:t xml:space="preserve">The Medical Devices Regulation 2017/745 sets rules concerning the placing on the market,</w:t>
      </w:r>
      <w:r>
        <w:t xml:space="preserve"> </w:t>
      </w:r>
      <w:r>
        <w:t xml:space="preserve">making available on the market or putting into service medical devices for human use and</w:t>
      </w:r>
      <w:r>
        <w:t xml:space="preserve"> </w:t>
      </w:r>
      <w:r>
        <w:t xml:space="preserve">accessories for such devices in the Union. It also applies to clinical investigations concerning</w:t>
      </w:r>
      <w:r>
        <w:t xml:space="preserve"> </w:t>
      </w:r>
      <w:r>
        <w:t xml:space="preserve">such medical devices and accessories conducted in the Union. The Regulation came into</w:t>
      </w:r>
      <w:r>
        <w:t xml:space="preserve"> </w:t>
      </w:r>
      <w:r>
        <w:t xml:space="preserve">force on 26 May 2021, following a four-year transition period.</w:t>
      </w:r>
      <w:r>
        <w:br/>
      </w:r>
      <w:r>
        <w:t xml:space="preserve">In Vitro Medical Devices Regulation 2017/746 lays down rules concerning the placing on the</w:t>
      </w:r>
      <w:r>
        <w:t xml:space="preserve"> </w:t>
      </w:r>
      <w:r>
        <w:t xml:space="preserve">market, making available on the market or putting into service of in vitro diagnostic medical</w:t>
      </w:r>
      <w:r>
        <w:t xml:space="preserve"> </w:t>
      </w:r>
      <w:r>
        <w:t xml:space="preserve">devices for human use and accessories for such devices in the Union. This Regulation also</w:t>
      </w:r>
      <w:r>
        <w:t xml:space="preserve"> </w:t>
      </w:r>
      <w:r>
        <w:t xml:space="preserve">applies to performance studies concerning such in vitro diagnostic medical devices and</w:t>
      </w:r>
      <w:r>
        <w:t xml:space="preserve"> </w:t>
      </w:r>
      <w:r>
        <w:t xml:space="preserve">accessories conducted in the Union. The Regulation 2017/746 will apply from 26 May 2022,</w:t>
      </w:r>
      <w:r>
        <w:t xml:space="preserve"> </w:t>
      </w:r>
      <w:r>
        <w:t xml:space="preserve">following a five-year transition period. Currently, manufacturers can opt to place in-vitro</w:t>
      </w:r>
      <w:r>
        <w:t xml:space="preserve"> </w:t>
      </w:r>
      <w:r>
        <w:t xml:space="preserve">diagnostic devices on the market under Directive 98/79/EC or under the new Regulation if</w:t>
      </w:r>
      <w:r>
        <w:t xml:space="preserve"> </w:t>
      </w:r>
      <w:r>
        <w:t xml:space="preserve">they fully comply with it (EMA, 2021b). In this mapping exercise, we will not consider the</w:t>
      </w:r>
      <w:r>
        <w:t xml:space="preserve"> </w:t>
      </w:r>
      <w:r>
        <w:t xml:space="preserve">Directive 98/79/EC.</w:t>
      </w:r>
      <w:r>
        <w:br/>
      </w:r>
      <w:r>
        <w:t xml:space="preserve">Under Regulations 2017/745 and 2017/746, medical devices must undergo a conformity</w:t>
      </w:r>
      <w:r>
        <w:t xml:space="preserve"> </w:t>
      </w:r>
      <w:r>
        <w:t xml:space="preserve">assessment to demonstrate their safety and ability to perform as intended. Environmental</w:t>
      </w:r>
      <w:r>
        <w:t xml:space="preserve"> </w:t>
      </w:r>
      <w:r>
        <w:t xml:space="preserve">hazards are not explicitly considered by both legislations.</w:t>
      </w:r>
      <w:r>
        <w:t xml:space="preserve"> </w:t>
      </w:r>
      <w:r>
        <w:t xml:space="preserve">Identification and classification of environmental hazards</w:t>
      </w:r>
      <w:r>
        <w:t xml:space="preserve"> </w:t>
      </w:r>
      <w:r>
        <w:t xml:space="preserve">Under Regulations 2017/745 and 2017/746, medical devices must undergo a conformity</w:t>
      </w:r>
      <w:r>
        <w:t xml:space="preserve"> </w:t>
      </w:r>
      <w:r>
        <w:t xml:space="preserve">assessment to demonstrate their safety and ability to perform as intended. Some of the safety</w:t>
      </w:r>
      <w:r>
        <w:t xml:space="preserve"> </w:t>
      </w:r>
      <w:r>
        <w:t xml:space="preserve">requirements consider the safe disposal of these devices. The Regulation 2017/745 also</w:t>
      </w:r>
      <w:r>
        <w:t xml:space="preserve"> </w:t>
      </w:r>
      <w:r>
        <w:t xml:space="preserve">contains a provision on emissions from medical devices.</w:t>
      </w:r>
      <w:r>
        <w:t xml:space="preserve"> </w:t>
      </w:r>
      <w:r>
        <w:t xml:space="preserve">According to Article 51 of (MDR), all medical devices are classified considering their</w:t>
      </w:r>
      <w:r>
        <w:t xml:space="preserve"> </w:t>
      </w:r>
      <w:r>
        <w:t xml:space="preserve">intended purpose and inherent risks. The devices could be divided into classes I, IIa, IIb and</w:t>
      </w:r>
      <w:r>
        <w:t xml:space="preserve"> </w:t>
      </w:r>
      <w:r>
        <w:t xml:space="preserve">III in accordance with Annex VIII of the MDR. In addition, and according to Article 52(7)(a),</w:t>
      </w:r>
      <w:r>
        <w:t xml:space="preserve"> </w:t>
      </w:r>
      <w:r>
        <w:t xml:space="preserve">(b) and (c), Class I devices can be further subdivided into Is – sterile condition, Im –</w:t>
      </w:r>
      <w:r>
        <w:t xml:space="preserve"> </w:t>
      </w:r>
      <w:r>
        <w:t xml:space="preserve">measuring function and Ir – reusable surgical. Although all devices must comply with all</w:t>
      </w:r>
      <w:r>
        <w:t xml:space="preserve"> </w:t>
      </w:r>
      <w:r>
        <w:t xml:space="preserve">relevant obligations of the MDR; some requirements depend on the device classification</w:t>
      </w:r>
      <w:r>
        <w:t xml:space="preserve"> </w:t>
      </w:r>
      <w:r>
        <w:t xml:space="preserve">(MDCG, 2021).</w:t>
      </w:r>
      <w:r>
        <w:t xml:space="preserve"> </w:t>
      </w:r>
      <w:r>
        <w:t xml:space="preserve">Similarly, in accordance with Article 47 of In Vitro Medical Devices Regulation (IVDR),</w:t>
      </w:r>
      <w:r>
        <w:t xml:space="preserve"> </w:t>
      </w:r>
      <w:r>
        <w:t xml:space="preserve">devices are divided into classes A, B, C and D, based on the intended purpose of the devices</w:t>
      </w:r>
      <w:r>
        <w:t xml:space="preserve"> </w:t>
      </w:r>
      <w:r>
        <w:t xml:space="preserve">and their inherent risks. Specific procedures of conformity assessment depend on the</w:t>
      </w:r>
      <w:r>
        <w:t xml:space="preserve"> </w:t>
      </w:r>
      <w:r>
        <w:t xml:space="preserve">classification of a device (MDCG, 2020).</w:t>
      </w:r>
      <w:r>
        <w:t xml:space="preserve"> </w:t>
      </w:r>
      <w:r>
        <w:t xml:space="preserve">Safety assessment is an important part of the conformity assessment of the device in both</w:t>
      </w:r>
      <w:r>
        <w:t xml:space="preserve"> </w:t>
      </w:r>
      <w:r>
        <w:t xml:space="preserve">Regulations. As outlined in Annex I of Regulation 2017/745 on Medical Devices and in</w:t>
      </w:r>
    </w:p>
    <w:p>
      <w:pPr>
        <w:pStyle w:val="BodyText"/>
      </w:pPr>
      <w:r>
        <w:t xml:space="preserve">539</w:t>
      </w:r>
    </w:p>
    <w:p>
      <w:pPr>
        <w:pStyle w:val="BodyText"/>
      </w:pPr>
      <w:r>
        <w:t xml:space="preserve">Annex I of Regulation 2017/746 on In Vitro Medical Devices, safety relates to the safety of</w:t>
      </w:r>
      <w:r>
        <w:t xml:space="preserve"> </w:t>
      </w:r>
      <w:r>
        <w:t xml:space="preserve">patients, safety and health of users and where applicable other persons. It means that both</w:t>
      </w:r>
      <w:r>
        <w:t xml:space="preserve"> </w:t>
      </w:r>
      <w:r>
        <w:t xml:space="preserve">regulations are not explicitly focused on environmental concerns.</w:t>
      </w:r>
      <w:r>
        <w:t xml:space="preserve"> </w:t>
      </w:r>
      <w:r>
        <w:t xml:space="preserve">Table 167: Provisions regarding identification and classification of environmental hazards in medical</w:t>
      </w:r>
      <w:r>
        <w:t xml:space="preserve"> </w:t>
      </w:r>
      <w:r>
        <w:t xml:space="preserve">devices</w:t>
      </w:r>
      <w:r>
        <w:t xml:space="preserve"> </w:t>
      </w:r>
      <w:r>
        <w:t xml:space="preserve">Legislation</w:t>
      </w:r>
      <w:r>
        <w:t xml:space="preserve"> </w:t>
      </w:r>
      <w:r>
        <w:t xml:space="preserve">Provisions</w:t>
      </w:r>
      <w:r>
        <w:t xml:space="preserve"> </w:t>
      </w:r>
      <w:r>
        <w:t xml:space="preserve">Regulation on</w:t>
      </w:r>
      <w:r>
        <w:t xml:space="preserve"> </w:t>
      </w:r>
      <w:r>
        <w:t xml:space="preserve">Medical</w:t>
      </w:r>
      <w:r>
        <w:t xml:space="preserve"> </w:t>
      </w:r>
      <w:r>
        <w:t xml:space="preserve">Devices</w:t>
      </w:r>
      <w:r>
        <w:t xml:space="preserve"> </w:t>
      </w:r>
      <w:r>
        <w:t xml:space="preserve">2017/745</w:t>
      </w:r>
      <w:r>
        <w:t xml:space="preserve"> </w:t>
      </w:r>
      <w:r>
        <w:t xml:space="preserve">Article 5 specifies the conditions that a medical device must satisfy to be placed on the</w:t>
      </w:r>
      <w:r>
        <w:t xml:space="preserve"> </w:t>
      </w:r>
      <w:r>
        <w:t xml:space="preserve">market. Following Article 5(2), a device shall meet the general safety and performance</w:t>
      </w:r>
      <w:r>
        <w:t xml:space="preserve"> </w:t>
      </w:r>
      <w:r>
        <w:t xml:space="preserve">requirements set out in Annex I which apply to it, taking into account its intended purpose.</w:t>
      </w:r>
    </w:p>
    <w:p>
      <w:pPr>
        <w:pStyle w:val="BodyText"/>
      </w:pPr>
      <w:r>
        <w:t xml:space="preserve">In Annex 1 General Safety and Performance Requirements, Chapter I General</w:t>
      </w:r>
      <w:r>
        <w:t xml:space="preserve"> </w:t>
      </w:r>
      <w:r>
        <w:t xml:space="preserve">Requirements, environmental hazards/risks are not explicitly mentioned:</w:t>
      </w:r>
      <w:r>
        <w:t xml:space="preserve"> </w:t>
      </w:r>
      <w:r>
        <w:t xml:space="preserve">Paragraph 1: Devices shall achieve the performance intended by their manufacturer and</w:t>
      </w:r>
      <w:r>
        <w:t xml:space="preserve"> </w:t>
      </w:r>
      <w:r>
        <w:t xml:space="preserve">shall be designed and manufactured in such a way that, during normal conditions of use,</w:t>
      </w:r>
      <w:r>
        <w:t xml:space="preserve"> </w:t>
      </w:r>
      <w:r>
        <w:t xml:space="preserve">they are suitable for their intended purpose. They shall be safe and effective and shall not</w:t>
      </w:r>
      <w:r>
        <w:t xml:space="preserve"> </w:t>
      </w:r>
      <w:r>
        <w:t xml:space="preserve">compromise the clinical condition or the safety of patients, or the safety and health of users</w:t>
      </w:r>
      <w:r>
        <w:t xml:space="preserve"> </w:t>
      </w:r>
      <w:r>
        <w:t xml:space="preserve">or, where applicable, other persons, provided that any risks which may be associated with</w:t>
      </w:r>
      <w:r>
        <w:t xml:space="preserve"> </w:t>
      </w:r>
      <w:r>
        <w:t xml:space="preserve">their use constitute acceptable risks when weighed against the benefits to the patient and are</w:t>
      </w:r>
      <w:r>
        <w:t xml:space="preserve"> </w:t>
      </w:r>
      <w:r>
        <w:t xml:space="preserve">compatible with a high level of protection of health and safety, taking into account the</w:t>
      </w:r>
      <w:r>
        <w:t xml:space="preserve"> </w:t>
      </w:r>
      <w:r>
        <w:t xml:space="preserve">generally acknowledged state of the art.</w:t>
      </w:r>
    </w:p>
    <w:p>
      <w:pPr>
        <w:pStyle w:val="BodyText"/>
      </w:pPr>
      <w:r>
        <w:t xml:space="preserve">However, some safety requirements specified in Annex 1 are relevant to the protection of</w:t>
      </w:r>
      <w:r>
        <w:t xml:space="preserve"> </w:t>
      </w:r>
      <w:r>
        <w:t xml:space="preserve">the environment. For instance, Annex 1, Chapter II Requirements to design and</w:t>
      </w:r>
      <w:r>
        <w:t xml:space="preserve"> </w:t>
      </w:r>
      <w:r>
        <w:t xml:space="preserve">manufacture:</w:t>
      </w:r>
      <w:r>
        <w:t xml:space="preserve"> </w:t>
      </w:r>
      <w:r>
        <w:t xml:space="preserve">Paragraph 10.4.1. indicates that devices shall be designed and manufactured in such a way</w:t>
      </w:r>
      <w:r>
        <w:t xml:space="preserve"> </w:t>
      </w:r>
      <w:r>
        <w:t xml:space="preserve">as to reduce as far as possible the risks posed by substances or particles, including wear</w:t>
      </w:r>
      <w:r>
        <w:t xml:space="preserve"> </w:t>
      </w:r>
      <w:r>
        <w:t xml:space="preserve">debris, degradation products and processing residues, that may be released from the</w:t>
      </w:r>
      <w:r>
        <w:t xml:space="preserve"> </w:t>
      </w:r>
      <w:r>
        <w:t xml:space="preserve">device.</w:t>
      </w:r>
      <w:r>
        <w:t xml:space="preserve"> </w:t>
      </w:r>
      <w:r>
        <w:t xml:space="preserve">Paragraph 14.7 specifies that devices shall be designed and manufactured in such a way as</w:t>
      </w:r>
      <w:r>
        <w:t xml:space="preserve"> </w:t>
      </w:r>
      <w:r>
        <w:t xml:space="preserve">to facilitate their safe disposal and the safe disposal of related waste substances by the</w:t>
      </w:r>
      <w:r>
        <w:t xml:space="preserve"> </w:t>
      </w:r>
      <w:r>
        <w:t xml:space="preserve">user, patient or other person. To that end, manufacturers shall identify and test procedures</w:t>
      </w:r>
      <w:r>
        <w:t xml:space="preserve"> </w:t>
      </w:r>
      <w:r>
        <w:t xml:space="preserve">and measures as a result of which their devices can be safely disposed of after use.</w:t>
      </w:r>
      <w:r>
        <w:br/>
      </w:r>
      <w:r>
        <w:t xml:space="preserve">Regulation on</w:t>
      </w:r>
      <w:r>
        <w:t xml:space="preserve"> </w:t>
      </w:r>
      <w:r>
        <w:t xml:space="preserve">In</w:t>
      </w:r>
      <w:r>
        <w:t xml:space="preserve"> </w:t>
      </w:r>
      <w:r>
        <w:t xml:space="preserve">vitro</w:t>
      </w:r>
      <w:r>
        <w:t xml:space="preserve"> </w:t>
      </w:r>
      <w:r>
        <w:t xml:space="preserve">Medical</w:t>
      </w:r>
      <w:r>
        <w:t xml:space="preserve"> </w:t>
      </w:r>
      <w:r>
        <w:t xml:space="preserve">Devices</w:t>
      </w:r>
      <w:r>
        <w:t xml:space="preserve"> </w:t>
      </w:r>
      <w:r>
        <w:t xml:space="preserve">2017/746</w:t>
      </w:r>
      <w:r>
        <w:t xml:space="preserve"> </w:t>
      </w:r>
      <w:r>
        <w:t xml:space="preserve">Article 5 specifies the conditions that an in vitro medical device must satisfy to be placed on</w:t>
      </w:r>
      <w:r>
        <w:t xml:space="preserve"> </w:t>
      </w:r>
      <w:r>
        <w:t xml:space="preserve">the market. Following Article 5(2), a device shall meet the general safety and performance</w:t>
      </w:r>
      <w:r>
        <w:t xml:space="preserve"> </w:t>
      </w:r>
      <w:r>
        <w:t xml:space="preserve">requirements set out in Annex I which apply to it, taking into account its intended purpose.</w:t>
      </w:r>
      <w:r>
        <w:t xml:space="preserve"> </w:t>
      </w:r>
      <w:r>
        <w:t xml:space="preserve">In Annex 1 General Safety and Performance Requirements, Chapter I General</w:t>
      </w:r>
      <w:r>
        <w:t xml:space="preserve"> </w:t>
      </w:r>
      <w:r>
        <w:t xml:space="preserve">Requirements, environmental hazards/risks are not explicitly mentioned:</w:t>
      </w:r>
      <w:r>
        <w:t xml:space="preserve"> </w:t>
      </w:r>
      <w:r>
        <w:t xml:space="preserve">Devices shall achieve the performance intended by their manufacturer and shall be designed</w:t>
      </w:r>
      <w:r>
        <w:t xml:space="preserve"> </w:t>
      </w:r>
      <w:r>
        <w:t xml:space="preserve">and manufactured in such a way that, during normal conditions of use, they are suitable for</w:t>
      </w:r>
      <w:r>
        <w:t xml:space="preserve"> </w:t>
      </w:r>
      <w:r>
        <w:t xml:space="preserve">their intended purpose. They shall be safe and effective and shall not compromise the</w:t>
      </w:r>
      <w:r>
        <w:t xml:space="preserve"> </w:t>
      </w:r>
      <w:r>
        <w:t xml:space="preserve">clinical condition or the safety of patients, or the safety and health of users or, where</w:t>
      </w:r>
      <w:r>
        <w:t xml:space="preserve"> </w:t>
      </w:r>
      <w:r>
        <w:t xml:space="preserve">applicable, other persons, provided that any risks which may be associated with their use</w:t>
      </w:r>
      <w:r>
        <w:t xml:space="preserve"> </w:t>
      </w:r>
      <w:r>
        <w:t xml:space="preserve">constitute acceptable risks when weighed against the benefits to the patient and are</w:t>
      </w:r>
      <w:r>
        <w:t xml:space="preserve"> </w:t>
      </w:r>
      <w:r>
        <w:t xml:space="preserve">compatible with a high level of protection of health and safety, taking into account the</w:t>
      </w:r>
      <w:r>
        <w:t xml:space="preserve"> </w:t>
      </w:r>
      <w:r>
        <w:t xml:space="preserve">generally acknowledged state of the art.</w:t>
      </w:r>
      <w:r>
        <w:t xml:space="preserve"> </w:t>
      </w:r>
      <w:r>
        <w:t xml:space="preserve">However, some safety requirements specified in Annex 1 are relevant to the protection of</w:t>
      </w:r>
      <w:r>
        <w:t xml:space="preserve"> </w:t>
      </w:r>
      <w:r>
        <w:t xml:space="preserve">the environment. For instance, Annex 1, Chapter II Requirements regarding performance,</w:t>
      </w:r>
      <w:r>
        <w:t xml:space="preserve"> </w:t>
      </w:r>
      <w:r>
        <w:t xml:space="preserve">design and manufacture, Paragraph 13.6 specifies that devices shall be designed and</w:t>
      </w:r>
      <w:r>
        <w:t xml:space="preserve"> </w:t>
      </w:r>
      <w:r>
        <w:t xml:space="preserve">manufactured in such a way as to facilitate their safe disposal and the safe disposal of</w:t>
      </w:r>
      <w:r>
        <w:t xml:space="preserve"> </w:t>
      </w:r>
      <w:r>
        <w:t xml:space="preserve">related waste substances by users, or other person. To that end, manufacturers shall</w:t>
      </w:r>
      <w:r>
        <w:t xml:space="preserve"> </w:t>
      </w:r>
      <w:r>
        <w:t xml:space="preserve">identify and test procedures and measures as a result of which their devices can be safely</w:t>
      </w:r>
    </w:p>
    <w:p>
      <w:pPr>
        <w:pStyle w:val="BodyText"/>
      </w:pPr>
      <w:r>
        <w:t xml:space="preserve">540</w:t>
      </w:r>
    </w:p>
    <w:p>
      <w:pPr>
        <w:pStyle w:val="BodyText"/>
      </w:pPr>
      <w:r>
        <w:t xml:space="preserve">Table 167: Provisions regarding identification and classification of environmental hazards in medical</w:t>
      </w:r>
      <w:r>
        <w:t xml:space="preserve"> </w:t>
      </w:r>
      <w:r>
        <w:t xml:space="preserve">devices</w:t>
      </w:r>
      <w:r>
        <w:t xml:space="preserve"> </w:t>
      </w:r>
      <w:r>
        <w:t xml:space="preserve">Legislation</w:t>
      </w:r>
      <w:r>
        <w:t xml:space="preserve"> </w:t>
      </w:r>
      <w:r>
        <w:t xml:space="preserve">Provisions</w:t>
      </w:r>
      <w:r>
        <w:t xml:space="preserve"> </w:t>
      </w:r>
      <w:r>
        <w:t xml:space="preserve">disposed of after use.</w:t>
      </w:r>
    </w:p>
    <w:p>
      <w:pPr>
        <w:pStyle w:val="BodyText"/>
      </w:pPr>
      <w:r>
        <w:t xml:space="preserve">However, under safety requirements in both regulations, manufacturers should ensure that</w:t>
      </w:r>
      <w:r>
        <w:t xml:space="preserve"> </w:t>
      </w:r>
      <w:r>
        <w:t xml:space="preserve">medical devices are manufactured in such a way that facilitates their safe disposal as well as</w:t>
      </w:r>
      <w:r>
        <w:t xml:space="preserve"> </w:t>
      </w:r>
      <w:r>
        <w:t xml:space="preserve">safe disposal of related substances by users or other persons. Furthermore, MDR Regulation</w:t>
      </w:r>
      <w:r>
        <w:t xml:space="preserve"> </w:t>
      </w:r>
      <w:r>
        <w:t xml:space="preserve">2017/745 indicates that devices shall be designed and manufactured in such a way as to</w:t>
      </w:r>
      <w:r>
        <w:t xml:space="preserve"> </w:t>
      </w:r>
      <w:r>
        <w:t xml:space="preserve">reduce as far as possible the risks posed by substances or particles, including wear debris,</w:t>
      </w:r>
      <w:r>
        <w:t xml:space="preserve"> </w:t>
      </w:r>
      <w:r>
        <w:t xml:space="preserve">degradation products and processing residues, that may be released from the device.</w:t>
      </w:r>
      <w:r>
        <w:t xml:space="preserve"> </w:t>
      </w:r>
      <w:r>
        <w:t xml:space="preserve">However, all safety requirements are targeted at the protection of the patients, users and other</w:t>
      </w:r>
      <w:r>
        <w:t xml:space="preserve"> </w:t>
      </w:r>
      <w:r>
        <w:t xml:space="preserve">persons involved in the use and disposal of the devices.</w:t>
      </w:r>
      <w:r>
        <w:t xml:space="preserve"> </w:t>
      </w:r>
      <w:r>
        <w:t xml:space="preserve">Compliance with the general safety requirements is supported with CEN-EN ISO 14971:2019</w:t>
      </w:r>
      <w:r>
        <w:t xml:space="preserve"> </w:t>
      </w:r>
      <w:r>
        <w:t xml:space="preserve">Medical devices — Application of risk management to medical devices. This standard aims to</w:t>
      </w:r>
      <w:r>
        <w:t xml:space="preserve"> </w:t>
      </w:r>
      <w:r>
        <w:t xml:space="preserve">assist manufacturers of medical devices to identify hazards related to a medical device, carry</w:t>
      </w:r>
      <w:r>
        <w:t xml:space="preserve"> </w:t>
      </w:r>
      <w:r>
        <w:t xml:space="preserve">out assessment, mitigate, and control the associated risks. ISO 14971:2019 applies to all</w:t>
      </w:r>
      <w:r>
        <w:t xml:space="preserve"> </w:t>
      </w:r>
      <w:r>
        <w:t xml:space="preserve">phases of life cycle of a medical device and covers both in vitro diagnostic medical devices</w:t>
      </w:r>
      <w:r>
        <w:t xml:space="preserve"> </w:t>
      </w:r>
      <w:r>
        <w:t xml:space="preserve">and medical devices. Risk management activities include identification of hazards and</w:t>
      </w:r>
      <w:r>
        <w:t xml:space="preserve"> </w:t>
      </w:r>
      <w:r>
        <w:t xml:space="preserve">hazardous situations associated with a medical device, risk assessment, risk control,</w:t>
      </w:r>
      <w:r>
        <w:t xml:space="preserve"> </w:t>
      </w:r>
      <w:r>
        <w:t xml:space="preserve">monitoring the effectiveness of the risk control measures. During the risk identification and</w:t>
      </w:r>
      <w:r>
        <w:t xml:space="preserve"> </w:t>
      </w:r>
      <w:r>
        <w:t xml:space="preserve">evaluation stages, hazards and hazardous situations are determined, and it is analysed to what</w:t>
      </w:r>
      <w:r>
        <w:t xml:space="preserve"> </w:t>
      </w:r>
      <w:r>
        <w:t xml:space="preserve">types of harm they may lead. In turn, ‘harm’ is defined as “injury or damage to the health of</w:t>
      </w:r>
      <w:r>
        <w:t xml:space="preserve"> </w:t>
      </w:r>
      <w:r>
        <w:t xml:space="preserve">people, or damage to property or the environment”. So, the environmental safety aspects are</w:t>
      </w:r>
      <w:r>
        <w:t xml:space="preserve"> </w:t>
      </w:r>
      <w:r>
        <w:t xml:space="preserve">considered; however, in Annex C that informs about hazards, hazardous situations and harm,</w:t>
      </w:r>
      <w:r>
        <w:t xml:space="preserve"> </w:t>
      </w:r>
      <w:r>
        <w:t xml:space="preserve">the focus on health aspects of harm prevails. The standard refers to the environment in a</w:t>
      </w:r>
      <w:r>
        <w:t xml:space="preserve"> </w:t>
      </w:r>
      <w:r>
        <w:t xml:space="preserve">sense of immediate surroundings or space where a medical device has been exploited – e.g.,</w:t>
      </w:r>
      <w:r>
        <w:t xml:space="preserve"> </w:t>
      </w:r>
      <w:r>
        <w:t xml:space="preserve">‘use environment’, ‘inappropriate environmental conditions’ (CEN, 2019).</w:t>
      </w:r>
      <w:r>
        <w:t xml:space="preserve"> </w:t>
      </w:r>
      <w:r>
        <w:t xml:space="preserve">Currently, in accordance with the Commission’s standardisation request M575, the standard</w:t>
      </w:r>
      <w:r>
        <w:t xml:space="preserve"> </w:t>
      </w:r>
      <w:r>
        <w:t xml:space="preserve">has been aligned with the medical device legislation; therefore, now CEN-EN ISO</w:t>
      </w:r>
      <w:r>
        <w:t xml:space="preserve"> </w:t>
      </w:r>
      <w:r>
        <w:t xml:space="preserve">14971:2019 does not apply to medical devices (EC, 2021h).</w:t>
      </w:r>
      <w:r>
        <w:t xml:space="preserve"> </w:t>
      </w:r>
      <w:r>
        <w:t xml:space="preserve">Labelling and communication of the environmental hazards of the products to</w:t>
      </w:r>
      <w:r>
        <w:t xml:space="preserve"> </w:t>
      </w:r>
      <w:r>
        <w:t xml:space="preserve">downstream users</w:t>
      </w:r>
      <w:r>
        <w:t xml:space="preserve"> </w:t>
      </w:r>
      <w:r>
        <w:t xml:space="preserve">Both regulations use the same definition for “label”, meaning the written, printed or graphic</w:t>
      </w:r>
      <w:r>
        <w:t xml:space="preserve"> </w:t>
      </w:r>
      <w:r>
        <w:t xml:space="preserve">information appearing either on the device itself or on the packaging of each unit or the</w:t>
      </w:r>
      <w:r>
        <w:br/>
      </w:r>
      <w:r>
        <w:t xml:space="preserve">packaging of multiple devices (Regulation 2017/745, Article 2(13); Regulation 2017/746,</w:t>
      </w:r>
      <w:r>
        <w:t xml:space="preserve"> </w:t>
      </w:r>
      <w:r>
        <w:t xml:space="preserve">Article 2(13)).</w:t>
      </w:r>
      <w:r>
        <w:t xml:space="preserve"> </w:t>
      </w:r>
      <w:r>
        <w:t xml:space="preserve">Information communicated to users on the label mainly considers safe use, storage and</w:t>
      </w:r>
      <w:r>
        <w:t xml:space="preserve"> </w:t>
      </w:r>
      <w:r>
        <w:t xml:space="preserve">handling of the devices. Information of their safe disposal and related precautions are</w:t>
      </w:r>
      <w:r>
        <w:t xml:space="preserve"> </w:t>
      </w:r>
      <w:r>
        <w:t xml:space="preserve">provided in the instructions for use. According to the MDR, devices of class I and IIa may be</w:t>
      </w:r>
      <w:r>
        <w:t xml:space="preserve"> </w:t>
      </w:r>
      <w:r>
        <w:t xml:space="preserve">supplied without instructions for use if such devices can safely be used without the</w:t>
      </w:r>
      <w:r>
        <w:t xml:space="preserve"> </w:t>
      </w:r>
      <w:r>
        <w:t xml:space="preserve">instructions and no other provisions of Annex I Section 23 state otherwise (MDCG, 2021).</w:t>
      </w:r>
    </w:p>
    <w:p>
      <w:pPr>
        <w:pStyle w:val="BodyText"/>
      </w:pPr>
      <w:r>
        <w:t xml:space="preserve">541</w:t>
      </w:r>
    </w:p>
    <w:p>
      <w:pPr>
        <w:pStyle w:val="BodyText"/>
      </w:pPr>
      <w:r>
        <w:t xml:space="preserve">Table 168: Provisions on the communication of product hazards to the environment to users*</w:t>
      </w:r>
      <w:r>
        <w:t xml:space="preserve"> </w:t>
      </w:r>
      <w:r>
        <w:t xml:space="preserve">Legislation</w:t>
      </w:r>
      <w:r>
        <w:t xml:space="preserve"> </w:t>
      </w:r>
      <w:r>
        <w:t xml:space="preserve">Provisions</w:t>
      </w:r>
      <w:r>
        <w:t xml:space="preserve"> </w:t>
      </w:r>
      <w:r>
        <w:t xml:space="preserve">Regulation on</w:t>
      </w:r>
      <w:r>
        <w:t xml:space="preserve"> </w:t>
      </w:r>
      <w:r>
        <w:t xml:space="preserve">Medical</w:t>
      </w:r>
      <w:r>
        <w:t xml:space="preserve"> </w:t>
      </w:r>
      <w:r>
        <w:t xml:space="preserve">Devices</w:t>
      </w:r>
      <w:r>
        <w:t xml:space="preserve"> </w:t>
      </w:r>
      <w:r>
        <w:t xml:space="preserve">2017/745</w:t>
      </w:r>
      <w:r>
        <w:t xml:space="preserve"> </w:t>
      </w:r>
      <w:r>
        <w:t xml:space="preserve">Devices shall be designed and manufactured in such a way as to facilitate their safe disposal</w:t>
      </w:r>
      <w:r>
        <w:t xml:space="preserve"> </w:t>
      </w:r>
      <w:r>
        <w:t xml:space="preserve">and the safe disposal of related waste substances by the user, patient or other person. To that</w:t>
      </w:r>
      <w:r>
        <w:t xml:space="preserve"> </w:t>
      </w:r>
      <w:r>
        <w:t xml:space="preserve">end, manufacturers shall identify and test procedures and measures as a result of which their</w:t>
      </w:r>
      <w:r>
        <w:t xml:space="preserve"> </w:t>
      </w:r>
      <w:r>
        <w:t xml:space="preserve">devices can be safely disposed of after use. Such procedures shall be described in the</w:t>
      </w:r>
      <w:r>
        <w:t xml:space="preserve"> </w:t>
      </w:r>
      <w:r>
        <w:t xml:space="preserve">instructions for use (Annex I, Chapter II, Paragraph 14.7).</w:t>
      </w:r>
      <w:r>
        <w:t xml:space="preserve"> </w:t>
      </w:r>
      <w:r>
        <w:t xml:space="preserve">According to Annex I, Chapter III, Section 23.1, the label must contain:</w:t>
      </w:r>
      <w:r>
        <w:t xml:space="preserve"> </w:t>
      </w:r>
      <w:r>
        <w:t xml:space="preserve">(k) an indication of any special storage and/or handling condition that applies;</w:t>
      </w:r>
      <w:r>
        <w:t xml:space="preserve"> </w:t>
      </w:r>
      <w:r>
        <w:t xml:space="preserve">(m) warnings or precautions to be taken that need to be brought to the immediate attention</w:t>
      </w:r>
      <w:r>
        <w:t xml:space="preserve"> </w:t>
      </w:r>
      <w:r>
        <w:t xml:space="preserve">of the user of the device, and to any other person. This information may be kept to a</w:t>
      </w:r>
      <w:r>
        <w:t xml:space="preserve"> </w:t>
      </w:r>
      <w:r>
        <w:t xml:space="preserve">minimum in which case more detailed information shall appear in the instructions for use,</w:t>
      </w:r>
      <w:r>
        <w:t xml:space="preserve"> </w:t>
      </w:r>
      <w:r>
        <w:t xml:space="preserve">taking into account the intended users;</w:t>
      </w:r>
      <w:r>
        <w:t xml:space="preserve"> </w:t>
      </w:r>
      <w:r>
        <w:t xml:space="preserve">Following Annex I, Chapter III, Section 23.4, this information should be provided in the</w:t>
      </w:r>
      <w:r>
        <w:t xml:space="preserve"> </w:t>
      </w:r>
      <w:r>
        <w:t xml:space="preserve">instructions for use:</w:t>
      </w:r>
      <w:r>
        <w:br/>
      </w:r>
      <w:r>
        <w:t xml:space="preserve">(v) warnings or precautions to be taken in order to facilitate the safe disposal of the device,</w:t>
      </w:r>
      <w:r>
        <w:t xml:space="preserve"> </w:t>
      </w:r>
      <w:r>
        <w:t xml:space="preserve">its accessories and the consumables used with it if any. This information shall cover, where</w:t>
      </w:r>
      <w:r>
        <w:t xml:space="preserve"> </w:t>
      </w:r>
      <w:r>
        <w:t xml:space="preserve">appropriate:</w:t>
      </w:r>
      <w:r>
        <w:t xml:space="preserve"> </w:t>
      </w:r>
      <w:r>
        <w:t xml:space="preserve">— infection or microbial hazards such as explants, needles or surgical equipment</w:t>
      </w:r>
      <w:r>
        <w:t xml:space="preserve"> </w:t>
      </w:r>
      <w:r>
        <w:t xml:space="preserve">contaminated with potentially infectious substances of human origin, and</w:t>
      </w:r>
      <w:r>
        <w:br/>
      </w:r>
      <w:r>
        <w:t xml:space="preserve">— physical hazards such as from sharps.</w:t>
      </w:r>
      <w:r>
        <w:t xml:space="preserve"> </w:t>
      </w:r>
      <w:r>
        <w:t xml:space="preserve">If in accordance with Section 23.1(d) no instructions for use are required, this information</w:t>
      </w:r>
      <w:r>
        <w:t xml:space="preserve"> </w:t>
      </w:r>
      <w:r>
        <w:t xml:space="preserve">shall be made available to the user upon request.</w:t>
      </w:r>
      <w:r>
        <w:t xml:space="preserve"> </w:t>
      </w:r>
      <w:r>
        <w:t xml:space="preserve">According to Article 32(1), for implantable devices and for class III devices, other than</w:t>
      </w:r>
      <w:r>
        <w:t xml:space="preserve"> </w:t>
      </w:r>
      <w:r>
        <w:t xml:space="preserve">custom-made or investigational devices, the manufacturer shall draw up a summary of</w:t>
      </w:r>
      <w:r>
        <w:t xml:space="preserve"> </w:t>
      </w:r>
      <w:r>
        <w:t xml:space="preserve">safety and clinical performance.</w:t>
      </w:r>
      <w:r>
        <w:t xml:space="preserve"> </w:t>
      </w:r>
      <w:r>
        <w:t xml:space="preserve">Pursuant to Article 32(2)(h), the summary of safety and clinical performance, must</w:t>
      </w:r>
      <w:r>
        <w:t xml:space="preserve"> </w:t>
      </w:r>
      <w:r>
        <w:t xml:space="preserve">include, among other requirements, information on any residual risks and any undesirable</w:t>
      </w:r>
      <w:r>
        <w:t xml:space="preserve"> </w:t>
      </w:r>
      <w:r>
        <w:t xml:space="preserve">effects, warnings and precautions.</w:t>
      </w:r>
      <w:r>
        <w:t xml:space="preserve"> </w:t>
      </w:r>
      <w:r>
        <w:t xml:space="preserve">Regulation on</w:t>
      </w:r>
      <w:r>
        <w:t xml:space="preserve"> </w:t>
      </w:r>
      <w:r>
        <w:t xml:space="preserve">In</w:t>
      </w:r>
      <w:r>
        <w:t xml:space="preserve"> </w:t>
      </w:r>
      <w:r>
        <w:t xml:space="preserve">vitro</w:t>
      </w:r>
      <w:r>
        <w:t xml:space="preserve"> </w:t>
      </w:r>
      <w:r>
        <w:t xml:space="preserve">Medical</w:t>
      </w:r>
      <w:r>
        <w:t xml:space="preserve"> </w:t>
      </w:r>
      <w:r>
        <w:t xml:space="preserve">Devices</w:t>
      </w:r>
      <w:r>
        <w:t xml:space="preserve"> </w:t>
      </w:r>
      <w:r>
        <w:t xml:space="preserve">2017/746</w:t>
      </w:r>
      <w:r>
        <w:t xml:space="preserve"> </w:t>
      </w:r>
      <w:r>
        <w:t xml:space="preserve">According to Article 29(1), for class C and D devices, other than devices for performance</w:t>
      </w:r>
      <w:r>
        <w:t xml:space="preserve"> </w:t>
      </w:r>
      <w:r>
        <w:t xml:space="preserve">studies, the manufacturer shall draw up a summary of safety and performance. The</w:t>
      </w:r>
      <w:r>
        <w:t xml:space="preserve"> </w:t>
      </w:r>
      <w:r>
        <w:t xml:space="preserve">manufacturer shall mention on the label or instructions for use where the summary is</w:t>
      </w:r>
      <w:r>
        <w:t xml:space="preserve"> </w:t>
      </w:r>
      <w:r>
        <w:t xml:space="preserve">available.</w:t>
      </w:r>
      <w:r>
        <w:t xml:space="preserve"> </w:t>
      </w:r>
      <w:r>
        <w:t xml:space="preserve">Pursuant to Article 29(2)(h), the summary on safety and performance must include,</w:t>
      </w:r>
      <w:r>
        <w:t xml:space="preserve"> </w:t>
      </w:r>
      <w:r>
        <w:t xml:space="preserve">among other required elements, information on any residual risks and any undesirable</w:t>
      </w:r>
      <w:r>
        <w:t xml:space="preserve"> </w:t>
      </w:r>
      <w:r>
        <w:t xml:space="preserve">effects, warnings and precautions.</w:t>
      </w:r>
      <w:r>
        <w:t xml:space="preserve"> </w:t>
      </w:r>
      <w:r>
        <w:t xml:space="preserve">Following Annex I, Chapter II, Section 20.1(i), in the case of devices containing a</w:t>
      </w:r>
      <w:r>
        <w:t xml:space="preserve"> </w:t>
      </w:r>
      <w:r>
        <w:t xml:space="preserve">substance or a mixture which may be considered as being dangerous, taking account of</w:t>
      </w:r>
      <w:r>
        <w:t xml:space="preserve"> </w:t>
      </w:r>
      <w:r>
        <w:t xml:space="preserve">the nature and quantity of its constituents and the form under which they are present,</w:t>
      </w:r>
      <w:r>
        <w:t xml:space="preserve"> </w:t>
      </w:r>
      <w:r>
        <w:t xml:space="preserve">relevant hazard pictograms and labelling requirements of Regulation (EC) No</w:t>
      </w:r>
      <w:r>
        <w:t xml:space="preserve"> </w:t>
      </w:r>
      <w:r>
        <w:t xml:space="preserve">1272/2008 shall apply. Where there is insufficient space to put all the information on the</w:t>
      </w:r>
      <w:r>
        <w:t xml:space="preserve"> </w:t>
      </w:r>
      <w:r>
        <w:t xml:space="preserve">device itself or on its label, the relevant hazard pictograms shall be put on the label and the</w:t>
      </w:r>
      <w:r>
        <w:t xml:space="preserve"> </w:t>
      </w:r>
      <w:r>
        <w:t xml:space="preserve">other information required by Regulation (EC) No 1272/2008 shall be given in the</w:t>
      </w:r>
      <w:r>
        <w:t xml:space="preserve"> </w:t>
      </w:r>
      <w:r>
        <w:t xml:space="preserve">instructions for use.</w:t>
      </w:r>
      <w:r>
        <w:t xml:space="preserve"> </w:t>
      </w:r>
      <w:r>
        <w:t xml:space="preserve">Annex I, Chapter II, Section 20.2 lists information that must be provided on the label.</w:t>
      </w:r>
      <w:r>
        <w:t xml:space="preserve"> </w:t>
      </w:r>
      <w:r>
        <w:t xml:space="preserve">Among other requirements, it includes:</w:t>
      </w:r>
      <w:r>
        <w:t xml:space="preserve"> </w:t>
      </w:r>
      <w:r>
        <w:t xml:space="preserve">(k) an indication of any special storage and/or handling condition that applies;</w:t>
      </w:r>
      <w:r>
        <w:t xml:space="preserve"> </w:t>
      </w:r>
      <w:r>
        <w:t xml:space="preserve">(m) warnings or precautions to be taken that need to be brought to the immediate attention</w:t>
      </w:r>
      <w:r>
        <w:t xml:space="preserve"> </w:t>
      </w:r>
      <w:r>
        <w:t xml:space="preserve">of the user of the device or to any other person. This information may be kept to a minimum</w:t>
      </w:r>
    </w:p>
    <w:p>
      <w:pPr>
        <w:pStyle w:val="BodyText"/>
      </w:pPr>
      <w:r>
        <w:t xml:space="preserve">542</w:t>
      </w:r>
    </w:p>
    <w:p>
      <w:pPr>
        <w:pStyle w:val="BodyText"/>
      </w:pPr>
      <w:r>
        <w:t xml:space="preserve">Table 168: Provisions on the communication of product hazards to the environment to users*</w:t>
      </w:r>
      <w:r>
        <w:t xml:space="preserve"> </w:t>
      </w:r>
      <w:r>
        <w:t xml:space="preserve">Legislation</w:t>
      </w:r>
      <w:r>
        <w:t xml:space="preserve"> </w:t>
      </w:r>
      <w:r>
        <w:t xml:space="preserve">Provisions</w:t>
      </w:r>
      <w:r>
        <w:t xml:space="preserve"> </w:t>
      </w:r>
      <w:r>
        <w:t xml:space="preserve">in which case more detailed information shall appear in the instructions for use, taking into</w:t>
      </w:r>
      <w:r>
        <w:t xml:space="preserve"> </w:t>
      </w:r>
      <w:r>
        <w:t xml:space="preserve">account the intended users;</w:t>
      </w:r>
      <w:r>
        <w:t xml:space="preserve"> </w:t>
      </w:r>
      <w:r>
        <w:t xml:space="preserve">In accordance with Chapter II, 13.6, devices shall be designed and manufactured in such a</w:t>
      </w:r>
      <w:r>
        <w:t xml:space="preserve"> </w:t>
      </w:r>
      <w:r>
        <w:t xml:space="preserve">way as to facilitate their safe disposal and the safe disposal of related waste substances by</w:t>
      </w:r>
      <w:r>
        <w:t xml:space="preserve"> </w:t>
      </w:r>
      <w:r>
        <w:t xml:space="preserve">users, or other person. To that end, manufacturers shall identify and test procedures and</w:t>
      </w:r>
      <w:r>
        <w:t xml:space="preserve"> </w:t>
      </w:r>
      <w:r>
        <w:t xml:space="preserve">measures as a result of which their devices can be safely disposed of after use. Such</w:t>
      </w:r>
      <w:r>
        <w:t xml:space="preserve"> </w:t>
      </w:r>
      <w:r>
        <w:t xml:space="preserve">procedures shall be described in the instructions for use.</w:t>
      </w:r>
      <w:r>
        <w:t xml:space="preserve"> </w:t>
      </w:r>
      <w:r>
        <w:t xml:space="preserve">Following the provisions of Annex I, Chapter III, Section 20.4.1, the following information</w:t>
      </w:r>
      <w:r>
        <w:t xml:space="preserve"> </w:t>
      </w:r>
      <w:r>
        <w:t xml:space="preserve">should be provided in the instructions for use:</w:t>
      </w:r>
      <w:r>
        <w:t xml:space="preserve"> </w:t>
      </w:r>
      <w:r>
        <w:t xml:space="preserve">(ac) warnings or precautions to be taken in order to facilitate the safe disposal of the</w:t>
      </w:r>
      <w:r>
        <w:t xml:space="preserve"> </w:t>
      </w:r>
      <w:r>
        <w:t xml:space="preserve">device, its accessories, and the consumables used with it, if any. This information shall</w:t>
      </w:r>
      <w:r>
        <w:t xml:space="preserve"> </w:t>
      </w:r>
      <w:r>
        <w:t xml:space="preserve">cover, where appropriate:</w:t>
      </w:r>
      <w:r>
        <w:br/>
      </w:r>
      <w:r>
        <w:t xml:space="preserve">(i) infection or microbial hazards, such as consumables contaminated with potentially</w:t>
      </w:r>
      <w:r>
        <w:t xml:space="preserve"> </w:t>
      </w:r>
      <w:r>
        <w:t xml:space="preserve">infectious substances of human origin;</w:t>
      </w:r>
      <w:r>
        <w:br/>
      </w:r>
      <w:r>
        <w:t xml:space="preserve">(ii) environmental hazards such as batteries or materials that emit potentially hazardous</w:t>
      </w:r>
      <w:r>
        <w:t xml:space="preserve"> </w:t>
      </w:r>
      <w:r>
        <w:t xml:space="preserve">levels of radiation;</w:t>
      </w:r>
      <w:r>
        <w:br/>
      </w:r>
      <w:r>
        <w:t xml:space="preserve">(iii) physical hazards such as explosion.</w:t>
      </w:r>
      <w:r>
        <w:br/>
      </w:r>
      <w:r>
        <w:t xml:space="preserve">NOTE: *User may include professional users and consumers</w:t>
      </w:r>
    </w:p>
    <w:p>
      <w:pPr>
        <w:pStyle w:val="BodyText"/>
      </w:pPr>
      <w:r>
        <w:t xml:space="preserve">Warning or precautions related to the environmental hazards are required in the instruction</w:t>
      </w:r>
      <w:r>
        <w:t xml:space="preserve"> </w:t>
      </w:r>
      <w:r>
        <w:t xml:space="preserve">for use by the IVD Regulation 2017/746. For in vitro medical devices that contain substances</w:t>
      </w:r>
      <w:r>
        <w:t xml:space="preserve"> </w:t>
      </w:r>
      <w:r>
        <w:t xml:space="preserve">or mixtures that may be considered dangerous, Regulation 2017/746 already requires</w:t>
      </w:r>
      <w:r>
        <w:t xml:space="preserve"> </w:t>
      </w:r>
      <w:r>
        <w:t xml:space="preserve">applying hazard pictograms and labelling requirements of the CLP Regulation.</w:t>
      </w:r>
      <w:r>
        <w:t xml:space="preserve"> </w:t>
      </w:r>
      <w:r>
        <w:t xml:space="preserve">Storage and handling precautions and other information that requires the immediate attention</w:t>
      </w:r>
      <w:r>
        <w:t xml:space="preserve"> </w:t>
      </w:r>
      <w:r>
        <w:t xml:space="preserve">of the user of a medical device or any other person involved must be provided on the label.</w:t>
      </w:r>
      <w:r>
        <w:t xml:space="preserve"> </w:t>
      </w:r>
      <w:r>
        <w:t xml:space="preserve">Information and precautions related to the safe disposal of the device must be given in the</w:t>
      </w:r>
      <w:r>
        <w:t xml:space="preserve"> </w:t>
      </w:r>
      <w:r>
        <w:t xml:space="preserve">instructions for use.</w:t>
      </w:r>
      <w:r>
        <w:t xml:space="preserve"> </w:t>
      </w:r>
      <w:r>
        <w:t xml:space="preserve">Additional sources of information are so-called summaries of safety and clinical performance</w:t>
      </w:r>
      <w:r>
        <w:t xml:space="preserve"> </w:t>
      </w:r>
      <w:r>
        <w:t xml:space="preserve">of the device.</w:t>
      </w:r>
      <w:r>
        <w:t xml:space="preserve"> </w:t>
      </w:r>
      <w:r>
        <w:t xml:space="preserve">Evidence on the gaps in protection from the environmental hazards</w:t>
      </w:r>
      <w:r>
        <w:br/>
      </w:r>
      <w:r>
        <w:t xml:space="preserve">The literature search identified only one study on the review of chemical legislation prepared</w:t>
      </w:r>
      <w:r>
        <w:t xml:space="preserve"> </w:t>
      </w:r>
      <w:r>
        <w:t xml:space="preserve">for the European Commission that mentioned the environmental hazards of medical devices</w:t>
      </w:r>
      <w:r>
        <w:t xml:space="preserve"> </w:t>
      </w:r>
      <w:r>
        <w:t xml:space="preserve">and potential gaps in legislation. The study drew attention to the gap in hazard</w:t>
      </w:r>
      <w:r>
        <w:t xml:space="preserve"> </w:t>
      </w:r>
      <w:r>
        <w:t xml:space="preserve">communication in the legislation on medical devices, where hazards are communicated</w:t>
      </w:r>
      <w:r>
        <w:t xml:space="preserve"> </w:t>
      </w:r>
      <w:r>
        <w:t xml:space="preserve">through safety data sheets that may not be understandable to the user. However, this finding</w:t>
      </w:r>
      <w:r>
        <w:t xml:space="preserve"> </w:t>
      </w:r>
      <w:r>
        <w:t xml:space="preserve">was based on the opinion of NGOs and Member States authorities in the stakeholder</w:t>
      </w:r>
      <w:r>
        <w:t xml:space="preserve"> </w:t>
      </w:r>
      <w:r>
        <w:t xml:space="preserve">consultation (RPA et al., 2017). Furthermore, the search did not detect any scientific and</w:t>
      </w:r>
      <w:r>
        <w:t xml:space="preserve"> </w:t>
      </w:r>
      <w:r>
        <w:t xml:space="preserve">technical reports or peer-reviewed scientific papers that discuss this issue. Therefore, an</w:t>
      </w:r>
      <w:r>
        <w:t xml:space="preserve"> </w:t>
      </w:r>
      <w:r>
        <w:t xml:space="preserve">overview of available literature that highlights environmental issues and their possible</w:t>
      </w:r>
      <w:r>
        <w:t xml:space="preserve"> </w:t>
      </w:r>
      <w:r>
        <w:t xml:space="preserve">reasons is provided.</w:t>
      </w:r>
    </w:p>
    <w:p>
      <w:pPr>
        <w:pStyle w:val="BodyText"/>
      </w:pPr>
      <w:r>
        <w:t xml:space="preserve">543</w:t>
      </w:r>
    </w:p>
    <w:p>
      <w:pPr>
        <w:pStyle w:val="BodyText"/>
      </w:pPr>
      <w:r>
        <w:t xml:space="preserve">The EU market for medical devices is worth €140 billion. The EU medical device industry is</w:t>
      </w:r>
      <w:r>
        <w:t xml:space="preserve"> </w:t>
      </w:r>
      <w:r>
        <w:t xml:space="preserve">composed of over 33,000 companies (of which 95% are SMEs) employing over 760,000</w:t>
      </w:r>
      <w:r>
        <w:t xml:space="preserve"> </w:t>
      </w:r>
      <w:r>
        <w:t xml:space="preserve">people. It is characterised by a high rate of innovation, ranking first among the sectors filing</w:t>
      </w:r>
      <w:r>
        <w:t xml:space="preserve"> </w:t>
      </w:r>
      <w:r>
        <w:t xml:space="preserve">patent applications, around 9% more than the computer and technology industries and 66%</w:t>
      </w:r>
      <w:r>
        <w:t xml:space="preserve"> </w:t>
      </w:r>
      <w:r>
        <w:t xml:space="preserve">more than the pharmaceutical industry.164 The medical devices’ industry is very diverse in</w:t>
      </w:r>
      <w:r>
        <w:t xml:space="preserve"> </w:t>
      </w:r>
      <w:r>
        <w:t xml:space="preserve">terms of complexity, purposes of use and features of the devices that may range from simple</w:t>
      </w:r>
      <w:r>
        <w:t xml:space="preserve"> </w:t>
      </w:r>
      <w:r>
        <w:t xml:space="preserve">products, such as syringes, catheters, face masks, to complex products, e.g. ultrasound and</w:t>
      </w:r>
      <w:r>
        <w:t xml:space="preserve"> </w:t>
      </w:r>
      <w:r>
        <w:t xml:space="preserve">CT scanners, anaesthesia machines equipment, etc. According to the WHO, there are between</w:t>
      </w:r>
      <w:r>
        <w:t xml:space="preserve"> </w:t>
      </w:r>
      <w:r>
        <w:t xml:space="preserve">5,000 to 24,000 types of medical devices under different classification and nomenclature</w:t>
      </w:r>
      <w:r>
        <w:t xml:space="preserve"> </w:t>
      </w:r>
      <w:r>
        <w:t xml:space="preserve">systems (WHO, 2021). MedTech Europe refers to over 500,000 medical technologies</w:t>
      </w:r>
      <w:r>
        <w:t xml:space="preserve"> </w:t>
      </w:r>
      <w:r>
        <w:t xml:space="preserve">available in hospitals, community care and household settings.165 Therefore, not all issues and</w:t>
      </w:r>
      <w:r>
        <w:t xml:space="preserve"> </w:t>
      </w:r>
      <w:r>
        <w:t xml:space="preserve">solutions apply to each type of medical device.</w:t>
      </w:r>
      <w:r>
        <w:t xml:space="preserve"> </w:t>
      </w:r>
      <w:r>
        <w:t xml:space="preserve">There is growing attention to the sustainability and environmental impact of medical devices</w:t>
      </w:r>
      <w:r>
        <w:t xml:space="preserve"> </w:t>
      </w:r>
      <w:r>
        <w:t xml:space="preserve">(Arun Kumar, 2021; Sousa et al., 2021; WHO, 2016; McGain &amp; Naylor, 2014; Dalenstam et</w:t>
      </w:r>
      <w:r>
        <w:t xml:space="preserve"> </w:t>
      </w:r>
      <w:r>
        <w:t xml:space="preserve">al., 2012). However, the scientific literature search (+”medical devices” +environment)</w:t>
      </w:r>
      <w:r>
        <w:t xml:space="preserve"> </w:t>
      </w:r>
      <w:r>
        <w:t xml:space="preserve">revealed that the papers focus on medical devices that are articles, while the research</w:t>
      </w:r>
      <w:r>
        <w:t xml:space="preserve"> </w:t>
      </w:r>
      <w:r>
        <w:t xml:space="preserve">specifically addressing the environmental hazards or impact of medical devices</w:t>
      </w:r>
      <w:r>
        <w:t xml:space="preserve"> </w:t>
      </w:r>
      <w:r>
        <w:t xml:space="preserve">composed of substances or mixtures is not available. Lifecycle assessment studies have</w:t>
      </w:r>
      <w:r>
        <w:t xml:space="preserve"> </w:t>
      </w:r>
      <w:r>
        <w:t xml:space="preserve">been conducted to evaluate the environmental impacts of specific medical devices (Sousa et</w:t>
      </w:r>
      <w:r>
        <w:t xml:space="preserve"> </w:t>
      </w:r>
      <w:r>
        <w:t xml:space="preserve">al., 2021; Dalenstam et al., 2012). Environmental impacts and related costs have also been</w:t>
      </w:r>
      <w:r>
        <w:t xml:space="preserve"> </w:t>
      </w:r>
      <w:r>
        <w:t xml:space="preserve">investigated in case studies (see e.g., Piccoli et al., 2015).</w:t>
      </w:r>
      <w:r>
        <w:t xml:space="preserve"> </w:t>
      </w:r>
      <w:r>
        <w:t xml:space="preserve">Different sources emphasised that a large amount of solid waste is generated by medical</w:t>
      </w:r>
      <w:r>
        <w:t xml:space="preserve"> </w:t>
      </w:r>
      <w:r>
        <w:t xml:space="preserve">devices, in particular single-use devices (Sousa et al., 2021; WHO, 2016; McGain &amp; Naylor,</w:t>
      </w:r>
      <w:r>
        <w:t xml:space="preserve"> </w:t>
      </w:r>
      <w:r>
        <w:t xml:space="preserve">2014). For instance, the WHO highlights that every year an estimated 16 billion injections are</w:t>
      </w:r>
      <w:r>
        <w:t xml:space="preserve"> </w:t>
      </w:r>
      <w:r>
        <w:t xml:space="preserve">administered worldwide, but not all of the needles and syringes are properly disposed of</w:t>
      </w:r>
      <w:r>
        <w:t xml:space="preserve"> </w:t>
      </w:r>
      <w:r>
        <w:t xml:space="preserve">afterwards (WHO, 2018).</w:t>
      </w:r>
      <w:r>
        <w:br/>
      </w:r>
      <w:r>
        <w:t xml:space="preserve">According to WHO, about 85% of waste generated in healthcare activities is not hazardous</w:t>
      </w:r>
      <w:r>
        <w:t xml:space="preserve"> </w:t>
      </w:r>
      <w:r>
        <w:t xml:space="preserve">and can be recycled, while 15% constitutes infectious, chemical, or radioactive waste (WHO,</w:t>
      </w:r>
      <w:r>
        <w:t xml:space="preserve"> </w:t>
      </w:r>
      <w:r>
        <w:t xml:space="preserve">2018). Furthermore, reprocessing of specific single-use medical devices is allowed by Article</w:t>
      </w:r>
      <w:r>
        <w:t xml:space="preserve"> </w:t>
      </w:r>
      <w:r>
        <w:t xml:space="preserve">7 of the Medical Devices Regulation 2017/745. Complementing Regulation 2020/1207 on</w:t>
      </w:r>
      <w:r>
        <w:t xml:space="preserve"> </w:t>
      </w:r>
      <w:r>
        <w:t xml:space="preserve">reprocessing of single-use medical devices laid out common specifications for such activities.</w:t>
      </w:r>
      <w:r>
        <w:t xml:space="preserve"> </w:t>
      </w:r>
      <w:r>
        <w:t xml:space="preserve">When asked about possible gaps in information provision on the hazards of medical devices</w:t>
      </w:r>
      <w:r>
        <w:t xml:space="preserve"> </w:t>
      </w:r>
      <w:r>
        <w:t xml:space="preserve">(‘when buying or using the product categories listed below, you might not be informed that</w:t>
      </w:r>
      <w:r>
        <w:t xml:space="preserve"> </w:t>
      </w:r>
      <w:r>
        <w:t xml:space="preserve">they could be hazardous to the environment. What is your opinion?’), many citizens (55%),</w:t>
      </w:r>
      <w:r>
        <w:t xml:space="preserve"> </w:t>
      </w:r>
      <w:r>
        <w:t xml:space="preserve">public authorities (44%) and civil societies (67%) who participated in the open public</w:t>
      </w:r>
      <w:r>
        <w:t xml:space="preserve"> </w:t>
      </w:r>
      <w:r>
        <w:t xml:space="preserve">consultation considered that this issue should be immediately solved. However, qualitative</w:t>
      </w:r>
      <w:r>
        <w:t xml:space="preserve"> </w:t>
      </w:r>
      <w:r>
        <w:t xml:space="preserve">inquiries about medical devices in targeted stakeholder questionnaire and interviews did not</w:t>
      </w:r>
      <w:r>
        <w:t xml:space="preserve"> </w:t>
      </w:r>
      <w:r>
        <w:t xml:space="preserve">result in specific examples or references to the environmental hazards or effects of medical</w:t>
      </w:r>
      <w:r>
        <w:t xml:space="preserve"> </w:t>
      </w:r>
      <w:r>
        <w:t xml:space="preserve">devices on the environment.</w:t>
      </w:r>
      <w:r>
        <w:t xml:space="preserve"> </w:t>
      </w:r>
      <w:r>
        <w:t xml:space="preserve">To summarise the analysis of the available evidence, several conclusions can be made:</w:t>
      </w:r>
    </w:p>
    <w:p>
      <w:pPr>
        <w:pStyle w:val="BodyText"/>
      </w:pPr>
      <w:r>
        <w:t xml:space="preserve">Available scientific and technical reports as well as peer-reviewed scientific papers</w:t>
      </w:r>
      <w:r>
        <w:t xml:space="preserve"> </w:t>
      </w:r>
      <w:r>
        <w:t xml:space="preserve">do not provide any information about the environmental hazards and,</w:t>
      </w:r>
    </w:p>
    <w:p>
      <w:pPr>
        <w:pStyle w:val="BodyText"/>
      </w:pPr>
      <w:r>
        <w:t xml:space="preserve">164 Information provided by MedTech Europe.</w:t>
      </w:r>
      <w:r>
        <w:t xml:space="preserve"> </w:t>
      </w:r>
      <w:r>
        <w:t xml:space="preserve">165 https://www.medtecheurope.org/wp-content/uploads/2021/06/medtech-europe-facts-and-figures-2021.pdf</w:t>
      </w:r>
    </w:p>
    <w:p>
      <w:pPr>
        <w:pStyle w:val="BodyText"/>
      </w:pPr>
      <w:r>
        <w:t xml:space="preserve">544</w:t>
      </w:r>
    </w:p>
    <w:p>
      <w:pPr>
        <w:pStyle w:val="BodyText"/>
      </w:pPr>
      <w:r>
        <w:t xml:space="preserve">consequently, impacts of medical devices that are composed of substances or</w:t>
      </w:r>
      <w:r>
        <w:t xml:space="preserve"> </w:t>
      </w:r>
      <w:r>
        <w:t xml:space="preserve">mixtures. Most research focuses on medical devices that are articles. Therefore,</w:t>
      </w:r>
      <w:r>
        <w:t xml:space="preserve"> </w:t>
      </w:r>
      <w:r>
        <w:t xml:space="preserve">currently, it is not possible to provide any sound argument about the hazards of</w:t>
      </w:r>
      <w:r>
        <w:t xml:space="preserve"> </w:t>
      </w:r>
      <w:r>
        <w:t xml:space="preserve">medical devices that are substances or mixtures.</w:t>
      </w:r>
    </w:p>
    <w:p>
      <w:pPr>
        <w:pStyle w:val="BodyText"/>
      </w:pPr>
      <w:r>
        <w:t xml:space="preserve">To get sound evidence on the environmental hazards and effects of medical devices</w:t>
      </w:r>
      <w:r>
        <w:t xml:space="preserve"> </w:t>
      </w:r>
      <w:r>
        <w:t xml:space="preserve">composed of substances and mixtures a targeted systematic literature search and</w:t>
      </w:r>
      <w:r>
        <w:t xml:space="preserve"> </w:t>
      </w:r>
      <w:r>
        <w:t xml:space="preserve">review is necessary based on the exhaustive lists of such medical devices and search</w:t>
      </w:r>
      <w:r>
        <w:t xml:space="preserve"> </w:t>
      </w:r>
      <w:r>
        <w:t xml:space="preserve">keywords derived from specific groups/names of specific devices that are substances</w:t>
      </w:r>
      <w:r>
        <w:t xml:space="preserve"> </w:t>
      </w:r>
      <w:r>
        <w:t xml:space="preserve">or mixtures.</w:t>
      </w:r>
      <w:r>
        <w:t xml:space="preserve"> </w:t>
      </w:r>
      <w:r>
        <w:t xml:space="preserve">Similarly, although medical devices enter the streams of healthcare waste, the study did not</w:t>
      </w:r>
      <w:r>
        <w:t xml:space="preserve"> </w:t>
      </w:r>
      <w:r>
        <w:t xml:space="preserve">identify any evidence about the share of medical devices that are substances/mixtures in</w:t>
      </w:r>
      <w:r>
        <w:t xml:space="preserve"> </w:t>
      </w:r>
      <w:r>
        <w:t xml:space="preserve">this type of waste and their impact to the environment. Furthermore, the review of the</w:t>
      </w:r>
      <w:r>
        <w:t xml:space="preserve"> </w:t>
      </w:r>
      <w:r>
        <w:t xml:space="preserve">available literature did not allow to identify estimates of the volumes and composition of</w:t>
      </w:r>
      <w:r>
        <w:t xml:space="preserve"> </w:t>
      </w:r>
      <w:r>
        <w:t xml:space="preserve">medical device waste and its environmental impacts in Europe.</w:t>
      </w:r>
    </w:p>
    <w:p>
      <w:pPr>
        <w:pStyle w:val="BodyText"/>
      </w:pPr>
      <w:r>
        <w:t xml:space="preserve">FOOD AND FEEDING STUFFS</w:t>
      </w:r>
      <w:r>
        <w:t xml:space="preserve"> </w:t>
      </w:r>
      <w:r>
        <w:t xml:space="preserve">Legislative framework</w:t>
      </w:r>
      <w:r>
        <w:t xml:space="preserve"> </w:t>
      </w:r>
      <w:r>
        <w:t xml:space="preserve">Sixteen legal acts that cover the issues of identification and communication of the</w:t>
      </w:r>
      <w:r>
        <w:t xml:space="preserve"> </w:t>
      </w:r>
      <w:r>
        <w:t xml:space="preserve">environmental hazards in food and feed were identified through the analysis of the European</w:t>
      </w:r>
      <w:r>
        <w:t xml:space="preserve"> </w:t>
      </w:r>
      <w:r>
        <w:t xml:space="preserve">Commission websites and EUR-Lex database (see Table 168).</w:t>
      </w:r>
      <w:r>
        <w:t xml:space="preserve"> </w:t>
      </w:r>
      <w:r>
        <w:t xml:space="preserve">Table 169: Overview of food and feed legislation</w:t>
      </w:r>
      <w:r>
        <w:t xml:space="preserve"> </w:t>
      </w:r>
      <w:r>
        <w:t xml:space="preserve">Type of products</w:t>
      </w:r>
      <w:r>
        <w:t xml:space="preserve"> </w:t>
      </w:r>
      <w:r>
        <w:t xml:space="preserve">Legislation</w:t>
      </w:r>
      <w:r>
        <w:t xml:space="preserve"> </w:t>
      </w:r>
      <w:r>
        <w:t xml:space="preserve">Food &amp; feed</w:t>
      </w:r>
      <w:r>
        <w:br/>
      </w:r>
      <w:r>
        <w:t xml:space="preserve">General</w:t>
      </w:r>
      <w:r>
        <w:t xml:space="preserve"> </w:t>
      </w:r>
      <w:r>
        <w:t xml:space="preserve">Regulation 178/2002 laying down the general principles and requirements of food</w:t>
      </w:r>
      <w:r>
        <w:t xml:space="preserve"> </w:t>
      </w:r>
      <w:r>
        <w:t xml:space="preserve">law, establishing the European Food Safety Authority and laying down procedures</w:t>
      </w:r>
      <w:r>
        <w:t xml:space="preserve"> </w:t>
      </w:r>
      <w:r>
        <w:t xml:space="preserve">in matters of food safety (Regulation on food law)</w:t>
      </w:r>
      <w:r>
        <w:t xml:space="preserve"> </w:t>
      </w:r>
      <w:r>
        <w:t xml:space="preserve">Regulation 1829/2003 on genetically modified food and feed (Regulation on GM</w:t>
      </w:r>
      <w:r>
        <w:t xml:space="preserve"> </w:t>
      </w:r>
      <w:r>
        <w:t xml:space="preserve">food and feed)</w:t>
      </w:r>
      <w:r>
        <w:t xml:space="preserve"> </w:t>
      </w:r>
      <w:r>
        <w:t xml:space="preserve">Regulation 1830/2003 of the European Parliament and of the Council of 22</w:t>
      </w:r>
      <w:r>
        <w:t xml:space="preserve"> </w:t>
      </w:r>
      <w:r>
        <w:t xml:space="preserve">September 2003 concerning the traceability and labelling of genetically modified</w:t>
      </w:r>
      <w:r>
        <w:t xml:space="preserve"> </w:t>
      </w:r>
      <w:r>
        <w:t xml:space="preserve">organisms and the traceability of food and feed products produced from genetically</w:t>
      </w:r>
      <w:r>
        <w:t xml:space="preserve"> </w:t>
      </w:r>
      <w:r>
        <w:t xml:space="preserve">modified organisms (Regulation on traceability and labelling of GMO in food and</w:t>
      </w:r>
      <w:r>
        <w:t xml:space="preserve"> </w:t>
      </w:r>
      <w:r>
        <w:t xml:space="preserve">feed)</w:t>
      </w:r>
      <w:r>
        <w:t xml:space="preserve"> </w:t>
      </w:r>
      <w:r>
        <w:t xml:space="preserve">Food</w:t>
      </w:r>
      <w:r>
        <w:br/>
      </w:r>
      <w:r>
        <w:t xml:space="preserve">Focused on specific obligations and procedures</w:t>
      </w:r>
      <w:r>
        <w:t xml:space="preserve"> </w:t>
      </w:r>
      <w:r>
        <w:t xml:space="preserve">Regulation 1169/2011 on the provision of food information to consumers</w:t>
      </w:r>
      <w:r>
        <w:t xml:space="preserve"> </w:t>
      </w:r>
      <w:r>
        <w:t xml:space="preserve">(Regulation on Food Information to Consumers)</w:t>
      </w:r>
      <w:r>
        <w:t xml:space="preserve"> </w:t>
      </w:r>
      <w:r>
        <w:t xml:space="preserve">Regulation 2019/1381 on the transparency and sustainability of the EU risk</w:t>
      </w:r>
      <w:r>
        <w:t xml:space="preserve"> </w:t>
      </w:r>
      <w:r>
        <w:t xml:space="preserve">assessment in the food chain</w:t>
      </w:r>
      <w:r>
        <w:br/>
      </w:r>
      <w:r>
        <w:t xml:space="preserve">Regulation 1331/2008 establishing a common authorisation procedure for food</w:t>
      </w:r>
      <w:r>
        <w:t xml:space="preserve"> </w:t>
      </w:r>
      <w:r>
        <w:t xml:space="preserve">additives, food enzymes and food flavourings (Regulation on a common</w:t>
      </w:r>
      <w:r>
        <w:t xml:space="preserve"> </w:t>
      </w:r>
      <w:r>
        <w:t xml:space="preserve">authorisation procedure)</w:t>
      </w:r>
      <w:r>
        <w:t xml:space="preserve"> </w:t>
      </w:r>
      <w:r>
        <w:t xml:space="preserve">Focused on specific food products</w:t>
      </w:r>
      <w:r>
        <w:t xml:space="preserve"> </w:t>
      </w:r>
      <w:r>
        <w:t xml:space="preserve">Regulation 2015/2283 on novel foods</w:t>
      </w:r>
      <w:r>
        <w:t xml:space="preserve"> </w:t>
      </w:r>
      <w:r>
        <w:t xml:space="preserve">Regulation 2017/2468 laying down administrative and scientific requirements</w:t>
      </w:r>
      <w:r>
        <w:t xml:space="preserve"> </w:t>
      </w:r>
      <w:r>
        <w:t xml:space="preserve">concerning traditional foods from third countries in accordance with Regulation</w:t>
      </w:r>
      <w:r>
        <w:t xml:space="preserve"> </w:t>
      </w:r>
      <w:r>
        <w:t xml:space="preserve">(EU) 2015/2283 of the European Parliament and of the Council on novel foods</w:t>
      </w:r>
      <w:r>
        <w:t xml:space="preserve"> </w:t>
      </w:r>
      <w:r>
        <w:t xml:space="preserve">(Traditional Foods Regulation)</w:t>
      </w:r>
      <w:r>
        <w:t xml:space="preserve"> </w:t>
      </w:r>
      <w:r>
        <w:t xml:space="preserve">Regulation 2017/2469 laying down administrative and scientific requirements for</w:t>
      </w:r>
      <w:r>
        <w:t xml:space="preserve"> </w:t>
      </w:r>
      <w:r>
        <w:t xml:space="preserve">applications referred to in Article 10 of Regulation (EU) 2015/2283 of the</w:t>
      </w:r>
      <w:r>
        <w:t xml:space="preserve"> </w:t>
      </w:r>
      <w:r>
        <w:t xml:space="preserve">European Parliament and of the Council on novel foods (Regulation 2017/2469 on</w:t>
      </w:r>
    </w:p>
    <w:p>
      <w:pPr>
        <w:pStyle w:val="BodyText"/>
      </w:pPr>
      <w:r>
        <w:t xml:space="preserve">545</w:t>
      </w:r>
    </w:p>
    <w:p>
      <w:pPr>
        <w:pStyle w:val="BodyText"/>
      </w:pPr>
      <w:r>
        <w:t xml:space="preserve">Table 169: Overview of food and feed legislation</w:t>
      </w:r>
      <w:r>
        <w:t xml:space="preserve"> </w:t>
      </w:r>
      <w:r>
        <w:t xml:space="preserve">Type of products</w:t>
      </w:r>
      <w:r>
        <w:t xml:space="preserve"> </w:t>
      </w:r>
      <w:r>
        <w:t xml:space="preserve">Legislation</w:t>
      </w:r>
      <w:r>
        <w:t xml:space="preserve"> </w:t>
      </w:r>
      <w:r>
        <w:t xml:space="preserve">requirements for novel foods applications)</w:t>
      </w:r>
      <w:r>
        <w:t xml:space="preserve"> </w:t>
      </w:r>
      <w:r>
        <w:t xml:space="preserve">Regulation 1333/2008 on food additives (Food Additives Regulation)</w:t>
      </w:r>
      <w:r>
        <w:t xml:space="preserve"> </w:t>
      </w:r>
      <w:r>
        <w:t xml:space="preserve">Regulation 1332/2008 on food enzymes and amending Council Directive</w:t>
      </w:r>
      <w:r>
        <w:t xml:space="preserve"> </w:t>
      </w:r>
      <w:r>
        <w:t xml:space="preserve">83/417/EEC, Council Regulation (EC) No 1493/1999, Directive 2000/13/EC,</w:t>
      </w:r>
      <w:r>
        <w:t xml:space="preserve"> </w:t>
      </w:r>
      <w:r>
        <w:t xml:space="preserve">Council Directive 2001/112/EC and Regulation (EC) No 258/97 (Food Enzymes</w:t>
      </w:r>
      <w:r>
        <w:t xml:space="preserve"> </w:t>
      </w:r>
      <w:r>
        <w:t xml:space="preserve">Regulation)</w:t>
      </w:r>
      <w:r>
        <w:t xml:space="preserve"> </w:t>
      </w:r>
      <w:r>
        <w:t xml:space="preserve">Regulation 1334/2008 on flavourings and certain food ingredients with flavouring</w:t>
      </w:r>
      <w:r>
        <w:t xml:space="preserve"> </w:t>
      </w:r>
      <w:r>
        <w:t xml:space="preserve">properties for use in and on foods (Food Flavourings’ Regulation)</w:t>
      </w:r>
      <w:r>
        <w:t xml:space="preserve"> </w:t>
      </w:r>
      <w:r>
        <w:t xml:space="preserve">Feed</w:t>
      </w:r>
      <w:r>
        <w:t xml:space="preserve"> </w:t>
      </w:r>
      <w:r>
        <w:t xml:space="preserve">Regulation 767/2009 on the placing on the market and use of feed (Feed</w:t>
      </w:r>
      <w:r>
        <w:t xml:space="preserve"> </w:t>
      </w:r>
      <w:r>
        <w:t xml:space="preserve">Regulation)</w:t>
      </w:r>
      <w:r>
        <w:t xml:space="preserve"> </w:t>
      </w:r>
      <w:r>
        <w:t xml:space="preserve">Regulation 1831/2003 on additives for use in animal nutrition (Feed additives</w:t>
      </w:r>
      <w:r>
        <w:t xml:space="preserve"> </w:t>
      </w:r>
      <w:r>
        <w:t xml:space="preserve">Regulation)</w:t>
      </w:r>
      <w:r>
        <w:t xml:space="preserve"> </w:t>
      </w:r>
      <w:r>
        <w:t xml:space="preserve">Regulation 429/2008 on detailed rules for the implementation of Regulation (EC)</w:t>
      </w:r>
      <w:r>
        <w:t xml:space="preserve"> </w:t>
      </w:r>
      <w:r>
        <w:t xml:space="preserve">No 1831/2003 of the European Parliament and of the Council as regards the</w:t>
      </w:r>
      <w:r>
        <w:t xml:space="preserve"> </w:t>
      </w:r>
      <w:r>
        <w:t xml:space="preserve">preparation and the presentation of applications and the assessment and the</w:t>
      </w:r>
      <w:r>
        <w:t xml:space="preserve"> </w:t>
      </w:r>
      <w:r>
        <w:t xml:space="preserve">authorisation of feed additives (Regulation on the implementation rules)</w:t>
      </w:r>
      <w:r>
        <w:t xml:space="preserve"> </w:t>
      </w:r>
      <w:r>
        <w:t xml:space="preserve">Regulation 2019/4 on the manufacture, placing on the market and use of medicated</w:t>
      </w:r>
      <w:r>
        <w:t xml:space="preserve"> </w:t>
      </w:r>
      <w:r>
        <w:t xml:space="preserve">feed (Medicated feed Regulation)</w:t>
      </w:r>
    </w:p>
    <w:p>
      <w:pPr>
        <w:pStyle w:val="BodyText"/>
      </w:pPr>
      <w:r>
        <w:t xml:space="preserve">Three legal acts give general provisions that are relevant to other food and feed</w:t>
      </w:r>
      <w:r>
        <w:t xml:space="preserve"> </w:t>
      </w:r>
      <w:r>
        <w:t xml:space="preserve">legislation. Regulation 178/2002 on food law is focused on common principles and</w:t>
      </w:r>
      <w:r>
        <w:t xml:space="preserve"> </w:t>
      </w:r>
      <w:r>
        <w:t xml:space="preserve">responsibilities, organisational arrangements and procedures in the field of food and feed</w:t>
      </w:r>
      <w:r>
        <w:t xml:space="preserve"> </w:t>
      </w:r>
      <w:r>
        <w:t xml:space="preserve">safety. Regulation 1829/2003 on GM food and feed sets out the procedures for authorisation</w:t>
      </w:r>
      <w:r>
        <w:t xml:space="preserve"> </w:t>
      </w:r>
      <w:r>
        <w:t xml:space="preserve">of and supervision of as well as labelling of genetically modified food and feed. Regulation</w:t>
      </w:r>
      <w:r>
        <w:t xml:space="preserve"> </w:t>
      </w:r>
      <w:r>
        <w:t xml:space="preserve">1830/2003 on traceability and labelling of GMOs in food and feed establishes a framework</w:t>
      </w:r>
      <w:r>
        <w:t xml:space="preserve"> </w:t>
      </w:r>
      <w:r>
        <w:t xml:space="preserve">for tracing the products that contain GMOs, and food and feed produced from GMOs to</w:t>
      </w:r>
      <w:r>
        <w:t xml:space="preserve"> </w:t>
      </w:r>
      <w:r>
        <w:t xml:space="preserve">facilitate labelling, monitoring the environmental and human health effects, risk management</w:t>
      </w:r>
      <w:r>
        <w:t xml:space="preserve"> </w:t>
      </w:r>
      <w:r>
        <w:t xml:space="preserve">and, if necessary, withdrawal of products.</w:t>
      </w:r>
      <w:r>
        <w:t xml:space="preserve"> </w:t>
      </w:r>
      <w:r>
        <w:t xml:space="preserve">Nine legal acts cover the food domain. Three of them relate to specific obligations and</w:t>
      </w:r>
      <w:r>
        <w:t xml:space="preserve"> </w:t>
      </w:r>
      <w:r>
        <w:t xml:space="preserve">procedures, such as the provision of food information to consumers (Regulation 1169/2011),</w:t>
      </w:r>
      <w:r>
        <w:t xml:space="preserve"> </w:t>
      </w:r>
      <w:r>
        <w:t xml:space="preserve">risk assessment in the food chain (Regulation 2019/1381), and authorisation of food products</w:t>
      </w:r>
      <w:r>
        <w:t xml:space="preserve"> </w:t>
      </w:r>
      <w:r>
        <w:t xml:space="preserve">(1331/2008). Another three legal acts lay out specific provisions relevant to food additives,</w:t>
      </w:r>
      <w:r>
        <w:t xml:space="preserve"> </w:t>
      </w:r>
      <w:r>
        <w:t xml:space="preserve">food flavourings and food enzymes. The rest three regulations cover novel foods that include</w:t>
      </w:r>
      <w:r>
        <w:t xml:space="preserve"> </w:t>
      </w:r>
      <w:r>
        <w:t xml:space="preserve">any food that was not used for human consumption to a significant degree within the Union</w:t>
      </w:r>
      <w:r>
        <w:t xml:space="preserve"> </w:t>
      </w:r>
      <w:r>
        <w:t xml:space="preserve">before 15 May 1997, irrespective of the dates of accession of Member States to the Union,</w:t>
      </w:r>
      <w:r>
        <w:t xml:space="preserve"> </w:t>
      </w:r>
      <w:r>
        <w:t xml:space="preserve">and that falls under at least one of the categories provided in Article 3(2)(a) of Regulation</w:t>
      </w:r>
      <w:r>
        <w:t xml:space="preserve"> </w:t>
      </w:r>
      <w:r>
        <w:t xml:space="preserve">2015/2283. Novel foods also include traditional foods from third countries (Regulation</w:t>
      </w:r>
      <w:r>
        <w:t xml:space="preserve"> </w:t>
      </w:r>
      <w:r>
        <w:t xml:space="preserve">2017/2468).</w:t>
      </w:r>
      <w:r>
        <w:t xml:space="preserve"> </w:t>
      </w:r>
      <w:r>
        <w:t xml:space="preserve">Search and review of relevant websites identified four legal acts related to animal feed.</w:t>
      </w:r>
      <w:r>
        <w:t xml:space="preserve"> </w:t>
      </w:r>
      <w:r>
        <w:t xml:space="preserve">Regulation 767/2009 covers placing on the market and use of feed. Regulation 1831/2003 on</w:t>
      </w:r>
      <w:r>
        <w:t xml:space="preserve"> </w:t>
      </w:r>
      <w:r>
        <w:t xml:space="preserve">additives in animal nutrition (a legislative proposal revising this Regulation is under</w:t>
      </w:r>
      <w:r>
        <w:t xml:space="preserve"> </w:t>
      </w:r>
      <w:r>
        <w:t xml:space="preserve">preparation) sets out a procedure for authorising the placing on the market and use of feed</w:t>
      </w:r>
      <w:r>
        <w:t xml:space="preserve"> </w:t>
      </w:r>
      <w:r>
        <w:t xml:space="preserve">additives, while Regulation 429/2008 (discussions on amendments to this Regulation are</w:t>
      </w:r>
      <w:r>
        <w:t xml:space="preserve"> </w:t>
      </w:r>
      <w:r>
        <w:t xml:space="preserve">ongoing) provides detailed rules for the implementation of Regulation 1831/2003. Regulation</w:t>
      </w:r>
      <w:r>
        <w:t xml:space="preserve"> </w:t>
      </w:r>
      <w:r>
        <w:t xml:space="preserve">1831/2003 also lays down rules for the supervision and labelling of feed additives and</w:t>
      </w:r>
    </w:p>
    <w:p>
      <w:pPr>
        <w:pStyle w:val="BodyText"/>
      </w:pPr>
      <w:r>
        <w:t xml:space="preserve">546</w:t>
      </w:r>
    </w:p>
    <w:p>
      <w:pPr>
        <w:pStyle w:val="BodyText"/>
      </w:pPr>
      <w:r>
        <w:t xml:space="preserve">premixtures. Finally, Regulation 2019/4 sets out specific provisions regarding medicated feed</w:t>
      </w:r>
      <w:r>
        <w:t xml:space="preserve"> </w:t>
      </w:r>
      <w:r>
        <w:t xml:space="preserve">and intermediate products.</w:t>
      </w:r>
      <w:r>
        <w:br/>
      </w:r>
      <w:r>
        <w:t xml:space="preserve">Furthermore, two legal acts identified by search were excluded from the analysis. It is</w:t>
      </w:r>
      <w:r>
        <w:t xml:space="preserve"> </w:t>
      </w:r>
      <w:r>
        <w:t xml:space="preserve">Directive 2002/32 on undesirable substances in feed and Regulation 183/2005 on feed</w:t>
      </w:r>
      <w:r>
        <w:t xml:space="preserve"> </w:t>
      </w:r>
      <w:r>
        <w:t xml:space="preserve">hygiene. According to Article 2(l) of the Directive 2002/32, undesirable substance is “any</w:t>
      </w:r>
      <w:r>
        <w:t xml:space="preserve"> </w:t>
      </w:r>
      <w:r>
        <w:t xml:space="preserve">substance or product, with the exception of pathogenic agents, which is present in and/or on</w:t>
      </w:r>
      <w:r>
        <w:t xml:space="preserve"> </w:t>
      </w:r>
      <w:r>
        <w:t xml:space="preserve">the product intended for animal feed and which presents a potential danger to animal or</w:t>
      </w:r>
      <w:r>
        <w:t xml:space="preserve"> </w:t>
      </w:r>
      <w:r>
        <w:t xml:space="preserve">human health or to the environment or could adversely affect livestock production”.</w:t>
      </w:r>
      <w:r>
        <w:t xml:space="preserve"> </w:t>
      </w:r>
      <w:r>
        <w:t xml:space="preserve">Undesirable substances may occur in feed products in different ways, e.g., because of</w:t>
      </w:r>
      <w:r>
        <w:t xml:space="preserve"> </w:t>
      </w:r>
      <w:r>
        <w:t xml:space="preserve">environmental or other contamination in food and feed chain. However, these substances are</w:t>
      </w:r>
      <w:r>
        <w:t xml:space="preserve"> </w:t>
      </w:r>
      <w:r>
        <w:t xml:space="preserve">not intentionally added to feed products; therefore, they are out of the scope of this analysis.</w:t>
      </w:r>
      <w:r>
        <w:t xml:space="preserve"> </w:t>
      </w:r>
      <w:r>
        <w:t xml:space="preserve">Regulation 183/2005 lays down the general rules for feed hygiene that is understood as “the</w:t>
      </w:r>
      <w:r>
        <w:t xml:space="preserve"> </w:t>
      </w:r>
      <w:r>
        <w:t xml:space="preserve">measures and conditions necessary to control hazards and to ensure fitness for animal</w:t>
      </w:r>
      <w:r>
        <w:t xml:space="preserve"> </w:t>
      </w:r>
      <w:r>
        <w:t xml:space="preserve">consumption of a feed, taking into account its intended use” (Article 3(a), Regulation</w:t>
      </w:r>
      <w:r>
        <w:t xml:space="preserve"> </w:t>
      </w:r>
      <w:r>
        <w:t xml:space="preserve">183/2005). However, hazard control is associated with specific operations by feed businesses</w:t>
      </w:r>
      <w:r>
        <w:t xml:space="preserve"> </w:t>
      </w:r>
      <w:r>
        <w:t xml:space="preserve">that may cause hazards (e.g., contamination of feed): “Feed business operators responsible</w:t>
      </w:r>
      <w:r>
        <w:t xml:space="preserve"> </w:t>
      </w:r>
      <w:r>
        <w:t xml:space="preserve">for primary production of feed shall ensure that operations are managed and carried out in</w:t>
      </w:r>
      <w:r>
        <w:t xml:space="preserve"> </w:t>
      </w:r>
      <w:r>
        <w:t xml:space="preserve">such a way as to prevent, eliminate or minimise hazards with the potential to compromise</w:t>
      </w:r>
      <w:r>
        <w:t xml:space="preserve"> </w:t>
      </w:r>
      <w:r>
        <w:t xml:space="preserve">feed safety” (Regulation183/2005, Annex 1, Part A, Section I). However, the Regulation</w:t>
      </w:r>
      <w:r>
        <w:t xml:space="preserve"> </w:t>
      </w:r>
      <w:r>
        <w:t xml:space="preserve">183/2005 does not address hazards of chemical substances/mixtures; therefore, it is out of the</w:t>
      </w:r>
      <w:r>
        <w:t xml:space="preserve"> </w:t>
      </w:r>
      <w:r>
        <w:t xml:space="preserve">scope of this study.</w:t>
      </w:r>
      <w:r>
        <w:t xml:space="preserve"> </w:t>
      </w:r>
      <w:r>
        <w:t xml:space="preserve">Identification and classification of environmental hazards</w:t>
      </w:r>
      <w:r>
        <w:t xml:space="preserve"> </w:t>
      </w:r>
      <w:r>
        <w:t xml:space="preserve">Regulation 178/2002 on food law lays out general requirements to risk analysis and</w:t>
      </w:r>
      <w:r>
        <w:t xml:space="preserve"> </w:t>
      </w:r>
      <w:r>
        <w:t xml:space="preserve">assessment of food. However, it explicitly mentions the protection of human health and life</w:t>
      </w:r>
      <w:r>
        <w:t xml:space="preserve"> </w:t>
      </w:r>
      <w:r>
        <w:t xml:space="preserve">as an objective to be reached through these actions (Article 6). Other food legislation</w:t>
      </w:r>
      <w:r>
        <w:t xml:space="preserve"> </w:t>
      </w:r>
      <w:r>
        <w:t xml:space="preserve">mentions environmental factors in different contexts (see Table 169).</w:t>
      </w:r>
    </w:p>
    <w:p>
      <w:pPr>
        <w:pStyle w:val="BodyText"/>
      </w:pPr>
      <w:r>
        <w:t xml:space="preserve">547</w:t>
      </w:r>
    </w:p>
    <w:p>
      <w:pPr>
        <w:pStyle w:val="BodyText"/>
      </w:pPr>
      <w:r>
        <w:t xml:space="preserve">Table 170: Provisions regarding identification and classification of environmental hazards in food</w:t>
      </w:r>
      <w:r>
        <w:t xml:space="preserve"> </w:t>
      </w:r>
      <w:r>
        <w:t xml:space="preserve">Legislation</w:t>
      </w:r>
      <w:r>
        <w:t xml:space="preserve"> </w:t>
      </w:r>
      <w:r>
        <w:t xml:space="preserve">Provisions</w:t>
      </w:r>
      <w:r>
        <w:t xml:space="preserve"> </w:t>
      </w:r>
      <w:r>
        <w:t xml:space="preserve">General food legislation</w:t>
      </w:r>
      <w:r>
        <w:t xml:space="preserve"> </w:t>
      </w:r>
      <w:r>
        <w:t xml:space="preserve">Regulation</w:t>
      </w:r>
      <w:r>
        <w:t xml:space="preserve"> </w:t>
      </w:r>
      <w:r>
        <w:t xml:space="preserve">on</w:t>
      </w:r>
      <w:r>
        <w:t xml:space="preserve"> </w:t>
      </w:r>
      <w:r>
        <w:t xml:space="preserve">Food</w:t>
      </w:r>
      <w:r>
        <w:t xml:space="preserve"> </w:t>
      </w:r>
      <w:r>
        <w:t xml:space="preserve">Law</w:t>
      </w:r>
      <w:r>
        <w:t xml:space="preserve"> </w:t>
      </w:r>
      <w:r>
        <w:t xml:space="preserve">178/2002</w:t>
      </w:r>
      <w:r>
        <w:t xml:space="preserve"> </w:t>
      </w:r>
      <w:r>
        <w:t xml:space="preserve">Article 14 lays out general food safety requirements. Pursuant to Article 14(1), food</w:t>
      </w:r>
      <w:r>
        <w:t xml:space="preserve"> </w:t>
      </w:r>
      <w:r>
        <w:t xml:space="preserve">shall not be placed on the market if it is unsafe.</w:t>
      </w:r>
      <w:r>
        <w:t xml:space="preserve"> </w:t>
      </w:r>
      <w:r>
        <w:t xml:space="preserve">Regulation</w:t>
      </w:r>
      <w:r>
        <w:t xml:space="preserve"> </w:t>
      </w:r>
      <w:r>
        <w:t xml:space="preserve">1829/2003</w:t>
      </w:r>
      <w:r>
        <w:t xml:space="preserve"> </w:t>
      </w:r>
      <w:r>
        <w:t xml:space="preserve">on</w:t>
      </w:r>
      <w:r>
        <w:t xml:space="preserve"> </w:t>
      </w:r>
      <w:r>
        <w:t xml:space="preserve">genetically</w:t>
      </w:r>
      <w:r>
        <w:t xml:space="preserve"> </w:t>
      </w:r>
      <w:r>
        <w:t xml:space="preserve">modified</w:t>
      </w:r>
      <w:r>
        <w:t xml:space="preserve"> </w:t>
      </w:r>
      <w:r>
        <w:t xml:space="preserve">food</w:t>
      </w:r>
      <w:r>
        <w:t xml:space="preserve"> </w:t>
      </w:r>
      <w:r>
        <w:t xml:space="preserve">and feed</w:t>
      </w:r>
      <w:r>
        <w:t xml:space="preserve"> </w:t>
      </w:r>
      <w:r>
        <w:t xml:space="preserve">Article 4(1) specifies that</w:t>
      </w:r>
      <w:r>
        <w:br/>
      </w:r>
      <w:r>
        <w:t xml:space="preserve">(a) food referred to in Article 3(1) must not have adverse effects on human health,</w:t>
      </w:r>
      <w:r>
        <w:t xml:space="preserve"> </w:t>
      </w:r>
      <w:r>
        <w:t xml:space="preserve">animal health or the environment.</w:t>
      </w:r>
      <w:r>
        <w:t xml:space="preserve"> </w:t>
      </w:r>
      <w:r>
        <w:t xml:space="preserve">no person shall place on the market a GMO for food use or food referred to in Article</w:t>
      </w:r>
      <w:r>
        <w:t xml:space="preserve"> </w:t>
      </w:r>
      <w:r>
        <w:t xml:space="preserve">3(1) unless it is covered by an authorisation granted in accordance with this Section and</w:t>
      </w:r>
      <w:r>
        <w:t xml:space="preserve"> </w:t>
      </w:r>
      <w:r>
        <w:t xml:space="preserve">the relevant conditions of the authorisation are satisfied;</w:t>
      </w:r>
      <w:r>
        <w:t xml:space="preserve"> </w:t>
      </w:r>
      <w:r>
        <w:t xml:space="preserve">no GMO for food use or food referred to in Article 3(1) shall be authorised unless the</w:t>
      </w:r>
      <w:r>
        <w:t xml:space="preserve"> </w:t>
      </w:r>
      <w:r>
        <w:t xml:space="preserve">applicant for such authorisation has adequately and sufficiently demonstrated that it</w:t>
      </w:r>
      <w:r>
        <w:t xml:space="preserve"> </w:t>
      </w:r>
      <w:r>
        <w:t xml:space="preserve">satisfies the requirements of paragraph 1 of this Article.</w:t>
      </w:r>
      <w:r>
        <w:t xml:space="preserve"> </w:t>
      </w:r>
      <w:r>
        <w:t xml:space="preserve">Article 5 lays out provisions for applications for authorisations. Article 5(5) specifies</w:t>
      </w:r>
      <w:r>
        <w:t xml:space="preserve"> </w:t>
      </w:r>
      <w:r>
        <w:t xml:space="preserve">that in the case of GMOs or food containing or consisting of GMOs, the application shall</w:t>
      </w:r>
      <w:r>
        <w:t xml:space="preserve"> </w:t>
      </w:r>
      <w:r>
        <w:t xml:space="preserve">also be accompanied by:</w:t>
      </w:r>
      <w:r>
        <w:t xml:space="preserve"> </w:t>
      </w:r>
      <w:r>
        <w:t xml:space="preserve">the complete technical dossier supplying the information required by Annexes III</w:t>
      </w:r>
      <w:r>
        <w:t xml:space="preserve"> </w:t>
      </w:r>
      <w:r>
        <w:t xml:space="preserve">and IV to Directive 2001/18/EC and information and conclusions about the risk</w:t>
      </w:r>
      <w:r>
        <w:t xml:space="preserve"> </w:t>
      </w:r>
      <w:r>
        <w:t xml:space="preserve">assessment carried out in accordance with the principles set out in Annex II to Directive</w:t>
      </w:r>
      <w:r>
        <w:t xml:space="preserve"> </w:t>
      </w:r>
      <w:r>
        <w:t xml:space="preserve">2001/18/EC or, where the placing on the market of the GMO has been authorised under</w:t>
      </w:r>
      <w:r>
        <w:t xml:space="preserve"> </w:t>
      </w:r>
      <w:r>
        <w:t xml:space="preserve">part C of Directive 2001/18/EC, a copy of the authorisation decision;</w:t>
      </w:r>
      <w:r>
        <w:t xml:space="preserve"> </w:t>
      </w:r>
      <w:r>
        <w:t xml:space="preserve">a monitoring plan for environmental effects conforming with Annex VII to Directive</w:t>
      </w:r>
      <w:r>
        <w:t xml:space="preserve"> </w:t>
      </w:r>
      <w:r>
        <w:t xml:space="preserve">2001/18/EC, including a proposal for the duration of the monitoring plan; this duration</w:t>
      </w:r>
      <w:r>
        <w:t xml:space="preserve"> </w:t>
      </w:r>
      <w:r>
        <w:t xml:space="preserve">may be different from the proposed period for the consent.</w:t>
      </w:r>
      <w:r>
        <w:t xml:space="preserve"> </w:t>
      </w:r>
      <w:r>
        <w:t xml:space="preserve">Regulation</w:t>
      </w:r>
      <w:r>
        <w:t xml:space="preserve"> </w:t>
      </w:r>
      <w:r>
        <w:t xml:space="preserve">1830/2003</w:t>
      </w:r>
      <w:r>
        <w:t xml:space="preserve"> </w:t>
      </w:r>
      <w:r>
        <w:t xml:space="preserve">on</w:t>
      </w:r>
      <w:r>
        <w:t xml:space="preserve"> </w:t>
      </w:r>
      <w:r>
        <w:t xml:space="preserve">traceability and</w:t>
      </w:r>
      <w:r>
        <w:t xml:space="preserve"> </w:t>
      </w:r>
      <w:r>
        <w:t xml:space="preserve">labelling</w:t>
      </w:r>
      <w:r>
        <w:t xml:space="preserve"> </w:t>
      </w:r>
      <w:r>
        <w:t xml:space="preserve">of</w:t>
      </w:r>
      <w:r>
        <w:t xml:space="preserve"> </w:t>
      </w:r>
      <w:r>
        <w:t xml:space="preserve">GMO in food</w:t>
      </w:r>
      <w:r>
        <w:t xml:space="preserve"> </w:t>
      </w:r>
      <w:r>
        <w:t xml:space="preserve">and feed</w:t>
      </w:r>
      <w:r>
        <w:t xml:space="preserve"> </w:t>
      </w:r>
      <w:r>
        <w:t xml:space="preserve">N/A</w:t>
      </w:r>
      <w:r>
        <w:t xml:space="preserve"> </w:t>
      </w:r>
      <w:r>
        <w:t xml:space="preserve">Specific food legislation</w:t>
      </w:r>
      <w:r>
        <w:t xml:space="preserve"> </w:t>
      </w:r>
      <w:r>
        <w:t xml:space="preserve">Regulation</w:t>
      </w:r>
      <w:r>
        <w:t xml:space="preserve"> </w:t>
      </w:r>
      <w:r>
        <w:t xml:space="preserve">2015/2283</w:t>
      </w:r>
      <w:r>
        <w:t xml:space="preserve"> </w:t>
      </w:r>
      <w:r>
        <w:t xml:space="preserve">on</w:t>
      </w:r>
      <w:r>
        <w:t xml:space="preserve"> </w:t>
      </w:r>
      <w:r>
        <w:t xml:space="preserve">novel foods</w:t>
      </w:r>
      <w:r>
        <w:t xml:space="preserve"> </w:t>
      </w:r>
      <w:r>
        <w:t xml:space="preserve">Recital (2): A high level of protection of human health and of consumers’ interests and</w:t>
      </w:r>
      <w:r>
        <w:t xml:space="preserve"> </w:t>
      </w:r>
      <w:r>
        <w:t xml:space="preserve">the effective functioning of the internal market needs to be assured in the pursuit of</w:t>
      </w:r>
      <w:r>
        <w:t xml:space="preserve"> </w:t>
      </w:r>
      <w:r>
        <w:t xml:space="preserve">Union food policies, whilst ensuring transparency. A high level of protection and</w:t>
      </w:r>
      <w:r>
        <w:t xml:space="preserve"> </w:t>
      </w:r>
      <w:r>
        <w:t xml:space="preserve">improvement of the quality of the environment are among the objectives of the Union</w:t>
      </w:r>
      <w:r>
        <w:t xml:space="preserve"> </w:t>
      </w:r>
      <w:r>
        <w:t xml:space="preserve">as established in the Treaty on European Union (TEU). It is important that all relevant</w:t>
      </w:r>
      <w:r>
        <w:t xml:space="preserve"> </w:t>
      </w:r>
      <w:r>
        <w:t xml:space="preserve">Union legislation, including this Regulation, take those objectives into account.</w:t>
      </w:r>
      <w:r>
        <w:t xml:space="preserve"> </w:t>
      </w:r>
      <w:r>
        <w:t xml:space="preserve">Recital (29): New technologies and innovations in food production should be</w:t>
      </w:r>
      <w:r>
        <w:t xml:space="preserve"> </w:t>
      </w:r>
      <w:r>
        <w:t xml:space="preserve">encouraged as they could reduce the environmental impact of food production,</w:t>
      </w:r>
      <w:r>
        <w:t xml:space="preserve"> </w:t>
      </w:r>
      <w:r>
        <w:t xml:space="preserve">enhance food security and bring benefits to consumers as long as the high level of</w:t>
      </w:r>
      <w:r>
        <w:t xml:space="preserve"> </w:t>
      </w:r>
      <w:r>
        <w:t xml:space="preserve">consumer protection is ensured.</w:t>
      </w:r>
      <w:r>
        <w:t xml:space="preserve"> </w:t>
      </w:r>
      <w:r>
        <w:t xml:space="preserve">Traditional</w:t>
      </w:r>
      <w:r>
        <w:br/>
      </w:r>
      <w:r>
        <w:t xml:space="preserve">foods</w:t>
      </w:r>
      <w:r>
        <w:t xml:space="preserve"> </w:t>
      </w:r>
      <w:r>
        <w:t xml:space="preserve">Regulation</w:t>
      </w:r>
      <w:r>
        <w:t xml:space="preserve"> </w:t>
      </w:r>
      <w:r>
        <w:t xml:space="preserve">2017/2468</w:t>
      </w:r>
      <w:r>
        <w:t xml:space="preserve"> </w:t>
      </w:r>
      <w:r>
        <w:t xml:space="preserve">The Regulation does not contain any explicit links to the assessment of the</w:t>
      </w:r>
      <w:r>
        <w:t xml:space="preserve"> </w:t>
      </w:r>
      <w:r>
        <w:t xml:space="preserve">environmental risks. Only health risks to consumers are considered in the Regulation.</w:t>
      </w:r>
      <w:r>
        <w:t xml:space="preserve"> </w:t>
      </w:r>
      <w:r>
        <w:t xml:space="preserve">Regulation</w:t>
      </w:r>
      <w:r>
        <w:t xml:space="preserve"> </w:t>
      </w:r>
      <w:r>
        <w:t xml:space="preserve">2017/2469</w:t>
      </w:r>
      <w:r>
        <w:t xml:space="preserve"> </w:t>
      </w:r>
      <w:r>
        <w:t xml:space="preserve">on</w:t>
      </w:r>
      <w:r>
        <w:t xml:space="preserve"> </w:t>
      </w:r>
      <w:r>
        <w:t xml:space="preserve">requirements for</w:t>
      </w:r>
      <w:r>
        <w:t xml:space="preserve"> </w:t>
      </w:r>
      <w:r>
        <w:t xml:space="preserve">novel</w:t>
      </w:r>
      <w:r>
        <w:t xml:space="preserve"> </w:t>
      </w:r>
      <w:r>
        <w:t xml:space="preserve">foods</w:t>
      </w:r>
      <w:r>
        <w:t xml:space="preserve"> </w:t>
      </w:r>
      <w:r>
        <w:t xml:space="preserve">applications</w:t>
      </w:r>
      <w:r>
        <w:t xml:space="preserve"> </w:t>
      </w:r>
      <w:r>
        <w:t xml:space="preserve">The Regulation does not contain any explicit links to the assessment of the</w:t>
      </w:r>
      <w:r>
        <w:t xml:space="preserve"> </w:t>
      </w:r>
      <w:r>
        <w:t xml:space="preserve">environmental risks. Only health risks to consumers are considered in the Regulation.</w:t>
      </w:r>
      <w:r>
        <w:t xml:space="preserve"> </w:t>
      </w:r>
      <w:r>
        <w:t xml:space="preserve">Regulation on a</w:t>
      </w:r>
      <w:r>
        <w:t xml:space="preserve"> </w:t>
      </w:r>
      <w:r>
        <w:t xml:space="preserve">Recital (14): It is recognised that, in some cases, scientific risk assessment alone</w:t>
      </w:r>
    </w:p>
    <w:p>
      <w:pPr>
        <w:pStyle w:val="BodyText"/>
      </w:pPr>
      <w:r>
        <w:t xml:space="preserve">548</w:t>
      </w:r>
    </w:p>
    <w:p>
      <w:pPr>
        <w:pStyle w:val="BodyText"/>
      </w:pPr>
      <w:r>
        <w:t xml:space="preserve">Table 170: Provisions regarding identification and classification of environmental hazards in food</w:t>
      </w:r>
      <w:r>
        <w:t xml:space="preserve"> </w:t>
      </w:r>
      <w:r>
        <w:t xml:space="preserve">Legislation</w:t>
      </w:r>
      <w:r>
        <w:t xml:space="preserve"> </w:t>
      </w:r>
      <w:r>
        <w:t xml:space="preserve">Provisions</w:t>
      </w:r>
      <w:r>
        <w:t xml:space="preserve"> </w:t>
      </w:r>
      <w:r>
        <w:t xml:space="preserve">General food legislation</w:t>
      </w:r>
      <w:r>
        <w:t xml:space="preserve"> </w:t>
      </w:r>
      <w:r>
        <w:t xml:space="preserve">common</w:t>
      </w:r>
      <w:r>
        <w:t xml:space="preserve"> </w:t>
      </w:r>
      <w:r>
        <w:t xml:space="preserve">authorisation</w:t>
      </w:r>
      <w:r>
        <w:t xml:space="preserve"> </w:t>
      </w:r>
      <w:r>
        <w:t xml:space="preserve">procedure</w:t>
      </w:r>
      <w:r>
        <w:t xml:space="preserve"> </w:t>
      </w:r>
      <w:r>
        <w:t xml:space="preserve">1331/2008</w:t>
      </w:r>
      <w:r>
        <w:t xml:space="preserve"> </w:t>
      </w:r>
      <w:r>
        <w:t xml:space="preserve">cannot provide all the information on which a risk management decision should be</w:t>
      </w:r>
      <w:r>
        <w:t xml:space="preserve"> </w:t>
      </w:r>
      <w:r>
        <w:t xml:space="preserve">based, and that other legitimate factors relevant to the matter under consideration</w:t>
      </w:r>
      <w:r>
        <w:t xml:space="preserve"> </w:t>
      </w:r>
      <w:r>
        <w:t xml:space="preserve">may be taken into account, including societal, economic, traditional, ethical and</w:t>
      </w:r>
      <w:r>
        <w:t xml:space="preserve"> </w:t>
      </w:r>
      <w:r>
        <w:t xml:space="preserve">environmental factors and the feasibility of controls.</w:t>
      </w:r>
      <w:r>
        <w:t xml:space="preserve"> </w:t>
      </w:r>
      <w:r>
        <w:t xml:space="preserve">Food Additives’</w:t>
      </w:r>
      <w:r>
        <w:t xml:space="preserve"> </w:t>
      </w:r>
      <w:r>
        <w:t xml:space="preserve">Regulation</w:t>
      </w:r>
      <w:r>
        <w:t xml:space="preserve"> </w:t>
      </w:r>
      <w:r>
        <w:t xml:space="preserve">1333/2008</w:t>
      </w:r>
      <w:r>
        <w:t xml:space="preserve"> </w:t>
      </w:r>
      <w:r>
        <w:t xml:space="preserve">Article 4(1) specifies that only food additives included in the Community list in</w:t>
      </w:r>
      <w:r>
        <w:t xml:space="preserve"> </w:t>
      </w:r>
      <w:r>
        <w:t xml:space="preserve">Annex II may be placed on the market as such and used in foods under the conditions of</w:t>
      </w:r>
      <w:r>
        <w:t xml:space="preserve"> </w:t>
      </w:r>
      <w:r>
        <w:t xml:space="preserve">use specified therein.</w:t>
      </w:r>
      <w:r>
        <w:t xml:space="preserve"> </w:t>
      </w:r>
      <w:r>
        <w:t xml:space="preserve">Article 4(2) provides that only food additives included in the Community list in</w:t>
      </w:r>
      <w:r>
        <w:t xml:space="preserve"> </w:t>
      </w:r>
      <w:r>
        <w:t xml:space="preserve">Annex III may be used in food additives, in food enzymes and in food flavourings under</w:t>
      </w:r>
      <w:r>
        <w:t xml:space="preserve"> </w:t>
      </w:r>
      <w:r>
        <w:t xml:space="preserve">the conditions of use specified therein.</w:t>
      </w:r>
    </w:p>
    <w:p>
      <w:pPr>
        <w:pStyle w:val="BodyText"/>
      </w:pPr>
      <w:r>
        <w:t xml:space="preserve">Pursuant to Article 6(1), a food additive may be included in the Community lists in</w:t>
      </w:r>
      <w:r>
        <w:t xml:space="preserve"> </w:t>
      </w:r>
      <w:r>
        <w:t xml:space="preserve">Annexes II and III only if it meets the following conditions and, where relevant, other</w:t>
      </w:r>
      <w:r>
        <w:t xml:space="preserve"> </w:t>
      </w:r>
      <w:r>
        <w:t xml:space="preserve">legitimate factors, including environmental factors:</w:t>
      </w:r>
      <w:r>
        <w:t xml:space="preserve"> </w:t>
      </w:r>
      <w:r>
        <w:t xml:space="preserve">(a) it does not, on the basis of the scientific evidence available, pose a safety concern to</w:t>
      </w:r>
      <w:r>
        <w:t xml:space="preserve"> </w:t>
      </w:r>
      <w:r>
        <w:t xml:space="preserve">the health of the consumer at the level of use proposed;</w:t>
      </w:r>
      <w:r>
        <w:t xml:space="preserve"> </w:t>
      </w:r>
      <w:r>
        <w:t xml:space="preserve">(b) there is a reasonable technological need that cannot be achieved by other</w:t>
      </w:r>
      <w:r>
        <w:t xml:space="preserve"> </w:t>
      </w:r>
      <w:r>
        <w:t xml:space="preserve">economically and technologically practicable means; and</w:t>
      </w:r>
      <w:r>
        <w:t xml:space="preserve"> </w:t>
      </w:r>
      <w:r>
        <w:t xml:space="preserve">(c) its use does not mislead the consumer.</w:t>
      </w:r>
      <w:r>
        <w:t xml:space="preserve"> </w:t>
      </w:r>
      <w:r>
        <w:t xml:space="preserve">Food</w:t>
      </w:r>
      <w:r>
        <w:t xml:space="preserve"> </w:t>
      </w:r>
      <w:r>
        <w:t xml:space="preserve">Flavourings’</w:t>
      </w:r>
      <w:r>
        <w:t xml:space="preserve"> </w:t>
      </w:r>
      <w:r>
        <w:t xml:space="preserve">Regulation</w:t>
      </w:r>
      <w:r>
        <w:t xml:space="preserve"> </w:t>
      </w:r>
      <w:r>
        <w:t xml:space="preserve">1334/2008</w:t>
      </w:r>
      <w:r>
        <w:t xml:space="preserve"> </w:t>
      </w:r>
      <w:r>
        <w:t xml:space="preserve">The Regulation does not contain any explicit links to the assessment of the</w:t>
      </w:r>
      <w:r>
        <w:t xml:space="preserve"> </w:t>
      </w:r>
      <w:r>
        <w:t xml:space="preserve">environmental risks. Only health risks to consumers are considered in the Regulation.</w:t>
      </w:r>
      <w:r>
        <w:t xml:space="preserve"> </w:t>
      </w:r>
      <w:r>
        <w:t xml:space="preserve">Food Enzymes</w:t>
      </w:r>
      <w:r>
        <w:t xml:space="preserve"> </w:t>
      </w:r>
      <w:r>
        <w:t xml:space="preserve">Regulation</w:t>
      </w:r>
      <w:r>
        <w:t xml:space="preserve"> </w:t>
      </w:r>
      <w:r>
        <w:t xml:space="preserve">1332/2008</w:t>
      </w:r>
      <w:r>
        <w:t xml:space="preserve"> </w:t>
      </w:r>
      <w:r>
        <w:t xml:space="preserve">Recital (6): Food enzymes should be approved and used only if they fulfil the criteria</w:t>
      </w:r>
      <w:r>
        <w:t xml:space="preserve"> </w:t>
      </w:r>
      <w:r>
        <w:t xml:space="preserve">laid down in this Regulation. Food enzymes must be safe when used, there must be a</w:t>
      </w:r>
      <w:r>
        <w:t xml:space="preserve"> </w:t>
      </w:r>
      <w:r>
        <w:t xml:space="preserve">technological need for their use and their use must not mislead the consumer. Misleading</w:t>
      </w:r>
      <w:r>
        <w:t xml:space="preserve"> </w:t>
      </w:r>
      <w:r>
        <w:t xml:space="preserve">the consumer includes, but is not limited to, issues related to the nature, freshness,</w:t>
      </w:r>
      <w:r>
        <w:t xml:space="preserve"> </w:t>
      </w:r>
      <w:r>
        <w:t xml:space="preserve">quality of ingredients used, the naturalness of a product or of the production process, or</w:t>
      </w:r>
      <w:r>
        <w:t xml:space="preserve"> </w:t>
      </w:r>
      <w:r>
        <w:t xml:space="preserve">the nutritional quality of the product. The approval of food enzymes should also take</w:t>
      </w:r>
      <w:r>
        <w:t xml:space="preserve"> </w:t>
      </w:r>
      <w:r>
        <w:t xml:space="preserve">into account other factors relevant to the matter under consideration including societal,</w:t>
      </w:r>
      <w:r>
        <w:t xml:space="preserve"> </w:t>
      </w:r>
      <w:r>
        <w:t xml:space="preserve">economic, traditional, ethical and environmental factors, the precautionary principle</w:t>
      </w:r>
      <w:r>
        <w:t xml:space="preserve"> </w:t>
      </w:r>
      <w:r>
        <w:t xml:space="preserve">and the feasibility of controls.</w:t>
      </w:r>
    </w:p>
    <w:p>
      <w:pPr>
        <w:pStyle w:val="BodyText"/>
      </w:pPr>
      <w:r>
        <w:t xml:space="preserve">Regulation 1829/2003 requires genetically modified food and feed to be safe for the</w:t>
      </w:r>
      <w:r>
        <w:t xml:space="preserve"> </w:t>
      </w:r>
      <w:r>
        <w:t xml:space="preserve">environment. The authorisation dossiers must contain environmental risk assessment and</w:t>
      </w:r>
      <w:r>
        <w:t xml:space="preserve"> </w:t>
      </w:r>
      <w:r>
        <w:t xml:space="preserve">monitoring plans for environmental effects in accordance with this legal act.</w:t>
      </w:r>
      <w:r>
        <w:t xml:space="preserve"> </w:t>
      </w:r>
      <w:r>
        <w:t xml:space="preserve">Regulation 2015/2283 on novel foods refers to the goal of a high level of protection of the</w:t>
      </w:r>
      <w:r>
        <w:t xml:space="preserve"> </w:t>
      </w:r>
      <w:r>
        <w:t xml:space="preserve">environment in recitals, however, protection of the environment is not referenced elsewhere</w:t>
      </w:r>
      <w:r>
        <w:t xml:space="preserve"> </w:t>
      </w:r>
      <w:r>
        <w:t xml:space="preserve">in this regulation. In a similar vein, there are no references to the protection of the</w:t>
      </w:r>
      <w:r>
        <w:t xml:space="preserve"> </w:t>
      </w:r>
      <w:r>
        <w:t xml:space="preserve">environment in other legal acts regulating novel foods (i.e. Regulations 2017/2468 and</w:t>
      </w:r>
      <w:r>
        <w:t xml:space="preserve"> </w:t>
      </w:r>
      <w:r>
        <w:t xml:space="preserve">2017/2469).</w:t>
      </w:r>
      <w:r>
        <w:t xml:space="preserve"> </w:t>
      </w:r>
      <w:r>
        <w:t xml:space="preserve">Regulation on a common authorisation procedure 1331/2008 specifies in the recital part that</w:t>
      </w:r>
      <w:r>
        <w:t xml:space="preserve"> </w:t>
      </w:r>
      <w:r>
        <w:t xml:space="preserve">environmental factors may be considered where relevant. The same references are found in</w:t>
      </w:r>
      <w:r>
        <w:t xml:space="preserve"> </w:t>
      </w:r>
      <w:r>
        <w:t xml:space="preserve">Food Additives’ (1333/2008) and Food Enzymes Regulations (1332/2008). Other food legal</w:t>
      </w:r>
    </w:p>
    <w:p>
      <w:pPr>
        <w:pStyle w:val="BodyText"/>
      </w:pPr>
      <w:r>
        <w:t xml:space="preserve">549</w:t>
      </w:r>
    </w:p>
    <w:p>
      <w:pPr>
        <w:pStyle w:val="BodyText"/>
      </w:pPr>
      <w:r>
        <w:t xml:space="preserve">acts do not contain explicit links to the environment and identification of the environmental</w:t>
      </w:r>
      <w:r>
        <w:t xml:space="preserve"> </w:t>
      </w:r>
      <w:r>
        <w:t xml:space="preserve">hazards.</w:t>
      </w:r>
      <w:r>
        <w:t xml:space="preserve"> </w:t>
      </w:r>
      <w:r>
        <w:t xml:space="preserve">Animal Feed Regulation 767/2009 explicitly states that only feed that does not have a direct</w:t>
      </w:r>
      <w:r>
        <w:t xml:space="preserve"> </w:t>
      </w:r>
      <w:r>
        <w:t xml:space="preserve">adverse effect on the environment or animal welfare can be placed on the market (Article</w:t>
      </w:r>
      <w:r>
        <w:t xml:space="preserve"> </w:t>
      </w:r>
      <w:r>
        <w:t xml:space="preserve">4(1)). Annex III provides a list of restricted or prohibited materials for use for animal</w:t>
      </w:r>
      <w:r>
        <w:t xml:space="preserve"> </w:t>
      </w:r>
      <w:r>
        <w:t xml:space="preserve">nutritional purposes. In turn, feed intended for particular nutritional purposes may only be</w:t>
      </w:r>
      <w:r>
        <w:t xml:space="preserve"> </w:t>
      </w:r>
      <w:r>
        <w:t xml:space="preserve">marketed as such if its intended use is included in the list of intended uses established by the</w:t>
      </w:r>
      <w:r>
        <w:t xml:space="preserve"> </w:t>
      </w:r>
      <w:r>
        <w:t xml:space="preserve">Commission in the Regulation (EU) 2020/354. The list can be updated by submitting to the</w:t>
      </w:r>
      <w:r>
        <w:t xml:space="preserve"> </w:t>
      </w:r>
      <w:r>
        <w:t xml:space="preserve">Commission an application demonstrating that a feed product has no adverse effects on</w:t>
      </w:r>
      <w:r>
        <w:t xml:space="preserve"> </w:t>
      </w:r>
      <w:r>
        <w:t xml:space="preserve">animal health, human health, the environment or animal welfare.</w:t>
      </w:r>
      <w:r>
        <w:t xml:space="preserve"> </w:t>
      </w:r>
      <w:r>
        <w:t xml:space="preserve">Feed legislation that regulates genetically modified organisms in the feed also sets a general</w:t>
      </w:r>
      <w:r>
        <w:t xml:space="preserve"> </w:t>
      </w:r>
      <w:r>
        <w:t xml:space="preserve">requirement for feed products to be safe and do not have adverse effects on human health,</w:t>
      </w:r>
      <w:r>
        <w:t xml:space="preserve"> </w:t>
      </w:r>
      <w:r>
        <w:t xml:space="preserve">animal health or the environment. The compliance with these requirements is to be proved by</w:t>
      </w:r>
      <w:r>
        <w:t xml:space="preserve"> </w:t>
      </w:r>
      <w:r>
        <w:t xml:space="preserve">the results of the risk assessment (including environmental risk assessment).</w:t>
      </w:r>
      <w:r>
        <w:t xml:space="preserve"> </w:t>
      </w:r>
      <w:r>
        <w:t xml:space="preserve">Table 171: Provisions regarding identification and classification of environmental hazards in animal feed</w:t>
      </w:r>
      <w:r>
        <w:t xml:space="preserve"> </w:t>
      </w:r>
      <w:r>
        <w:t xml:space="preserve">Legislation</w:t>
      </w:r>
      <w:r>
        <w:t xml:space="preserve"> </w:t>
      </w:r>
      <w:r>
        <w:t xml:space="preserve">Provisions</w:t>
      </w:r>
      <w:r>
        <w:t xml:space="preserve"> </w:t>
      </w:r>
      <w:r>
        <w:t xml:space="preserve">General feed legislation</w:t>
      </w:r>
      <w:r>
        <w:t xml:space="preserve"> </w:t>
      </w:r>
      <w:r>
        <w:t xml:space="preserve">Regulation</w:t>
      </w:r>
      <w:r>
        <w:t xml:space="preserve"> </w:t>
      </w:r>
      <w:r>
        <w:t xml:space="preserve">178/2002 on Food</w:t>
      </w:r>
      <w:r>
        <w:t xml:space="preserve"> </w:t>
      </w:r>
      <w:r>
        <w:t xml:space="preserve">Law</w:t>
      </w:r>
      <w:r>
        <w:br/>
      </w:r>
      <w:r>
        <w:t xml:space="preserve">Article 15 sets out general safety requirements for animal feed. According to Article</w:t>
      </w:r>
      <w:r>
        <w:t xml:space="preserve"> </w:t>
      </w:r>
      <w:r>
        <w:t xml:space="preserve">15(1), feed shall not be placed on the market or fed to any food-producing animal</w:t>
      </w:r>
      <w:r>
        <w:t xml:space="preserve"> </w:t>
      </w:r>
      <w:r>
        <w:t xml:space="preserve">if it is unsafe.</w:t>
      </w:r>
      <w:r>
        <w:t xml:space="preserve"> </w:t>
      </w:r>
      <w:r>
        <w:t xml:space="preserve">Animal</w:t>
      </w:r>
      <w:r>
        <w:t xml:space="preserve"> </w:t>
      </w:r>
      <w:r>
        <w:t xml:space="preserve">Feed</w:t>
      </w:r>
      <w:r>
        <w:t xml:space="preserve"> </w:t>
      </w:r>
      <w:r>
        <w:t xml:space="preserve">Regulation</w:t>
      </w:r>
      <w:r>
        <w:t xml:space="preserve"> </w:t>
      </w:r>
      <w:r>
        <w:t xml:space="preserve">767/2009</w:t>
      </w:r>
      <w:r>
        <w:t xml:space="preserve"> </w:t>
      </w:r>
      <w:r>
        <w:t xml:space="preserve">Article 4(1) lays out the requirements for animal feed to be placed on the market.</w:t>
      </w:r>
      <w:r>
        <w:t xml:space="preserve"> </w:t>
      </w:r>
      <w:r>
        <w:t xml:space="preserve">According to Article 4(1), feed may only be placed on the market and used if: (a) it is</w:t>
      </w:r>
      <w:r>
        <w:t xml:space="preserve"> </w:t>
      </w:r>
      <w:r>
        <w:t xml:space="preserve">safe, and (b) it does not have a direct adverse effect on the environment or animal</w:t>
      </w:r>
      <w:r>
        <w:t xml:space="preserve"> </w:t>
      </w:r>
      <w:r>
        <w:t xml:space="preserve">welfare.</w:t>
      </w:r>
      <w:r>
        <w:t xml:space="preserve"> </w:t>
      </w:r>
      <w:r>
        <w:t xml:space="preserve">The requirements set out in Article 15 of Regulation (EC) No 178/2002 shall apply,</w:t>
      </w:r>
      <w:r>
        <w:t xml:space="preserve"> </w:t>
      </w:r>
      <w:r>
        <w:t xml:space="preserve">mutatis mutandis, to feed for non-food producing animals</w:t>
      </w:r>
      <w:r>
        <w:t xml:space="preserve"> </w:t>
      </w:r>
      <w:r>
        <w:t xml:space="preserve">Pursuant to Article 6(1), feed shall not contain or consist of materials whose placing on</w:t>
      </w:r>
      <w:r>
        <w:t xml:space="preserve"> </w:t>
      </w:r>
      <w:r>
        <w:t xml:space="preserve">the market or use for animal nutritional purposes is restricted or prohibited. The list of</w:t>
      </w:r>
      <w:r>
        <w:t xml:space="preserve"> </w:t>
      </w:r>
      <w:r>
        <w:t xml:space="preserve">such materials is set out in Annex III.</w:t>
      </w:r>
      <w:r>
        <w:t xml:space="preserve"> </w:t>
      </w:r>
      <w:r>
        <w:t xml:space="preserve">Following Article 9, feed intended for particular nutritional purposes may only be</w:t>
      </w:r>
      <w:r>
        <w:t xml:space="preserve"> </w:t>
      </w:r>
      <w:r>
        <w:t xml:space="preserve">marketed as such if its intended use is included in the list of intended uses established</w:t>
      </w:r>
      <w:r>
        <w:t xml:space="preserve"> </w:t>
      </w:r>
      <w:r>
        <w:t xml:space="preserve">in accordance with Article 10 and if it meets the essential nutritional characteristics for</w:t>
      </w:r>
      <w:r>
        <w:t xml:space="preserve"> </w:t>
      </w:r>
      <w:r>
        <w:t xml:space="preserve">the respective particular nutritional purpose outlined in that list.</w:t>
      </w:r>
      <w:r>
        <w:t xml:space="preserve"> </w:t>
      </w:r>
      <w:r>
        <w:t xml:space="preserve">According to Article 10(2), the list of intended uses can be updated by the submission</w:t>
      </w:r>
      <w:r>
        <w:t xml:space="preserve"> </w:t>
      </w:r>
      <w:r>
        <w:t xml:space="preserve">to the Commission of an application by a natural or legal person established in the</w:t>
      </w:r>
      <w:r>
        <w:t xml:space="preserve"> </w:t>
      </w:r>
      <w:r>
        <w:t xml:space="preserve">Community or by a Member State. A valid application shall include a dossier</w:t>
      </w:r>
      <w:r>
        <w:t xml:space="preserve"> </w:t>
      </w:r>
      <w:r>
        <w:t xml:space="preserve">demonstrating that the specific composition of the feed fulfils the particular</w:t>
      </w:r>
      <w:r>
        <w:t xml:space="preserve"> </w:t>
      </w:r>
      <w:r>
        <w:t xml:space="preserve">intended nutritional purpose and that it has no adverse effects on animal health,</w:t>
      </w:r>
      <w:r>
        <w:t xml:space="preserve"> </w:t>
      </w:r>
      <w:r>
        <w:t xml:space="preserve">human health, the environment or animal welfare.</w:t>
      </w:r>
      <w:r>
        <w:t xml:space="preserve"> </w:t>
      </w:r>
      <w:r>
        <w:t xml:space="preserve">Regulation</w:t>
      </w:r>
      <w:r>
        <w:t xml:space="preserve"> </w:t>
      </w:r>
      <w:r>
        <w:t xml:space="preserve">1829/2003</w:t>
      </w:r>
      <w:r>
        <w:t xml:space="preserve"> </w:t>
      </w:r>
      <w:r>
        <w:t xml:space="preserve">on</w:t>
      </w:r>
      <w:r>
        <w:t xml:space="preserve"> </w:t>
      </w:r>
      <w:r>
        <w:t xml:space="preserve">genetically</w:t>
      </w:r>
      <w:r>
        <w:t xml:space="preserve"> </w:t>
      </w:r>
      <w:r>
        <w:t xml:space="preserve">modified food and</w:t>
      </w:r>
      <w:r>
        <w:t xml:space="preserve"> </w:t>
      </w:r>
      <w:r>
        <w:t xml:space="preserve">feed</w:t>
      </w:r>
      <w:r>
        <w:br/>
      </w:r>
      <w:r>
        <w:t xml:space="preserve">Article 16 specifies that:</w:t>
      </w:r>
      <w:r>
        <w:t xml:space="preserve"> </w:t>
      </w:r>
      <w:r>
        <w:t xml:space="preserve">Feed referred to in Article 15(1) must not: (a) have adverse effects on human health,</w:t>
      </w:r>
      <w:r>
        <w:t xml:space="preserve"> </w:t>
      </w:r>
      <w:r>
        <w:t xml:space="preserve">animal health or the environment;</w:t>
      </w:r>
      <w:r>
        <w:t xml:space="preserve"> </w:t>
      </w:r>
      <w:r>
        <w:t xml:space="preserve">No person shall place on the market, use or process a product referred to in Article</w:t>
      </w:r>
      <w:r>
        <w:t xml:space="preserve"> </w:t>
      </w:r>
      <w:r>
        <w:t xml:space="preserve">15(1) unless it is covered by an authorisation granted in accordance with this Section</w:t>
      </w:r>
      <w:r>
        <w:t xml:space="preserve"> </w:t>
      </w:r>
      <w:r>
        <w:t xml:space="preserve">and the relevant conditions of the authorisation are satisfied.</w:t>
      </w:r>
      <w:r>
        <w:t xml:space="preserve"> </w:t>
      </w:r>
      <w:r>
        <w:t xml:space="preserve">No product referred to in Article 15(1) shall be authorized unless the applicant for such</w:t>
      </w:r>
      <w:r>
        <w:t xml:space="preserve"> </w:t>
      </w:r>
      <w:r>
        <w:t xml:space="preserve">authorisation has adequately and sufficiently demonstrated that it satisfies the</w:t>
      </w:r>
      <w:r>
        <w:t xml:space="preserve"> </w:t>
      </w:r>
      <w:r>
        <w:t xml:space="preserve">requirements of paragraph 1 of this Article.</w:t>
      </w:r>
    </w:p>
    <w:p>
      <w:pPr>
        <w:pStyle w:val="BodyText"/>
      </w:pPr>
      <w:r>
        <w:t xml:space="preserve">550</w:t>
      </w:r>
    </w:p>
    <w:p>
      <w:pPr>
        <w:pStyle w:val="BodyText"/>
      </w:pPr>
      <w:r>
        <w:t xml:space="preserve">Table 171: Provisions regarding identification and classification of environmental hazards in animal feed</w:t>
      </w:r>
      <w:r>
        <w:t xml:space="preserve"> </w:t>
      </w:r>
      <w:r>
        <w:t xml:space="preserve">Legislation</w:t>
      </w:r>
      <w:r>
        <w:t xml:space="preserve"> </w:t>
      </w:r>
      <w:r>
        <w:t xml:space="preserve">Provisions</w:t>
      </w:r>
      <w:r>
        <w:t xml:space="preserve"> </w:t>
      </w:r>
      <w:r>
        <w:t xml:space="preserve">General feed legislation</w:t>
      </w:r>
      <w:r>
        <w:t xml:space="preserve"> </w:t>
      </w:r>
      <w:r>
        <w:t xml:space="preserve">Article 17(5) specifies that in the case of GMOs or feed containing or consisting of</w:t>
      </w:r>
      <w:r>
        <w:t xml:space="preserve"> </w:t>
      </w:r>
      <w:r>
        <w:t xml:space="preserve">GMOs, the application shall also be accompanied by:</w:t>
      </w:r>
      <w:r>
        <w:t xml:space="preserve"> </w:t>
      </w:r>
      <w:r>
        <w:t xml:space="preserve">the complete technical dossier supplying the information required by Annexes III</w:t>
      </w:r>
      <w:r>
        <w:t xml:space="preserve"> </w:t>
      </w:r>
      <w:r>
        <w:t xml:space="preserve">and IV to Directive 2001/18/EC and information and conclusions about the risk</w:t>
      </w:r>
      <w:r>
        <w:t xml:space="preserve"> </w:t>
      </w:r>
      <w:r>
        <w:t xml:space="preserve">assessment carried out in accordance with the principles set out in Annex II to</w:t>
      </w:r>
      <w:r>
        <w:t xml:space="preserve"> </w:t>
      </w:r>
      <w:r>
        <w:t xml:space="preserve">Directive 2001/18/EC or, where the placing on the market of the GMOs has been</w:t>
      </w:r>
      <w:r>
        <w:t xml:space="preserve"> </w:t>
      </w:r>
      <w:r>
        <w:t xml:space="preserve">authorised under part C of Directive 2001/18/EC, a copy of the authorisation decision;</w:t>
      </w:r>
      <w:r>
        <w:t xml:space="preserve"> </w:t>
      </w:r>
      <w:r>
        <w:t xml:space="preserve">a monitoring plan for environmental effects conforming with Annex VII to</w:t>
      </w:r>
      <w:r>
        <w:t xml:space="preserve"> </w:t>
      </w:r>
      <w:r>
        <w:t xml:space="preserve">Directive 2001/18/EC, including a proposal for the duration of the monitoring plan;</w:t>
      </w:r>
      <w:r>
        <w:t xml:space="preserve"> </w:t>
      </w:r>
      <w:r>
        <w:t xml:space="preserve">this duration may be different from the proposed period for the consent.</w:t>
      </w:r>
      <w:r>
        <w:t xml:space="preserve"> </w:t>
      </w:r>
      <w:r>
        <w:t xml:space="preserve">Regulation</w:t>
      </w:r>
      <w:r>
        <w:t xml:space="preserve"> </w:t>
      </w:r>
      <w:r>
        <w:t xml:space="preserve">1830/2003</w:t>
      </w:r>
      <w:r>
        <w:t xml:space="preserve"> </w:t>
      </w:r>
      <w:r>
        <w:t xml:space="preserve">on</w:t>
      </w:r>
      <w:r>
        <w:t xml:space="preserve"> </w:t>
      </w:r>
      <w:r>
        <w:t xml:space="preserve">traceability</w:t>
      </w:r>
      <w:r>
        <w:t xml:space="preserve"> </w:t>
      </w:r>
      <w:r>
        <w:t xml:space="preserve">and</w:t>
      </w:r>
      <w:r>
        <w:t xml:space="preserve"> </w:t>
      </w:r>
      <w:r>
        <w:t xml:space="preserve">labelling of GMO</w:t>
      </w:r>
      <w:r>
        <w:t xml:space="preserve"> </w:t>
      </w:r>
      <w:r>
        <w:t xml:space="preserve">in food and feed</w:t>
      </w:r>
      <w:r>
        <w:t xml:space="preserve"> </w:t>
      </w:r>
      <w:r>
        <w:t xml:space="preserve">N/A</w:t>
      </w:r>
      <w:r>
        <w:t xml:space="preserve"> </w:t>
      </w:r>
      <w:r>
        <w:t xml:space="preserve">Specific animal feed legislation</w:t>
      </w:r>
      <w:r>
        <w:t xml:space="preserve"> </w:t>
      </w:r>
      <w:r>
        <w:t xml:space="preserve">Regulation</w:t>
      </w:r>
      <w:r>
        <w:t xml:space="preserve"> </w:t>
      </w:r>
      <w:r>
        <w:t xml:space="preserve">1831/2003</w:t>
      </w:r>
      <w:r>
        <w:t xml:space="preserve"> </w:t>
      </w:r>
      <w:r>
        <w:t xml:space="preserve">on</w:t>
      </w:r>
      <w:r>
        <w:t xml:space="preserve"> </w:t>
      </w:r>
      <w:r>
        <w:t xml:space="preserve">Additives</w:t>
      </w:r>
      <w:r>
        <w:t xml:space="preserve"> </w:t>
      </w:r>
      <w:r>
        <w:t xml:space="preserve">in</w:t>
      </w:r>
      <w:r>
        <w:t xml:space="preserve"> </w:t>
      </w:r>
      <w:r>
        <w:t xml:space="preserve">Animals Nutrition</w:t>
      </w:r>
    </w:p>
    <w:p>
      <w:pPr>
        <w:pStyle w:val="BodyText"/>
      </w:pPr>
      <w:r>
        <w:t xml:space="preserve">Article 5 sets the requirements to feed additives to be placed on the market. Pursuant to</w:t>
      </w:r>
      <w:r>
        <w:t xml:space="preserve"> </w:t>
      </w:r>
      <w:r>
        <w:t xml:space="preserve">Article 5(2)(a), a feed additive must not have an adverse effect on animal health,</w:t>
      </w:r>
      <w:r>
        <w:t xml:space="preserve"> </w:t>
      </w:r>
      <w:r>
        <w:t xml:space="preserve">human health or the environment.</w:t>
      </w:r>
      <w:r>
        <w:t xml:space="preserve"> </w:t>
      </w:r>
      <w:r>
        <w:t xml:space="preserve">Article 7(3)(d) indicates that a copy of the studies which have been carried out and any</w:t>
      </w:r>
      <w:r>
        <w:t xml:space="preserve"> </w:t>
      </w:r>
      <w:r>
        <w:t xml:space="preserve">other material which is available to demonstrate that the feed additive satisfies the</w:t>
      </w:r>
      <w:r>
        <w:t xml:space="preserve"> </w:t>
      </w:r>
      <w:r>
        <w:t xml:space="preserve">criteria laid down in Article 5(2) and (3) must be submitted as a part of an authorisation</w:t>
      </w:r>
      <w:r>
        <w:t xml:space="preserve"> </w:t>
      </w:r>
      <w:r>
        <w:t xml:space="preserve">application.</w:t>
      </w:r>
      <w:r>
        <w:t xml:space="preserve"> </w:t>
      </w:r>
      <w:r>
        <w:t xml:space="preserve">Regulation</w:t>
      </w:r>
      <w:r>
        <w:t xml:space="preserve"> </w:t>
      </w:r>
      <w:r>
        <w:t xml:space="preserve">429/2008 on the</w:t>
      </w:r>
      <w:r>
        <w:t xml:space="preserve"> </w:t>
      </w:r>
      <w:r>
        <w:t xml:space="preserve">implementation</w:t>
      </w:r>
      <w:r>
        <w:t xml:space="preserve"> </w:t>
      </w:r>
      <w:r>
        <w:t xml:space="preserve">rules</w:t>
      </w:r>
      <w:r>
        <w:t xml:space="preserve"> </w:t>
      </w:r>
      <w:r>
        <w:t xml:space="preserve">of</w:t>
      </w:r>
      <w:r>
        <w:t xml:space="preserve"> </w:t>
      </w:r>
      <w:r>
        <w:t xml:space="preserve">Regulation</w:t>
      </w:r>
      <w:r>
        <w:t xml:space="preserve"> </w:t>
      </w:r>
      <w:r>
        <w:t xml:space="preserve">1831/2003</w:t>
      </w:r>
      <w:r>
        <w:t xml:space="preserve"> </w:t>
      </w:r>
      <w:r>
        <w:t xml:space="preserve">Annexes II and III set requirements for the dossier accompanying the application for</w:t>
      </w:r>
      <w:r>
        <w:t xml:space="preserve"> </w:t>
      </w:r>
      <w:r>
        <w:t xml:space="preserve">authorisation and studies to be included in it.</w:t>
      </w:r>
      <w:r>
        <w:t xml:space="preserve"> </w:t>
      </w:r>
      <w:r>
        <w:t xml:space="preserve">The general requirements of Annex II specify that safety assessment is to be based on</w:t>
      </w:r>
      <w:r>
        <w:t xml:space="preserve"> </w:t>
      </w:r>
      <w:r>
        <w:t xml:space="preserve">studies intended to demonstrate the safety of the use of the additive in relation to &lt;…&gt;</w:t>
      </w:r>
      <w:r>
        <w:t xml:space="preserve"> </w:t>
      </w:r>
      <w:r>
        <w:t xml:space="preserve">(e) the environment, as a result of the additive itself or products derived from the</w:t>
      </w:r>
      <w:r>
        <w:t xml:space="preserve"> </w:t>
      </w:r>
      <w:r>
        <w:t xml:space="preserve">additive, either directly and/or as excreted by animals.</w:t>
      </w:r>
      <w:r>
        <w:t xml:space="preserve"> </w:t>
      </w:r>
      <w:r>
        <w:t xml:space="preserve">Annex II, Section III: Studies concerning safety of the additive, part 3.4 describes that</w:t>
      </w:r>
      <w:r>
        <w:t xml:space="preserve"> </w:t>
      </w:r>
      <w:r>
        <w:t xml:space="preserve">to determine the environmental impact of additives, a stepwise approach shall be</w:t>
      </w:r>
      <w:r>
        <w:t xml:space="preserve"> </w:t>
      </w:r>
      <w:r>
        <w:t xml:space="preserve">followed. All additives have to be assessed through Phase I to identify those additives</w:t>
      </w:r>
      <w:r>
        <w:t xml:space="preserve"> </w:t>
      </w:r>
      <w:r>
        <w:t xml:space="preserve">which do not need further testing. For other additives, a second phase (Phase II)</w:t>
      </w:r>
      <w:r>
        <w:t xml:space="preserve"> </w:t>
      </w:r>
      <w:r>
        <w:t xml:space="preserve">assessment is needed to provide additional information, based upon which further</w:t>
      </w:r>
      <w:r>
        <w:t xml:space="preserve"> </w:t>
      </w:r>
      <w:r>
        <w:t xml:space="preserve">studies may be considered necessary. These studies shall be conducted according to</w:t>
      </w:r>
      <w:r>
        <w:t xml:space="preserve"> </w:t>
      </w:r>
      <w:r>
        <w:t xml:space="preserve">Directive 67/548/EEC [= replaced by the CLP Regulation – author note]</w:t>
      </w:r>
      <w:r>
        <w:t xml:space="preserve"> </w:t>
      </w:r>
      <w:r>
        <w:t xml:space="preserve">&lt;…&gt;Paragraph 3.4.1. The purpose of Phase I assessment is to determine if a significant</w:t>
      </w:r>
      <w:r>
        <w:t xml:space="preserve"> </w:t>
      </w:r>
      <w:r>
        <w:t xml:space="preserve">environmental effect of the additive or its metabolites is likely and whether a Phase</w:t>
      </w:r>
      <w:r>
        <w:t xml:space="preserve"> </w:t>
      </w:r>
      <w:r>
        <w:t xml:space="preserve">II assessment is necessary.</w:t>
      </w:r>
      <w:r>
        <w:t xml:space="preserve"> </w:t>
      </w:r>
      <w:r>
        <w:t xml:space="preserve">&lt;…&gt;Paragraph 3.4.2. The aim of Phase II is to assess the potential for additives to</w:t>
      </w:r>
      <w:r>
        <w:t xml:space="preserve"> </w:t>
      </w:r>
      <w:r>
        <w:t xml:space="preserve">affect non-target species in the environment, including both aquatic and terrestrial</w:t>
      </w:r>
      <w:r>
        <w:t xml:space="preserve"> </w:t>
      </w:r>
      <w:r>
        <w:t xml:space="preserve">species or to reach groundwater at unacceptable levels.</w:t>
      </w:r>
      <w:r>
        <w:br/>
      </w:r>
      <w:r>
        <w:t xml:space="preserve">Medicated</w:t>
      </w:r>
      <w:r>
        <w:t xml:space="preserve"> </w:t>
      </w:r>
      <w:r>
        <w:t xml:space="preserve">feed</w:t>
      </w:r>
      <w:r>
        <w:t xml:space="preserve"> </w:t>
      </w:r>
      <w:r>
        <w:t xml:space="preserve">Regulation</w:t>
      </w:r>
      <w:r>
        <w:t xml:space="preserve"> </w:t>
      </w:r>
      <w:r>
        <w:t xml:space="preserve">(2019/4)</w:t>
      </w:r>
      <w:r>
        <w:t xml:space="preserve"> </w:t>
      </w:r>
      <w:r>
        <w:t xml:space="preserve">No additional requirements are provided. However, all general requirements laid out in</w:t>
      </w:r>
      <w:r>
        <w:t xml:space="preserve"> </w:t>
      </w:r>
      <w:r>
        <w:t xml:space="preserve">feed legislation apply.</w:t>
      </w:r>
      <w:r>
        <w:t xml:space="preserve"> </w:t>
      </w:r>
      <w:r>
        <w:t xml:space="preserve">Pursuant to Article 1, the provisions of Medicated feed Regulation are additional to</w:t>
      </w:r>
      <w:r>
        <w:t xml:space="preserve"> </w:t>
      </w:r>
      <w:r>
        <w:t xml:space="preserve">Union legislation on feed and apply without prejudice in particular to Regulations (EC)</w:t>
      </w:r>
      <w:r>
        <w:t xml:space="preserve"> </w:t>
      </w:r>
      <w:r>
        <w:t xml:space="preserve">No 1831/2003, (EC) No 183/2005 and (EC) No 767/2009 and Directive 2002/32/EC.</w:t>
      </w:r>
    </w:p>
    <w:p>
      <w:pPr>
        <w:pStyle w:val="BodyText"/>
      </w:pPr>
      <w:r>
        <w:t xml:space="preserve">551</w:t>
      </w:r>
    </w:p>
    <w:p>
      <w:pPr>
        <w:pStyle w:val="BodyText"/>
      </w:pPr>
      <w:r>
        <w:t xml:space="preserve">Regulation 1831/2003 on Feed additives specifies in Article 5 that to be placed on the market</w:t>
      </w:r>
      <w:r>
        <w:t xml:space="preserve"> </w:t>
      </w:r>
      <w:r>
        <w:t xml:space="preserve">a feed additive must not have an adverse effect on animal health, human health or the</w:t>
      </w:r>
      <w:r>
        <w:t xml:space="preserve"> </w:t>
      </w:r>
      <w:r>
        <w:t xml:space="preserve">environment. In turn, Regulation 429/2008 sets the requirements for authorisation dossiers</w:t>
      </w:r>
      <w:r>
        <w:t xml:space="preserve"> </w:t>
      </w:r>
      <w:r>
        <w:t xml:space="preserve">to be submitted by applicants intending to place a feed additive on the market.</w:t>
      </w:r>
      <w:r>
        <w:br/>
      </w:r>
      <w:r>
        <w:t xml:space="preserve">The guidance on the safety assessment of feed additives by the EFSA details that an</w:t>
      </w:r>
      <w:r>
        <w:t xml:space="preserve"> </w:t>
      </w:r>
      <w:r>
        <w:t xml:space="preserve">environmental risk assessment (ERA) should be conducted for (1) terrestrial compartment</w:t>
      </w:r>
      <w:r>
        <w:t xml:space="preserve"> </w:t>
      </w:r>
      <w:r>
        <w:t xml:space="preserve">(via spreading of animal manure contaminated with feed additives on agricultural soils), (2)</w:t>
      </w:r>
      <w:r>
        <w:t xml:space="preserve"> </w:t>
      </w:r>
      <w:r>
        <w:t xml:space="preserve">the aquatic compartment (via drainage and run-off from agricultural fields to surface water,</w:t>
      </w:r>
      <w:r>
        <w:t xml:space="preserve"> </w:t>
      </w:r>
      <w:r>
        <w:t xml:space="preserve">via a direct discharge of waste water from land-based fish farms to surface water, or via</w:t>
      </w:r>
      <w:r>
        <w:t xml:space="preserve"> </w:t>
      </w:r>
      <w:r>
        <w:t xml:space="preserve">excreta from fish farmed in cages to sediment), and (3) the groundwater compartment (via</w:t>
      </w:r>
      <w:r>
        <w:t xml:space="preserve"> </w:t>
      </w:r>
      <w:r>
        <w:t xml:space="preserve">leaching from the soil) (Bampidis et al., 2019) (see Paragraphs 3.4.1.1. and 3.4.1.2. of Annex</w:t>
      </w:r>
      <w:r>
        <w:t xml:space="preserve"> </w:t>
      </w:r>
      <w:r>
        <w:t xml:space="preserve">II, Section III).</w:t>
      </w:r>
      <w:r>
        <w:t xml:space="preserve"> </w:t>
      </w:r>
      <w:r>
        <w:t xml:space="preserve">If the EFSA’s opinion concludes that the additive is not safe for the environment, one of the</w:t>
      </w:r>
      <w:r>
        <w:t xml:space="preserve"> </w:t>
      </w:r>
      <w:r>
        <w:t xml:space="preserve">conditions for authorising the additive (laid down in Article 5 of Regulation 1831/2003) is</w:t>
      </w:r>
      <w:r>
        <w:t xml:space="preserve"> </w:t>
      </w:r>
      <w:r>
        <w:t xml:space="preserve">not met and the measure to be adopted by the Commission on the basis of Article 9 must take</w:t>
      </w:r>
      <w:r>
        <w:t xml:space="preserve"> </w:t>
      </w:r>
      <w:r>
        <w:t xml:space="preserve">it into account (cf Article 9(1) of Regulation 1831/2003), either by denying the requested</w:t>
      </w:r>
      <w:r>
        <w:t xml:space="preserve"> </w:t>
      </w:r>
      <w:r>
        <w:t xml:space="preserve">authorisation or by requiring specific conditions/restrictions linked to the authorisation.</w:t>
      </w:r>
      <w:r>
        <w:t xml:space="preserve"> </w:t>
      </w:r>
      <w:r>
        <w:t xml:space="preserve">No specific additional REQUIREMENTS were set in Regulation 2019/4 on Medicated feed.</w:t>
      </w:r>
      <w:r>
        <w:br/>
      </w:r>
      <w:r>
        <w:t xml:space="preserve">Labelling and communication of the environmental hazards of the products to</w:t>
      </w:r>
      <w:r>
        <w:t xml:space="preserve"> </w:t>
      </w:r>
      <w:r>
        <w:t xml:space="preserve">downstream users</w:t>
      </w:r>
      <w:r>
        <w:t xml:space="preserve"> </w:t>
      </w:r>
      <w:r>
        <w:t xml:space="preserve">Following the review of food and feed legislation two definitions of labelling were identified:</w:t>
      </w:r>
      <w:r>
        <w:t xml:space="preserve"> </w:t>
      </w:r>
      <w:r>
        <w:t xml:space="preserve">Regulation 1169/2011 on food information to consumers: ‘label’ means any tag, brand, mark,</w:t>
      </w:r>
      <w:r>
        <w:t xml:space="preserve"> </w:t>
      </w:r>
      <w:r>
        <w:t xml:space="preserve">pictorial or other descriptive matter, written, printed, stencilled, marked, embossed or</w:t>
      </w:r>
      <w:r>
        <w:t xml:space="preserve"> </w:t>
      </w:r>
      <w:r>
        <w:t xml:space="preserve">impressed on, or attached to the packaging or container of food (Article 1(i)); ‘labelling’</w:t>
      </w:r>
      <w:r>
        <w:t xml:space="preserve"> </w:t>
      </w:r>
      <w:r>
        <w:t xml:space="preserve">means any words, particulars, trademarks, brand name, pictorial matter or symbol relating to</w:t>
      </w:r>
      <w:r>
        <w:t xml:space="preserve"> </w:t>
      </w:r>
      <w:r>
        <w:t xml:space="preserve">food and placed on any packaging, document, notice, label, ring or collar accompanying or</w:t>
      </w:r>
      <w:r>
        <w:t xml:space="preserve"> </w:t>
      </w:r>
      <w:r>
        <w:t xml:space="preserve">referring to such food (Article 1(j)).</w:t>
      </w:r>
      <w:r>
        <w:t xml:space="preserve"> </w:t>
      </w:r>
      <w:r>
        <w:t xml:space="preserve">Animal Feed Regulation 767/2009: ‘labelling’ means the attribution of any words,</w:t>
      </w:r>
      <w:r>
        <w:t xml:space="preserve"> </w:t>
      </w:r>
      <w:r>
        <w:t xml:space="preserve">particulars, trademarks, brand name, pictorial matter or symbol to a feed by placing this</w:t>
      </w:r>
      <w:r>
        <w:t xml:space="preserve"> </w:t>
      </w:r>
      <w:r>
        <w:t xml:space="preserve">information on any medium referring to or accompanying such feed, such as packaging,</w:t>
      </w:r>
      <w:r>
        <w:t xml:space="preserve"> </w:t>
      </w:r>
      <w:r>
        <w:t xml:space="preserve">container, notice, label, document, ring, collar or the Internet, including for advertising</w:t>
      </w:r>
      <w:r>
        <w:t xml:space="preserve"> </w:t>
      </w:r>
      <w:r>
        <w:t xml:space="preserve">purposes (Article 3(2)(s)); ‘label’ means any tag, brand, mark, pictorial or other descriptive</w:t>
      </w:r>
      <w:r>
        <w:t xml:space="preserve"> </w:t>
      </w:r>
      <w:r>
        <w:t xml:space="preserve">matter, written, printed, stencilled, marked, embossed, impressed on, or attached to the</w:t>
      </w:r>
      <w:r>
        <w:t xml:space="preserve"> </w:t>
      </w:r>
      <w:r>
        <w:t xml:space="preserve">packaging or the container of feed (Article 3(2)(t)).</w:t>
      </w:r>
      <w:r>
        <w:t xml:space="preserve"> </w:t>
      </w:r>
      <w:r>
        <w:t xml:space="preserve">It is important to note that Regulation 178/2002 on Food Law specifies in Articles 14(1) and</w:t>
      </w:r>
      <w:r>
        <w:t xml:space="preserve"> </w:t>
      </w:r>
      <w:r>
        <w:t xml:space="preserve">15(1) that no food or feed products must be placed on the market if they are not safe.</w:t>
      </w:r>
      <w:r>
        <w:t xml:space="preserve"> </w:t>
      </w:r>
      <w:r>
        <w:t xml:space="preserve">Regulation 1169/2011 and 767/2009 provide extensive guidance on labelling food and feed</w:t>
      </w:r>
      <w:r>
        <w:t xml:space="preserve"> </w:t>
      </w:r>
      <w:r>
        <w:t xml:space="preserve">products, respectively:</w:t>
      </w:r>
      <w:r>
        <w:t xml:space="preserve"> </w:t>
      </w:r>
      <w:r>
        <w:t xml:space="preserve">Regulation 1169/2011 on food information to consumers specifies that the provision of food</w:t>
      </w:r>
      <w:r>
        <w:t xml:space="preserve"> </w:t>
      </w:r>
      <w:r>
        <w:t xml:space="preserve">information shall pursue a high level of protection of consumers’ health and interests by</w:t>
      </w:r>
      <w:r>
        <w:t xml:space="preserve"> </w:t>
      </w:r>
      <w:r>
        <w:t xml:space="preserve">providing a basis for final consumers to make informed choices and to make safe use of food,</w:t>
      </w:r>
    </w:p>
    <w:p>
      <w:pPr>
        <w:pStyle w:val="BodyText"/>
      </w:pPr>
      <w:r>
        <w:t xml:space="preserve">552</w:t>
      </w:r>
    </w:p>
    <w:p>
      <w:pPr>
        <w:pStyle w:val="BodyText"/>
      </w:pPr>
      <w:r>
        <w:t xml:space="preserve">with particular regard to health, economic, environmental, social and ethical considerations</w:t>
      </w:r>
      <w:r>
        <w:t xml:space="preserve"> </w:t>
      </w:r>
      <w:r>
        <w:t xml:space="preserve">(Article 3(1)).</w:t>
      </w:r>
      <w:r>
        <w:t xml:space="preserve"> </w:t>
      </w:r>
      <w:r>
        <w:t xml:space="preserve">Regulation 767/2009 sets the objective to harmonise the conditions for the placing on the</w:t>
      </w:r>
      <w:r>
        <w:t xml:space="preserve"> </w:t>
      </w:r>
      <w:r>
        <w:t xml:space="preserve">market and the use of feed, to ensure a high level of feed safety and thus a high level of</w:t>
      </w:r>
      <w:r>
        <w:t xml:space="preserve"> </w:t>
      </w:r>
      <w:r>
        <w:t xml:space="preserve">protection of public health, as well as to provide adequate information for users and</w:t>
      </w:r>
      <w:r>
        <w:t xml:space="preserve"> </w:t>
      </w:r>
      <w:r>
        <w:t xml:space="preserve">consumers and to strengthen the effective functioning of the internal market. In Articles 15-</w:t>
      </w:r>
      <w:r>
        <w:t xml:space="preserve"> </w:t>
      </w:r>
      <w:r>
        <w:t xml:space="preserve">22 it sets extensive requirements for labelling of feed products; however, the Regulation</w:t>
      </w:r>
      <w:r>
        <w:t xml:space="preserve"> </w:t>
      </w:r>
      <w:r>
        <w:t xml:space="preserve">767/2009 does not provide specific required label elements for addressing the environmental</w:t>
      </w:r>
      <w:r>
        <w:t xml:space="preserve"> </w:t>
      </w:r>
      <w:r>
        <w:t xml:space="preserve">hazards of feed.</w:t>
      </w:r>
      <w:r>
        <w:br/>
      </w:r>
      <w:r>
        <w:t xml:space="preserve">Regulations related to specific feed products, such as feed additives and medicated feed</w:t>
      </w:r>
      <w:r>
        <w:t xml:space="preserve"> </w:t>
      </w:r>
      <w:r>
        <w:t xml:space="preserve">provide some label elements that may potentially address the environmental hazards:</w:t>
      </w:r>
      <w:r>
        <w:t xml:space="preserve"> </w:t>
      </w:r>
      <w:r>
        <w:t xml:space="preserve"> Regulation 1831/2003 on Additives in Animals Nutrition provides one labelling</w:t>
      </w:r>
      <w:r>
        <w:t xml:space="preserve"> </w:t>
      </w:r>
      <w:r>
        <w:t xml:space="preserve">requirements that can potentially relate to communication of the environmental</w:t>
      </w:r>
      <w:r>
        <w:t xml:space="preserve"> </w:t>
      </w:r>
      <w:r>
        <w:t xml:space="preserve">hazards. Pursuant to Article 16(1)(e), “directions for use, and any safety</w:t>
      </w:r>
      <w:r>
        <w:t xml:space="preserve"> </w:t>
      </w:r>
      <w:r>
        <w:t xml:space="preserve">recommendations regarding the use” must be provided on the label of feed additives</w:t>
      </w:r>
      <w:r>
        <w:t xml:space="preserve"> </w:t>
      </w:r>
      <w:r>
        <w:t xml:space="preserve">and premixtures.</w:t>
      </w:r>
      <w:r>
        <w:t xml:space="preserve"> </w:t>
      </w:r>
      <w:r>
        <w:t xml:space="preserve"> Regulation 2019/4 on medicated feed lays out specific labelling provisions in Article</w:t>
      </w:r>
      <w:r>
        <w:t xml:space="preserve"> </w:t>
      </w:r>
      <w:r>
        <w:t xml:space="preserve">9(1), which indicates that medicated feed must comply with the labelling</w:t>
      </w:r>
      <w:r>
        <w:t xml:space="preserve"> </w:t>
      </w:r>
      <w:r>
        <w:t xml:space="preserve">requirements listed in Annex III. In turn, Annex III gives a list of specific particulars</w:t>
      </w:r>
      <w:r>
        <w:t xml:space="preserve"> </w:t>
      </w:r>
      <w:r>
        <w:t xml:space="preserve">that must be present on the label. Among various elements, the label must include</w:t>
      </w:r>
      <w:r>
        <w:t xml:space="preserve"> </w:t>
      </w:r>
      <w:r>
        <w:t xml:space="preserve">“information that inappropriate disposal of medicated feed poses serious threats to the</w:t>
      </w:r>
      <w:r>
        <w:t xml:space="preserve"> </w:t>
      </w:r>
      <w:r>
        <w:t xml:space="preserve">environment and may, where relevant, contribute to antimicrobial resistance” (Annex</w:t>
      </w:r>
      <w:r>
        <w:t xml:space="preserve"> </w:t>
      </w:r>
      <w:r>
        <w:t xml:space="preserve">III, Specific labelling requirements referred to in Article 9(1), (10)).</w:t>
      </w:r>
      <w:r>
        <w:br/>
      </w:r>
      <w:r>
        <w:t xml:space="preserve">The review of legal acts did not find any substantial and systematic approach to</w:t>
      </w:r>
      <w:r>
        <w:t xml:space="preserve"> </w:t>
      </w:r>
      <w:r>
        <w:t xml:space="preserve">labelling requirements for communicating the environmental hazards of the food and</w:t>
      </w:r>
      <w:r>
        <w:t xml:space="preserve"> </w:t>
      </w:r>
      <w:r>
        <w:t xml:space="preserve">feed.</w:t>
      </w:r>
      <w:r>
        <w:t xml:space="preserve"> </w:t>
      </w:r>
      <w:r>
        <w:t xml:space="preserve">Evidence on the gaps in protection from the environmental hazards</w:t>
      </w:r>
      <w:r>
        <w:t xml:space="preserve"> </w:t>
      </w:r>
      <w:r>
        <w:t xml:space="preserve">Evaluation, impact assessment and technical and scientific studies that related to food and</w:t>
      </w:r>
      <w:r>
        <w:t xml:space="preserve"> </w:t>
      </w:r>
      <w:r>
        <w:t xml:space="preserve">feed legislation were identified and screened to find evidence of potential gaps in the</w:t>
      </w:r>
      <w:r>
        <w:t xml:space="preserve"> </w:t>
      </w:r>
      <w:r>
        <w:t xml:space="preserve">protection from the environmental hazards borne by food and/or feed products. The Farm to</w:t>
      </w:r>
      <w:r>
        <w:t xml:space="preserve"> </w:t>
      </w:r>
      <w:r>
        <w:t xml:space="preserve">Fork Strategy (EC, 2020g) highlighted several environmental issues throughout the whole</w:t>
      </w:r>
      <w:r>
        <w:t xml:space="preserve"> </w:t>
      </w:r>
      <w:r>
        <w:t xml:space="preserve">food chain. Analysis of the evaluation and other relevant reports revealed several topics</w:t>
      </w:r>
      <w:r>
        <w:t xml:space="preserve"> </w:t>
      </w:r>
      <w:r>
        <w:t xml:space="preserve">related to the environmental hazards of food and/or feed products:</w:t>
      </w:r>
      <w:r>
        <w:t xml:space="preserve"> </w:t>
      </w:r>
      <w:r>
        <w:t xml:space="preserve">Shortcomings in public communication about risks caused by food/feed products by EFSA</w:t>
      </w:r>
      <w:r>
        <w:t xml:space="preserve"> </w:t>
      </w:r>
      <w:r>
        <w:t xml:space="preserve">(EC, 2018e; EC, 2018f). This criticism originated from the public consultation with the</w:t>
      </w:r>
      <w:r>
        <w:t xml:space="preserve"> </w:t>
      </w:r>
      <w:r>
        <w:t xml:space="preserve">stakeholders in the course of the re-fit evaluation of the General Food Law. Public authorities</w:t>
      </w:r>
      <w:r>
        <w:t xml:space="preserve"> </w:t>
      </w:r>
      <w:r>
        <w:t xml:space="preserve">and citizens expressed opinions on the lack of clarity and adjustment to different needs of</w:t>
      </w:r>
      <w:r>
        <w:t xml:space="preserve"> </w:t>
      </w:r>
      <w:r>
        <w:t xml:space="preserve">target audiences in communication, in some cases, communicating contradictory information</w:t>
      </w:r>
      <w:r>
        <w:t xml:space="preserve"> </w:t>
      </w:r>
      <w:r>
        <w:t xml:space="preserve">as well as the lack of transparency in some communication processes. This issue relates to the</w:t>
      </w:r>
      <w:r>
        <w:t xml:space="preserve"> </w:t>
      </w:r>
      <w:r>
        <w:t xml:space="preserve">effectiveness of communication of EFSA but it does not consider that risk communication</w:t>
      </w:r>
      <w:r>
        <w:t xml:space="preserve"> </w:t>
      </w:r>
      <w:r>
        <w:t xml:space="preserve">has specific shortcomings due to regulatory gaps.</w:t>
      </w:r>
      <w:r>
        <w:t xml:space="preserve"> </w:t>
      </w:r>
      <w:r>
        <w:t xml:space="preserve">The Farm to Fork Strategy (EC, 2020g) highlighted sustainability challenges in the food</w:t>
      </w:r>
      <w:r>
        <w:t xml:space="preserve"> </w:t>
      </w:r>
      <w:r>
        <w:t xml:space="preserve">production chain, including the use of chemical pesticides and nutrients that cause air, water</w:t>
      </w:r>
    </w:p>
    <w:p>
      <w:pPr>
        <w:pStyle w:val="BodyText"/>
      </w:pPr>
      <w:r>
        <w:t xml:space="preserve">553</w:t>
      </w:r>
    </w:p>
    <w:p>
      <w:pPr>
        <w:pStyle w:val="BodyText"/>
      </w:pPr>
      <w:r>
        <w:t xml:space="preserve">and soil pollution and harm to plants and animals, greenhouse gas emissions in the course of</w:t>
      </w:r>
      <w:r>
        <w:t xml:space="preserve"> </w:t>
      </w:r>
      <w:r>
        <w:t xml:space="preserve">agricultural activities, excessive use of antimicrobials in animals. Similarly, a recent</w:t>
      </w:r>
      <w:r>
        <w:t xml:space="preserve"> </w:t>
      </w:r>
      <w:r>
        <w:t xml:space="preserve">Eurobarometer survey (2019) showed that EU citizens are well-aware and concerned about</w:t>
      </w:r>
      <w:r>
        <w:t xml:space="preserve"> </w:t>
      </w:r>
      <w:r>
        <w:t xml:space="preserve">such issues as antibiotic, hormone or steroid residues in meat (44%), pesticide residues in</w:t>
      </w:r>
      <w:r>
        <w:t xml:space="preserve"> </w:t>
      </w:r>
      <w:r>
        <w:t xml:space="preserve">food (39%), environmental pollutants in fish, meat or dairy (37%). Forty-three per cent of</w:t>
      </w:r>
      <w:r>
        <w:t xml:space="preserve"> </w:t>
      </w:r>
      <w:r>
        <w:t xml:space="preserve">Europeans (43%) think that food products are full of harmful substances (Kantar, 2019).</w:t>
      </w:r>
      <w:r>
        <w:t xml:space="preserve"> </w:t>
      </w:r>
      <w:r>
        <w:t xml:space="preserve">The Food waste issue is in part pre-conditioned by wasteful behaviour of consumers and has</w:t>
      </w:r>
      <w:r>
        <w:t xml:space="preserve"> </w:t>
      </w:r>
      <w:r>
        <w:t xml:space="preserve">been caused by misunderstanding of food date (‘best before’ and ‘use by’) labels (EC, 2020h;</w:t>
      </w:r>
      <w:r>
        <w:t xml:space="preserve"> </w:t>
      </w:r>
      <w:r>
        <w:t xml:space="preserve">Purnhagen &amp; Schebesta, 2019; Anthesis et al., 2018; EC, 2015c; European Court of Auditors,</w:t>
      </w:r>
      <w:r>
        <w:t xml:space="preserve"> </w:t>
      </w:r>
      <w:r>
        <w:t xml:space="preserve">2016). EC (2020h) referred to the findings of the Eurobarometer survey 2015, which</w:t>
      </w:r>
      <w:r>
        <w:t xml:space="preserve"> </w:t>
      </w:r>
      <w:r>
        <w:t xml:space="preserve">suggested that less than one in two consumers understand the meaning of date marking: “use</w:t>
      </w:r>
      <w:r>
        <w:t xml:space="preserve"> </w:t>
      </w:r>
      <w:r>
        <w:t xml:space="preserve">by”, which indicates the ultimate food safety date, and “best before”, which refers to the date</w:t>
      </w:r>
      <w:r>
        <w:t xml:space="preserve"> </w:t>
      </w:r>
      <w:r>
        <w:t xml:space="preserve">food retains its optimal quality. The study performed by Anthesis et al. (2018) for the</w:t>
      </w:r>
      <w:r>
        <w:t xml:space="preserve"> </w:t>
      </w:r>
      <w:r>
        <w:t xml:space="preserve">Commission concluded about 10% of all food waste generated in the EU could be related to</w:t>
      </w:r>
      <w:r>
        <w:t xml:space="preserve"> </w:t>
      </w:r>
      <w:r>
        <w:t xml:space="preserve">date marking on the product labels. The Joint Research Centre study carried out for the</w:t>
      </w:r>
      <w:r>
        <w:t xml:space="preserve"> </w:t>
      </w:r>
      <w:r>
        <w:t xml:space="preserve">Commission in 2020 indicated that the effect of labels on the consumer decision may lessen</w:t>
      </w:r>
      <w:r>
        <w:t xml:space="preserve"> </w:t>
      </w:r>
      <w:r>
        <w:t xml:space="preserve">when several concurrent labels (e.g., environmental and nutrition) are presented on the</w:t>
      </w:r>
      <w:r>
        <w:t xml:space="preserve"> </w:t>
      </w:r>
      <w:r>
        <w:t xml:space="preserve">package. Furthermore, JRC pointed out that the environmental effect of food labels has not</w:t>
      </w:r>
      <w:r>
        <w:t xml:space="preserve"> </w:t>
      </w:r>
      <w:r>
        <w:t xml:space="preserve">been widely researched. The review of date marking on labels has been included within the</w:t>
      </w:r>
      <w:r>
        <w:t xml:space="preserve"> </w:t>
      </w:r>
      <w:r>
        <w:t xml:space="preserve">scope of the revision of Regulation (EU) No 1169/2011 on the provision of food information</w:t>
      </w:r>
      <w:r>
        <w:t xml:space="preserve"> </w:t>
      </w:r>
      <w:r>
        <w:t xml:space="preserve">to consumers (EC, 2020h).</w:t>
      </w:r>
      <w:r>
        <w:t xml:space="preserve"> </w:t>
      </w:r>
      <w:r>
        <w:t xml:space="preserve">Insufficient information to professionals and end-users of food and feed on the hazards</w:t>
      </w:r>
      <w:r>
        <w:t xml:space="preserve"> </w:t>
      </w:r>
      <w:r>
        <w:t xml:space="preserve">borne by these products (RPA et al., 2017). The findings of the stakeholder survey in the</w:t>
      </w:r>
      <w:r>
        <w:t xml:space="preserve"> </w:t>
      </w:r>
      <w:r>
        <w:t xml:space="preserve">report supporting the impact assessment of chemicals legislation (except REACH) revealed</w:t>
      </w:r>
      <w:r>
        <w:t xml:space="preserve"> </w:t>
      </w:r>
      <w:r>
        <w:t xml:space="preserve">that public authorities and NGOs considered that current information on labels of food and</w:t>
      </w:r>
      <w:r>
        <w:t xml:space="preserve"> </w:t>
      </w:r>
      <w:r>
        <w:t xml:space="preserve">feed is not sufficient to disclose hazards of these products to their users. This opinion was not</w:t>
      </w:r>
      <w:r>
        <w:t xml:space="preserve"> </w:t>
      </w:r>
      <w:r>
        <w:t xml:space="preserve">supported by any quantitative evidence.</w:t>
      </w:r>
      <w:r>
        <w:t xml:space="preserve"> </w:t>
      </w:r>
      <w:r>
        <w:t xml:space="preserve">The analysis of the European Commission policy documents and studies showed that the</w:t>
      </w:r>
      <w:r>
        <w:t xml:space="preserve"> </w:t>
      </w:r>
      <w:r>
        <w:t xml:space="preserve">issues of sustainability in the food chain and food waste are not related to the scope of</w:t>
      </w:r>
      <w:r>
        <w:t xml:space="preserve"> </w:t>
      </w:r>
      <w:r>
        <w:t xml:space="preserve">the CLP Regulation because the reason of the environmental harm is not due to hazardous</w:t>
      </w:r>
      <w:r>
        <w:t xml:space="preserve"> </w:t>
      </w:r>
      <w:r>
        <w:t xml:space="preserve">properties of food, but the peculiarities of food production activities, volumes of food waste</w:t>
      </w:r>
      <w:r>
        <w:t xml:space="preserve"> </w:t>
      </w:r>
      <w:r>
        <w:t xml:space="preserve">produced by inappropriate consumer behaviour and other reasons.</w:t>
      </w:r>
      <w:r>
        <w:br/>
      </w:r>
      <w:r>
        <w:t xml:space="preserve">Similarly, the issues of food-wasting behaviour of consumers and labelling are associated</w:t>
      </w:r>
      <w:r>
        <w:t xml:space="preserve"> </w:t>
      </w:r>
      <w:r>
        <w:t xml:space="preserve">with the volumes of produced waste that becomes an environmental problem. The scientific</w:t>
      </w:r>
      <w:r>
        <w:t xml:space="preserve"> </w:t>
      </w:r>
      <w:r>
        <w:t xml:space="preserve">papers and grey literature dedicated to the food-wasting behaviour of consumers are</w:t>
      </w:r>
      <w:r>
        <w:t xml:space="preserve"> </w:t>
      </w:r>
      <w:r>
        <w:t xml:space="preserve">voluminous. This search concentrated on literature reviews and European level quantitative</w:t>
      </w:r>
      <w:r>
        <w:t xml:space="preserve"> </w:t>
      </w:r>
      <w:r>
        <w:t xml:space="preserve">studies. The search identified four extensive systematic literature reviews covering the period</w:t>
      </w:r>
      <w:r>
        <w:t xml:space="preserve"> </w:t>
      </w:r>
      <w:r>
        <w:t xml:space="preserve">of 1980 – 2019 and between 112 to 309 papers (Principato et al., 2021; Boulet et al., 2021;</w:t>
      </w:r>
      <w:r>
        <w:t xml:space="preserve"> </w:t>
      </w:r>
      <w:r>
        <w:t xml:space="preserve">Schanes et al., 2018; Hebrok et al., 2017), one quantitative modelling research of the datasets</w:t>
      </w:r>
      <w:r>
        <w:t xml:space="preserve"> </w:t>
      </w:r>
      <w:r>
        <w:t xml:space="preserve">of Eurobarometer surveys (Toma et al., 2020) and two legislation and literature reviews</w:t>
      </w:r>
      <w:r>
        <w:t xml:space="preserve"> </w:t>
      </w:r>
      <w:r>
        <w:t xml:space="preserve">(Bremmers &amp; Purnhagen, 2018; Wunder et al., 2018). Although all these analyses consider</w:t>
      </w:r>
      <w:r>
        <w:t xml:space="preserve"> </w:t>
      </w:r>
      <w:r>
        <w:t xml:space="preserve">consumer food-wasting behaviour and labelling, they do not attribute food-wasting</w:t>
      </w:r>
      <w:r>
        <w:t xml:space="preserve"> </w:t>
      </w:r>
      <w:r>
        <w:t xml:space="preserve">behaviour to the lack of or inappropriate food hazard communication to the consumer.</w:t>
      </w:r>
      <w:r>
        <w:t xml:space="preserve"> </w:t>
      </w:r>
      <w:r>
        <w:t xml:space="preserve">When asked about possible gaps in information provision on the hazards of food or feed, such</w:t>
      </w:r>
      <w:r>
        <w:t xml:space="preserve"> </w:t>
      </w:r>
      <w:r>
        <w:t xml:space="preserve">as additives (‘when buying or using the product categories listed below, you might not be</w:t>
      </w:r>
      <w:r>
        <w:t xml:space="preserve"> </w:t>
      </w:r>
      <w:r>
        <w:t xml:space="preserve">informed that they could be hazardous to the environment. What is your opinion?’), many</w:t>
      </w:r>
    </w:p>
    <w:p>
      <w:pPr>
        <w:pStyle w:val="BodyText"/>
      </w:pPr>
      <w:r>
        <w:t xml:space="preserve">554</w:t>
      </w:r>
    </w:p>
    <w:p>
      <w:pPr>
        <w:pStyle w:val="BodyText"/>
      </w:pPr>
      <w:r>
        <w:t xml:space="preserve">citizens (59%), public authorities (45%) and civil societies (69%) who participated in the</w:t>
      </w:r>
      <w:r>
        <w:t xml:space="preserve"> </w:t>
      </w:r>
      <w:r>
        <w:t xml:space="preserve">open public consultation considered that this issue should be immediately solved.</w:t>
      </w:r>
    </w:p>
    <w:p>
      <w:pPr>
        <w:pStyle w:val="BodyText"/>
      </w:pPr>
      <w:r>
        <w:t xml:space="preserve">DEFINITIONS RELEVANT TO THE APPLICATION OF EXEMPTIONS</w:t>
      </w:r>
      <w:r>
        <w:t xml:space="preserve"> </w:t>
      </w:r>
      <w:r>
        <w:t xml:space="preserve">Problem and its scope</w:t>
      </w:r>
      <w:r>
        <w:t xml:space="preserve"> </w:t>
      </w:r>
      <w:r>
        <w:t xml:space="preserve">The initial research hypothesis for this study was that “it is not always clear how the</w:t>
      </w:r>
      <w:r>
        <w:t xml:space="preserve"> </w:t>
      </w:r>
      <w:r>
        <w:t xml:space="preserve">exclusion provisions must be applied, inter alia, because some definitions diverge between</w:t>
      </w:r>
      <w:r>
        <w:t xml:space="preserve"> </w:t>
      </w:r>
      <w:r>
        <w:t xml:space="preserve">CLP and specific products legislation (in particular the wording of ‘in the finish state’ and</w:t>
      </w:r>
      <w:r>
        <w:t xml:space="preserve"> </w:t>
      </w:r>
      <w:r>
        <w:t xml:space="preserve">‘intended for the final user’)”.</w:t>
      </w:r>
      <w:r>
        <w:t xml:space="preserve"> </w:t>
      </w:r>
      <w:r>
        <w:t xml:space="preserve">According to the reports on the national helpdesk activities published by ECHA, in 2018,</w:t>
      </w:r>
      <w:r>
        <w:t xml:space="preserve"> </w:t>
      </w:r>
      <w:r>
        <w:t xml:space="preserve">2019 and 2020, the theme ‘scope and exemptions of CLP’ was in the list of ten hot topics that</w:t>
      </w:r>
      <w:r>
        <w:t xml:space="preserve"> </w:t>
      </w:r>
      <w:r>
        <w:t xml:space="preserve">cover most asked questions by the customers of helpdesks. There is no uniform system for</w:t>
      </w:r>
      <w:r>
        <w:t xml:space="preserve"> </w:t>
      </w:r>
      <w:r>
        <w:t xml:space="preserve">tracking questions to national helpdesks, so the annual reports are compiled by surveys of</w:t>
      </w:r>
      <w:r>
        <w:t xml:space="preserve"> </w:t>
      </w:r>
      <w:r>
        <w:t xml:space="preserve">national representatives of helpdesks and the answers reflect their opinion and practical</w:t>
      </w:r>
      <w:r>
        <w:t xml:space="preserve"> </w:t>
      </w:r>
      <w:r>
        <w:t xml:space="preserve">experiences. In 2018, 2019 and 2020 (in 2019 and 2020 the theme was combined with</w:t>
      </w:r>
      <w:r>
        <w:t xml:space="preserve"> </w:t>
      </w:r>
      <w:r>
        <w:t xml:space="preserve">another topic ‘general questions on CLP’) this topic was the fifth on the list (ECHA, 2021b,</w:t>
      </w:r>
      <w:r>
        <w:t xml:space="preserve"> </w:t>
      </w:r>
      <w:r>
        <w:t xml:space="preserve">2020, 2019b). The available evidence does not allow to confidently conclude that the</w:t>
      </w:r>
      <w:r>
        <w:t xml:space="preserve"> </w:t>
      </w:r>
      <w:r>
        <w:t xml:space="preserve">issues of CLP scope exemptions were among the most significant for duty holders who</w:t>
      </w:r>
      <w:r>
        <w:t xml:space="preserve"> </w:t>
      </w:r>
      <w:r>
        <w:t xml:space="preserve">contacted helpdesks.</w:t>
      </w:r>
      <w:r>
        <w:t xml:space="preserve"> </w:t>
      </w:r>
      <w:r>
        <w:t xml:space="preserve">When addressing this issue, it is important to consider that:</w:t>
      </w:r>
      <w:r>
        <w:t xml:space="preserve"> </w:t>
      </w:r>
      <w:r>
        <w:t xml:space="preserve">In Article 1(5) addressing the application of exemptions, the CLP Regulation does not define</w:t>
      </w:r>
      <w:r>
        <w:t xml:space="preserve"> </w:t>
      </w:r>
      <w:r>
        <w:t xml:space="preserve">the legal wordings ‘in the finish state’ and ‘intended for the final user’, although they are</w:t>
      </w:r>
      <w:r>
        <w:t xml:space="preserve"> </w:t>
      </w:r>
      <w:r>
        <w:t xml:space="preserve">intended to serve for making a distinction between products that are exempted from the CLP</w:t>
      </w:r>
      <w:r>
        <w:t xml:space="preserve"> </w:t>
      </w:r>
      <w:r>
        <w:t xml:space="preserve">Regulation or those that must comply with it. This circumstance poses a problem for making</w:t>
      </w:r>
      <w:r>
        <w:t xml:space="preserve"> </w:t>
      </w:r>
      <w:r>
        <w:t xml:space="preserve">a proper distinction between the above-mentioned products.</w:t>
      </w:r>
      <w:r>
        <w:t xml:space="preserve"> </w:t>
      </w:r>
      <w:r>
        <w:t xml:space="preserve">Scopes and objectives of the legislation regulating the exempted products are broad and cover</w:t>
      </w:r>
      <w:r>
        <w:t xml:space="preserve"> </w:t>
      </w:r>
      <w:r>
        <w:t xml:space="preserve">a lot of issues within and beyond hazard identification and communication. Therefore, the</w:t>
      </w:r>
      <w:r>
        <w:t xml:space="preserve"> </w:t>
      </w:r>
      <w:r>
        <w:t xml:space="preserve">concepts applied in the CLP Regulation may diverge and be used differently or not used at</w:t>
      </w:r>
      <w:r>
        <w:t xml:space="preserve"> </w:t>
      </w:r>
      <w:r>
        <w:t xml:space="preserve">all.</w:t>
      </w:r>
      <w:r>
        <w:br/>
      </w:r>
      <w:r>
        <w:t xml:space="preserve">Based on these observations, two questions need to be answered to clarify the issue of the</w:t>
      </w:r>
      <w:r>
        <w:t xml:space="preserve"> </w:t>
      </w:r>
      <w:r>
        <w:t xml:space="preserve">application of the CLP exemption provisions:</w:t>
      </w:r>
      <w:r>
        <w:t xml:space="preserve"> </w:t>
      </w:r>
      <w:r>
        <w:t xml:space="preserve">What issues are faced by the duty holders because of the absence of definitions of ‘in the</w:t>
      </w:r>
      <w:r>
        <w:t xml:space="preserve"> </w:t>
      </w:r>
      <w:r>
        <w:t xml:space="preserve">finished state’ and ‘intended for the final user’ in Article 1(5) of the CLP Regulation?</w:t>
      </w:r>
      <w:r>
        <w:t xml:space="preserve"> </w:t>
      </w:r>
      <w:r>
        <w:t xml:space="preserve">Does on the products exempted from the CLP Regulation provide any concepts related to ‘in</w:t>
      </w:r>
      <w:r>
        <w:t xml:space="preserve"> </w:t>
      </w:r>
      <w:r>
        <w:t xml:space="preserve">the finished state’ and ‘intended for the final user’ that could facilitate decisions on the</w:t>
      </w:r>
      <w:r>
        <w:t xml:space="preserve"> </w:t>
      </w:r>
      <w:r>
        <w:t xml:space="preserve">application of the CLP exemption provisions?</w:t>
      </w:r>
      <w:r>
        <w:t xml:space="preserve"> </w:t>
      </w:r>
      <w:r>
        <w:t xml:space="preserve">Analysis of relevant definitions</w:t>
      </w:r>
      <w:r>
        <w:t xml:space="preserve"> </w:t>
      </w:r>
      <w:r>
        <w:t xml:space="preserve">To answer the questions introduced in the previous section the following research was</w:t>
      </w:r>
      <w:r>
        <w:t xml:space="preserve"> </w:t>
      </w:r>
      <w:r>
        <w:t xml:space="preserve">performed:</w:t>
      </w:r>
      <w:r>
        <w:t xml:space="preserve"> </w:t>
      </w:r>
      <w:r>
        <w:t xml:space="preserve">Analysis of the practical examples of uncertainties that might occur in deciding whether in</w:t>
      </w:r>
      <w:r>
        <w:t xml:space="preserve"> </w:t>
      </w:r>
      <w:r>
        <w:t xml:space="preserve">some cases the CLP Regulation applies to the products listed in Article 1(5) (medicinal and</w:t>
      </w:r>
    </w:p>
    <w:p>
      <w:pPr>
        <w:pStyle w:val="BodyText"/>
      </w:pPr>
      <w:r>
        <w:t xml:space="preserve">555</w:t>
      </w:r>
    </w:p>
    <w:p>
      <w:pPr>
        <w:pStyle w:val="BodyText"/>
      </w:pPr>
      <w:r>
        <w:t xml:space="preserve">veterinary medicinal products, cosmetics, food and feed, medical devices). Practical</w:t>
      </w:r>
      <w:r>
        <w:t xml:space="preserve"> </w:t>
      </w:r>
      <w:r>
        <w:t xml:space="preserve">examples and their interpretations were collected from the Questions &amp; Answers section by</w:t>
      </w:r>
      <w:r>
        <w:t xml:space="preserve"> </w:t>
      </w:r>
      <w:r>
        <w:t xml:space="preserve">ECHA (see Appendix 2 to Annex 4).</w:t>
      </w:r>
      <w:r>
        <w:t xml:space="preserve"> </w:t>
      </w:r>
      <w:r>
        <w:t xml:space="preserve">Analysis of definitions related to products ‘in the finished state’ and/or ‘intended for the final</w:t>
      </w:r>
      <w:r>
        <w:t xml:space="preserve"> </w:t>
      </w:r>
      <w:r>
        <w:t xml:space="preserve">user’ in the legislation regulating the exempted products.</w:t>
      </w:r>
      <w:r>
        <w:t xml:space="preserve"> </w:t>
      </w:r>
      <w:r>
        <w:t xml:space="preserve">The analysis of practical examples related to the application of the CLP Regulation to the</w:t>
      </w:r>
      <w:r>
        <w:t xml:space="preserve"> </w:t>
      </w:r>
      <w:r>
        <w:t xml:space="preserve">products listed in Article 1(5) has shown two major uncertainty areas: a) changes to the</w:t>
      </w:r>
      <w:r>
        <w:t xml:space="preserve"> </w:t>
      </w:r>
      <w:r>
        <w:t xml:space="preserve">product that determine its finished/unfinished condition; b) circumstances that should</w:t>
      </w:r>
      <w:r>
        <w:t xml:space="preserve"> </w:t>
      </w:r>
      <w:r>
        <w:t xml:space="preserve">be considered as (non)final use situation. Interpretation of practical examples by ECHA</w:t>
      </w:r>
      <w:r>
        <w:t xml:space="preserve"> </w:t>
      </w:r>
      <w:r>
        <w:t xml:space="preserve">suggests that a product is in its finished state when no alterations to its chemical composition</w:t>
      </w:r>
      <w:r>
        <w:t xml:space="preserve"> </w:t>
      </w:r>
      <w:r>
        <w:t xml:space="preserve">occur. Following this approach, for instance, bulk cosmetics or medicinal products are in the</w:t>
      </w:r>
      <w:r>
        <w:t xml:space="preserve"> </w:t>
      </w:r>
      <w:r>
        <w:t xml:space="preserve">finished state, even if they are further processed by packaging. In turn, a product is intended</w:t>
      </w:r>
      <w:r>
        <w:t xml:space="preserve"> </w:t>
      </w:r>
      <w:r>
        <w:t xml:space="preserve">for the final user when it is placed on the market to be sold to professional end-users or</w:t>
      </w:r>
      <w:r>
        <w:t xml:space="preserve"> </w:t>
      </w:r>
      <w:r>
        <w:t xml:space="preserve">consumers, but not other business entities that could further process it for developing other</w:t>
      </w:r>
      <w:r>
        <w:t xml:space="preserve"> </w:t>
      </w:r>
      <w:r>
        <w:t xml:space="preserve">products. Depending on circumstances, the same product may be interpreted as intended or</w:t>
      </w:r>
      <w:r>
        <w:t xml:space="preserve"> </w:t>
      </w:r>
      <w:r>
        <w:t xml:space="preserve">not intended for the final users. For instance, essential oils may be offered to end-users as a</w:t>
      </w:r>
      <w:r>
        <w:t xml:space="preserve"> </w:t>
      </w:r>
      <w:r>
        <w:t xml:space="preserve">cosmetic product or may be used as an ingredient for cosmetic products. In the first case,</w:t>
      </w:r>
      <w:r>
        <w:t xml:space="preserve"> </w:t>
      </w:r>
      <w:r>
        <w:t xml:space="preserve">essential oils are intended for the final users, while in the second case – not.</w:t>
      </w:r>
      <w:r>
        <w:br/>
      </w:r>
      <w:r>
        <w:t xml:space="preserve">Based on the practical understanding of the CLP references to products ‘in the finished state’</w:t>
      </w:r>
      <w:r>
        <w:t xml:space="preserve"> </w:t>
      </w:r>
      <w:r>
        <w:t xml:space="preserve">and ‘intended for the final user’, the legal acts regulating the exempted products were</w:t>
      </w:r>
      <w:r>
        <w:t xml:space="preserve"> </w:t>
      </w:r>
      <w:r>
        <w:t xml:space="preserve">analysed to find relevant definitions (see Table 171).</w:t>
      </w:r>
    </w:p>
    <w:p>
      <w:pPr>
        <w:pStyle w:val="BodyText"/>
      </w:pPr>
      <w:r>
        <w:t xml:space="preserve">556</w:t>
      </w:r>
    </w:p>
    <w:p>
      <w:pPr>
        <w:pStyle w:val="BodyText"/>
      </w:pPr>
      <w:r>
        <w:t xml:space="preserve">Table 172: Definitions of the product condition and uses in the exempted products’ legislation</w:t>
      </w:r>
      <w:r>
        <w:t xml:space="preserve"> </w:t>
      </w:r>
      <w:r>
        <w:t xml:space="preserve">Regulation</w:t>
      </w:r>
      <w:r>
        <w:t xml:space="preserve"> </w:t>
      </w:r>
      <w:r>
        <w:t xml:space="preserve">Definition</w:t>
      </w:r>
      <w:r>
        <w:t xml:space="preserve"> </w:t>
      </w:r>
      <w:r>
        <w:t xml:space="preserve">Product users</w:t>
      </w:r>
      <w:r>
        <w:t xml:space="preserve"> </w:t>
      </w:r>
      <w:r>
        <w:t xml:space="preserve">Cosmetics</w:t>
      </w:r>
      <w:r>
        <w:t xml:space="preserve"> </w:t>
      </w:r>
      <w:r>
        <w:t xml:space="preserve">Regulation</w:t>
      </w:r>
      <w:r>
        <w:t xml:space="preserve"> </w:t>
      </w:r>
      <w:r>
        <w:t xml:space="preserve">1223/2009</w:t>
      </w:r>
      <w:r>
        <w:t xml:space="preserve"> </w:t>
      </w:r>
      <w:r>
        <w:t xml:space="preserve">‘End user’ means either a consumer or professional using the cosmetic</w:t>
      </w:r>
      <w:r>
        <w:t xml:space="preserve"> </w:t>
      </w:r>
      <w:r>
        <w:t xml:space="preserve">product (Article 2(1)(f)).</w:t>
      </w:r>
      <w:r>
        <w:t xml:space="preserve"> </w:t>
      </w:r>
      <w:r>
        <w:t xml:space="preserve">Regulation</w:t>
      </w:r>
      <w:r>
        <w:t xml:space="preserve"> </w:t>
      </w:r>
      <w:r>
        <w:t xml:space="preserve">on</w:t>
      </w:r>
      <w:r>
        <w:t xml:space="preserve"> </w:t>
      </w:r>
      <w:r>
        <w:t xml:space="preserve">Medical</w:t>
      </w:r>
      <w:r>
        <w:t xml:space="preserve"> </w:t>
      </w:r>
      <w:r>
        <w:t xml:space="preserve">Devices</w:t>
      </w:r>
      <w:r>
        <w:t xml:space="preserve"> </w:t>
      </w:r>
      <w:r>
        <w:t xml:space="preserve">2017/745</w:t>
      </w:r>
      <w:r>
        <w:t xml:space="preserve"> </w:t>
      </w:r>
      <w:r>
        <w:t xml:space="preserve">and</w:t>
      </w:r>
      <w:r>
        <w:t xml:space="preserve"> </w:t>
      </w:r>
      <w:r>
        <w:t xml:space="preserve">Regulation</w:t>
      </w:r>
      <w:r>
        <w:t xml:space="preserve"> </w:t>
      </w:r>
      <w:r>
        <w:t xml:space="preserve">on</w:t>
      </w:r>
      <w:r>
        <w:t xml:space="preserve"> </w:t>
      </w:r>
      <w:r>
        <w:t xml:space="preserve">In</w:t>
      </w:r>
      <w:r>
        <w:t xml:space="preserve"> </w:t>
      </w:r>
      <w:r>
        <w:t xml:space="preserve">vitro</w:t>
      </w:r>
      <w:r>
        <w:t xml:space="preserve"> </w:t>
      </w:r>
      <w:r>
        <w:t xml:space="preserve">Medical Devices 2017/746</w:t>
      </w:r>
      <w:r>
        <w:t xml:space="preserve"> </w:t>
      </w:r>
      <w:r>
        <w:t xml:space="preserve">‘User’ means any healthcare professional or lay person who uses a device</w:t>
      </w:r>
      <w:r>
        <w:t xml:space="preserve"> </w:t>
      </w:r>
      <w:r>
        <w:t xml:space="preserve">(Article 2(37) of the Regulation 2017/745 and Article 2(30) of the Regulation</w:t>
      </w:r>
      <w:r>
        <w:t xml:space="preserve"> </w:t>
      </w:r>
      <w:r>
        <w:t xml:space="preserve">of 2017/746).</w:t>
      </w:r>
      <w:r>
        <w:t xml:space="preserve"> </w:t>
      </w:r>
      <w:r>
        <w:t xml:space="preserve">Regulation</w:t>
      </w:r>
      <w:r>
        <w:t xml:space="preserve"> </w:t>
      </w:r>
      <w:r>
        <w:t xml:space="preserve">178/2002</w:t>
      </w:r>
      <w:r>
        <w:t xml:space="preserve"> </w:t>
      </w:r>
      <w:r>
        <w:t xml:space="preserve">on</w:t>
      </w:r>
      <w:r>
        <w:t xml:space="preserve"> </w:t>
      </w:r>
      <w:r>
        <w:t xml:space="preserve">General Food Law</w:t>
      </w:r>
      <w:r>
        <w:t xml:space="preserve"> </w:t>
      </w:r>
      <w:r>
        <w:t xml:space="preserve">‘Final consumer’ means the ultimate consumer of a foodstuff who will not</w:t>
      </w:r>
      <w:r>
        <w:t xml:space="preserve"> </w:t>
      </w:r>
      <w:r>
        <w:t xml:space="preserve">use the food as part of any food business operation or activity.</w:t>
      </w:r>
      <w:r>
        <w:t xml:space="preserve"> </w:t>
      </w:r>
      <w:r>
        <w:t xml:space="preserve">Food Additives’ Regulation</w:t>
      </w:r>
      <w:r>
        <w:t xml:space="preserve"> </w:t>
      </w:r>
      <w:r>
        <w:t xml:space="preserve">1333/2008</w:t>
      </w:r>
      <w:r>
        <w:t xml:space="preserve"> </w:t>
      </w:r>
      <w:r>
        <w:t xml:space="preserve">Distinguishes between ‘food additives not intended for sale to the final</w:t>
      </w:r>
      <w:r>
        <w:t xml:space="preserve"> </w:t>
      </w:r>
      <w:r>
        <w:t xml:space="preserve">consumer’ (Article 21) and ‘food additives intended for sale to the final</w:t>
      </w:r>
      <w:r>
        <w:t xml:space="preserve"> </w:t>
      </w:r>
      <w:r>
        <w:t xml:space="preserve">consumer’ (Article 23), but does not provide a definition</w:t>
      </w:r>
      <w:r>
        <w:t xml:space="preserve"> </w:t>
      </w:r>
      <w:r>
        <w:t xml:space="preserve">Food</w:t>
      </w:r>
      <w:r>
        <w:t xml:space="preserve"> </w:t>
      </w:r>
      <w:r>
        <w:t xml:space="preserve">Flavourings’</w:t>
      </w:r>
      <w:r>
        <w:t xml:space="preserve"> </w:t>
      </w:r>
      <w:r>
        <w:t xml:space="preserve">Regulation 1334/2008</w:t>
      </w:r>
      <w:r>
        <w:t xml:space="preserve"> </w:t>
      </w:r>
      <w:r>
        <w:t xml:space="preserve">Distinguishes between ‘flavourings not intended for sale to the final</w:t>
      </w:r>
      <w:r>
        <w:t xml:space="preserve"> </w:t>
      </w:r>
      <w:r>
        <w:t xml:space="preserve">consumer’ (Article 14) and ‘flavourings intended for sale to the final</w:t>
      </w:r>
      <w:r>
        <w:t xml:space="preserve"> </w:t>
      </w:r>
      <w:r>
        <w:t xml:space="preserve">consumer’ (Article 17), but does not provide a definition</w:t>
      </w:r>
      <w:r>
        <w:t xml:space="preserve"> </w:t>
      </w:r>
      <w:r>
        <w:t xml:space="preserve">Food Enzymes Regulation</w:t>
      </w:r>
      <w:r>
        <w:t xml:space="preserve"> </w:t>
      </w:r>
      <w:r>
        <w:t xml:space="preserve">1332/2008</w:t>
      </w:r>
      <w:r>
        <w:t xml:space="preserve"> </w:t>
      </w:r>
      <w:r>
        <w:t xml:space="preserve">Distinguishes between ‘food enzymes and food enzyme preparations</w:t>
      </w:r>
      <w:r>
        <w:t xml:space="preserve"> </w:t>
      </w:r>
      <w:r>
        <w:t xml:space="preserve">not intended for sale to the final consumer’ (Article 10) and ‘food</w:t>
      </w:r>
      <w:r>
        <w:t xml:space="preserve"> </w:t>
      </w:r>
      <w:r>
        <w:t xml:space="preserve">enzymes and food enzyme preparations intended for sale to the final</w:t>
      </w:r>
      <w:r>
        <w:t xml:space="preserve"> </w:t>
      </w:r>
      <w:r>
        <w:t xml:space="preserve">consumer’ (Article 12)</w:t>
      </w:r>
      <w:r>
        <w:t xml:space="preserve"> </w:t>
      </w:r>
      <w:r>
        <w:t xml:space="preserve">Regulation 1831/2003 on</w:t>
      </w:r>
      <w:r>
        <w:t xml:space="preserve"> </w:t>
      </w:r>
      <w:r>
        <w:t xml:space="preserve">Additives</w:t>
      </w:r>
      <w:r>
        <w:t xml:space="preserve"> </w:t>
      </w:r>
      <w:r>
        <w:t xml:space="preserve">in</w:t>
      </w:r>
      <w:r>
        <w:t xml:space="preserve"> </w:t>
      </w:r>
      <w:r>
        <w:t xml:space="preserve">Animal</w:t>
      </w:r>
      <w:r>
        <w:t xml:space="preserve"> </w:t>
      </w:r>
      <w:r>
        <w:t xml:space="preserve">Nutrition</w:t>
      </w:r>
      <w:r>
        <w:t xml:space="preserve"> </w:t>
      </w:r>
      <w:r>
        <w:t xml:space="preserve">‘Premixtures’ means mixtures of feed additives or mixtures of one or more</w:t>
      </w:r>
      <w:r>
        <w:t xml:space="preserve"> </w:t>
      </w:r>
      <w:r>
        <w:t xml:space="preserve">feed additives with feed materials or water used as carriers, not intended for</w:t>
      </w:r>
      <w:r>
        <w:t xml:space="preserve"> </w:t>
      </w:r>
      <w:r>
        <w:t xml:space="preserve">direct feeding to animals (Article 2(2)(e).</w:t>
      </w:r>
      <w:r>
        <w:br/>
      </w:r>
      <w:r>
        <w:t xml:space="preserve">Product state or condition</w:t>
      </w:r>
      <w:r>
        <w:t xml:space="preserve"> </w:t>
      </w:r>
      <w:r>
        <w:t xml:space="preserve">Medicinal</w:t>
      </w:r>
      <w:r>
        <w:t xml:space="preserve"> </w:t>
      </w:r>
      <w:r>
        <w:t xml:space="preserve">Products</w:t>
      </w:r>
      <w:r>
        <w:t xml:space="preserve"> </w:t>
      </w:r>
      <w:r>
        <w:t xml:space="preserve">Directive 2001/83/EC</w:t>
      </w:r>
      <w:r>
        <w:t xml:space="preserve"> </w:t>
      </w:r>
      <w:r>
        <w:t xml:space="preserve">According to Article 3(4), this Directive shall not apply to intermediate</w:t>
      </w:r>
      <w:r>
        <w:t xml:space="preserve"> </w:t>
      </w:r>
      <w:r>
        <w:t xml:space="preserve">products intended for further processing by an authorized manufacturer</w:t>
      </w:r>
      <w:r>
        <w:t xml:space="preserve"> </w:t>
      </w:r>
      <w:r>
        <w:t xml:space="preserve">(Article 3(4)).</w:t>
      </w:r>
      <w:r>
        <w:t xml:space="preserve"> </w:t>
      </w:r>
      <w:r>
        <w:t xml:space="preserve">Veterinary</w:t>
      </w:r>
      <w:r>
        <w:t xml:space="preserve"> </w:t>
      </w:r>
      <w:r>
        <w:t xml:space="preserve">Medicinal</w:t>
      </w:r>
      <w:r>
        <w:t xml:space="preserve"> </w:t>
      </w:r>
      <w:r>
        <w:t xml:space="preserve">Products Regulation 2019/6</w:t>
      </w:r>
      <w:r>
        <w:t xml:space="preserve"> </w:t>
      </w:r>
      <w:r>
        <w:t xml:space="preserve">According to Article 2(7)(e), this Regulation shall not apply to medicated</w:t>
      </w:r>
      <w:r>
        <w:t xml:space="preserve"> </w:t>
      </w:r>
      <w:r>
        <w:t xml:space="preserve">feed and intermediate products as defined in points (a) and (b) of Article</w:t>
      </w:r>
      <w:r>
        <w:t xml:space="preserve"> </w:t>
      </w:r>
      <w:r>
        <w:t xml:space="preserve">3(2) of Regulation (EU) 2019/4.</w:t>
      </w:r>
      <w:r>
        <w:t xml:space="preserve"> </w:t>
      </w:r>
      <w:r>
        <w:t xml:space="preserve">Regulation 2019/4 provides the following definition of ‘intermediate</w:t>
      </w:r>
      <w:r>
        <w:t xml:space="preserve"> </w:t>
      </w:r>
      <w:r>
        <w:t xml:space="preserve">products’ that is focused on medicated animal feed (Article 3(2)(b)):</w:t>
      </w:r>
      <w:r>
        <w:t xml:space="preserve"> </w:t>
      </w:r>
      <w:r>
        <w:t xml:space="preserve">‘Intermediate product’ means a feed, which is not ready to be directly fed</w:t>
      </w:r>
      <w:r>
        <w:t xml:space="preserve"> </w:t>
      </w:r>
      <w:r>
        <w:t xml:space="preserve">to animals without further processing, consisting of a homogenous mixture of</w:t>
      </w:r>
      <w:r>
        <w:t xml:space="preserve"> </w:t>
      </w:r>
      <w:r>
        <w:t xml:space="preserve">one or more veterinary medicinal products with feed materials or compound</w:t>
      </w:r>
      <w:r>
        <w:t xml:space="preserve"> </w:t>
      </w:r>
      <w:r>
        <w:t xml:space="preserve">feed, exclusively intended to be used for the manufacture of medicated feed.</w:t>
      </w:r>
    </w:p>
    <w:p>
      <w:pPr>
        <w:pStyle w:val="BodyText"/>
      </w:pPr>
      <w:r>
        <w:t xml:space="preserve">Regulations of most products, except legal acts on medicinal products, define a user and refer</w:t>
      </w:r>
      <w:r>
        <w:t xml:space="preserve"> </w:t>
      </w:r>
      <w:r>
        <w:t xml:space="preserve">to final/end-use situations. In legislation on cosmetics and medical devices users are</w:t>
      </w:r>
      <w:r>
        <w:t xml:space="preserve"> </w:t>
      </w:r>
      <w:r>
        <w:t xml:space="preserve">understood as professionals and consumers/lay persons. The most extensive definition of the</w:t>
      </w:r>
      <w:r>
        <w:t xml:space="preserve"> </w:t>
      </w:r>
      <w:r>
        <w:t xml:space="preserve">final consumer that could be useful for understanding the conditions for CLP exemptions</w:t>
      </w:r>
      <w:r>
        <w:t xml:space="preserve"> </w:t>
      </w:r>
      <w:r>
        <w:t xml:space="preserve">under Article 1(5) is the definition of the final consumer in the Regulation on General Food</w:t>
      </w:r>
      <w:r>
        <w:t xml:space="preserve"> </w:t>
      </w:r>
      <w:r>
        <w:t xml:space="preserve">Law. It emphasises that the situation of the final consumption excludes any use of a product</w:t>
      </w:r>
      <w:r>
        <w:t xml:space="preserve"> </w:t>
      </w:r>
      <w:r>
        <w:t xml:space="preserve">in business operations or activities. ECHA recognised the usefulness of this definition in</w:t>
      </w:r>
      <w:r>
        <w:t xml:space="preserve"> </w:t>
      </w:r>
      <w:r>
        <w:t xml:space="preserve">practice when deciding whether a specific product should be treated as an exemption from the</w:t>
      </w:r>
    </w:p>
    <w:p>
      <w:pPr>
        <w:pStyle w:val="BodyText"/>
      </w:pPr>
      <w:r>
        <w:t xml:space="preserve">557</w:t>
      </w:r>
    </w:p>
    <w:p>
      <w:pPr>
        <w:pStyle w:val="BodyText"/>
      </w:pPr>
      <w:r>
        <w:t xml:space="preserve">CLP Regulation.166 The definition of the final user in the Regulation on General Food Law</w:t>
      </w:r>
      <w:r>
        <w:t xml:space="preserve"> </w:t>
      </w:r>
      <w:r>
        <w:t xml:space="preserve">applies to other sectorial food and feed legislation. Subsequently, food and feed legal acts</w:t>
      </w:r>
      <w:r>
        <w:t xml:space="preserve"> </w:t>
      </w:r>
      <w:r>
        <w:t xml:space="preserve">distinguish between products intended/not intended for the final user. This distinction serves</w:t>
      </w:r>
      <w:r>
        <w:t xml:space="preserve"> </w:t>
      </w:r>
      <w:r>
        <w:t xml:space="preserve">various purposes, for instance, in food legislation different labelling requirements are</w:t>
      </w:r>
      <w:r>
        <w:t xml:space="preserve"> </w:t>
      </w:r>
      <w:r>
        <w:t xml:space="preserve">provided for food additives, flavourings and enzymes in cases when they are intended or not</w:t>
      </w:r>
      <w:r>
        <w:t xml:space="preserve"> </w:t>
      </w:r>
      <w:r>
        <w:t xml:space="preserve">intended for a final consumer.</w:t>
      </w:r>
      <w:r>
        <w:br/>
      </w:r>
      <w:r>
        <w:t xml:space="preserve">In the inception impact assessment of the Feed additives Regulation 1831/2003 the</w:t>
      </w:r>
      <w:r>
        <w:t xml:space="preserve"> </w:t>
      </w:r>
      <w:r>
        <w:t xml:space="preserve">insufficient legal clarity with the CLP Regulation was mentioned with regard to feed</w:t>
      </w:r>
      <w:r>
        <w:t xml:space="preserve"> </w:t>
      </w:r>
      <w:r>
        <w:t xml:space="preserve">additives and premixtures that may lead to contradictory directions when both regulations</w:t>
      </w:r>
      <w:r>
        <w:t xml:space="preserve"> </w:t>
      </w:r>
      <w:r>
        <w:t xml:space="preserve">apply simultaneously (European Commission, 2020). The lack of legal clarity and application</w:t>
      </w:r>
      <w:r>
        <w:t xml:space="preserve"> </w:t>
      </w:r>
      <w:r>
        <w:t xml:space="preserve">of both regulations to feed additives and premixtures is going to be addressed in evaluation of</w:t>
      </w:r>
      <w:r>
        <w:t xml:space="preserve"> </w:t>
      </w:r>
      <w:r>
        <w:t xml:space="preserve">the Feed additives Regulation. The consultation activities to support the revision of the CLP</w:t>
      </w:r>
      <w:r>
        <w:t xml:space="preserve"> </w:t>
      </w:r>
      <w:r>
        <w:t xml:space="preserve">Regulation, including expert interviews, did not demonstrate any issues for the duty holders</w:t>
      </w:r>
      <w:r>
        <w:t xml:space="preserve"> </w:t>
      </w:r>
      <w:r>
        <w:t xml:space="preserve">in this domain.</w:t>
      </w:r>
      <w:r>
        <w:t xml:space="preserve"> </w:t>
      </w:r>
      <w:r>
        <w:t xml:space="preserve">Veterinary and medicinal products legislation introduces a concept of intermediate products.</w:t>
      </w:r>
      <w:r>
        <w:t xml:space="preserve"> </w:t>
      </w:r>
      <w:r>
        <w:t xml:space="preserve">This definition serves the purpose of defining the products to which the legal acts do not</w:t>
      </w:r>
      <w:r>
        <w:t xml:space="preserve"> </w:t>
      </w:r>
      <w:r>
        <w:t xml:space="preserve">apply. Intermediate products are those that require further processing of a product before</w:t>
      </w:r>
      <w:r>
        <w:t xml:space="preserve"> </w:t>
      </w:r>
      <w:r>
        <w:t xml:space="preserve">being used by a final consumer (e.g., before being directly fed to animals). Although this</w:t>
      </w:r>
      <w:r>
        <w:t xml:space="preserve"> </w:t>
      </w:r>
      <w:r>
        <w:t xml:space="preserve">definition brings more clarity, it, however, does not refer to the nature of processing that a</w:t>
      </w:r>
      <w:r>
        <w:t xml:space="preserve"> </w:t>
      </w:r>
      <w:r>
        <w:t xml:space="preserve">product undergoes. Analysis of ECHA questions and answers indicates that the nature of</w:t>
      </w:r>
      <w:r>
        <w:t xml:space="preserve"> </w:t>
      </w:r>
      <w:r>
        <w:t xml:space="preserve">processing activities is important for deciding whether a product must comply with the CLP</w:t>
      </w:r>
      <w:r>
        <w:t xml:space="preserve"> </w:t>
      </w:r>
      <w:r>
        <w:t xml:space="preserve">Regulation.</w:t>
      </w:r>
      <w:r>
        <w:t xml:space="preserve"> </w:t>
      </w:r>
      <w:r>
        <w:t xml:space="preserve">In sum, the definitions provided in the exempted products legislation do not bring more</w:t>
      </w:r>
      <w:r>
        <w:t xml:space="preserve"> </w:t>
      </w:r>
      <w:r>
        <w:t xml:space="preserve">clarity for understanding, which legislation applies to a product. In the exempted products’</w:t>
      </w:r>
      <w:r>
        <w:t xml:space="preserve"> </w:t>
      </w:r>
      <w:r>
        <w:t xml:space="preserve">legislation, the definitions that can potentially relate to the concepts ‘in the finished state’ and</w:t>
      </w:r>
      <w:r>
        <w:t xml:space="preserve"> </w:t>
      </w:r>
      <w:r>
        <w:t xml:space="preserve">‘intended for the final user’ serve different purposes than linking with the provisions of the</w:t>
      </w:r>
      <w:r>
        <w:t xml:space="preserve"> </w:t>
      </w:r>
      <w:r>
        <w:t xml:space="preserve">CLP Regulation.</w:t>
      </w:r>
    </w:p>
    <w:p>
      <w:pPr>
        <w:pStyle w:val="BodyText"/>
      </w:pPr>
      <w:r>
        <w:t xml:space="preserve">CONCLUSIONS</w:t>
      </w:r>
      <w:r>
        <w:t xml:space="preserve"> </w:t>
      </w:r>
      <w:r>
        <w:t xml:space="preserve">In this section, the information is organised in form of answers to the two research questions.</w:t>
      </w:r>
      <w:r>
        <w:t xml:space="preserve"> </w:t>
      </w:r>
      <w:r>
        <w:t xml:space="preserve">RQ1: Does the sectorial legislation that regulates the exempted products provide the</w:t>
      </w:r>
      <w:r>
        <w:t xml:space="preserve"> </w:t>
      </w:r>
      <w:r>
        <w:t xml:space="preserve">same level of protection from the environmental hazards borne by these products as the</w:t>
      </w:r>
      <w:r>
        <w:t xml:space="preserve"> </w:t>
      </w:r>
      <w:r>
        <w:t xml:space="preserve">CLP Regulation?</w:t>
      </w:r>
      <w:r>
        <w:t xml:space="preserve"> </w:t>
      </w:r>
      <w:r>
        <w:t xml:space="preserve">The analysis revealed that identification of the environmental hazards is addressed in the</w:t>
      </w:r>
      <w:r>
        <w:t xml:space="preserve"> </w:t>
      </w:r>
      <w:r>
        <w:t xml:space="preserve">legislation referring to human and veterinary medicinal products, genetically modified food</w:t>
      </w:r>
      <w:r>
        <w:t xml:space="preserve"> </w:t>
      </w:r>
      <w:r>
        <w:t xml:space="preserve">and feed, and animal feed in general. In all these legal acts, environmental risk assessment,</w:t>
      </w:r>
      <w:r>
        <w:t xml:space="preserve"> </w:t>
      </w:r>
      <w:r>
        <w:t xml:space="preserve">which combines the assessment of hazards and exposure, is required. In food legislation,</w:t>
      </w:r>
      <w:r>
        <w:t xml:space="preserve"> </w:t>
      </w:r>
      <w:r>
        <w:t xml:space="preserve">environmental factors may be considered, if relevant. The legal acts concerning cosmetic</w:t>
      </w:r>
    </w:p>
    <w:p>
      <w:pPr>
        <w:pStyle w:val="BodyText"/>
      </w:pPr>
      <w:r>
        <w:t xml:space="preserve">166</w:t>
      </w:r>
      <w:r>
        <w:t xml:space="preserve"> </w:t>
      </w:r>
      <w:r>
        <w:t xml:space="preserve">CLP:</w:t>
      </w:r>
      <w:r>
        <w:t xml:space="preserve"> </w:t>
      </w:r>
      <w:r>
        <w:t xml:space="preserve">scope</w:t>
      </w:r>
      <w:r>
        <w:t xml:space="preserve"> </w:t>
      </w:r>
      <w:r>
        <w:t xml:space="preserve">and</w:t>
      </w:r>
      <w:r>
        <w:t xml:space="preserve"> </w:t>
      </w:r>
      <w:r>
        <w:t xml:space="preserve">exemptions</w:t>
      </w:r>
      <w:r>
        <w:t xml:space="preserve"> </w:t>
      </w:r>
      <w:r>
        <w:t xml:space="preserve">under</w:t>
      </w:r>
      <w:r>
        <w:t xml:space="preserve"> </w:t>
      </w:r>
      <w:r>
        <w:t xml:space="preserve">CLP.</w:t>
      </w:r>
      <w:r>
        <w:t xml:space="preserve"> </w:t>
      </w:r>
      <w:r>
        <w:t xml:space="preserve">Questions</w:t>
      </w:r>
      <w:r>
        <w:t xml:space="preserve"> </w:t>
      </w:r>
      <w:r>
        <w:t xml:space="preserve">&amp;</w:t>
      </w:r>
      <w:r>
        <w:t xml:space="preserve"> </w:t>
      </w:r>
      <w:r>
        <w:t xml:space="preserve">Answers.</w:t>
      </w:r>
      <w:r>
        <w:t xml:space="preserve"> </w:t>
      </w:r>
      <w:r>
        <w:t xml:space="preserve">Available</w:t>
      </w:r>
      <w:r>
        <w:t xml:space="preserve"> </w:t>
      </w:r>
      <w:r>
        <w:t xml:space="preserve">at:</w:t>
      </w:r>
      <w:r>
        <w:t xml:space="preserve"> </w:t>
      </w:r>
      <w:r>
        <w:t xml:space="preserve">https://echa.europa.eu/support/qassupport/browse?p_p_id=journalqadisplay_WAR_journalqaportlet&amp;p_p_lifecy</w:t>
      </w:r>
      <w:r>
        <w:t xml:space="preserve"> </w:t>
      </w:r>
      <w:r>
        <w:t xml:space="preserve">cle=0&amp;_journalqadisplay_WAR_journalqaportlet_topic=CLP&amp;_journalqadisplay_WAR_journalqaportlet_scop</w:t>
      </w:r>
      <w:r>
        <w:t xml:space="preserve"> </w:t>
      </w:r>
      <w:r>
        <w:t xml:space="preserve">e=Scope+and+exemptions+under+CLP&amp;_journalqadisplay_WAR_journalqaportlet_backURL=https%3A%2F</w:t>
      </w:r>
      <w:r>
        <w:t xml:space="preserve"> </w:t>
      </w:r>
      <w:r>
        <w:t xml:space="preserve">%2Fecha.europa.eu%2Fsupport%2Fqassupport%2Fbrowse%3Fp_p_id%3Djournalqadisplay_WAR_journalqap</w:t>
      </w:r>
      <w:r>
        <w:t xml:space="preserve"> </w:t>
      </w:r>
      <w:r>
        <w:t xml:space="preserve">ortlet%26p_p_lifecycle%3D0%26p_p_state%3Dnormal%26p_p_mode%3Dview [Accessed on: 30 November</w:t>
      </w:r>
      <w:r>
        <w:t xml:space="preserve"> </w:t>
      </w:r>
      <w:r>
        <w:t xml:space="preserve">2021]</w:t>
      </w:r>
    </w:p>
    <w:p>
      <w:pPr>
        <w:pStyle w:val="BodyText"/>
      </w:pPr>
      <w:r>
        <w:t xml:space="preserve">558</w:t>
      </w:r>
    </w:p>
    <w:p>
      <w:pPr>
        <w:pStyle w:val="BodyText"/>
      </w:pPr>
      <w:r>
        <w:t xml:space="preserve">products, medical devices and food (as well as food additives) do not have a special focus on</w:t>
      </w:r>
      <w:r>
        <w:t xml:space="preserve"> </w:t>
      </w:r>
      <w:r>
        <w:t xml:space="preserve">the identification of the environmental hazards. However, in legislation on medical devices</w:t>
      </w:r>
      <w:r>
        <w:t xml:space="preserve"> </w:t>
      </w:r>
      <w:r>
        <w:t xml:space="preserve">and food some environmental hazards may be still considered if relevant. In addition,</w:t>
      </w:r>
      <w:r>
        <w:t xml:space="preserve"> </w:t>
      </w:r>
      <w:r>
        <w:t xml:space="preserve">Environmental concerns for cosmetic ingredients are tackled by REACH (e.g. via restrictions</w:t>
      </w:r>
      <w:r>
        <w:t xml:space="preserve"> </w:t>
      </w:r>
      <w:r>
        <w:t xml:space="preserve">based on hazard and risks for the environment). For a summary see Table 172.</w:t>
      </w:r>
      <w:r>
        <w:t xml:space="preserve"> </w:t>
      </w:r>
      <w:r>
        <w:t xml:space="preserve">Regarding communication of the environmental hazards, specific precautions or warnings</w:t>
      </w:r>
      <w:r>
        <w:t xml:space="preserve"> </w:t>
      </w:r>
      <w:r>
        <w:t xml:space="preserve">related to the safe use, storage and disposal are required for human and veterinary medicinal</w:t>
      </w:r>
      <w:r>
        <w:t xml:space="preserve"> </w:t>
      </w:r>
      <w:r>
        <w:t xml:space="preserve">products on the label or in the instructions for use, while communication of the</w:t>
      </w:r>
      <w:r>
        <w:t xml:space="preserve"> </w:t>
      </w:r>
      <w:r>
        <w:t xml:space="preserve">environmental hazards related to safe disposal of in vitro medical devices is required as well.</w:t>
      </w:r>
      <w:r>
        <w:t xml:space="preserve"> </w:t>
      </w:r>
      <w:r>
        <w:t xml:space="preserve">For other products, the analysis of legal acts has not identified specific labelling</w:t>
      </w:r>
      <w:r>
        <w:t xml:space="preserve"> </w:t>
      </w:r>
      <w:r>
        <w:t xml:space="preserve">requirements, except for feed additives and medicated feed. For a summary see Table 172.</w:t>
      </w:r>
      <w:r>
        <w:t xml:space="preserve"> </w:t>
      </w:r>
      <w:r>
        <w:t xml:space="preserve">Table 173: A summary of environmental hazard identification and communication in the legislation on the</w:t>
      </w:r>
      <w:r>
        <w:t xml:space="preserve"> </w:t>
      </w:r>
      <w:r>
        <w:t xml:space="preserve">products exempted from the CLP Regulation</w:t>
      </w:r>
      <w:r>
        <w:t xml:space="preserve"> </w:t>
      </w:r>
      <w:r>
        <w:t xml:space="preserve">Product</w:t>
      </w:r>
      <w:r>
        <w:t xml:space="preserve"> </w:t>
      </w:r>
      <w:r>
        <w:t xml:space="preserve">Identification</w:t>
      </w:r>
      <w:r>
        <w:t xml:space="preserve"> </w:t>
      </w:r>
      <w:r>
        <w:t xml:space="preserve">of</w:t>
      </w:r>
      <w:r>
        <w:t xml:space="preserve"> </w:t>
      </w:r>
      <w:r>
        <w:t xml:space="preserve">environmental hazards</w:t>
      </w:r>
      <w:r>
        <w:t xml:space="preserve"> </w:t>
      </w:r>
      <w:r>
        <w:t xml:space="preserve">Communication of environmental hazards</w:t>
      </w:r>
      <w:r>
        <w:t xml:space="preserve"> </w:t>
      </w:r>
      <w:r>
        <w:t xml:space="preserve">Medicinal</w:t>
      </w:r>
      <w:r>
        <w:t xml:space="preserve"> </w:t>
      </w:r>
      <w:r>
        <w:t xml:space="preserve">products</w:t>
      </w:r>
      <w:r>
        <w:t xml:space="preserve"> </w:t>
      </w:r>
      <w:r>
        <w:t xml:space="preserve">for</w:t>
      </w:r>
      <w:r>
        <w:t xml:space="preserve"> </w:t>
      </w:r>
      <w:r>
        <w:t xml:space="preserve">human use</w:t>
      </w:r>
      <w:r>
        <w:br/>
      </w:r>
      <w:r>
        <w:t xml:space="preserve">Required through ERA</w:t>
      </w:r>
      <w:r>
        <w:t xml:space="preserve"> </w:t>
      </w:r>
      <w:r>
        <w:t xml:space="preserve">Precautions on use, storage, disposal on the label</w:t>
      </w:r>
      <w:r>
        <w:t xml:space="preserve"> </w:t>
      </w:r>
      <w:r>
        <w:t xml:space="preserve">Veterinary</w:t>
      </w:r>
      <w:r>
        <w:t xml:space="preserve"> </w:t>
      </w:r>
      <w:r>
        <w:t xml:space="preserve">medicinal</w:t>
      </w:r>
      <w:r>
        <w:t xml:space="preserve"> </w:t>
      </w:r>
      <w:r>
        <w:t xml:space="preserve">products</w:t>
      </w:r>
      <w:r>
        <w:t xml:space="preserve"> </w:t>
      </w:r>
      <w:r>
        <w:t xml:space="preserve">Required through ERA</w:t>
      </w:r>
      <w:r>
        <w:t xml:space="preserve"> </w:t>
      </w:r>
      <w:r>
        <w:t xml:space="preserve">Precautions on use, storage or any other important</w:t>
      </w:r>
      <w:r>
        <w:t xml:space="preserve"> </w:t>
      </w:r>
      <w:r>
        <w:t xml:space="preserve">information on the label or in the instruction for use</w:t>
      </w:r>
      <w:r>
        <w:t xml:space="preserve"> </w:t>
      </w:r>
      <w:r>
        <w:t xml:space="preserve">Medical</w:t>
      </w:r>
      <w:r>
        <w:t xml:space="preserve"> </w:t>
      </w:r>
      <w:r>
        <w:t xml:space="preserve">devices</w:t>
      </w:r>
      <w:r>
        <w:t xml:space="preserve"> </w:t>
      </w:r>
      <w:r>
        <w:t xml:space="preserve">No specific focus on the</w:t>
      </w:r>
      <w:r>
        <w:t xml:space="preserve"> </w:t>
      </w:r>
      <w:r>
        <w:t xml:space="preserve">environmental hazards</w:t>
      </w:r>
      <w:r>
        <w:t xml:space="preserve"> </w:t>
      </w:r>
      <w:r>
        <w:t xml:space="preserve">For in vitro medical devices, warnings or precautions</w:t>
      </w:r>
      <w:r>
        <w:t xml:space="preserve"> </w:t>
      </w:r>
      <w:r>
        <w:t xml:space="preserve">related to environmental hazards that facilitate the safe</w:t>
      </w:r>
      <w:r>
        <w:t xml:space="preserve"> </w:t>
      </w:r>
      <w:r>
        <w:t xml:space="preserve">disposal of the device must be provided in the instructions</w:t>
      </w:r>
      <w:r>
        <w:t xml:space="preserve"> </w:t>
      </w:r>
      <w:r>
        <w:t xml:space="preserve">for use. In case a device contains a substance or a mixture</w:t>
      </w:r>
      <w:r>
        <w:t xml:space="preserve"> </w:t>
      </w:r>
      <w:r>
        <w:t xml:space="preserve">that may be considered dangerous, relevant hazard</w:t>
      </w:r>
      <w:r>
        <w:t xml:space="preserve"> </w:t>
      </w:r>
      <w:r>
        <w:t xml:space="preserve">pictograms shall be put on the label and the other</w:t>
      </w:r>
      <w:r>
        <w:t xml:space="preserve"> </w:t>
      </w:r>
      <w:r>
        <w:t xml:space="preserve">information required by Regulation (EC) No 1272/2008</w:t>
      </w:r>
      <w:r>
        <w:t xml:space="preserve"> </w:t>
      </w:r>
      <w:r>
        <w:t xml:space="preserve">shall be given in the instructions for use.</w:t>
      </w:r>
      <w:r>
        <w:t xml:space="preserve"> </w:t>
      </w:r>
      <w:r>
        <w:t xml:space="preserve">Food</w:t>
      </w:r>
      <w:r>
        <w:t xml:space="preserve"> </w:t>
      </w:r>
      <w:r>
        <w:t xml:space="preserve">Required through ERA for</w:t>
      </w:r>
      <w:r>
        <w:t xml:space="preserve"> </w:t>
      </w:r>
      <w:r>
        <w:t xml:space="preserve">genetically modified food.</w:t>
      </w:r>
      <w:r>
        <w:t xml:space="preserve"> </w:t>
      </w:r>
      <w:r>
        <w:t xml:space="preserve">May be considered where</w:t>
      </w:r>
      <w:r>
        <w:t xml:space="preserve"> </w:t>
      </w:r>
      <w:r>
        <w:t xml:space="preserve">relevant in risk assessments</w:t>
      </w:r>
      <w:r>
        <w:t xml:space="preserve"> </w:t>
      </w:r>
      <w:r>
        <w:t xml:space="preserve">and application dossiers for</w:t>
      </w:r>
      <w:r>
        <w:t xml:space="preserve"> </w:t>
      </w:r>
      <w:r>
        <w:t xml:space="preserve">food additives and food</w:t>
      </w:r>
      <w:r>
        <w:t xml:space="preserve"> </w:t>
      </w:r>
      <w:r>
        <w:t xml:space="preserve">enzymes</w:t>
      </w:r>
      <w:r>
        <w:t xml:space="preserve"> </w:t>
      </w:r>
      <w:r>
        <w:t xml:space="preserve">No specific requirements</w:t>
      </w:r>
      <w:r>
        <w:t xml:space="preserve"> </w:t>
      </w:r>
      <w:r>
        <w:t xml:space="preserve">Animal feed</w:t>
      </w:r>
      <w:r>
        <w:t xml:space="preserve"> </w:t>
      </w:r>
      <w:r>
        <w:t xml:space="preserve">Required through ERA</w:t>
      </w:r>
      <w:r>
        <w:t xml:space="preserve"> </w:t>
      </w:r>
      <w:r>
        <w:t xml:space="preserve">No specific requirements, except for feed additives</w:t>
      </w:r>
      <w:r>
        <w:t xml:space="preserve"> </w:t>
      </w:r>
      <w:r>
        <w:t xml:space="preserve">(directions for safe use) and medicated feed (disposal</w:t>
      </w:r>
      <w:r>
        <w:t xml:space="preserve"> </w:t>
      </w:r>
      <w:r>
        <w:t xml:space="preserve">recommendations)</w:t>
      </w:r>
      <w:r>
        <w:t xml:space="preserve"> </w:t>
      </w:r>
      <w:r>
        <w:t xml:space="preserve">Cosmetics</w:t>
      </w:r>
      <w:r>
        <w:t xml:space="preserve"> </w:t>
      </w:r>
      <w:r>
        <w:t xml:space="preserve">Reference to REACH for</w:t>
      </w:r>
      <w:r>
        <w:t xml:space="preserve"> </w:t>
      </w:r>
      <w:r>
        <w:t xml:space="preserve">environmental</w:t>
      </w:r>
      <w:r>
        <w:t xml:space="preserve"> </w:t>
      </w:r>
      <w:r>
        <w:t xml:space="preserve">considerations (e.g. REACH</w:t>
      </w:r>
      <w:r>
        <w:t xml:space="preserve"> </w:t>
      </w:r>
      <w:r>
        <w:t xml:space="preserve">restriction)</w:t>
      </w:r>
      <w:r>
        <w:t xml:space="preserve"> </w:t>
      </w:r>
      <w:r>
        <w:t xml:space="preserve">No specific requirements</w:t>
      </w:r>
    </w:p>
    <w:p>
      <w:pPr>
        <w:pStyle w:val="BodyText"/>
      </w:pPr>
      <w:r>
        <w:t xml:space="preserve">In summary, the following requirements apply to the different types of exempted products:</w:t>
      </w:r>
      <w:r>
        <w:t xml:space="preserve"> </w:t>
      </w:r>
      <w:r>
        <w:t xml:space="preserve">Human and veterinary medicinal products. The effects of HMPs and VMPs on the</w:t>
      </w:r>
      <w:r>
        <w:t xml:space="preserve"> </w:t>
      </w:r>
      <w:r>
        <w:t xml:space="preserve">environment are addressed in the environmental risk assessment, which must be submitted as</w:t>
      </w:r>
      <w:r>
        <w:t xml:space="preserve"> </w:t>
      </w:r>
      <w:r>
        <w:t xml:space="preserve">a part of the marketing authorisation dossier. The assessment of environmental risks</w:t>
      </w:r>
      <w:r>
        <w:t xml:space="preserve"> </w:t>
      </w:r>
      <w:r>
        <w:t xml:space="preserve">considers the evaluation of environmental hazards of chemicals and their environmental</w:t>
      </w:r>
      <w:r>
        <w:t xml:space="preserve"> </w:t>
      </w:r>
      <w:r>
        <w:t xml:space="preserve">exposure. The outcomes of the environmental risk assessment of a HMP or a VMP lead to</w:t>
      </w:r>
      <w:r>
        <w:t xml:space="preserve"> </w:t>
      </w:r>
      <w:r>
        <w:t xml:space="preserve">specific labelling requirements and risk mitigation measures. Hazard communication</w:t>
      </w:r>
      <w:r>
        <w:t xml:space="preserve"> </w:t>
      </w:r>
      <w:r>
        <w:t xml:space="preserve">requirements for HMPs and VMPs cover use, storage and disposal precautions. In some</w:t>
      </w:r>
    </w:p>
    <w:p>
      <w:pPr>
        <w:pStyle w:val="BodyText"/>
      </w:pPr>
      <w:r>
        <w:t xml:space="preserve">559</w:t>
      </w:r>
    </w:p>
    <w:p>
      <w:pPr>
        <w:pStyle w:val="BodyText"/>
      </w:pPr>
      <w:r>
        <w:t xml:space="preserve">cases, information can be provided in the instructions for use. Therefore, labels of such</w:t>
      </w:r>
      <w:r>
        <w:t xml:space="preserve"> </w:t>
      </w:r>
      <w:r>
        <w:t xml:space="preserve">products do not provide information on the environmental hazards of the products to the</w:t>
      </w:r>
      <w:r>
        <w:t xml:space="preserve"> </w:t>
      </w:r>
      <w:r>
        <w:t xml:space="preserve">extent as in the CLP Regulation.</w:t>
      </w:r>
      <w:r>
        <w:t xml:space="preserve"> </w:t>
      </w:r>
      <w:r>
        <w:t xml:space="preserve">Cosmetics. The CPR does not address the identification and communication of the</w:t>
      </w:r>
      <w:r>
        <w:t xml:space="preserve"> </w:t>
      </w:r>
      <w:r>
        <w:t xml:space="preserve">environmental hazards by explicitly stating in Recital 5 that the environmental concerns are</w:t>
      </w:r>
      <w:r>
        <w:t xml:space="preserve"> </w:t>
      </w:r>
      <w:r>
        <w:t xml:space="preserve">addressed under REACH in a cross-sectoral manner.</w:t>
      </w:r>
      <w:r>
        <w:t xml:space="preserve"> </w:t>
      </w:r>
      <w:r>
        <w:t xml:space="preserve">Medical devices. The Regulations on Medical Devices (2017/745) and In Vitro Medical</w:t>
      </w:r>
      <w:r>
        <w:t xml:space="preserve"> </w:t>
      </w:r>
      <w:r>
        <w:t xml:space="preserve">Devices (2017/746) does not explicitly focus on environmental hazards; however, some</w:t>
      </w:r>
      <w:r>
        <w:t xml:space="preserve"> </w:t>
      </w:r>
      <w:r>
        <w:t xml:space="preserve">safety requirements to medical devices (incl. in vitro medical devices) addressing the safety</w:t>
      </w:r>
      <w:r>
        <w:t xml:space="preserve"> </w:t>
      </w:r>
      <w:r>
        <w:t xml:space="preserve">of disposal and/or emissions might be relevant to the protection of the environment. It is</w:t>
      </w:r>
      <w:r>
        <w:t xml:space="preserve"> </w:t>
      </w:r>
      <w:r>
        <w:t xml:space="preserve">important to note, however, that the safety assessment of medical devices is focused on the</w:t>
      </w:r>
      <w:r>
        <w:t xml:space="preserve"> </w:t>
      </w:r>
      <w:r>
        <w:t xml:space="preserve">protection of the health of patients, users and other persons involved in the use and disposal</w:t>
      </w:r>
      <w:r>
        <w:t xml:space="preserve"> </w:t>
      </w:r>
      <w:r>
        <w:t xml:space="preserve">of a device. Differently from the CLP Regulation, the label or instruction for use of a medical</w:t>
      </w:r>
      <w:r>
        <w:t xml:space="preserve"> </w:t>
      </w:r>
      <w:r>
        <w:t xml:space="preserve">device, following the regulations 2017/745 and 2017/746, communicates information</w:t>
      </w:r>
      <w:r>
        <w:t xml:space="preserve"> </w:t>
      </w:r>
      <w:r>
        <w:t xml:space="preserve">relevant to safe use, storage, handling and disposal of the device. So, the professional user or</w:t>
      </w:r>
      <w:r>
        <w:t xml:space="preserve"> </w:t>
      </w:r>
      <w:r>
        <w:t xml:space="preserve">a consumer does not have access to information about environmental hazards on the label. An</w:t>
      </w:r>
      <w:r>
        <w:t xml:space="preserve"> </w:t>
      </w:r>
      <w:r>
        <w:t xml:space="preserve">exception are in vitro medical devices containing substances or mixtures, which may be</w:t>
      </w:r>
      <w:r>
        <w:t xml:space="preserve"> </w:t>
      </w:r>
      <w:r>
        <w:t xml:space="preserve">considered dangerous. In such cases, hazard pictograms are put on the label and other</w:t>
      </w:r>
      <w:r>
        <w:t xml:space="preserve"> </w:t>
      </w:r>
      <w:r>
        <w:t xml:space="preserve">information under the CLP Regulation should be provided in the instructions for use.</w:t>
      </w:r>
      <w:r>
        <w:t xml:space="preserve"> </w:t>
      </w:r>
      <w:r>
        <w:t xml:space="preserve">Food and feed. In food legislation, the identification of environmental hazards is a part of the</w:t>
      </w:r>
      <w:r>
        <w:t xml:space="preserve"> </w:t>
      </w:r>
      <w:r>
        <w:t xml:space="preserve">environmental risk assessment required by Regulation 1829/2003 on genetically modified</w:t>
      </w:r>
      <w:r>
        <w:t xml:space="preserve"> </w:t>
      </w:r>
      <w:r>
        <w:t xml:space="preserve">food and feed. Other food legislation does not cover environmental risk assessment, although</w:t>
      </w:r>
      <w:r>
        <w:t xml:space="preserve"> </w:t>
      </w:r>
      <w:r>
        <w:t xml:space="preserve">some legal acts, e.g., Regulation on a common authorisation procedure 1331/2008, Food</w:t>
      </w:r>
      <w:r>
        <w:t xml:space="preserve"> </w:t>
      </w:r>
      <w:r>
        <w:t xml:space="preserve">Additives’ (1333/2008) and Food Enzymes (1332/2008) Regulations specify that</w:t>
      </w:r>
      <w:r>
        <w:t xml:space="preserve"> </w:t>
      </w:r>
      <w:r>
        <w:t xml:space="preserve">environmental factors may be considered if relevant in the approval of authorisation</w:t>
      </w:r>
      <w:r>
        <w:t xml:space="preserve"> </w:t>
      </w:r>
      <w:r>
        <w:t xml:space="preserve">applications (Regulations 1333/2008 and 1332/2008) or as a part of scientific risk</w:t>
      </w:r>
      <w:r>
        <w:t xml:space="preserve"> </w:t>
      </w:r>
      <w:r>
        <w:t xml:space="preserve">assessments (Regulation 1331/2008). All analysed animal feed legal acts provide an explicit</w:t>
      </w:r>
      <w:r>
        <w:t xml:space="preserve"> </w:t>
      </w:r>
      <w:r>
        <w:t xml:space="preserve">requirement for animal feed and animal feed additives to be safe for the environment. The</w:t>
      </w:r>
      <w:r>
        <w:t xml:space="preserve"> </w:t>
      </w:r>
      <w:r>
        <w:t xml:space="preserve">analysis of the effects on the environment must be provided in authorisation applications. The</w:t>
      </w:r>
      <w:r>
        <w:t xml:space="preserve"> </w:t>
      </w:r>
      <w:r>
        <w:t xml:space="preserve">analysis of food and feed legislation did not detect any specific labelling requirements</w:t>
      </w:r>
      <w:r>
        <w:t xml:space="preserve"> </w:t>
      </w:r>
      <w:r>
        <w:t xml:space="preserve">addressing the environmental effects, except general safe use recommendations in Feed</w:t>
      </w:r>
      <w:r>
        <w:t xml:space="preserve"> </w:t>
      </w:r>
      <w:r>
        <w:t xml:space="preserve">Additives Regulation (1831/2003) and disposal precautions in Medicated feed Regulation</w:t>
      </w:r>
      <w:r>
        <w:t xml:space="preserve"> </w:t>
      </w:r>
      <w:r>
        <w:t xml:space="preserve">(2019/4).</w:t>
      </w:r>
      <w:r>
        <w:t xml:space="preserve"> </w:t>
      </w:r>
      <w:r>
        <w:t xml:space="preserve">Analysis of the available evidence revealed that some exempted product types may have</w:t>
      </w:r>
      <w:r>
        <w:t xml:space="preserve"> </w:t>
      </w:r>
      <w:r>
        <w:t xml:space="preserve">adverse effects on the environment (see Table 173 for a summary of evidence analysis). For</w:t>
      </w:r>
      <w:r>
        <w:t xml:space="preserve"> </w:t>
      </w:r>
      <w:r>
        <w:t xml:space="preserve">medicinal products and food, there is solid quantitative evidence on the negative effects</w:t>
      </w:r>
      <w:r>
        <w:t xml:space="preserve"> </w:t>
      </w:r>
      <w:r>
        <w:t xml:space="preserve">on the environment. However, food waste or sustainability gaps in the food production</w:t>
      </w:r>
      <w:r>
        <w:t xml:space="preserve"> </w:t>
      </w:r>
      <w:r>
        <w:t xml:space="preserve">chain are not caused by hazardous properties of food. Scientific peer-reviewed studies</w:t>
      </w:r>
      <w:r>
        <w:t xml:space="preserve"> </w:t>
      </w:r>
      <w:r>
        <w:t xml:space="preserve">and some grey literature reports reveal the adverse effects of plastic microbeads (to be</w:t>
      </w:r>
      <w:r>
        <w:t xml:space="preserve"> </w:t>
      </w:r>
      <w:r>
        <w:t xml:space="preserve">mentioned that those ingredients are affected by the REACH restriction on microplastics) and</w:t>
      </w:r>
      <w:r>
        <w:t xml:space="preserve"> </w:t>
      </w:r>
      <w:r>
        <w:t xml:space="preserve">UV filters both used in personal care cosmetic products. However, no estimate of the overall</w:t>
      </w:r>
      <w:r>
        <w:t xml:space="preserve"> </w:t>
      </w:r>
      <w:r>
        <w:t xml:space="preserve">environmental impact of cosmetic products on the environment was found. No evidence</w:t>
      </w:r>
      <w:r>
        <w:t xml:space="preserve"> </w:t>
      </w:r>
      <w:r>
        <w:t xml:space="preserve">about the environmental hazards of medical devices could be found.</w:t>
      </w:r>
      <w:r>
        <w:br/>
      </w:r>
      <w:r>
        <w:t xml:space="preserve">Table 174: A summary of the findings of an analysis on potential gaps in protection from the environmental</w:t>
      </w:r>
      <w:r>
        <w:t xml:space="preserve"> </w:t>
      </w:r>
      <w:r>
        <w:t xml:space="preserve">hazards</w:t>
      </w:r>
      <w:r>
        <w:t xml:space="preserve"> </w:t>
      </w:r>
      <w:r>
        <w:t xml:space="preserve">Question</w:t>
      </w:r>
      <w:r>
        <w:t xml:space="preserve"> </w:t>
      </w:r>
      <w:r>
        <w:t xml:space="preserve">HMP &amp; VMP</w:t>
      </w:r>
      <w:r>
        <w:t xml:space="preserve"> </w:t>
      </w:r>
      <w:r>
        <w:t xml:space="preserve">Cosmetics</w:t>
      </w:r>
      <w:r>
        <w:t xml:space="preserve"> </w:t>
      </w:r>
      <w:r>
        <w:t xml:space="preserve">Medical devices</w:t>
      </w:r>
      <w:r>
        <w:t xml:space="preserve"> </w:t>
      </w:r>
      <w:r>
        <w:t xml:space="preserve">Food and feed</w:t>
      </w:r>
    </w:p>
    <w:p>
      <w:pPr>
        <w:pStyle w:val="BodyText"/>
      </w:pPr>
      <w:r>
        <w:t xml:space="preserve">560</w:t>
      </w:r>
    </w:p>
    <w:p>
      <w:pPr>
        <w:pStyle w:val="BodyText"/>
      </w:pPr>
      <w:r>
        <w:t xml:space="preserve">Are there any</w:t>
      </w:r>
      <w:r>
        <w:t xml:space="preserve"> </w:t>
      </w:r>
      <w:r>
        <w:t xml:space="preserve">environmental</w:t>
      </w:r>
      <w:r>
        <w:t xml:space="preserve"> </w:t>
      </w:r>
      <w:r>
        <w:t xml:space="preserve">issues caused by the</w:t>
      </w:r>
      <w:r>
        <w:t xml:space="preserve"> </w:t>
      </w:r>
      <w:r>
        <w:t xml:space="preserve">exempted products?</w:t>
      </w:r>
      <w:r>
        <w:t xml:space="preserve"> </w:t>
      </w:r>
      <w:r>
        <w:t xml:space="preserve">Yes, pollution of</w:t>
      </w:r>
      <w:r>
        <w:t xml:space="preserve"> </w:t>
      </w:r>
      <w:r>
        <w:t xml:space="preserve">aquatic</w:t>
      </w:r>
      <w:r>
        <w:t xml:space="preserve"> </w:t>
      </w:r>
      <w:r>
        <w:t xml:space="preserve">environments</w:t>
      </w:r>
      <w:r>
        <w:t xml:space="preserve"> </w:t>
      </w:r>
      <w:r>
        <w:t xml:space="preserve">by</w:t>
      </w:r>
      <w:r>
        <w:t xml:space="preserve"> </w:t>
      </w:r>
      <w:r>
        <w:t xml:space="preserve">pharmaceuticals</w:t>
      </w:r>
      <w:r>
        <w:t xml:space="preserve"> </w:t>
      </w:r>
      <w:r>
        <w:t xml:space="preserve">No</w:t>
      </w:r>
      <w:r>
        <w:t xml:space="preserve"> </w:t>
      </w:r>
      <w:r>
        <w:t xml:space="preserve">solid</w:t>
      </w:r>
      <w:r>
        <w:t xml:space="preserve"> </w:t>
      </w:r>
      <w:r>
        <w:t xml:space="preserve">and</w:t>
      </w:r>
      <w:r>
        <w:t xml:space="preserve"> </w:t>
      </w:r>
      <w:r>
        <w:t xml:space="preserve">quantitative</w:t>
      </w:r>
      <w:r>
        <w:t xml:space="preserve"> </w:t>
      </w:r>
      <w:r>
        <w:t xml:space="preserve">evidence</w:t>
      </w:r>
      <w:r>
        <w:t xml:space="preserve"> </w:t>
      </w:r>
      <w:r>
        <w:t xml:space="preserve">of</w:t>
      </w:r>
      <w:r>
        <w:t xml:space="preserve"> </w:t>
      </w:r>
      <w:r>
        <w:t xml:space="preserve">all</w:t>
      </w:r>
      <w:r>
        <w:t xml:space="preserve"> </w:t>
      </w:r>
      <w:r>
        <w:t xml:space="preserve">issues: UV filters</w:t>
      </w:r>
      <w:r>
        <w:t xml:space="preserve"> </w:t>
      </w:r>
      <w:r>
        <w:t xml:space="preserve">and</w:t>
      </w:r>
      <w:r>
        <w:t xml:space="preserve"> </w:t>
      </w:r>
      <w:r>
        <w:t xml:space="preserve">plastic</w:t>
      </w:r>
      <w:r>
        <w:t xml:space="preserve"> </w:t>
      </w:r>
      <w:r>
        <w:t xml:space="preserve">microbeads</w:t>
      </w:r>
      <w:r>
        <w:t xml:space="preserve"> </w:t>
      </w:r>
      <w:r>
        <w:t xml:space="preserve">are</w:t>
      </w:r>
      <w:r>
        <w:t xml:space="preserve"> </w:t>
      </w:r>
      <w:r>
        <w:t xml:space="preserve">visible</w:t>
      </w:r>
      <w:r>
        <w:t xml:space="preserve"> </w:t>
      </w:r>
      <w:r>
        <w:t xml:space="preserve">in</w:t>
      </w:r>
      <w:r>
        <w:t xml:space="preserve"> </w:t>
      </w:r>
      <w:r>
        <w:t xml:space="preserve">the</w:t>
      </w:r>
      <w:r>
        <w:t xml:space="preserve"> </w:t>
      </w:r>
      <w:r>
        <w:t xml:space="preserve">research</w:t>
      </w:r>
      <w:r>
        <w:t xml:space="preserve"> </w:t>
      </w:r>
      <w:r>
        <w:t xml:space="preserve">No</w:t>
      </w:r>
      <w:r>
        <w:t xml:space="preserve"> </w:t>
      </w:r>
      <w:r>
        <w:t xml:space="preserve">evidence,</w:t>
      </w:r>
      <w:r>
        <w:t xml:space="preserve"> </w:t>
      </w:r>
      <w:r>
        <w:t xml:space="preserve">difficult</w:t>
      </w:r>
      <w:r>
        <w:t xml:space="preserve"> </w:t>
      </w:r>
      <w:r>
        <w:t xml:space="preserve">to</w:t>
      </w:r>
      <w:r>
        <w:t xml:space="preserve"> </w:t>
      </w:r>
      <w:r>
        <w:t xml:space="preserve">distinguish</w:t>
      </w:r>
      <w:r>
        <w:t xml:space="preserve"> </w:t>
      </w:r>
      <w:r>
        <w:t xml:space="preserve">common issues for</w:t>
      </w:r>
      <w:r>
        <w:t xml:space="preserve"> </w:t>
      </w:r>
      <w:r>
        <w:t xml:space="preserve">a highly diverse</w:t>
      </w:r>
      <w:r>
        <w:t xml:space="preserve"> </w:t>
      </w:r>
      <w:r>
        <w:t xml:space="preserve">group of devices</w:t>
      </w:r>
      <w:r>
        <w:t xml:space="preserve"> </w:t>
      </w:r>
      <w:r>
        <w:t xml:space="preserve">Food waste</w:t>
      </w:r>
      <w:r>
        <w:t xml:space="preserve"> </w:t>
      </w:r>
      <w:r>
        <w:t xml:space="preserve">No evidence for</w:t>
      </w:r>
      <w:r>
        <w:t xml:space="preserve"> </w:t>
      </w:r>
      <w:r>
        <w:t xml:space="preserve">issues caused by</w:t>
      </w:r>
      <w:r>
        <w:t xml:space="preserve"> </w:t>
      </w:r>
      <w:r>
        <w:t xml:space="preserve">feed</w:t>
      </w:r>
      <w:r>
        <w:t xml:space="preserve"> </w:t>
      </w:r>
      <w:r>
        <w:t xml:space="preserve">Are the identified</w:t>
      </w:r>
      <w:r>
        <w:t xml:space="preserve"> </w:t>
      </w:r>
      <w:r>
        <w:t xml:space="preserve">environmental</w:t>
      </w:r>
      <w:r>
        <w:t xml:space="preserve"> </w:t>
      </w:r>
      <w:r>
        <w:t xml:space="preserve">issues caused by</w:t>
      </w:r>
      <w:r>
        <w:t xml:space="preserve"> </w:t>
      </w:r>
      <w:r>
        <w:t xml:space="preserve">hazards of the</w:t>
      </w:r>
      <w:r>
        <w:t xml:space="preserve"> </w:t>
      </w:r>
      <w:r>
        <w:t xml:space="preserve">exempted products?</w:t>
      </w:r>
      <w:r>
        <w:t xml:space="preserve"> </w:t>
      </w:r>
      <w:r>
        <w:t xml:space="preserve">Yes</w:t>
      </w:r>
      <w:r>
        <w:t xml:space="preserve"> </w:t>
      </w:r>
      <w:r>
        <w:t xml:space="preserve">At least for UV-</w:t>
      </w:r>
      <w:r>
        <w:t xml:space="preserve"> </w:t>
      </w:r>
      <w:r>
        <w:t xml:space="preserve">filters and plastic</w:t>
      </w:r>
      <w:r>
        <w:t xml:space="preserve"> </w:t>
      </w:r>
      <w:r>
        <w:t xml:space="preserve">microbeads used in</w:t>
      </w:r>
      <w:r>
        <w:t xml:space="preserve"> </w:t>
      </w:r>
      <w:r>
        <w:t xml:space="preserve">cosmetic products,</w:t>
      </w:r>
      <w:r>
        <w:t xml:space="preserve"> </w:t>
      </w:r>
      <w:r>
        <w:t xml:space="preserve">there</w:t>
      </w:r>
      <w:r>
        <w:t xml:space="preserve"> </w:t>
      </w:r>
      <w:r>
        <w:t xml:space="preserve">is</w:t>
      </w:r>
      <w:r>
        <w:t xml:space="preserve"> </w:t>
      </w:r>
      <w:r>
        <w:t xml:space="preserve">some</w:t>
      </w:r>
      <w:r>
        <w:t xml:space="preserve"> </w:t>
      </w:r>
      <w:r>
        <w:t xml:space="preserve">evidence</w:t>
      </w:r>
      <w:r>
        <w:t xml:space="preserve"> </w:t>
      </w:r>
      <w:r>
        <w:t xml:space="preserve">No evidence</w:t>
      </w:r>
      <w:r>
        <w:t xml:space="preserve"> </w:t>
      </w:r>
      <w:r>
        <w:t xml:space="preserve">No evidence, food</w:t>
      </w:r>
      <w:r>
        <w:t xml:space="preserve"> </w:t>
      </w:r>
      <w:r>
        <w:t xml:space="preserve">waste is a problem</w:t>
      </w:r>
      <w:r>
        <w:t xml:space="preserve"> </w:t>
      </w:r>
      <w:r>
        <w:t xml:space="preserve">mainly due to its</w:t>
      </w:r>
      <w:r>
        <w:t xml:space="preserve"> </w:t>
      </w:r>
      <w:r>
        <w:t xml:space="preserve">volume</w:t>
      </w:r>
      <w:r>
        <w:t xml:space="preserve"> </w:t>
      </w:r>
      <w:r>
        <w:t xml:space="preserve">Are the identified</w:t>
      </w:r>
      <w:r>
        <w:t xml:space="preserve"> </w:t>
      </w:r>
      <w:r>
        <w:t xml:space="preserve">environmental</w:t>
      </w:r>
      <w:r>
        <w:t xml:space="preserve"> </w:t>
      </w:r>
      <w:r>
        <w:t xml:space="preserve">issues caused by the</w:t>
      </w:r>
      <w:r>
        <w:t xml:space="preserve"> </w:t>
      </w:r>
      <w:r>
        <w:t xml:space="preserve">lack of</w:t>
      </w:r>
      <w:r>
        <w:t xml:space="preserve"> </w:t>
      </w:r>
      <w:r>
        <w:t xml:space="preserve">communication</w:t>
      </w:r>
      <w:r>
        <w:t xml:space="preserve"> </w:t>
      </w:r>
      <w:r>
        <w:t xml:space="preserve">about the hazards of</w:t>
      </w:r>
      <w:r>
        <w:t xml:space="preserve"> </w:t>
      </w:r>
      <w:r>
        <w:t xml:space="preserve">the exempted</w:t>
      </w:r>
      <w:r>
        <w:t xml:space="preserve"> </w:t>
      </w:r>
      <w:r>
        <w:t xml:space="preserve">products?</w:t>
      </w:r>
      <w:r>
        <w:t xml:space="preserve"> </w:t>
      </w:r>
      <w:r>
        <w:t xml:space="preserve">No evidence</w:t>
      </w:r>
      <w:r>
        <w:t xml:space="preserve"> </w:t>
      </w:r>
      <w:r>
        <w:t xml:space="preserve">No evidence</w:t>
      </w:r>
      <w:r>
        <w:t xml:space="preserve"> </w:t>
      </w:r>
      <w:r>
        <w:t xml:space="preserve">No evidence</w:t>
      </w:r>
      <w:r>
        <w:t xml:space="preserve"> </w:t>
      </w:r>
      <w:r>
        <w:t xml:space="preserve">No evidence</w:t>
      </w:r>
      <w:r>
        <w:t xml:space="preserve"> </w:t>
      </w:r>
      <w:r>
        <w:t xml:space="preserve">Could the</w:t>
      </w:r>
      <w:r>
        <w:t xml:space="preserve"> </w:t>
      </w:r>
      <w:r>
        <w:t xml:space="preserve">environmental</w:t>
      </w:r>
      <w:r>
        <w:t xml:space="preserve"> </w:t>
      </w:r>
      <w:r>
        <w:t xml:space="preserve">issues be solved by</w:t>
      </w:r>
      <w:r>
        <w:t xml:space="preserve"> </w:t>
      </w:r>
      <w:r>
        <w:t xml:space="preserve">enhancing</w:t>
      </w:r>
      <w:r>
        <w:t xml:space="preserve"> </w:t>
      </w:r>
      <w:r>
        <w:t xml:space="preserve">identification or</w:t>
      </w:r>
      <w:r>
        <w:t xml:space="preserve"> </w:t>
      </w:r>
      <w:r>
        <w:t xml:space="preserve">communication of</w:t>
      </w:r>
      <w:r>
        <w:t xml:space="preserve"> </w:t>
      </w:r>
      <w:r>
        <w:t xml:space="preserve">hazards as laid out</w:t>
      </w:r>
      <w:r>
        <w:t xml:space="preserve"> </w:t>
      </w:r>
      <w:r>
        <w:t xml:space="preserve">in the CLP</w:t>
      </w:r>
      <w:r>
        <w:t xml:space="preserve"> </w:t>
      </w:r>
      <w:r>
        <w:t xml:space="preserve">Regulation?</w:t>
      </w:r>
      <w:r>
        <w:t xml:space="preserve"> </w:t>
      </w:r>
      <w:r>
        <w:t xml:space="preserve">No</w:t>
      </w:r>
      <w:r>
        <w:t xml:space="preserve"> </w:t>
      </w:r>
      <w:r>
        <w:t xml:space="preserve">evidence,</w:t>
      </w:r>
      <w:r>
        <w:t xml:space="preserve"> </w:t>
      </w:r>
      <w:r>
        <w:t xml:space="preserve">although</w:t>
      </w:r>
      <w:r>
        <w:t xml:space="preserve"> </w:t>
      </w:r>
      <w:r>
        <w:t xml:space="preserve">hazard</w:t>
      </w:r>
      <w:r>
        <w:t xml:space="preserve"> </w:t>
      </w:r>
      <w:r>
        <w:t xml:space="preserve">communication by</w:t>
      </w:r>
      <w:r>
        <w:t xml:space="preserve"> </w:t>
      </w:r>
      <w:r>
        <w:t xml:space="preserve">label</w:t>
      </w:r>
      <w:r>
        <w:t xml:space="preserve"> </w:t>
      </w:r>
      <w:r>
        <w:t xml:space="preserve">information</w:t>
      </w:r>
      <w:r>
        <w:t xml:space="preserve"> </w:t>
      </w:r>
      <w:r>
        <w:t xml:space="preserve">could be one of the</w:t>
      </w:r>
      <w:r>
        <w:t xml:space="preserve"> </w:t>
      </w:r>
      <w:r>
        <w:t xml:space="preserve">measures</w:t>
      </w:r>
      <w:r>
        <w:t xml:space="preserve"> </w:t>
      </w:r>
      <w:r>
        <w:t xml:space="preserve">No evidence</w:t>
      </w:r>
      <w:r>
        <w:t xml:space="preserve"> </w:t>
      </w:r>
      <w:r>
        <w:t xml:space="preserve">No evidence</w:t>
      </w:r>
      <w:r>
        <w:t xml:space="preserve"> </w:t>
      </w:r>
      <w:r>
        <w:t xml:space="preserve">No evidence</w:t>
      </w:r>
    </w:p>
    <w:p>
      <w:pPr>
        <w:pStyle w:val="BodyText"/>
      </w:pPr>
      <w:r>
        <w:t xml:space="preserve">The adverse environmental effects of the medicinal products (intended for human use in</w:t>
      </w:r>
      <w:r>
        <w:t xml:space="preserve"> </w:t>
      </w:r>
      <w:r>
        <w:t xml:space="preserve">particular) are caused by the hazardous properties of these products and mostly result from</w:t>
      </w:r>
      <w:r>
        <w:t xml:space="preserve"> </w:t>
      </w:r>
      <w:r>
        <w:t xml:space="preserve">the inappropriate disposal behaviour of such products in households. However, the studies of</w:t>
      </w:r>
      <w:r>
        <w:t xml:space="preserve"> </w:t>
      </w:r>
      <w:r>
        <w:t xml:space="preserve">disposal behaviours are fragmented and non-representative. Besides, the available empirical</w:t>
      </w:r>
      <w:r>
        <w:t xml:space="preserve"> </w:t>
      </w:r>
      <w:r>
        <w:t xml:space="preserve">research of consumer behaviour does not prove the link between the lack of</w:t>
      </w:r>
      <w:r>
        <w:t xml:space="preserve"> </w:t>
      </w:r>
      <w:r>
        <w:t xml:space="preserve">awareness/information about the environmental effect of medicines as a cause of</w:t>
      </w:r>
      <w:r>
        <w:t xml:space="preserve"> </w:t>
      </w:r>
      <w:r>
        <w:t xml:space="preserve">inappropriate disposal habits. Instead, controversial results from different research suggest</w:t>
      </w:r>
      <w:r>
        <w:t xml:space="preserve"> </w:t>
      </w:r>
      <w:r>
        <w:t xml:space="preserve">that medicine disposal behaviour depends on multiple interrelated factors and is not limited to</w:t>
      </w:r>
      <w:r>
        <w:t xml:space="preserve"> </w:t>
      </w:r>
      <w:r>
        <w:t xml:space="preserve">the level of environmental awareness. Interestingly, the research about consumer behaviour</w:t>
      </w:r>
      <w:r>
        <w:t xml:space="preserve"> </w:t>
      </w:r>
      <w:r>
        <w:t xml:space="preserve">in purchasing cosmetic products and consumer food-wasting behaviour also indicate that</w:t>
      </w:r>
      <w:r>
        <w:t xml:space="preserve"> </w:t>
      </w:r>
      <w:r>
        <w:t xml:space="preserve">there is no direct causal link between the level of awareness of the environmental issue and</w:t>
      </w:r>
      <w:r>
        <w:t xml:space="preserve"> </w:t>
      </w:r>
      <w:r>
        <w:t xml:space="preserve">purchase and use behaviour, which is affected by multiple complex factors.</w:t>
      </w:r>
      <w:r>
        <w:t xml:space="preserve"> </w:t>
      </w:r>
      <w:r>
        <w:t xml:space="preserve">Furthermore, it is useful to mention that regulatory initiatives aimed at improving the</w:t>
      </w:r>
      <w:r>
        <w:t xml:space="preserve"> </w:t>
      </w:r>
      <w:r>
        <w:t xml:space="preserve">environmental risk assessment and influencing medicines’ disposal behaviour are foreseen in</w:t>
      </w:r>
      <w:r>
        <w:t xml:space="preserve"> </w:t>
      </w:r>
      <w:r>
        <w:t xml:space="preserve">the forthcoming revision of pharmaceutical legislation. Similarly, a restriction proposal for</w:t>
      </w:r>
      <w:r>
        <w:t xml:space="preserve"> </w:t>
      </w:r>
      <w:r>
        <w:t xml:space="preserve">plastic microbeads has been submitted by ECHA, also covering cosmetic products.</w:t>
      </w:r>
      <w:r>
        <w:br/>
      </w:r>
      <w:r>
        <w:t xml:space="preserve">RQ2: Do the definitions in the CLP Regulation and sectorial legislation covering the</w:t>
      </w:r>
      <w:r>
        <w:t xml:space="preserve"> </w:t>
      </w:r>
      <w:r>
        <w:t xml:space="preserve">exempted products (particularly those related to ‘in the finished state’ and ‘intended for</w:t>
      </w:r>
    </w:p>
    <w:p>
      <w:pPr>
        <w:pStyle w:val="BodyText"/>
      </w:pPr>
      <w:r>
        <w:t xml:space="preserve">561</w:t>
      </w:r>
    </w:p>
    <w:p>
      <w:pPr>
        <w:pStyle w:val="BodyText"/>
      </w:pPr>
      <w:r>
        <w:t xml:space="preserve">the final user’) provide sufficient clarity to decide whether the CLP exemptions apply to</w:t>
      </w:r>
      <w:r>
        <w:t xml:space="preserve"> </w:t>
      </w:r>
      <w:r>
        <w:t xml:space="preserve">a product?</w:t>
      </w:r>
      <w:r>
        <w:t xml:space="preserve"> </w:t>
      </w:r>
      <w:r>
        <w:t xml:space="preserve">There is no solid evidence that the application of the CLP exemptions under Article 1(5)</w:t>
      </w:r>
      <w:r>
        <w:t xml:space="preserve"> </w:t>
      </w:r>
      <w:r>
        <w:t xml:space="preserve">causes uncertainties or issues to the duty holders. The only source about duty holders’</w:t>
      </w:r>
      <w:r>
        <w:t xml:space="preserve"> </w:t>
      </w:r>
      <w:r>
        <w:t xml:space="preserve">concerns – annual reviews of national helpdesks activities published by ECHA – do not allow</w:t>
      </w:r>
      <w:r>
        <w:t xml:space="preserve"> </w:t>
      </w:r>
      <w:r>
        <w:t xml:space="preserve">to conclude that duty holder experience any issues related to the concepts of ‘in the finished</w:t>
      </w:r>
      <w:r>
        <w:t xml:space="preserve"> </w:t>
      </w:r>
      <w:r>
        <w:t xml:space="preserve">state’ and ‘intended for the final user’. Sectorial legislation on the exempted products</w:t>
      </w:r>
      <w:r>
        <w:t xml:space="preserve"> </w:t>
      </w:r>
      <w:r>
        <w:t xml:space="preserve">provides some definitions related to the final use or finished state of the product, however,</w:t>
      </w:r>
      <w:r>
        <w:t xml:space="preserve"> </w:t>
      </w:r>
      <w:r>
        <w:t xml:space="preserve">these definitions serve different purposes than making a link with the CLP Regulation. The</w:t>
      </w:r>
      <w:r>
        <w:t xml:space="preserve"> </w:t>
      </w:r>
      <w:r>
        <w:t xml:space="preserve">Question &amp; Answer section maintained by ECHA provides all necessary explanations to duty</w:t>
      </w:r>
      <w:r>
        <w:t xml:space="preserve"> </w:t>
      </w:r>
      <w:r>
        <w:t xml:space="preserve">holders how to interpret Article 1(5).</w:t>
      </w:r>
      <w:r>
        <w:br/>
      </w:r>
      <w:r>
        <w:t xml:space="preserve">The lack of legal clarity and inconsistencies between the Feed Additives Regulation and the</w:t>
      </w:r>
      <w:r>
        <w:t xml:space="preserve"> </w:t>
      </w:r>
      <w:r>
        <w:t xml:space="preserve">CLP Regulation have been addressed by the Commission in the ongoing evaluation of the</w:t>
      </w:r>
      <w:r>
        <w:t xml:space="preserve"> </w:t>
      </w:r>
      <w:r>
        <w:t xml:space="preserve">Feed Additives Regulation 1831/2003 in order to avoid regulatory gap and to bring</w:t>
      </w:r>
      <w:r>
        <w:t xml:space="preserve"> </w:t>
      </w:r>
      <w:r>
        <w:t xml:space="preserve">regulatory simplification.</w:t>
      </w:r>
      <w:r>
        <w:t xml:space="preserve"> </w:t>
      </w:r>
      <w:r>
        <w:t xml:space="preserve">Therefore, there is no evidence to justify the need for a regulatory action.</w:t>
      </w:r>
    </w:p>
    <w:p>
      <w:pPr>
        <w:pStyle w:val="BodyText"/>
      </w:pPr>
      <w:r>
        <w:t xml:space="preserve">562</w:t>
      </w:r>
    </w:p>
    <w:p>
      <w:pPr>
        <w:pStyle w:val="BodyText"/>
      </w:pPr>
      <w:r>
        <w:t xml:space="preserve">Annex 15 – Information on online sales of chemicals</w:t>
      </w:r>
    </w:p>
    <w:p>
      <w:pPr>
        <w:pStyle w:val="BodyText"/>
      </w:pPr>
      <w:r>
        <w:t xml:space="preserve">CONTEXT</w:t>
      </w:r>
      <w:r>
        <w:t xml:space="preserve"> </w:t>
      </w:r>
      <w:r>
        <w:t xml:space="preserve">The objective of the matter described in this annex to adapt CLP to online sales and to ensure</w:t>
      </w:r>
      <w:r>
        <w:t xml:space="preserve"> </w:t>
      </w:r>
      <w:r>
        <w:t xml:space="preserve">safe purchase and use of chemicals sold online is closely linked to Green Deal’s goal of</w:t>
      </w:r>
      <w:r>
        <w:t xml:space="preserve"> </w:t>
      </w:r>
      <w:r>
        <w:t xml:space="preserve">having a green and digital transition of the EU industry whilst ensuring consumer and</w:t>
      </w:r>
      <w:r>
        <w:t xml:space="preserve"> </w:t>
      </w:r>
      <w:r>
        <w:t xml:space="preserve">environmental protection. It also links to SDGs #3 Good health and well-being and SDG #9</w:t>
      </w:r>
      <w:r>
        <w:t xml:space="preserve"> </w:t>
      </w:r>
      <w:r>
        <w:t xml:space="preserve">Industry, innovation and infrastructure as outlined under Section 1.1. of the SWD.</w:t>
      </w:r>
      <w:r>
        <w:br/>
      </w:r>
      <w:r>
        <w:t xml:space="preserve">The relevance of online sales has been steadily growing both for individuals and businesses.</w:t>
      </w:r>
      <w:r>
        <w:t xml:space="preserve"> </w:t>
      </w:r>
      <w:r>
        <w:t xml:space="preserve">According to Eurostat, in 2020, 73% of Internet users in the EU shopped online, while online</w:t>
      </w:r>
      <w:r>
        <w:t xml:space="preserve"> </w:t>
      </w:r>
      <w:r>
        <w:t xml:space="preserve">purchases increased by 20% in comparison to 2010. Thirty-one per cent (31%) of online</w:t>
      </w:r>
      <w:r>
        <w:t xml:space="preserve"> </w:t>
      </w:r>
      <w:r>
        <w:t xml:space="preserve">shoppers bought goods from sellers in other EU countries (Eurostat, 2021).167 According to</w:t>
      </w:r>
      <w:r>
        <w:t xml:space="preserve"> </w:t>
      </w:r>
      <w:r>
        <w:t xml:space="preserve">the EU consumer survey, in 2018, 18.4% of Europeans purchased services or goods online</w:t>
      </w:r>
      <w:r>
        <w:t xml:space="preserve"> </w:t>
      </w:r>
      <w:r>
        <w:t xml:space="preserve">outside of the EU (GfK Belgium, 2018). One in five EU enterprises made online sales in</w:t>
      </w:r>
      <w:r>
        <w:t xml:space="preserve"> </w:t>
      </w:r>
      <w:r>
        <w:t xml:space="preserve">2020, amounting to 18% of total turnover of companies that employ 10 or more people168.</w:t>
      </w:r>
      <w:r>
        <w:t xml:space="preserve"> </w:t>
      </w:r>
      <w:r>
        <w:t xml:space="preserve">The trend of increased online sales, in particular to consumers, is also noted in UN’s Global</w:t>
      </w:r>
      <w:r>
        <w:t xml:space="preserve"> </w:t>
      </w:r>
      <w:r>
        <w:t xml:space="preserve">Chemicals Outlook (UNEP, 2019).169</w:t>
      </w:r>
      <w:r>
        <w:br/>
      </w:r>
      <w:r>
        <w:t xml:space="preserve">The Fitness check of the most relevant chemicals legislation (excluding REACH) states that:</w:t>
      </w:r>
      <w:r>
        <w:t xml:space="preserve"> </w:t>
      </w:r>
      <w:r>
        <w:t xml:space="preserve">“Regarding online chemicals sales, several enforcement surveys show that various non-</w:t>
      </w:r>
      <w:r>
        <w:t xml:space="preserve"> </w:t>
      </w:r>
      <w:r>
        <w:t xml:space="preserve">authorised chemicals and related products are increasingly being offered for sale via the</w:t>
      </w:r>
      <w:r>
        <w:t xml:space="preserve"> </w:t>
      </w:r>
      <w:r>
        <w:t xml:space="preserve">Internet. As chemicals legislation does not distinguish between different types of trade, all</w:t>
      </w:r>
      <w:r>
        <w:t xml:space="preserve"> </w:t>
      </w:r>
      <w:r>
        <w:t xml:space="preserve">provisions regulating chemicals apply in principle also to Internet trade. Currently, however,</w:t>
      </w:r>
      <w:r>
        <w:t xml:space="preserve"> </w:t>
      </w:r>
      <w:r>
        <w:t xml:space="preserve">access to websites and relevant information on transactions, vendors or service providers for</w:t>
      </w:r>
      <w:r>
        <w:t xml:space="preserve"> </w:t>
      </w:r>
      <w:r>
        <w:t xml:space="preserve">monitoring authorities is difficult and therefore hampers their investigations”170.</w:t>
      </w:r>
      <w:r>
        <w:br/>
      </w:r>
      <w:r>
        <w:t xml:space="preserve">The findings to the Fitness check171 report that “articles imported into the EU, including via</w:t>
      </w:r>
      <w:r>
        <w:t xml:space="preserve"> </w:t>
      </w:r>
      <w:r>
        <w:t xml:space="preserve">online sales, still represent a particular challenge for market surveillance authorities for</w:t>
      </w:r>
      <w:r>
        <w:t xml:space="preserve"> </w:t>
      </w:r>
      <w:r>
        <w:t xml:space="preserve">ensuring both overall consumer protection as well as fair competition”.</w:t>
      </w:r>
      <w:r>
        <w:br/>
      </w:r>
      <w:r>
        <w:t xml:space="preserve">Section 2.3.2. of the Chemicals Strategy for Sustainability (CSS) mentions that “currently</w:t>
      </w:r>
      <w:r>
        <w:t xml:space="preserve"> </w:t>
      </w:r>
      <w:r>
        <w:t xml:space="preserve">almost 30% of the alerts on dangerous products on the market involve risks due to chemicals,</w:t>
      </w:r>
      <w:r>
        <w:t xml:space="preserve"> </w:t>
      </w:r>
      <w:r>
        <w:t xml:space="preserve">with almost 90% of those products coming from outside the EU and imported articles and</w:t>
      </w:r>
      <w:r>
        <w:t xml:space="preserve"> </w:t>
      </w:r>
      <w:r>
        <w:t xml:space="preserve">online sales representing a particular challenge”. And further that “The Commission is</w:t>
      </w:r>
      <w:r>
        <w:t xml:space="preserve"> </w:t>
      </w:r>
      <w:r>
        <w:t xml:space="preserve">considering which additional measures could be put in place to strengthen the enforcement of</w:t>
      </w:r>
      <w:r>
        <w:t xml:space="preserve"> </w:t>
      </w:r>
      <w:r>
        <w:t xml:space="preserve">REACH at the EU’s borders, as well as to promote cooperation with online market</w:t>
      </w:r>
      <w:r>
        <w:t xml:space="preserve"> </w:t>
      </w:r>
      <w:r>
        <w:t xml:space="preserve">platforms” as well as “the Commission will: […] target known areas of high risk of non-</w:t>
      </w:r>
      <w:r>
        <w:t xml:space="preserve"> </w:t>
      </w:r>
      <w:r>
        <w:t xml:space="preserve">compliance, in particular online sales, imported articles, classification and labelling and</w:t>
      </w:r>
      <w:r>
        <w:t xml:space="preserve"> </w:t>
      </w:r>
      <w:r>
        <w:t xml:space="preserve">restrictions”.</w:t>
      </w:r>
    </w:p>
    <w:p>
      <w:pPr>
        <w:pStyle w:val="BodyText"/>
      </w:pPr>
      <w:r>
        <w:t xml:space="preserve">167 Eurostat (2021). E-commerce statistics for individuals. Available at: https://ec.europa.eu/eurostat/statistics-</w:t>
      </w:r>
      <w:r>
        <w:t xml:space="preserve"> </w:t>
      </w:r>
      <w:r>
        <w:t xml:space="preserve">explained/index.php?title=E-commerce_statistics_for_individuals#General_overview</w:t>
      </w:r>
      <w:r>
        <w:br/>
      </w:r>
      <w:r>
        <w:t xml:space="preserve">168 European Commission, Online sales continue to grow among EU enterprises - Products Eurostat News -</w:t>
      </w:r>
      <w:r>
        <w:t xml:space="preserve"> </w:t>
      </w:r>
      <w:r>
        <w:t xml:space="preserve">Eurostat (europa.eu)</w:t>
      </w:r>
      <w:r>
        <w:t xml:space="preserve"> </w:t>
      </w:r>
      <w:r>
        <w:t xml:space="preserve">169</w:t>
      </w:r>
      <w:r>
        <w:t xml:space="preserve"> </w:t>
      </w:r>
      <w:r>
        <w:t xml:space="preserve">United Nations Environment Programme, Global Chemicals Outlook II – From Legacies to Innovative</w:t>
      </w:r>
      <w:r>
        <w:t xml:space="preserve"> </w:t>
      </w:r>
      <w:r>
        <w:t xml:space="preserve">Solutions: Implementing the 2030 Agenda for Sustainable Development, 2019, p. 550-551.</w:t>
      </w:r>
      <w:r>
        <w:t xml:space="preserve"> </w:t>
      </w:r>
      <w:r>
        <w:t xml:space="preserve">170 Commission’s Staff Working Document, SWD(2019) 199 final/2, p. 19.</w:t>
      </w:r>
      <w:r>
        <w:br/>
      </w:r>
      <w:r>
        <w:t xml:space="preserve">171 COM(2019)264.</w:t>
      </w:r>
    </w:p>
    <w:p>
      <w:pPr>
        <w:pStyle w:val="BodyText"/>
      </w:pPr>
      <w:r>
        <w:t xml:space="preserve">563</w:t>
      </w:r>
    </w:p>
    <w:p>
      <w:pPr>
        <w:pStyle w:val="BodyText"/>
      </w:pPr>
      <w:r>
        <w:t xml:space="preserve">For the purpose of clarity of this annex, the term chemicals refers to substances and mixtures</w:t>
      </w:r>
      <w:r>
        <w:t xml:space="preserve"> </w:t>
      </w:r>
      <w:r>
        <w:t xml:space="preserve">covered under CLP.</w:t>
      </w:r>
    </w:p>
    <w:p>
      <w:pPr>
        <w:pStyle w:val="BodyText"/>
      </w:pPr>
      <w:r>
        <w:t xml:space="preserve">PROBLEM DEFINITION, PROBLEM DRIVERS, CONSEQUENCES</w:t>
      </w:r>
      <w:r>
        <w:br/>
      </w:r>
      <w:r>
        <w:t xml:space="preserve">Two problems were identified in relation to closing communication gaps for online sales.</w:t>
      </w:r>
      <w:r>
        <w:br/>
      </w:r>
      <w:r>
        <w:t xml:space="preserve">First (problem 1), consumers are unable to make informed choices when purchasing</w:t>
      </w:r>
      <w:r>
        <w:t xml:space="preserve"> </w:t>
      </w:r>
      <w:r>
        <w:t xml:space="preserve">chemicals online, since online offers/advertisements do not have to display all labelling info</w:t>
      </w:r>
      <w:r>
        <w:t xml:space="preserve"> </w:t>
      </w:r>
      <w:r>
        <w:t xml:space="preserve">and the consumer is not immediately made aware of the hazards, in comparison to brick-and-</w:t>
      </w:r>
      <w:r>
        <w:t xml:space="preserve"> </w:t>
      </w:r>
      <w:r>
        <w:t xml:space="preserve">mortar sales. This leads to an uneven level playing field between companies offering</w:t>
      </w:r>
      <w:r>
        <w:t xml:space="preserve"> </w:t>
      </w:r>
      <w:r>
        <w:t xml:space="preserve">chemicals online and companies offering them in traditional shops, whereby online shops</w:t>
      </w:r>
      <w:r>
        <w:t xml:space="preserve"> </w:t>
      </w:r>
      <w:r>
        <w:t xml:space="preserve">have a competitive advantage over traditional shops, as well as to insufficient protection of</w:t>
      </w:r>
      <w:r>
        <w:t xml:space="preserve"> </w:t>
      </w:r>
      <w:r>
        <w:t xml:space="preserve">consumers who may only be able to check the labels once they receive the chemical, i.e. only</w:t>
      </w:r>
      <w:r>
        <w:t xml:space="preserve"> </w:t>
      </w:r>
      <w:r>
        <w:t xml:space="preserve">after the termination of the sale.</w:t>
      </w:r>
      <w:r>
        <w:br/>
      </w:r>
      <w:r>
        <w:t xml:space="preserve">The concepts of offers and advertisements need to be distinguished. The former is intended to</w:t>
      </w:r>
      <w:r>
        <w:t xml:space="preserve"> </w:t>
      </w:r>
      <w:r>
        <w:t xml:space="preserve">conclude a purchase contract so that when the offer is accepted by the buyer the sale is</w:t>
      </w:r>
      <w:r>
        <w:t xml:space="preserve"> </w:t>
      </w:r>
      <w:r>
        <w:t xml:space="preserve">concluded, while the latter covers promoting messages before the offer and the actual sale.</w:t>
      </w:r>
      <w:r>
        <w:t xml:space="preserve"> </w:t>
      </w:r>
      <w:r>
        <w:t xml:space="preserve">Offers should contain more hazard information than advertisements given the different</w:t>
      </w:r>
      <w:r>
        <w:t xml:space="preserve"> </w:t>
      </w:r>
      <w:r>
        <w:t xml:space="preserve">purpose of the two. CLP currently only provides for a provision on advertising for all types of</w:t>
      </w:r>
      <w:r>
        <w:t xml:space="preserve"> </w:t>
      </w:r>
      <w:r>
        <w:t xml:space="preserve">sale and does not mention online offers explicitly.</w:t>
      </w:r>
      <w:r>
        <w:br/>
      </w:r>
      <w:r>
        <w:t xml:space="preserve">Incompliances of online advertisements with advertisement provisions of CLP (Article 48,</w:t>
      </w:r>
      <w:r>
        <w:t xml:space="preserve"> </w:t>
      </w:r>
      <w:r>
        <w:t xml:space="preserve">advertisement172) amount to very high numbers. Strictly speaking, incompliances with CLP</w:t>
      </w:r>
      <w:r>
        <w:t xml:space="preserve"> </w:t>
      </w:r>
      <w:r>
        <w:t xml:space="preserve">provisions in the case of online offers, on the other hand, could not possibly be researched in</w:t>
      </w:r>
      <w:r>
        <w:t xml:space="preserve"> </w:t>
      </w:r>
      <w:r>
        <w:t xml:space="preserve">the first place, given that currently CLP does not provide for any explicit obligation on how</w:t>
      </w:r>
      <w:r>
        <w:t xml:space="preserve"> </w:t>
      </w:r>
      <w:r>
        <w:t xml:space="preserve">to display labelling information when offering online. Hence, the best available benchmark to</w:t>
      </w:r>
      <w:r>
        <w:t xml:space="preserve"> </w:t>
      </w:r>
      <w:r>
        <w:t xml:space="preserve">reveal the scale of the problem is data on advertisement incompliances. Findings of</w:t>
      </w:r>
      <w:r>
        <w:t xml:space="preserve"> </w:t>
      </w:r>
      <w:r>
        <w:t xml:space="preserve">international e-commerce enforcement projects suggest that non-compliance with CLP</w:t>
      </w:r>
      <w:r>
        <w:t xml:space="preserve"> </w:t>
      </w:r>
      <w:r>
        <w:t xml:space="preserve">provisions regarding advertisements is found in chemicals sold both by EU and non-EU</w:t>
      </w:r>
      <w:r>
        <w:t xml:space="preserve"> </w:t>
      </w:r>
      <w:r>
        <w:t xml:space="preserve">actors online. International research projects focused on online sales by the Forum for</w:t>
      </w:r>
      <w:r>
        <w:t xml:space="preserve"> </w:t>
      </w:r>
      <w:r>
        <w:t xml:space="preserve">Exchange of Information on Enforcement, responsible for enforcement of chemical</w:t>
      </w:r>
      <w:r>
        <w:t xml:space="preserve"> </w:t>
      </w:r>
      <w:r>
        <w:t xml:space="preserve">legislation, found173 that 75% of 2752 inspected products in 29 EEA countries were non-</w:t>
      </w:r>
      <w:r>
        <w:t xml:space="preserve"> </w:t>
      </w:r>
      <w:r>
        <w:t xml:space="preserve">compliant with Article 48 (ECHA, 2021e), 82.4% of 1314 inspected products in 15 EU</w:t>
      </w:r>
      <w:r>
        <w:t xml:space="preserve"> </w:t>
      </w:r>
      <w:r>
        <w:t xml:space="preserve">countries were non-compliant with Article 48(2) on advertisement of mixtures (ECHA,</w:t>
      </w:r>
      <w:r>
        <w:t xml:space="preserve"> </w:t>
      </w:r>
      <w:r>
        <w:t xml:space="preserve">2018). A collaborative project by national enforcement authorities of Sweden, Norway,</w:t>
      </w:r>
      <w:r>
        <w:t xml:space="preserve"> </w:t>
      </w:r>
      <w:r>
        <w:t xml:space="preserve">Finland and Denmark revealed that 75% (25 products) of 33 chemicals inspected for</w:t>
      </w:r>
      <w:r>
        <w:t xml:space="preserve"> </w:t>
      </w:r>
      <w:r>
        <w:t xml:space="preserve">compliance with Article 48(2) of the CLP Regulation174 were not compliant (Klar et al.,</w:t>
      </w:r>
    </w:p>
    <w:p>
      <w:pPr>
        <w:pStyle w:val="BodyText"/>
      </w:pPr>
      <w:r>
        <w:t xml:space="preserve">172 Article 48: 1. Any advertisement for a substance classified as hazardous shall mention the hazard classes or</w:t>
      </w:r>
      <w:r>
        <w:t xml:space="preserve"> </w:t>
      </w:r>
      <w:r>
        <w:t xml:space="preserve">hazard categories concerned.</w:t>
      </w:r>
      <w:r>
        <w:br/>
      </w:r>
      <w:r>
        <w:t xml:space="preserve">2. Any advertisement for a mixture classified as hazardous or covered by Article 25(6) which allows a member</w:t>
      </w:r>
      <w:r>
        <w:t xml:space="preserve"> </w:t>
      </w:r>
      <w:r>
        <w:t xml:space="preserve">of the general public to conclude a contract for purchase without first having sight of the label shall mention the</w:t>
      </w:r>
      <w:r>
        <w:t xml:space="preserve"> </w:t>
      </w:r>
      <w:r>
        <w:t xml:space="preserve">type or types of hazard indicated on the label.</w:t>
      </w:r>
      <w:r>
        <w:t xml:space="preserve"> </w:t>
      </w:r>
      <w:r>
        <w:t xml:space="preserve">The first subparagraph shall be without prejudice to Directive 97/7/EC of the European Parliament and of the</w:t>
      </w:r>
      <w:r>
        <w:t xml:space="preserve"> </w:t>
      </w:r>
      <w:r>
        <w:t xml:space="preserve">Council of 20 May 1997 on the protection of consumers in respect of distance contracts (1).</w:t>
      </w:r>
      <w:r>
        <w:t xml:space="preserve"> </w:t>
      </w:r>
      <w:r>
        <w:t xml:space="preserve">173 The most recent study (ECHA, 2021e) declared in the methodology that many EU countries adopted a risk-</w:t>
      </w:r>
      <w:r>
        <w:t xml:space="preserve"> </w:t>
      </w:r>
      <w:r>
        <w:t xml:space="preserve">based approach to the check, meaning that they targeted products for which risks could be high. This resulted in</w:t>
      </w:r>
      <w:r>
        <w:t xml:space="preserve"> </w:t>
      </w:r>
      <w:r>
        <w:t xml:space="preserve">higher rates of non-compliance being found.</w:t>
      </w:r>
      <w:r>
        <w:t xml:space="preserve"> </w:t>
      </w:r>
      <w:r>
        <w:t xml:space="preserve">174 Risk-based approach to product sampling for investigation was applied (i.e. products that posed higher risks</w:t>
      </w:r>
      <w:r>
        <w:t xml:space="preserve"> </w:t>
      </w:r>
      <w:r>
        <w:t xml:space="preserve">as experienced in previous research were included), which means that the sample is not generalisable to the</w:t>
      </w:r>
      <w:r>
        <w:t xml:space="preserve"> </w:t>
      </w:r>
      <w:r>
        <w:t xml:space="preserve">whole market.</w:t>
      </w:r>
    </w:p>
    <w:p>
      <w:pPr>
        <w:pStyle w:val="BodyText"/>
      </w:pPr>
      <w:r>
        <w:t xml:space="preserve">564</w:t>
      </w:r>
    </w:p>
    <w:p>
      <w:pPr>
        <w:pStyle w:val="BodyText"/>
      </w:pPr>
      <w:r>
        <w:t xml:space="preserve">2020). However, in this case, the number of inspected products was very low to reflect the</w:t>
      </w:r>
      <w:r>
        <w:t xml:space="preserve"> </w:t>
      </w:r>
      <w:r>
        <w:t xml:space="preserve">situation in the countries covered by the project. Those projects did not differentiate between</w:t>
      </w:r>
      <w:r>
        <w:t xml:space="preserve"> </w:t>
      </w:r>
      <w:r>
        <w:t xml:space="preserve">online sales made by sellers outside the EU and sellers in the EU.</w:t>
      </w:r>
      <w:r>
        <w:br/>
      </w:r>
      <w:r>
        <w:t xml:space="preserve">Second (problem 2), consumers are exposed to chemicals with no or incorrect classification,</w:t>
      </w:r>
      <w:r>
        <w:t xml:space="preserve"> </w:t>
      </w:r>
      <w:r>
        <w:t xml:space="preserve">labelling and packaging when buying from non-EU actors shipping chemicals directly into</w:t>
      </w:r>
      <w:r>
        <w:t xml:space="preserve"> </w:t>
      </w:r>
      <w:r>
        <w:t xml:space="preserve">the EU. CLP does not apply to those non-EU actors.. Thus, when they directly ship chemicals</w:t>
      </w:r>
      <w:r>
        <w:t xml:space="preserve"> </w:t>
      </w:r>
      <w:r>
        <w:t xml:space="preserve">to the EU consumers there is no intermediary in the EU who qualifies as importer with the</w:t>
      </w:r>
      <w:r>
        <w:t xml:space="preserve"> </w:t>
      </w:r>
      <w:r>
        <w:t xml:space="preserve">result that the consumer becomes the importer175. This again leads to an uneven level playing</w:t>
      </w:r>
      <w:r>
        <w:t xml:space="preserve"> </w:t>
      </w:r>
      <w:r>
        <w:t xml:space="preserve">field, i.e. to a competitive advantage for non-EU actors operating online and a disadvantage</w:t>
      </w:r>
      <w:r>
        <w:t xml:space="preserve"> </w:t>
      </w:r>
      <w:r>
        <w:t xml:space="preserve">for EU actors such as importers (the latter not including consumers, as their purchases do not</w:t>
      </w:r>
      <w:r>
        <w:t xml:space="preserve"> </w:t>
      </w:r>
      <w:r>
        <w:t xml:space="preserve">qualify as commercial transactions), downstream users, distributors and manufacturers who</w:t>
      </w:r>
      <w:r>
        <w:t xml:space="preserve"> </w:t>
      </w:r>
      <w:r>
        <w:t xml:space="preserve">have to comply with CLP, as well as to insufficient protection of consumers, human health,</w:t>
      </w:r>
      <w:r>
        <w:t xml:space="preserve"> </w:t>
      </w:r>
      <w:r>
        <w:t xml:space="preserve">and the environment.</w:t>
      </w:r>
      <w:r>
        <w:br/>
      </w:r>
      <w:r>
        <w:t xml:space="preserve">Incompliances with CLP of chemicals purchased from non-EU sellers are expected to be high</w:t>
      </w:r>
      <w:r>
        <w:t xml:space="preserve"> </w:t>
      </w:r>
      <w:r>
        <w:t xml:space="preserve">considering the available data from the enforcement reports indicated above on Article 48 of</w:t>
      </w:r>
      <w:r>
        <w:t xml:space="preserve"> </w:t>
      </w:r>
      <w:r>
        <w:t xml:space="preserve">CLP, which, however, do not specifically distinguish between intra-EU and imported</w:t>
      </w:r>
      <w:r>
        <w:t xml:space="preserve"> </w:t>
      </w:r>
      <w:r>
        <w:t xml:space="preserve">chemicals (see above). From an example given in ECHA’s enforcement report on REACH</w:t>
      </w:r>
      <w:r>
        <w:t xml:space="preserve"> </w:t>
      </w:r>
      <w:r>
        <w:t xml:space="preserve">restrictions, incompliances of goods coming from outside the EU are even higher and there is</w:t>
      </w:r>
      <w:r>
        <w:t xml:space="preserve"> </w:t>
      </w:r>
      <w:r>
        <w:t xml:space="preserve">no indication that for CLP such tendencies would be different176. Based on estimations, 7.3</w:t>
      </w:r>
      <w:r>
        <w:t xml:space="preserve"> </w:t>
      </w:r>
      <w:r>
        <w:t xml:space="preserve">million incompliant products from outside the EU directly reached the EU consumer in</w:t>
      </w:r>
      <w:r>
        <w:t xml:space="preserve"> </w:t>
      </w:r>
      <w:r>
        <w:t xml:space="preserve">2021177.</w:t>
      </w:r>
      <w:r>
        <w:br/>
      </w:r>
      <w:r>
        <w:t xml:space="preserve">Regarding both problems 1 and 2, the findings of consultation activities show that all</w:t>
      </w:r>
      <w:r>
        <w:t xml:space="preserve"> </w:t>
      </w:r>
      <w:r>
        <w:t xml:space="preserve">stakeholders indicate problems arising in online sales of chemicals. In the open public</w:t>
      </w:r>
      <w:r>
        <w:t xml:space="preserve"> </w:t>
      </w:r>
      <w:r>
        <w:t xml:space="preserve">consultation, the overwhelming majority of respondents (93%, with agreement across all</w:t>
      </w:r>
      <w:r>
        <w:t xml:space="preserve"> </w:t>
      </w:r>
      <w:r>
        <w:t xml:space="preserve">stakeholder groups) believed that there is a great need to apply the same CLP obligations</w:t>
      </w:r>
      <w:r>
        <w:t xml:space="preserve"> </w:t>
      </w:r>
      <w:r>
        <w:t xml:space="preserve">(e.g., labelling, classification and notifications to poison centres) to hazardous chemicals</w:t>
      </w:r>
      <w:r>
        <w:t xml:space="preserve"> </w:t>
      </w:r>
      <w:r>
        <w:t xml:space="preserve">purchased online. In the targeted stakeholder survey, all groups of stakeholders ‘strongly</w:t>
      </w:r>
      <w:r>
        <w:t xml:space="preserve"> </w:t>
      </w:r>
      <w:r>
        <w:t xml:space="preserve">agreed’ or ‘agreed’ that the lower level of protection from hazards of chemicals sold online</w:t>
      </w:r>
      <w:r>
        <w:t xml:space="preserve"> </w:t>
      </w:r>
      <w:r>
        <w:t xml:space="preserve">hinders the ability of the CLP Regulation to reach its goals. Similarly, the interview</w:t>
      </w:r>
      <w:r>
        <w:t xml:space="preserve"> </w:t>
      </w:r>
      <w:r>
        <w:t xml:space="preserve">respondents indicated that non-compliance with classification and labelling as well as</w:t>
      </w:r>
      <w:r>
        <w:t xml:space="preserve"> </w:t>
      </w:r>
      <w:r>
        <w:t xml:space="preserve">Article 48 requirements of the CLP Regulation is a problem in online sales of chemicals. The</w:t>
      </w:r>
      <w:r>
        <w:t xml:space="preserve"> </w:t>
      </w:r>
      <w:r>
        <w:t xml:space="preserve">interviewees stressed that non-EU traders, especially small business entities engaged in e-</w:t>
      </w:r>
      <w:r>
        <w:t xml:space="preserve"> </w:t>
      </w:r>
      <w:r>
        <w:t xml:space="preserve">commerce, are common sources of the problem. CARACAL members and observers</w:t>
      </w:r>
      <w:r>
        <w:t xml:space="preserve"> </w:t>
      </w:r>
      <w:r>
        <w:t xml:space="preserve">acknowledged the problem of non-compliance of chemicals sold online with the CLP</w:t>
      </w:r>
      <w:r>
        <w:t xml:space="preserve"> </w:t>
      </w:r>
      <w:r>
        <w:t xml:space="preserve">Regulation in their written feedback to the meeting on this topic.</w:t>
      </w:r>
      <w:r>
        <w:t xml:space="preserve"> </w:t>
      </w:r>
      <w:r>
        <w:t xml:space="preserve">The problem driver of both problems is that CLP is not sufficiently equipped for keeping</w:t>
      </w:r>
      <w:r>
        <w:t xml:space="preserve"> </w:t>
      </w:r>
      <w:r>
        <w:t xml:space="preserve">pace with globalisation, technological development and new means of sale such as online</w:t>
      </w:r>
      <w:r>
        <w:t xml:space="preserve"> </w:t>
      </w:r>
      <w:r>
        <w:t xml:space="preserve">sales. According to OECD (2019), in 2015 there were, for example, over 2 million sellers</w:t>
      </w:r>
      <w:r>
        <w:t xml:space="preserve"> </w:t>
      </w:r>
      <w:r>
        <w:t xml:space="preserve">worldwide on Amazon marketplace, while the eBay online platform operated almost 30</w:t>
      </w:r>
      <w:r>
        <w:t xml:space="preserve"> </w:t>
      </w:r>
      <w:r>
        <w:t xml:space="preserve">international websites in 2018. E-commerce enables traders to introduce products that comply</w:t>
      </w:r>
    </w:p>
    <w:p>
      <w:pPr>
        <w:pStyle w:val="BodyText"/>
      </w:pPr>
      <w:r>
        <w:t xml:space="preserve">175 Among the issues are difficulties in identifying responsible persons for compliance of the substance/mixture</w:t>
      </w:r>
      <w:r>
        <w:t xml:space="preserve"> </w:t>
      </w:r>
      <w:r>
        <w:t xml:space="preserve">sold online with the legislation, applying enforcement measures to companies located outside the EU,</w:t>
      </w:r>
      <w:r>
        <w:t xml:space="preserve"> </w:t>
      </w:r>
      <w:r>
        <w:t xml:space="preserve">identifying non-compliance cases in vast streams of online content, as these issues were reported by public</w:t>
      </w:r>
      <w:r>
        <w:t xml:space="preserve"> </w:t>
      </w:r>
      <w:r>
        <w:t xml:space="preserve">authorities (Kemi, 2021; Klar et al., 2020; Kemi, 2018; feedback by CARACAL members).</w:t>
      </w:r>
      <w:r>
        <w:br/>
      </w:r>
      <w:r>
        <w:t xml:space="preserve">176 For example, of all incompliances found for non-compliant products containing lead, 60% of the online</w:t>
      </w:r>
      <w:r>
        <w:t xml:space="preserve"> </w:t>
      </w:r>
      <w:r>
        <w:t xml:space="preserve">marketplaces were not established in the EU. See ECHA enforcement report, Ref. 8, p. 30.</w:t>
      </w:r>
      <w:r>
        <w:br/>
      </w:r>
      <w:r>
        <w:t xml:space="preserve">177 See baseline section below.</w:t>
      </w:r>
    </w:p>
    <w:p>
      <w:pPr>
        <w:pStyle w:val="BodyText"/>
      </w:pPr>
      <w:r>
        <w:t xml:space="preserve">565</w:t>
      </w:r>
    </w:p>
    <w:p>
      <w:pPr>
        <w:pStyle w:val="BodyText"/>
      </w:pPr>
      <w:r>
        <w:t xml:space="preserve">with the legal requirements of a non-EU country where they were manufactured to be sold to</w:t>
      </w:r>
      <w:r>
        <w:t xml:space="preserve"> </w:t>
      </w:r>
      <w:r>
        <w:t xml:space="preserve">global markets, where product safety and chemical legislation requirements may substantially</w:t>
      </w:r>
      <w:r>
        <w:t xml:space="preserve"> </w:t>
      </w:r>
      <w:r>
        <w:t xml:space="preserve">differ (Kemi, 2021). In EU28 countries many small and medium enterprises have been</w:t>
      </w:r>
      <w:r>
        <w:t xml:space="preserve"> </w:t>
      </w:r>
      <w:r>
        <w:t xml:space="preserve">actively engaging in e-commerce activities as an easy way to access new markets and expand</w:t>
      </w:r>
      <w:r>
        <w:t xml:space="preserve"> </w:t>
      </w:r>
      <w:r>
        <w:t xml:space="preserve">customer reach (OECD, 2019). The share of turnover from business-to-consumer web sales</w:t>
      </w:r>
      <w:r>
        <w:t xml:space="preserve"> </w:t>
      </w:r>
      <w:r>
        <w:t xml:space="preserve">in EU28 countries in 2017 was higher in small firms (43%) compared to 41% in large firms</w:t>
      </w:r>
      <w:r>
        <w:t xml:space="preserve"> </w:t>
      </w:r>
      <w:r>
        <w:t xml:space="preserve">and 34% in medium-sized ones. New business models, including variety of intermediary</w:t>
      </w:r>
      <w:r>
        <w:t xml:space="preserve"> </w:t>
      </w:r>
      <w:r>
        <w:t xml:space="preserve">services (e.g., social media, online marketplaces) that connect online sellers and buyers,</w:t>
      </w:r>
      <w:r>
        <w:t xml:space="preserve"> </w:t>
      </w:r>
      <w:r>
        <w:t xml:space="preserve">increase the engagement in e-commerce of even more diverse players worldwide (Kemi,</w:t>
      </w:r>
      <w:r>
        <w:t xml:space="preserve"> </w:t>
      </w:r>
      <w:r>
        <w:t xml:space="preserve">2021). The findings of a 2015 Eurobarometer survey (TNS Political &amp; Social, 2015) show</w:t>
      </w:r>
      <w:r>
        <w:t xml:space="preserve"> </w:t>
      </w:r>
      <w:r>
        <w:t xml:space="preserve">that EU companies do not see the lack of knowledge as a major problem for getting engaged</w:t>
      </w:r>
      <w:r>
        <w:t xml:space="preserve"> </w:t>
      </w:r>
      <w:r>
        <w:t xml:space="preserve">in online sales. Not knowing the rules that a company must follow in online sales was not</w:t>
      </w:r>
      <w:r>
        <w:t xml:space="preserve"> </w:t>
      </w:r>
      <w:r>
        <w:t xml:space="preserve">perceived as a problem by 56% of respondents that sold online to other EU countries in the</w:t>
      </w:r>
      <w:r>
        <w:t xml:space="preserve"> </w:t>
      </w:r>
      <w:r>
        <w:t xml:space="preserve">past or at the time of the survey, while only 15% of them considered it a major problem.</w:t>
      </w:r>
      <w:r>
        <w:t xml:space="preserve"> </w:t>
      </w:r>
      <w:r>
        <w:t xml:space="preserve">As mentioned above, CLP does not apply to non-EU based economic actors, who can today</w:t>
      </w:r>
      <w:r>
        <w:t xml:space="preserve"> </w:t>
      </w:r>
      <w:r>
        <w:t xml:space="preserve">easily reach and sell directly to consumers in the EU and does not take into account that in</w:t>
      </w:r>
      <w:r>
        <w:t xml:space="preserve"> </w:t>
      </w:r>
      <w:r>
        <w:t xml:space="preserve">those situations consumers become de jure and de facto importers by buying online from</w:t>
      </w:r>
      <w:r>
        <w:t xml:space="preserve"> </w:t>
      </w:r>
      <w:r>
        <w:t xml:space="preserve">non-EU actors. Moreover, current CLP provisions do not, or do not exhaustively, address</w:t>
      </w:r>
      <w:r>
        <w:t xml:space="preserve"> </w:t>
      </w:r>
      <w:r>
        <w:t xml:space="preserve">online offers or advertisements, i.e. they do not impose an obligation to display labelling</w:t>
      </w:r>
      <w:r>
        <w:t xml:space="preserve"> </w:t>
      </w:r>
      <w:r>
        <w:t xml:space="preserve">information in online offers and they do not sufficiently clarify obligations for online</w:t>
      </w:r>
      <w:r>
        <w:t xml:space="preserve"> </w:t>
      </w:r>
      <w:r>
        <w:t xml:space="preserve">advertisements.</w:t>
      </w:r>
      <w:r>
        <w:t xml:space="preserve"> </w:t>
      </w:r>
      <w:r>
        <w:t xml:space="preserve">In the future, the two specific problems will be positively affected by horizontal draft and</w:t>
      </w:r>
      <w:r>
        <w:t xml:space="preserve"> </w:t>
      </w:r>
      <w:r>
        <w:t xml:space="preserve">already applicable legislation related to product safety, digital services and customs</w:t>
      </w:r>
      <w:r>
        <w:t xml:space="preserve"> </w:t>
      </w:r>
      <w:r>
        <w:t xml:space="preserve">legislation as well as by non-regulatory initiatives. Although this legislation will have a</w:t>
      </w:r>
      <w:r>
        <w:t xml:space="preserve"> </w:t>
      </w:r>
      <w:r>
        <w:t xml:space="preserve">positive impact on ensuring that consumers are better able to make informed choices upon</w:t>
      </w:r>
      <w:r>
        <w:t xml:space="preserve"> </w:t>
      </w:r>
      <w:r>
        <w:t xml:space="preserve">purchase and use of chemicals sold online, they will not entirely eliminate the problem, in</w:t>
      </w:r>
      <w:r>
        <w:t xml:space="preserve"> </w:t>
      </w:r>
      <w:r>
        <w:t xml:space="preserve">particular as the number of online sales is increasing (see figures in the baseline heading</w:t>
      </w:r>
      <w:r>
        <w:t xml:space="preserve"> </w:t>
      </w:r>
      <w:r>
        <w:t xml:space="preserve">below).</w:t>
      </w:r>
      <w:r>
        <w:br/>
      </w:r>
      <w:r>
        <w:t xml:space="preserve">Baseline</w:t>
      </w:r>
      <w:r>
        <w:t xml:space="preserve"> </w:t>
      </w:r>
      <w:r>
        <w:t xml:space="preserve">Data underpinning the trend of increased online sales</w:t>
      </w:r>
      <w:r>
        <w:br/>
      </w:r>
      <w:r>
        <w:t xml:space="preserve">Concerning the uptake of e-commerce services by consumers, an increased number of</w:t>
      </w:r>
      <w:r>
        <w:t xml:space="preserve"> </w:t>
      </w:r>
      <w:r>
        <w:t xml:space="preserve">consumer purchases are made online, therefore, chances rise that consumers will be affected</w:t>
      </w:r>
      <w:r>
        <w:t xml:space="preserve"> </w:t>
      </w:r>
      <w:r>
        <w:t xml:space="preserve">by non-compliant chemicals sold online. Data from the EU annual survey on the use of</w:t>
      </w:r>
      <w:r>
        <w:t xml:space="preserve"> </w:t>
      </w:r>
      <w:r>
        <w:t xml:space="preserve">Information and Communication Technologies (ICT) in households and by individuals show</w:t>
      </w:r>
      <w:r>
        <w:t xml:space="preserve"> </w:t>
      </w:r>
      <w:r>
        <w:t xml:space="preserve">that in 2020 and 2021178 around 8% of all individuals in the EU27 who have used the internet</w:t>
      </w:r>
      <w:r>
        <w:t xml:space="preserve"> </w:t>
      </w:r>
      <w:r>
        <w:t xml:space="preserve">in the three months prior to the survey bought cleaning products or personal hygiene products</w:t>
      </w:r>
      <w:r>
        <w:t xml:space="preserve"> </w:t>
      </w:r>
      <w:r>
        <w:t xml:space="preserve">online179.</w:t>
      </w:r>
      <w:r>
        <w:br/>
      </w:r>
      <w:r>
        <w:t xml:space="preserve">Online shopping behaviour of consumers was also explored by business entities. For instance,</w:t>
      </w:r>
      <w:r>
        <w:t xml:space="preserve"> </w:t>
      </w:r>
      <w:r>
        <w:t xml:space="preserve">in 2018, a research commissioned by Dynamic Parcel Distribution (DPD) to Kantar covered a</w:t>
      </w:r>
      <w:r>
        <w:t xml:space="preserve"> </w:t>
      </w:r>
      <w:r>
        <w:t xml:space="preserve">survey of 24,328 respondents from 21 European countries, while the survey performed by</w:t>
      </w:r>
    </w:p>
    <w:p>
      <w:pPr>
        <w:pStyle w:val="BodyText"/>
      </w:pPr>
      <w:r>
        <w:t xml:space="preserve">178 These are the only years for which data are provided.</w:t>
      </w:r>
      <w:r>
        <w:t xml:space="preserve"> </w:t>
      </w:r>
      <w:r>
        <w:t xml:space="preserve">179</w:t>
      </w:r>
      <w:r>
        <w:t xml:space="preserve"> </w:t>
      </w:r>
      <w:r>
        <w:t xml:space="preserve">Eurostat</w:t>
      </w:r>
      <w:r>
        <w:t xml:space="preserve"> </w:t>
      </w:r>
      <w:r>
        <w:t xml:space="preserve">database:</w:t>
      </w:r>
      <w:r>
        <w:t xml:space="preserve"> </w:t>
      </w:r>
      <w:r>
        <w:t xml:space="preserve">Internet</w:t>
      </w:r>
      <w:r>
        <w:t xml:space="preserve"> </w:t>
      </w:r>
      <w:r>
        <w:t xml:space="preserve">purchases</w:t>
      </w:r>
      <w:r>
        <w:t xml:space="preserve"> </w:t>
      </w:r>
      <w:r>
        <w:t xml:space="preserve">–</w:t>
      </w:r>
      <w:r>
        <w:t xml:space="preserve"> </w:t>
      </w:r>
      <w:r>
        <w:t xml:space="preserve">goods</w:t>
      </w:r>
      <w:r>
        <w:t xml:space="preserve"> </w:t>
      </w:r>
      <w:r>
        <w:t xml:space="preserve">or</w:t>
      </w:r>
      <w:r>
        <w:t xml:space="preserve"> </w:t>
      </w:r>
      <w:r>
        <w:t xml:space="preserve">services</w:t>
      </w:r>
      <w:r>
        <w:t xml:space="preserve"> </w:t>
      </w:r>
      <w:r>
        <w:t xml:space="preserve">(2020</w:t>
      </w:r>
      <w:r>
        <w:t xml:space="preserve"> </w:t>
      </w:r>
      <w:r>
        <w:t xml:space="preserve">onwards)</w:t>
      </w:r>
      <w:r>
        <w:t xml:space="preserve"> </w:t>
      </w:r>
      <w:r>
        <w:t xml:space="preserve">[ISOC_EC_IBGS__custom_2139201]. This is the only product category reported in the survey which is subject</w:t>
      </w:r>
      <w:r>
        <w:t xml:space="preserve"> </w:t>
      </w:r>
      <w:r>
        <w:t xml:space="preserve">to CLP requirements. The statistics shows large differences between countries, with 24% of Dutch individuals in</w:t>
      </w:r>
      <w:r>
        <w:t xml:space="preserve"> </w:t>
      </w:r>
      <w:r>
        <w:t xml:space="preserve">2021 having purchased cleaning products or personal hygiene products online, against 1% of all individuals in</w:t>
      </w:r>
      <w:r>
        <w:t xml:space="preserve"> </w:t>
      </w:r>
      <w:r>
        <w:t xml:space="preserve">Bulgaria.</w:t>
      </w:r>
    </w:p>
    <w:p>
      <w:pPr>
        <w:pStyle w:val="BodyText"/>
      </w:pPr>
      <w:r>
        <w:t xml:space="preserve">566</w:t>
      </w:r>
    </w:p>
    <w:p>
      <w:pPr>
        <w:pStyle w:val="BodyText"/>
      </w:pPr>
      <w:r>
        <w:t xml:space="preserve">Ipsos for PayPal covered 34,000 customers in 31 countries. The findings of these researches</w:t>
      </w:r>
      <w:r>
        <w:t xml:space="preserve"> </w:t>
      </w:r>
      <w:r>
        <w:t xml:space="preserve">are in line with the data by Eurostat and also provide additional insight into consumer</w:t>
      </w:r>
      <w:r>
        <w:t xml:space="preserve"> </w:t>
      </w:r>
      <w:r>
        <w:t xml:space="preserve">behaviour:</w:t>
      </w:r>
      <w:r>
        <w:t xml:space="preserve"> </w:t>
      </w:r>
      <w:r>
        <w:t xml:space="preserve">According to PayPal research, 43% of shoppers in Western Europe and 44% in Eastern</w:t>
      </w:r>
      <w:r>
        <w:t xml:space="preserve"> </w:t>
      </w:r>
      <w:r>
        <w:t xml:space="preserve">Europe180 shop online domestically, while 9% and 10% are, respectively, engaged only in</w:t>
      </w:r>
      <w:r>
        <w:t xml:space="preserve"> </w:t>
      </w:r>
      <w:r>
        <w:t xml:space="preserve">cross-border shopping. Over 50% of Western and Eastern Europeans prefer large global</w:t>
      </w:r>
      <w:r>
        <w:t xml:space="preserve"> </w:t>
      </w:r>
      <w:r>
        <w:t xml:space="preserve">stores (e.g., Amazon or eBay) when purchasing from another country (PayPal &amp; Ipsos,</w:t>
      </w:r>
      <w:r>
        <w:t xml:space="preserve"> </w:t>
      </w:r>
      <w:r>
        <w:t xml:space="preserve">2018).</w:t>
      </w:r>
      <w:r>
        <w:t xml:space="preserve"> </w:t>
      </w:r>
      <w:r>
        <w:t xml:space="preserve">According to Dynamic Parcel Distribution research, 19% of online shoppers in Europe</w:t>
      </w:r>
      <w:r>
        <w:t xml:space="preserve"> </w:t>
      </w:r>
      <w:r>
        <w:t xml:space="preserve">purchased goods from foreign websites. However, in some countries the number of online</w:t>
      </w:r>
      <w:r>
        <w:t xml:space="preserve"> </w:t>
      </w:r>
      <w:r>
        <w:t xml:space="preserve">shoppers buying from foreign countries is much higher, e.g., in Croatia – 29.6%, Ireland –</w:t>
      </w:r>
      <w:r>
        <w:t xml:space="preserve"> </w:t>
      </w:r>
      <w:r>
        <w:t xml:space="preserve">28.6%, Latvia – 27.9%, Portugal – 27.6%, and Slovenia – 27.5%. 13% of online shoppers in</w:t>
      </w:r>
      <w:r>
        <w:t xml:space="preserve"> </w:t>
      </w:r>
      <w:r>
        <w:t xml:space="preserve">Europe in 2018 purchased online at least once per week (DPD Group &amp; Kantar, 2018).</w:t>
      </w:r>
      <w:r>
        <w:t xml:space="preserve"> </w:t>
      </w:r>
      <w:r>
        <w:t xml:space="preserve">Also the number of EU companies using e-commerce increases constantly, and web sales</w:t>
      </w:r>
      <w:r>
        <w:t xml:space="preserve"> </w:t>
      </w:r>
      <w:r>
        <w:t xml:space="preserve">through websites, online sales apps, and online marketplaces play an increasingly important</w:t>
      </w:r>
      <w:r>
        <w:t xml:space="preserve"> </w:t>
      </w:r>
      <w:r>
        <w:t xml:space="preserve">role. According to Eurostat, in the period 2010–2019, the number of enterprises with e-sales</w:t>
      </w:r>
      <w:r>
        <w:t xml:space="preserve"> </w:t>
      </w:r>
      <w:r>
        <w:t xml:space="preserve">increased from 15% in 2010 to 21% in 2019. The turnover of enterprises generated from e-</w:t>
      </w:r>
      <w:r>
        <w:t xml:space="preserve"> </w:t>
      </w:r>
      <w:r>
        <w:t xml:space="preserve">sales grew from 13% in 2010 to 20% in 2019. Fifteen percent (15%) of EU enterprises</w:t>
      </w:r>
      <w:r>
        <w:t xml:space="preserve"> </w:t>
      </w:r>
      <w:r>
        <w:t xml:space="preserve">conducted e-sales using only websites or apps, while 3% used only electronic data</w:t>
      </w:r>
      <w:r>
        <w:t xml:space="preserve"> </w:t>
      </w:r>
      <w:r>
        <w:t xml:space="preserve">interchange (EDI) for sales and another 3% used both.</w:t>
      </w:r>
      <w:r>
        <w:br/>
      </w:r>
      <w:r>
        <w:t xml:space="preserve">Chemicals industry is increasingly engaged in trading via online marketplaces. The</w:t>
      </w:r>
      <w:r>
        <w:t xml:space="preserve"> </w:t>
      </w:r>
      <w:r>
        <w:t xml:space="preserve">evolution of chemical online marketplaces could be tracked back to 1996 with the</w:t>
      </w:r>
      <w:r>
        <w:t xml:space="preserve"> </w:t>
      </w:r>
      <w:r>
        <w:t xml:space="preserve">establishment of such platforms as EC Plaza in 1996. According to Accenture, early chemical</w:t>
      </w:r>
      <w:r>
        <w:t xml:space="preserve"> </w:t>
      </w:r>
      <w:r>
        <w:t xml:space="preserve">online marketplaces were mainly business-to-business services, while much later generalist</w:t>
      </w:r>
      <w:r>
        <w:t xml:space="preserve"> </w:t>
      </w:r>
      <w:r>
        <w:t xml:space="preserve">online marketplaces, such as Alibaba.com started to offer chemical products to consumers</w:t>
      </w:r>
      <w:r>
        <w:t xml:space="preserve"> </w:t>
      </w:r>
      <w:r>
        <w:t xml:space="preserve">(Elser &amp; Radel, 2020181). In its annual chemical marketplaces report, Chembid listed 61</w:t>
      </w:r>
      <w:r>
        <w:t xml:space="preserve"> </w:t>
      </w:r>
      <w:r>
        <w:t xml:space="preserve">online platforms. According to Chembid182, chemical online marketplaces usually offer up to</w:t>
      </w:r>
      <w:r>
        <w:t xml:space="preserve"> </w:t>
      </w:r>
      <w:r>
        <w:t xml:space="preserve">10,000 products from up to 25,000 suppliers (Chembid, 2020183).</w:t>
      </w:r>
      <w:r>
        <w:t xml:space="preserve"> </w:t>
      </w:r>
      <w:r>
        <w:t xml:space="preserve">The following trends could be retrieved from a study on cross-border online sales (Cross-</w:t>
      </w:r>
      <w:r>
        <w:t xml:space="preserve"> </w:t>
      </w:r>
      <w:r>
        <w:t xml:space="preserve">Border Commerce Europe, 2020)184:</w:t>
      </w:r>
      <w:r>
        <w:br/>
      </w:r>
      <w:r>
        <w:t xml:space="preserve">Growing revenues in cross-border online retail sales. The study observed a 14.4% increase in</w:t>
      </w:r>
      <w:r>
        <w:t xml:space="preserve"> </w:t>
      </w:r>
      <w:r>
        <w:t xml:space="preserve">e-commerce revenues compared to 2018 (excluding travel sector). In 2019 the cross-border</w:t>
      </w:r>
      <w:r>
        <w:t xml:space="preserve"> </w:t>
      </w:r>
      <w:r>
        <w:t xml:space="preserve">share was 23.55% of total online sales in Europe (EU16).</w:t>
      </w:r>
    </w:p>
    <w:p>
      <w:pPr>
        <w:pStyle w:val="BodyText"/>
      </w:pPr>
      <w:r>
        <w:t xml:space="preserve">180 Russian Federation was also included in the group of Eastern European countries.</w:t>
      </w:r>
      <w:r>
        <w:t xml:space="preserve"> </w:t>
      </w:r>
      <w:r>
        <w:t xml:space="preserve">181 Elser, B. &amp; Radel, T. (2020). Why digital marketplaces deserve a chance in chemicals. In Accenture</w:t>
      </w:r>
      <w:r>
        <w:t xml:space="preserve"> </w:t>
      </w:r>
      <w:r>
        <w:t xml:space="preserve">Chemicals and Natural Resources Blog. Available at: https://www.accenture.com/us-en/blogs/chemicals-and-</w:t>
      </w:r>
      <w:r>
        <w:t xml:space="preserve"> </w:t>
      </w:r>
      <w:r>
        <w:t xml:space="preserve">natural-resources-blog/elser-radel-digital-marketplaces-deserve-a-chance-in-chemicals</w:t>
      </w:r>
      <w:r>
        <w:t xml:space="preserve"> </w:t>
      </w:r>
      <w:r>
        <w:t xml:space="preserve">182 Chembid is an online metasearch engine and intelligence platform for chemical business that compiles a</w:t>
      </w:r>
      <w:r>
        <w:t xml:space="preserve"> </w:t>
      </w:r>
      <w:r>
        <w:t xml:space="preserve">yearly chemical marketplaces report that reviews and compares emerging online platforms.</w:t>
      </w:r>
      <w:r>
        <w:t xml:space="preserve"> </w:t>
      </w:r>
      <w:r>
        <w:t xml:space="preserve">183</w:t>
      </w:r>
      <w:r>
        <w:t xml:space="preserve"> </w:t>
      </w:r>
      <w:r>
        <w:t xml:space="preserve">Chembid</w:t>
      </w:r>
      <w:r>
        <w:t xml:space="preserve"> </w:t>
      </w:r>
      <w:r>
        <w:t xml:space="preserve">(2020).</w:t>
      </w:r>
      <w:r>
        <w:t xml:space="preserve"> </w:t>
      </w:r>
      <w:r>
        <w:t xml:space="preserve">The</w:t>
      </w:r>
      <w:r>
        <w:t xml:space="preserve"> </w:t>
      </w:r>
      <w:r>
        <w:t xml:space="preserve">chemical</w:t>
      </w:r>
      <w:r>
        <w:t xml:space="preserve"> </w:t>
      </w:r>
      <w:r>
        <w:t xml:space="preserve">marketplaces</w:t>
      </w:r>
      <w:r>
        <w:t xml:space="preserve"> </w:t>
      </w:r>
      <w:r>
        <w:t xml:space="preserve">report</w:t>
      </w:r>
      <w:r>
        <w:t xml:space="preserve"> </w:t>
      </w:r>
      <w:r>
        <w:t xml:space="preserve">2021.</w:t>
      </w:r>
      <w:r>
        <w:t xml:space="preserve"> </w:t>
      </w:r>
      <w:r>
        <w:t xml:space="preserve">Available</w:t>
      </w:r>
      <w:r>
        <w:t xml:space="preserve"> </w:t>
      </w:r>
      <w:r>
        <w:t xml:space="preserve">at:</w:t>
      </w:r>
      <w:r>
        <w:t xml:space="preserve"> </w:t>
      </w:r>
      <w:r>
        <w:t xml:space="preserve">https://f.hubspotusercontent40.net/hubfs/6037596/chembids%20Chemical%20Marketplaces%20Report%20202</w:t>
      </w:r>
      <w:r>
        <w:t xml:space="preserve"> </w:t>
      </w:r>
      <w:r>
        <w:t xml:space="preserve">1.pdf</w:t>
      </w:r>
      <w:r>
        <w:br/>
      </w:r>
      <w:r>
        <w:t xml:space="preserve">184 The analysis was based on the data from 16 countries from Western Europe and Scandinavia that put</w:t>
      </w:r>
      <w:r>
        <w:t xml:space="preserve"> </w:t>
      </w:r>
      <w:r>
        <w:t xml:space="preserve">limitations on the findings of this study in terms of generalising its result to the EU.</w:t>
      </w:r>
    </w:p>
    <w:p>
      <w:pPr>
        <w:pStyle w:val="BodyText"/>
      </w:pPr>
      <w:r>
        <w:t xml:space="preserve">567</w:t>
      </w:r>
    </w:p>
    <w:p>
      <w:pPr>
        <w:pStyle w:val="BodyText"/>
      </w:pPr>
      <w:r>
        <w:t xml:space="preserve">The market share of EU and non-EU players in online retail is almost equal: 55% is generated</w:t>
      </w:r>
      <w:r>
        <w:t xml:space="preserve"> </w:t>
      </w:r>
      <w:r>
        <w:t xml:space="preserve">by the EU traders and 45% by non-EU retailers. In 2019, the market share of the EU traders</w:t>
      </w:r>
      <w:r>
        <w:t xml:space="preserve"> </w:t>
      </w:r>
      <w:r>
        <w:t xml:space="preserve">increased by 3% compared to 2018.</w:t>
      </w:r>
      <w:r>
        <w:t xml:space="preserve"> </w:t>
      </w:r>
      <w:r>
        <w:t xml:space="preserve">Online marketplaces play a significant role in online sales. In cross-border trade within the</w:t>
      </w:r>
      <w:r>
        <w:t xml:space="preserve"> </w:t>
      </w:r>
      <w:r>
        <w:t xml:space="preserve">EU, 25 online marketplaces had a turnover of €10.5 billion in 2019 or 26.4% of total sales</w:t>
      </w:r>
      <w:r>
        <w:t xml:space="preserve"> </w:t>
      </w:r>
      <w:r>
        <w:t xml:space="preserve">and an increase of 17% compared to 2018. According to the study, online marketplaces grow</w:t>
      </w:r>
      <w:r>
        <w:t xml:space="preserve"> </w:t>
      </w:r>
      <w:r>
        <w:t xml:space="preserve">faster than the average market. In online trade by non-EU retailers, 80% of cross-border sales</w:t>
      </w:r>
      <w:r>
        <w:t xml:space="preserve"> </w:t>
      </w:r>
      <w:r>
        <w:t xml:space="preserve">are generated through online marketplaces, with Amazon as a leader with € 32 billion from</w:t>
      </w:r>
      <w:r>
        <w:t xml:space="preserve"> </w:t>
      </w:r>
      <w:r>
        <w:t xml:space="preserve">sales.</w:t>
      </w:r>
      <w:r>
        <w:t xml:space="preserve"> </w:t>
      </w:r>
      <w:r>
        <w:t xml:space="preserve">Estimations of incompliant chemicals related to the problems outlined above</w:t>
      </w:r>
      <w:r>
        <w:t xml:space="preserve"> </w:t>
      </w:r>
      <w:r>
        <w:t xml:space="preserve">Data on the CLP incompliances of online chemicals’ sales in and outside the EU that are</w:t>
      </w:r>
      <w:r>
        <w:t xml:space="preserve"> </w:t>
      </w:r>
      <w:r>
        <w:t xml:space="preserve">relevant for problem 1 and data on imports that are relevant for problem 2 is not available.</w:t>
      </w:r>
      <w:r>
        <w:t xml:space="preserve"> </w:t>
      </w:r>
      <w:r>
        <w:t xml:space="preserve">The figures below are established based on estimations which bring some uncertainty on the</w:t>
      </w:r>
      <w:r>
        <w:t xml:space="preserve"> </w:t>
      </w:r>
      <w:r>
        <w:t xml:space="preserve">place of origin of sellers (it must be assumed that in reality even more chemicals originate</w:t>
      </w:r>
      <w:r>
        <w:t xml:space="preserve"> </w:t>
      </w:r>
      <w:r>
        <w:t xml:space="preserve">from outside the EU although they are sold by domestic platforms), the overall chemicals’</w:t>
      </w:r>
      <w:r>
        <w:t xml:space="preserve"> </w:t>
      </w:r>
      <w:r>
        <w:t xml:space="preserve">incompliance rate compared to mere samples, the number of consumers exposed to</w:t>
      </w:r>
      <w:r>
        <w:t xml:space="preserve"> </w:t>
      </w:r>
      <w:r>
        <w:t xml:space="preserve">incompliant chemicals185.</w:t>
      </w:r>
      <w:r>
        <w:br/>
      </w:r>
      <w:r>
        <w:t xml:space="preserve">With respect to CLP non-compliant items from online sellers within the EU:</w:t>
      </w:r>
      <w:r>
        <w:t xml:space="preserve"> </w:t>
      </w:r>
      <w:r>
        <w:t xml:space="preserve">In 2021, 251 million consumers in the EU purchased goods online from sellers within the</w:t>
      </w:r>
      <w:r>
        <w:t xml:space="preserve"> </w:t>
      </w:r>
      <w:r>
        <w:t xml:space="preserve">EU. These consumers purchased 111 million items from categories of goods for which CLP</w:t>
      </w:r>
      <w:r>
        <w:t xml:space="preserve"> </w:t>
      </w:r>
      <w:r>
        <w:t xml:space="preserve">requirements are relevant for some of the goods.</w:t>
      </w:r>
      <w:r>
        <w:br/>
      </w:r>
      <w:r>
        <w:t xml:space="preserve">Based on estimations, 16.6 million of the 111 million items purchased by these consumers</w:t>
      </w:r>
      <w:r>
        <w:t xml:space="preserve"> </w:t>
      </w:r>
      <w:r>
        <w:t xml:space="preserve">from sellers within the EU were not compliant with CLP requirements.</w:t>
      </w:r>
      <w:r>
        <w:t xml:space="preserve"> </w:t>
      </w:r>
      <w:r>
        <w:t xml:space="preserve">Based on estimations, in 2021, 9.6 million consumers purchased one CLP non-compliant</w:t>
      </w:r>
      <w:r>
        <w:t xml:space="preserve"> </w:t>
      </w:r>
      <w:r>
        <w:t xml:space="preserve">item from sellers within the EU and a further 3.5 million consumers purchased two CLP non-</w:t>
      </w:r>
      <w:r>
        <w:t xml:space="preserve"> </w:t>
      </w:r>
      <w:r>
        <w:t xml:space="preserve">compliant products from sellers within the EU – making a total of 16.6 million CLP non-</w:t>
      </w:r>
      <w:r>
        <w:t xml:space="preserve"> </w:t>
      </w:r>
      <w:r>
        <w:t xml:space="preserve">compliant items purchased from sellers within the EU.</w:t>
      </w:r>
      <w:r>
        <w:t xml:space="preserve"> </w:t>
      </w:r>
      <w:r>
        <w:t xml:space="preserve">With respect to CLP non-compliant items from sellers outside the EU:</w:t>
      </w:r>
      <w:r>
        <w:t xml:space="preserve"> </w:t>
      </w:r>
      <w:r>
        <w:t xml:space="preserve">In 2021 there were some 69.5 million consumers in the EU who purchased goods online from</w:t>
      </w:r>
      <w:r>
        <w:t xml:space="preserve"> </w:t>
      </w:r>
      <w:r>
        <w:t xml:space="preserve">sellers outside the EU. These consumers purchased 32.4 million items from categories of</w:t>
      </w:r>
      <w:r>
        <w:t xml:space="preserve"> </w:t>
      </w:r>
      <w:r>
        <w:t xml:space="preserve">goods for which CLP requirements are relevant for some of the goods.</w:t>
      </w:r>
      <w:r>
        <w:br/>
      </w:r>
      <w:r>
        <w:t xml:space="preserve">Based also on estimations, 7.3 million of the 32.4 million items purchased by these</w:t>
      </w:r>
      <w:r>
        <w:t xml:space="preserve"> </w:t>
      </w:r>
      <w:r>
        <w:t xml:space="preserve">consumers from sellers outside the EU were not compliant with CLP requirements.</w:t>
      </w:r>
      <w:r>
        <w:t xml:space="preserve"> </w:t>
      </w:r>
      <w:r>
        <w:t xml:space="preserve">Following the same logic as before, in 2021, 4.2 million consumers purchased one CLP non-</w:t>
      </w:r>
      <w:r>
        <w:t xml:space="preserve"> </w:t>
      </w:r>
      <w:r>
        <w:t xml:space="preserve">compliant item from sellers outside the EU and a further 1.6 million consumers purchased</w:t>
      </w:r>
      <w:r>
        <w:t xml:space="preserve"> </w:t>
      </w:r>
      <w:r>
        <w:t xml:space="preserve">two CLP non-compliant products from sellers outside the EU – making a total of 7.3 million</w:t>
      </w:r>
      <w:r>
        <w:t xml:space="preserve"> </w:t>
      </w:r>
      <w:r>
        <w:t xml:space="preserve">CLP non-compliant items purchased from sellers outside the EU.</w:t>
      </w:r>
    </w:p>
    <w:p>
      <w:pPr>
        <w:pStyle w:val="BodyText"/>
      </w:pPr>
      <w:r>
        <w:t xml:space="preserve">185 See detailed description of the methodology used in the Appendix.</w:t>
      </w:r>
    </w:p>
    <w:p>
      <w:pPr>
        <w:pStyle w:val="BodyText"/>
      </w:pPr>
      <w:r>
        <w:t xml:space="preserve">568</w:t>
      </w:r>
    </w:p>
    <w:p>
      <w:pPr>
        <w:pStyle w:val="BodyText"/>
      </w:pPr>
      <w:r>
        <w:t xml:space="preserve">The number of non-compliant items and consumers of those items is summarised in the table</w:t>
      </w:r>
      <w:r>
        <w:t xml:space="preserve"> </w:t>
      </w:r>
      <w:r>
        <w:t xml:space="preserve">below for all three scenarios (lower, central and upper).</w:t>
      </w:r>
      <w:r>
        <w:t xml:space="preserve"> </w:t>
      </w:r>
      <w:r>
        <w:t xml:space="preserve">Table 175: Number of non-compliant items and consumers of those items</w:t>
      </w:r>
      <w:r>
        <w:t xml:space="preserve"> </w:t>
      </w:r>
      <w:r>
        <w:t xml:space="preserve">Non-compliance</w:t>
      </w:r>
      <w:r>
        <w:t xml:space="preserve"> </w:t>
      </w:r>
      <w:r>
        <w:t xml:space="preserve">issue</w:t>
      </w:r>
      <w:r>
        <w:t xml:space="preserve"> </w:t>
      </w:r>
      <w:r>
        <w:t xml:space="preserve">Location of</w:t>
      </w:r>
      <w:r>
        <w:t xml:space="preserve"> </w:t>
      </w:r>
      <w:r>
        <w:t xml:space="preserve">seller</w:t>
      </w:r>
      <w:r>
        <w:t xml:space="preserve"> </w:t>
      </w:r>
      <w:r>
        <w:t xml:space="preserve">Number of</w:t>
      </w:r>
      <w:r>
        <w:t xml:space="preserve"> </w:t>
      </w:r>
      <w:r>
        <w:t xml:space="preserve">non-</w:t>
      </w:r>
      <w:r>
        <w:t xml:space="preserve"> </w:t>
      </w:r>
      <w:r>
        <w:t xml:space="preserve">compliant</w:t>
      </w:r>
      <w:r>
        <w:t xml:space="preserve"> </w:t>
      </w:r>
      <w:r>
        <w:t xml:space="preserve">items</w:t>
      </w:r>
      <w:r>
        <w:t xml:space="preserve"> </w:t>
      </w:r>
      <w:r>
        <w:t xml:space="preserve">purchased per</w:t>
      </w:r>
      <w:r>
        <w:t xml:space="preserve"> </w:t>
      </w:r>
      <w:r>
        <w:t xml:space="preserve">year (million)</w:t>
      </w:r>
      <w:r>
        <w:t xml:space="preserve"> </w:t>
      </w:r>
      <w:r>
        <w:t xml:space="preserve">Number of consumers</w:t>
      </w:r>
      <w:r>
        <w:t xml:space="preserve"> </w:t>
      </w:r>
      <w:r>
        <w:t xml:space="preserve">purchasing</w:t>
      </w:r>
      <w:r>
        <w:t xml:space="preserve"> </w:t>
      </w:r>
      <w:r>
        <w:t xml:space="preserve">one non-</w:t>
      </w:r>
      <w:r>
        <w:t xml:space="preserve"> </w:t>
      </w:r>
      <w:r>
        <w:t xml:space="preserve">compliant</w:t>
      </w:r>
      <w:r>
        <w:t xml:space="preserve"> </w:t>
      </w:r>
      <w:r>
        <w:t xml:space="preserve">item per year</w:t>
      </w:r>
      <w:r>
        <w:t xml:space="preserve"> </w:t>
      </w:r>
      <w:r>
        <w:t xml:space="preserve">(million)</w:t>
      </w:r>
      <w:r>
        <w:t xml:space="preserve"> </w:t>
      </w:r>
      <w:r>
        <w:t xml:space="preserve">two non-</w:t>
      </w:r>
      <w:r>
        <w:t xml:space="preserve"> </w:t>
      </w:r>
      <w:r>
        <w:t xml:space="preserve">compliant items</w:t>
      </w:r>
      <w:r>
        <w:t xml:space="preserve"> </w:t>
      </w:r>
      <w:r>
        <w:t xml:space="preserve">per year</w:t>
      </w:r>
      <w:r>
        <w:t xml:space="preserve"> </w:t>
      </w:r>
      <w:r>
        <w:t xml:space="preserve">(million)</w:t>
      </w:r>
      <w:r>
        <w:t xml:space="preserve"> </w:t>
      </w:r>
      <w:r>
        <w:t xml:space="preserve">Lower scenario</w:t>
      </w:r>
      <w:r>
        <w:t xml:space="preserve"> </w:t>
      </w:r>
      <w:r>
        <w:t xml:space="preserve">REACH</w:t>
      </w:r>
      <w:r>
        <w:t xml:space="preserve"> </w:t>
      </w:r>
      <w:r>
        <w:t xml:space="preserve">restriction non-</w:t>
      </w:r>
      <w:r>
        <w:t xml:space="preserve"> </w:t>
      </w:r>
      <w:r>
        <w:t xml:space="preserve">compliant items</w:t>
      </w:r>
      <w:r>
        <w:br/>
      </w:r>
      <w:r>
        <w:t xml:space="preserve">within EU</w:t>
      </w:r>
      <w:r>
        <w:t xml:space="preserve"> </w:t>
      </w:r>
      <w:r>
        <w:t xml:space="preserve">42.5</w:t>
      </w:r>
      <w:r>
        <w:t xml:space="preserve"> </w:t>
      </w:r>
      <w:r>
        <w:t xml:space="preserve">24.5</w:t>
      </w:r>
      <w:r>
        <w:t xml:space="preserve"> </w:t>
      </w:r>
      <w:r>
        <w:t xml:space="preserve">9.0</w:t>
      </w:r>
      <w:r>
        <w:t xml:space="preserve"> </w:t>
      </w:r>
      <w:r>
        <w:t xml:space="preserve">outside EU</w:t>
      </w:r>
      <w:r>
        <w:t xml:space="preserve"> </w:t>
      </w:r>
      <w:r>
        <w:t xml:space="preserve">17.0</w:t>
      </w:r>
      <w:r>
        <w:t xml:space="preserve"> </w:t>
      </w:r>
      <w:r>
        <w:t xml:space="preserve">9.8</w:t>
      </w:r>
      <w:r>
        <w:t xml:space="preserve"> </w:t>
      </w:r>
      <w:r>
        <w:t xml:space="preserve">3.6</w:t>
      </w:r>
      <w:r>
        <w:t xml:space="preserve"> </w:t>
      </w:r>
      <w:r>
        <w:t xml:space="preserve">CLP non-</w:t>
      </w:r>
      <w:r>
        <w:t xml:space="preserve"> </w:t>
      </w:r>
      <w:r>
        <w:t xml:space="preserve">compliant items</w:t>
      </w:r>
      <w:r>
        <w:t xml:space="preserve"> </w:t>
      </w:r>
      <w:r>
        <w:t xml:space="preserve">within EU</w:t>
      </w:r>
      <w:r>
        <w:t xml:space="preserve"> </w:t>
      </w:r>
      <w:r>
        <w:t xml:space="preserve">11.1</w:t>
      </w:r>
      <w:r>
        <w:t xml:space="preserve"> </w:t>
      </w:r>
      <w:r>
        <w:t xml:space="preserve">6.4</w:t>
      </w:r>
      <w:r>
        <w:t xml:space="preserve"> </w:t>
      </w:r>
      <w:r>
        <w:t xml:space="preserve">2.3</w:t>
      </w:r>
      <w:r>
        <w:t xml:space="preserve"> </w:t>
      </w:r>
      <w:r>
        <w:t xml:space="preserve">outside EU</w:t>
      </w:r>
      <w:r>
        <w:t xml:space="preserve"> </w:t>
      </w:r>
      <w:r>
        <w:t xml:space="preserve">4.4</w:t>
      </w:r>
      <w:r>
        <w:t xml:space="preserve"> </w:t>
      </w:r>
      <w:r>
        <w:t xml:space="preserve">2.6</w:t>
      </w:r>
      <w:r>
        <w:t xml:space="preserve"> </w:t>
      </w:r>
      <w:r>
        <w:t xml:space="preserve">0.9</w:t>
      </w:r>
      <w:r>
        <w:t xml:space="preserve"> </w:t>
      </w:r>
      <w:r>
        <w:t xml:space="preserve">Central scenario</w:t>
      </w:r>
      <w:r>
        <w:t xml:space="preserve"> </w:t>
      </w:r>
      <w:r>
        <w:t xml:space="preserve">REACH</w:t>
      </w:r>
      <w:r>
        <w:t xml:space="preserve"> </w:t>
      </w:r>
      <w:r>
        <w:t xml:space="preserve">restriction non-</w:t>
      </w:r>
      <w:r>
        <w:t xml:space="preserve"> </w:t>
      </w:r>
      <w:r>
        <w:t xml:space="preserve">compliant items</w:t>
      </w:r>
      <w:r>
        <w:br/>
      </w:r>
      <w:r>
        <w:t xml:space="preserve">within EU</w:t>
      </w:r>
      <w:r>
        <w:t xml:space="preserve"> </w:t>
      </w:r>
      <w:r>
        <w:t xml:space="preserve">70.8</w:t>
      </w:r>
      <w:r>
        <w:t xml:space="preserve"> </w:t>
      </w:r>
      <w:r>
        <w:t xml:space="preserve">40.9</w:t>
      </w:r>
      <w:r>
        <w:t xml:space="preserve"> </w:t>
      </w:r>
      <w:r>
        <w:t xml:space="preserve">14.9</w:t>
      </w:r>
      <w:r>
        <w:t xml:space="preserve"> </w:t>
      </w:r>
      <w:r>
        <w:t xml:space="preserve">outside EU</w:t>
      </w:r>
      <w:r>
        <w:t xml:space="preserve"> </w:t>
      </w:r>
      <w:r>
        <w:t xml:space="preserve">31.0</w:t>
      </w:r>
      <w:r>
        <w:t xml:space="preserve"> </w:t>
      </w:r>
      <w:r>
        <w:t xml:space="preserve">17.8</w:t>
      </w:r>
      <w:r>
        <w:t xml:space="preserve"> </w:t>
      </w:r>
      <w:r>
        <w:t xml:space="preserve">6.6</w:t>
      </w:r>
      <w:r>
        <w:t xml:space="preserve"> </w:t>
      </w:r>
      <w:r>
        <w:t xml:space="preserve">CLP non-</w:t>
      </w:r>
      <w:r>
        <w:t xml:space="preserve"> </w:t>
      </w:r>
      <w:r>
        <w:t xml:space="preserve">compliant items</w:t>
      </w:r>
      <w:r>
        <w:t xml:space="preserve"> </w:t>
      </w:r>
      <w:r>
        <w:t xml:space="preserve">within EU</w:t>
      </w:r>
      <w:r>
        <w:t xml:space="preserve"> </w:t>
      </w:r>
      <w:r>
        <w:t xml:space="preserve">16.6</w:t>
      </w:r>
      <w:r>
        <w:t xml:space="preserve"> </w:t>
      </w:r>
      <w:r>
        <w:t xml:space="preserve">9.6</w:t>
      </w:r>
      <w:r>
        <w:t xml:space="preserve"> </w:t>
      </w:r>
      <w:r>
        <w:t xml:space="preserve">3.5</w:t>
      </w:r>
      <w:r>
        <w:t xml:space="preserve"> </w:t>
      </w:r>
      <w:r>
        <w:t xml:space="preserve">outside EU</w:t>
      </w:r>
      <w:r>
        <w:t xml:space="preserve"> </w:t>
      </w:r>
      <w:r>
        <w:t xml:space="preserve">7.3</w:t>
      </w:r>
      <w:r>
        <w:t xml:space="preserve"> </w:t>
      </w:r>
      <w:r>
        <w:t xml:space="preserve">4.2</w:t>
      </w:r>
      <w:r>
        <w:t xml:space="preserve"> </w:t>
      </w:r>
      <w:r>
        <w:t xml:space="preserve">1.6</w:t>
      </w:r>
      <w:r>
        <w:t xml:space="preserve"> </w:t>
      </w:r>
      <w:r>
        <w:t xml:space="preserve">Upper scenario</w:t>
      </w:r>
      <w:r>
        <w:t xml:space="preserve"> </w:t>
      </w:r>
      <w:r>
        <w:t xml:space="preserve">REACH</w:t>
      </w:r>
      <w:r>
        <w:t xml:space="preserve"> </w:t>
      </w:r>
      <w:r>
        <w:t xml:space="preserve">restriction non-</w:t>
      </w:r>
      <w:r>
        <w:t xml:space="preserve"> </w:t>
      </w:r>
      <w:r>
        <w:t xml:space="preserve">compliant items</w:t>
      </w:r>
      <w:r>
        <w:br/>
      </w:r>
      <w:r>
        <w:t xml:space="preserve">within EU</w:t>
      </w:r>
      <w:r>
        <w:t xml:space="preserve"> </w:t>
      </w:r>
      <w:r>
        <w:t xml:space="preserve">110.0</w:t>
      </w:r>
      <w:r>
        <w:t xml:space="preserve"> </w:t>
      </w:r>
      <w:r>
        <w:t xml:space="preserve">63.6</w:t>
      </w:r>
      <w:r>
        <w:t xml:space="preserve"> </w:t>
      </w:r>
      <w:r>
        <w:t xml:space="preserve">23.2</w:t>
      </w:r>
      <w:r>
        <w:t xml:space="preserve"> </w:t>
      </w:r>
      <w:r>
        <w:t xml:space="preserve">outside EU</w:t>
      </w:r>
      <w:r>
        <w:t xml:space="preserve"> </w:t>
      </w:r>
      <w:r>
        <w:t xml:space="preserve">64.3</w:t>
      </w:r>
      <w:r>
        <w:t xml:space="preserve"> </w:t>
      </w:r>
      <w:r>
        <w:t xml:space="preserve">36.9</w:t>
      </w:r>
      <w:r>
        <w:t xml:space="preserve"> </w:t>
      </w:r>
      <w:r>
        <w:t xml:space="preserve">13.7</w:t>
      </w:r>
      <w:r>
        <w:t xml:space="preserve"> </w:t>
      </w:r>
      <w:r>
        <w:t xml:space="preserve">CLP non-</w:t>
      </w:r>
      <w:r>
        <w:t xml:space="preserve"> </w:t>
      </w:r>
      <w:r>
        <w:t xml:space="preserve">compliant items</w:t>
      </w:r>
      <w:r>
        <w:t xml:space="preserve"> </w:t>
      </w:r>
      <w:r>
        <w:t xml:space="preserve">within EU</w:t>
      </w:r>
      <w:r>
        <w:t xml:space="preserve"> </w:t>
      </w:r>
      <w:r>
        <w:t xml:space="preserve">33.3</w:t>
      </w:r>
      <w:r>
        <w:t xml:space="preserve"> </w:t>
      </w:r>
      <w:r>
        <w:t xml:space="preserve">19.2</w:t>
      </w:r>
      <w:r>
        <w:t xml:space="preserve"> </w:t>
      </w:r>
      <w:r>
        <w:t xml:space="preserve">7.0</w:t>
      </w:r>
      <w:r>
        <w:t xml:space="preserve"> </w:t>
      </w:r>
      <w:r>
        <w:t xml:space="preserve">outside EU</w:t>
      </w:r>
      <w:r>
        <w:t xml:space="preserve"> </w:t>
      </w:r>
      <w:r>
        <w:t xml:space="preserve">19.5</w:t>
      </w:r>
      <w:r>
        <w:t xml:space="preserve"> </w:t>
      </w:r>
      <w:r>
        <w:t xml:space="preserve">11.2</w:t>
      </w:r>
      <w:r>
        <w:t xml:space="preserve"> </w:t>
      </w:r>
      <w:r>
        <w:t xml:space="preserve">4.1</w:t>
      </w:r>
    </w:p>
    <w:p>
      <w:pPr>
        <w:pStyle w:val="BodyText"/>
      </w:pPr>
      <w:r>
        <w:t xml:space="preserve">Short description of draft and already applicable EU legislation relevant for solving the</w:t>
      </w:r>
      <w:r>
        <w:t xml:space="preserve"> </w:t>
      </w:r>
      <w:r>
        <w:t xml:space="preserve">problems</w:t>
      </w:r>
      <w:r>
        <w:br/>
      </w:r>
      <w:r>
        <w:t xml:space="preserve">Taking into account the dynamic baseline, here is a short description of the horizontal draft</w:t>
      </w:r>
      <w:r>
        <w:t xml:space="preserve"> </w:t>
      </w:r>
      <w:r>
        <w:t xml:space="preserve">and already applicable legislation to be considered: the draft Digital Services Act186, the draft</w:t>
      </w:r>
      <w:r>
        <w:t xml:space="preserve"> </w:t>
      </w:r>
      <w:r>
        <w:t xml:space="preserve">General Product Safety Regulation187, the already applicable Market Surveillance</w:t>
      </w:r>
      <w:r>
        <w:t xml:space="preserve"> </w:t>
      </w:r>
      <w:r>
        <w:t xml:space="preserve">Regulation188, the Consumer Rights Directive189 and customs legislation190.</w:t>
      </w:r>
    </w:p>
    <w:p>
      <w:pPr>
        <w:pStyle w:val="BodyText"/>
      </w:pPr>
      <w:r>
        <w:t xml:space="preserve">186 Proposal for a Regulation of the European Parliament and of the Council on a Single Market For Digital</w:t>
      </w:r>
      <w:r>
        <w:t xml:space="preserve"> </w:t>
      </w:r>
      <w:r>
        <w:t xml:space="preserve">Services (Digital Services Act) and amending Directive 2000/31/EC, COM(2020) 825 final.</w:t>
      </w:r>
      <w:r>
        <w:br/>
      </w:r>
      <w:r>
        <w:t xml:space="preserve">187 Proposal for a Regulation of the European Parliament and of the Council on general product safety,</w:t>
      </w:r>
      <w:r>
        <w:t xml:space="preserve"> </w:t>
      </w:r>
      <w:r>
        <w:t xml:space="preserve">amending Regulation (EU) No 1025/2012 of the European Parliament and of the Council, and repealing Council</w:t>
      </w:r>
      <w:r>
        <w:t xml:space="preserve"> </w:t>
      </w:r>
      <w:r>
        <w:t xml:space="preserve">Directive 87/357/EEC and Directive 2001/95/EC of the European Parliament and of the Council, COM(2021)</w:t>
      </w:r>
      <w:r>
        <w:t xml:space="preserve"> </w:t>
      </w:r>
      <w:r>
        <w:t xml:space="preserve">346 final.</w:t>
      </w:r>
      <w:r>
        <w:t xml:space="preserve"> </w:t>
      </w:r>
      <w:r>
        <w:t xml:space="preserve">188 Regulation (EU) 2019/1020 of the European Parliament and of the Council of 20 June 2019 on market</w:t>
      </w:r>
      <w:r>
        <w:t xml:space="preserve"> </w:t>
      </w:r>
      <w:r>
        <w:t xml:space="preserve">surveillance and compliance of products and amending Directive 2004/42/EC and Regulations (EC) No</w:t>
      </w:r>
      <w:r>
        <w:t xml:space="preserve"> </w:t>
      </w:r>
      <w:r>
        <w:t xml:space="preserve">765/2008 and (EU) No 305/2011, OJ L 169, p. 1.</w:t>
      </w:r>
      <w:r>
        <w:br/>
      </w:r>
      <w:r>
        <w:t xml:space="preserve">189 Directive 2011/83/EU on consumer rights, OJ L 304, p.64.</w:t>
      </w:r>
      <w:r>
        <w:br/>
      </w:r>
      <w:r>
        <w:t xml:space="preserve">190 Regulation (EU) No 952/2013 laying down the Union Customs Code (“UCC”), OJ L 269 10.10.2013, p. 1;</w:t>
      </w:r>
      <w:r>
        <w:t xml:space="preserve"> </w:t>
      </w:r>
      <w:r>
        <w:t xml:space="preserve">amendments made in 2019 and 2020 to the UCC Delegated Regulation (EU) 2015/2446 of 28 July 2015</w:t>
      </w:r>
      <w:r>
        <w:t xml:space="preserve"> </w:t>
      </w:r>
      <w:r>
        <w:t xml:space="preserve">supplementing Regulation (EU) No 952/2013 of the European Parliament and of the Council as regards detailed</w:t>
      </w:r>
      <w:r>
        <w:t xml:space="preserve"> </w:t>
      </w:r>
      <w:r>
        <w:t xml:space="preserve">rules concerning certain provisions of the Union Customs, OJ L 343 29.12.2015, p. 1; Implementing Regulation</w:t>
      </w:r>
    </w:p>
    <w:p>
      <w:pPr>
        <w:pStyle w:val="BodyText"/>
      </w:pPr>
      <w:r>
        <w:t xml:space="preserve">569</w:t>
      </w:r>
    </w:p>
    <w:p>
      <w:pPr>
        <w:pStyle w:val="BodyText"/>
      </w:pPr>
      <w:r>
        <w:t xml:space="preserve">Customs legislation – relevant for problem 2</w:t>
      </w:r>
      <w:r>
        <w:br/>
      </w:r>
      <w:r>
        <w:t xml:space="preserve">Given that in problem 2 consumers are exposed to chemicals with no or incorrect</w:t>
      </w:r>
      <w:r>
        <w:t xml:space="preserve"> </w:t>
      </w:r>
      <w:r>
        <w:t xml:space="preserve">classification, labelling and packaging when buying from non-EU actors shipping</w:t>
      </w:r>
      <w:r>
        <w:t xml:space="preserve"> </w:t>
      </w:r>
      <w:r>
        <w:t xml:space="preserve">chemicals directly into the EU, who do not have to comply with CLP, customs legislation</w:t>
      </w:r>
      <w:r>
        <w:t xml:space="preserve"> </w:t>
      </w:r>
      <w:r>
        <w:t xml:space="preserve">becomes relevant as, before reaching consumers, those chemicals have to pass through</w:t>
      </w:r>
      <w:r>
        <w:t xml:space="preserve"> </w:t>
      </w:r>
      <w:r>
        <w:t xml:space="preserve">customs and be released for free circulation. Before goods are released for free circulation in</w:t>
      </w:r>
      <w:r>
        <w:t xml:space="preserve"> </w:t>
      </w:r>
      <w:r>
        <w:t xml:space="preserve">the EU, a customs declaration needs to be submitted by the importer or its representative</w:t>
      </w:r>
      <w:r>
        <w:t xml:space="preserve"> </w:t>
      </w:r>
      <w:r>
        <w:t xml:space="preserve">according to the Union Customs Code191. The importer under customs legislation can be a</w:t>
      </w:r>
      <w:r>
        <w:t xml:space="preserve"> </w:t>
      </w:r>
      <w:r>
        <w:t xml:space="preserve">consumer or other natural or legal person, depending on the applicable rules for low value</w:t>
      </w:r>
      <w:r>
        <w:t xml:space="preserve"> </w:t>
      </w:r>
      <w:r>
        <w:t xml:space="preserve">consignments, other consignments, etc.192. So, when the consumer is the importer under</w:t>
      </w:r>
      <w:r>
        <w:t xml:space="preserve"> </w:t>
      </w:r>
      <w:r>
        <w:t xml:space="preserve">customs legislation, chemicals pass through customs, are released for free circulation and</w:t>
      </w:r>
      <w:r>
        <w:t xml:space="preserve"> </w:t>
      </w:r>
      <w:r>
        <w:t xml:space="preserve">directly reach the “natural person responsible for import” in the EU, i.e. the consumer.</w:t>
      </w:r>
      <w:r>
        <w:br/>
      </w:r>
      <w:r>
        <w:t xml:space="preserve">The dynamic baseline takes into account:</w:t>
      </w:r>
      <w:r>
        <w:br/>
      </w:r>
      <w:r>
        <w:t xml:space="preserve">The recently adopted VAT e-commerce package that introduced a financial liability for the</w:t>
      </w:r>
      <w:r>
        <w:t xml:space="preserve"> </w:t>
      </w:r>
      <w:r>
        <w:t xml:space="preserve">online platforms which facilitate the sale of low value goods dispatched from a third country</w:t>
      </w:r>
      <w:r>
        <w:t xml:space="preserve"> </w:t>
      </w:r>
      <w:r>
        <w:t xml:space="preserve">to consumers in the EU for the collection of VAT on those sales, applicable as of 1 July 2021.</w:t>
      </w:r>
      <w:r>
        <w:br/>
      </w:r>
      <w:r>
        <w:t xml:space="preserve">Draft General Product Safety Regulation (GPSR)/Market Surveillance Regulation</w:t>
      </w:r>
      <w:r>
        <w:t xml:space="preserve"> </w:t>
      </w:r>
      <w:r>
        <w:t xml:space="preserve">(MSR) – both relevant for problems 1 and 2</w:t>
      </w:r>
      <w:r>
        <w:t xml:space="preserve"> </w:t>
      </w:r>
      <w:r>
        <w:t xml:space="preserve">Considerations relevant to solve problem 2</w:t>
      </w:r>
      <w:r>
        <w:t xml:space="preserve"> </w:t>
      </w:r>
      <w:r>
        <w:t xml:space="preserve">In order to ensure that chemicals sold on-line by non-EU actors are properly labelled and</w:t>
      </w:r>
      <w:r>
        <w:t xml:space="preserve"> </w:t>
      </w:r>
      <w:r>
        <w:t xml:space="preserve">packaged (following proper classification), one option would be to introduce the obligation to</w:t>
      </w:r>
      <w:r>
        <w:t xml:space="preserve"> </w:t>
      </w:r>
      <w:r>
        <w:t xml:space="preserve">have a responsible economic actor in the EU by default, so that an economic actor in the EU,</w:t>
      </w:r>
      <w:r>
        <w:t xml:space="preserve"> </w:t>
      </w:r>
      <w:r>
        <w:t xml:space="preserve">who should always ensure compliance with CLP requirements before chemicals reach</w:t>
      </w:r>
      <w:r>
        <w:t xml:space="preserve"> </w:t>
      </w:r>
      <w:r>
        <w:t xml:space="preserve">consumer, is inserted in the supply chain. Draft GPSR and MSR already contain similar</w:t>
      </w:r>
      <w:r>
        <w:t xml:space="preserve"> </w:t>
      </w:r>
      <w:r>
        <w:t xml:space="preserve">provisions which however do not cover CLP and would hence not solve the problem.</w:t>
      </w:r>
      <w:r>
        <w:t xml:space="preserve"> </w:t>
      </w:r>
      <w:r>
        <w:t xml:space="preserve">MSR provides for the need to have a person responsible for compliance by default in the EU</w:t>
      </w:r>
      <w:r>
        <w:t xml:space="preserve"> </w:t>
      </w:r>
      <w:r>
        <w:t xml:space="preserve">for listed pieces of legislation, but does not include CLP in that list193. Draft GPSR</w:t>
      </w:r>
    </w:p>
    <w:p>
      <w:pPr>
        <w:pStyle w:val="BodyText"/>
      </w:pPr>
      <w:r>
        <w:t xml:space="preserve">(EU) 2015/2447 of 24 November 2015 laying down detailed rules for implementing certain provisions of</w:t>
      </w:r>
      <w:r>
        <w:t xml:space="preserve"> </w:t>
      </w:r>
      <w:r>
        <w:t xml:space="preserve">Regulation (EU) No 952/2013 of the European Parliament and of the Council laying down the Union Customs</w:t>
      </w:r>
      <w:r>
        <w:t xml:space="preserve"> </w:t>
      </w:r>
      <w:r>
        <w:t xml:space="preserve">Code, OJ L 343 29.12.2015, p. 558.</w:t>
      </w:r>
      <w:r>
        <w:br/>
      </w:r>
      <w:r>
        <w:t xml:space="preserve">191 Article 127, Article 158 of the UCC.</w:t>
      </w:r>
      <w:r>
        <w:br/>
      </w:r>
      <w:r>
        <w:t xml:space="preserve">192 For low value consignments of goods with a value not exceeding EUR 22, new VAT and customs e-</w:t>
      </w:r>
      <w:r>
        <w:t xml:space="preserve"> </w:t>
      </w:r>
      <w:r>
        <w:t xml:space="preserve">commerce rules are applicable for their import as of 1 July 2021 to ensure fair competition for EU businesses</w:t>
      </w:r>
      <w:r>
        <w:t xml:space="preserve"> </w:t>
      </w:r>
      <w:r>
        <w:t xml:space="preserve">and reduce the VAT losses resulting from the importation of low value consignments from third countries. The</w:t>
      </w:r>
      <w:r>
        <w:t xml:space="preserve"> </w:t>
      </w:r>
      <w:r>
        <w:t xml:space="preserve">VAT exemption for imported goods below EUR 22 is abolished and an import declaration will be required for</w:t>
      </w:r>
      <w:r>
        <w:t xml:space="preserve"> </w:t>
      </w:r>
      <w:r>
        <w:t xml:space="preserve">all goods entering the EU, regardless of their value.</w:t>
      </w:r>
      <w:r>
        <w:t xml:space="preserve"> </w:t>
      </w:r>
      <w:r>
        <w:t xml:space="preserve">Further, the UCC Delegated Regulation (EU) 2015/2446 of 28 July 2015 was modified in 2019 and 2020 to</w:t>
      </w:r>
      <w:r>
        <w:t xml:space="preserve"> </w:t>
      </w:r>
      <w:r>
        <w:t xml:space="preserve">adapt to a new form of customs declaration for release for free circulation of goods in consignments not</w:t>
      </w:r>
      <w:r>
        <w:t xml:space="preserve"> </w:t>
      </w:r>
      <w:r>
        <w:t xml:space="preserve">exceeding EUR 150 (super-reduced dataset) to facilitate and speed up the process of dealing with a high volume</w:t>
      </w:r>
      <w:r>
        <w:t xml:space="preserve"> </w:t>
      </w:r>
      <w:r>
        <w:t xml:space="preserve">of parcels. This customs declaration is available to any person (consumers, business, postal or express</w:t>
      </w:r>
      <w:r>
        <w:t xml:space="preserve"> </w:t>
      </w:r>
      <w:r>
        <w:t xml:space="preserve">operators).</w:t>
      </w:r>
      <w:r>
        <w:t xml:space="preserve"> </w:t>
      </w:r>
      <w:r>
        <w:t xml:space="preserve">According to the guidance on “Importation and Exportation of low value consignments – VAT E-Commerce</w:t>
      </w:r>
      <w:r>
        <w:t xml:space="preserve"> </w:t>
      </w:r>
      <w:r>
        <w:t xml:space="preserve">Package” the customs’ importer could be a private or legal person who declared for itself or uses a</w:t>
      </w:r>
      <w:r>
        <w:t xml:space="preserve"> </w:t>
      </w:r>
      <w:r>
        <w:t xml:space="preserve">representative who may act in the name and on behalf of the person represented (direct representation) or in</w:t>
      </w:r>
      <w:r>
        <w:t xml:space="preserve"> </w:t>
      </w:r>
      <w:r>
        <w:t xml:space="preserve">his/her own name and on behalf of the person represented (indirect representation).</w:t>
      </w:r>
      <w:r>
        <w:t xml:space="preserve"> </w:t>
      </w:r>
      <w:r>
        <w:t xml:space="preserve">193 See Article 4(5) of CLP MSR.</w:t>
      </w:r>
    </w:p>
    <w:p>
      <w:pPr>
        <w:pStyle w:val="BodyText"/>
      </w:pPr>
      <w:r>
        <w:t xml:space="preserve">570</w:t>
      </w:r>
    </w:p>
    <w:p>
      <w:pPr>
        <w:pStyle w:val="BodyText"/>
      </w:pPr>
      <w:r>
        <w:t xml:space="preserve">establishes the principle of having a responsible person to ensure product safety and extends</w:t>
      </w:r>
      <w:r>
        <w:t xml:space="preserve"> </w:t>
      </w:r>
      <w:r>
        <w:t xml:space="preserve">it to all products194. However, that particular provision is not applicable to CLP, since it</w:t>
      </w:r>
      <w:r>
        <w:t xml:space="preserve"> </w:t>
      </w:r>
      <w:r>
        <w:t xml:space="preserve">excludes Union harmonisation legislation - including CLP - from its scope195. A change of</w:t>
      </w:r>
      <w:r>
        <w:t xml:space="preserve"> </w:t>
      </w:r>
      <w:r>
        <w:t xml:space="preserve">MSR to extend the responsible person for compliance by default to CLP would be quite</w:t>
      </w:r>
      <w:r>
        <w:t xml:space="preserve"> </w:t>
      </w:r>
      <w:r>
        <w:t xml:space="preserve">complicated since the definitions in both legislations of actors (importers, distributors etc.)</w:t>
      </w:r>
      <w:r>
        <w:t xml:space="preserve"> </w:t>
      </w:r>
      <w:r>
        <w:t xml:space="preserve">and of placing on the market are different and do not match exactly.</w:t>
      </w:r>
      <w:r>
        <w:br/>
      </w:r>
      <w:r>
        <w:t xml:space="preserve">To sum up, CLP is not covered by either MSR or draft GPSR in relation to having a person</w:t>
      </w:r>
      <w:r>
        <w:t xml:space="preserve"> </w:t>
      </w:r>
      <w:r>
        <w:t xml:space="preserve">responsible for compliance in the EU by default (other than the consumer). Therefore, it</w:t>
      </w:r>
      <w:r>
        <w:t xml:space="preserve"> </w:t>
      </w:r>
      <w:r>
        <w:t xml:space="preserve">would be for CLP itself to address the problem of ensuring chemicals sold from outside the</w:t>
      </w:r>
      <w:r>
        <w:t xml:space="preserve"> </w:t>
      </w:r>
      <w:r>
        <w:t xml:space="preserve">EU are safe by means of another economic actor in the EU who would bear compliance</w:t>
      </w:r>
      <w:r>
        <w:t xml:space="preserve"> </w:t>
      </w:r>
      <w:r>
        <w:t xml:space="preserve">obligations. Consequently, such action would not be part of the dynamic baseline.</w:t>
      </w:r>
      <w:r>
        <w:t xml:space="preserve"> </w:t>
      </w:r>
      <w:r>
        <w:t xml:space="preserve">Considerations relevant to solve problem 1 on online offering</w:t>
      </w:r>
      <w:r>
        <w:t xml:space="preserve"> </w:t>
      </w:r>
      <w:r>
        <w:t xml:space="preserve">In contrast to problem 2, Chapter III, Section 2 and Chapter IV of draft GPSR (Online</w:t>
      </w:r>
      <w:r>
        <w:t xml:space="preserve"> </w:t>
      </w:r>
      <w:r>
        <w:t xml:space="preserve">marketplaces) apply to CLP and help consumers to make informed choices when they</w:t>
      </w:r>
      <w:r>
        <w:t xml:space="preserve"> </w:t>
      </w:r>
      <w:r>
        <w:t xml:space="preserve">purchase chemicals online (problem 1). Rules are provided for economic operators to indicate</w:t>
      </w:r>
      <w:r>
        <w:t xml:space="preserve"> </w:t>
      </w:r>
      <w:r>
        <w:t xml:space="preserve">product safety information in online offers196 as well as for online marketplaces to design and</w:t>
      </w:r>
      <w:r>
        <w:t xml:space="preserve"> </w:t>
      </w:r>
      <w:r>
        <w:t xml:space="preserve">organise their online interface in a way that enables traders to provide useful information197.</w:t>
      </w:r>
    </w:p>
    <w:p>
      <w:pPr>
        <w:pStyle w:val="BodyText"/>
      </w:pPr>
      <w:r>
        <w:t xml:space="preserve">194 Chapter III, Section 1 of draft GPSR provides for the obligations of economic operators and sets forth the</w:t>
      </w:r>
      <w:r>
        <w:t xml:space="preserve"> </w:t>
      </w:r>
      <w:r>
        <w:t xml:space="preserve">need of having a person responsible for compliance in the EU (Article 15, Responsible person for products</w:t>
      </w:r>
      <w:r>
        <w:t xml:space="preserve"> </w:t>
      </w:r>
      <w:r>
        <w:t xml:space="preserve">placed on the Union market) by default.</w:t>
      </w:r>
      <w:r>
        <w:br/>
      </w:r>
      <w:r>
        <w:t xml:space="preserve">195 Following Article 2(1) of the draft GPSR, Union harmonisation legislation as listed under Annex I of MSR –</w:t>
      </w:r>
      <w:r>
        <w:t xml:space="preserve"> </w:t>
      </w:r>
      <w:r>
        <w:t xml:space="preserve">that includes CLP – is excluded from the applicability of Chapter III, Section 1 of draft GPSR, see draft GPSR,</w:t>
      </w:r>
      <w:r>
        <w:t xml:space="preserve"> </w:t>
      </w:r>
      <w:r>
        <w:t xml:space="preserve">Article 2 (Scope):</w:t>
      </w:r>
      <w:r>
        <w:br/>
      </w:r>
      <w:r>
        <w:t xml:space="preserve">1. This Regulation shall apply to products defined in Article 3(1), placed or made available on the market in so</w:t>
      </w:r>
      <w:r>
        <w:t xml:space="preserve"> </w:t>
      </w:r>
      <w:r>
        <w:t xml:space="preserve">far as there are no specific provisions with the same objective in rules of Union law which regulate the safety of</w:t>
      </w:r>
      <w:r>
        <w:t xml:space="preserve"> </w:t>
      </w:r>
      <w:r>
        <w:t xml:space="preserve">the products concerned. Where products are subject to specific safety requirements imposed by Union</w:t>
      </w:r>
      <w:r>
        <w:t xml:space="preserve"> </w:t>
      </w:r>
      <w:r>
        <w:t xml:space="preserve">legislation, this Regulation shall apply only to the aspects and risks or categories of risks not covered by those</w:t>
      </w:r>
      <w:r>
        <w:t xml:space="preserve"> </w:t>
      </w:r>
      <w:r>
        <w:t xml:space="preserve">requirements. In particular, as regards products subject to specific requirements imposed by Union</w:t>
      </w:r>
      <w:r>
        <w:t xml:space="preserve"> </w:t>
      </w:r>
      <w:r>
        <w:t xml:space="preserve">harmonisation legislation as defined in Article 3(25),</w:t>
      </w:r>
      <w:r>
        <w:br/>
      </w:r>
      <w:r>
        <w:t xml:space="preserve">(a) Chapter II shall not apply insofar as the risks or categories of risks covered by Union harmonisation</w:t>
      </w:r>
      <w:r>
        <w:t xml:space="preserve"> </w:t>
      </w:r>
      <w:r>
        <w:t xml:space="preserve">legislation are concerned;</w:t>
      </w:r>
      <w:r>
        <w:br/>
      </w:r>
      <w:r>
        <w:t xml:space="preserve">(b) Chapter III, Section 1, Chapters V and VII, Chapters IX to XI shall not apply.</w:t>
      </w:r>
      <w:r>
        <w:t xml:space="preserve"> </w:t>
      </w:r>
      <w:r>
        <w:t xml:space="preserve">196 Chapter III, Section 2, Article 18 of draft GPSR, which isapplicable to CLP states that “where products are</w:t>
      </w:r>
      <w:r>
        <w:t xml:space="preserve"> </w:t>
      </w:r>
      <w:r>
        <w:t xml:space="preserve">made available on the market online or through other means of distance sales by the relevant economic</w:t>
      </w:r>
      <w:r>
        <w:t xml:space="preserve"> </w:t>
      </w:r>
      <w:r>
        <w:t xml:space="preserve">operators, the relevant offer of the product shall clearly and visibly indicate at least the following information:</w:t>
      </w:r>
      <w:r>
        <w:t xml:space="preserve"> </w:t>
      </w:r>
      <w:r>
        <w:t xml:space="preserve">[…] (d) any warning or safety information that is to be affixed on the product or to accompany it in accordance</w:t>
      </w:r>
      <w:r>
        <w:t xml:space="preserve"> </w:t>
      </w:r>
      <w:r>
        <w:t xml:space="preserve">with this Regulation or the applicable Union harmonisation legislation in a language which can be easily</w:t>
      </w:r>
      <w:r>
        <w:t xml:space="preserve"> </w:t>
      </w:r>
      <w:r>
        <w:t xml:space="preserve">understood by consumers”.</w:t>
      </w:r>
      <w:r>
        <w:t xml:space="preserve"> </w:t>
      </w:r>
      <w:r>
        <w:t xml:space="preserve">197 Chapter III (rules for online marketplaces) Art. 20(5) draft GPSR: For the purpose of the requirements of</w:t>
      </w:r>
      <w:r>
        <w:t xml:space="preserve"> </w:t>
      </w:r>
      <w:r>
        <w:t xml:space="preserve">Article 22(7) of Regulation (EU) […/…] on a Single Market for Digital Services (Digital Services Act) and</w:t>
      </w:r>
      <w:r>
        <w:t xml:space="preserve"> </w:t>
      </w:r>
      <w:r>
        <w:t xml:space="preserve">amending Directive 2000/31/EC, online marketplaces shall design and organise their online interface in a way</w:t>
      </w:r>
      <w:r>
        <w:t xml:space="preserve"> </w:t>
      </w:r>
      <w:r>
        <w:t xml:space="preserve">that enables traders to provide the following information for each product offered and ensures that it is displayed</w:t>
      </w:r>
      <w:r>
        <w:t xml:space="preserve"> </w:t>
      </w:r>
      <w:r>
        <w:t xml:space="preserve">or otherwise made easily accessible by consumers on the product listing:</w:t>
      </w:r>
      <w:r>
        <w:br/>
      </w:r>
      <w:r>
        <w:t xml:space="preserve">(a) name, registered trade name or registered trade mark of the manufacturer, as well as the postal or electronic</w:t>
      </w:r>
      <w:r>
        <w:t xml:space="preserve"> </w:t>
      </w:r>
      <w:r>
        <w:t xml:space="preserve">address at which they can be contacted;</w:t>
      </w:r>
      <w:r>
        <w:br/>
      </w:r>
      <w:r>
        <w:t xml:space="preserve">(b) where the manufacturer is not established in the Union, the name, address, telephone number and electronic</w:t>
      </w:r>
      <w:r>
        <w:t xml:space="preserve"> </w:t>
      </w:r>
      <w:r>
        <w:t xml:space="preserve">address of the responsible person within the meaning of Article 15 (1);</w:t>
      </w:r>
      <w:r>
        <w:br/>
      </w:r>
      <w:r>
        <w:t xml:space="preserve">(c) information to identify the product, including its type and, when available, batch or serial number and any</w:t>
      </w:r>
      <w:r>
        <w:t xml:space="preserve"> </w:t>
      </w:r>
      <w:r>
        <w:t xml:space="preserve">other product identifier;</w:t>
      </w:r>
    </w:p>
    <w:p>
      <w:pPr>
        <w:pStyle w:val="BodyText"/>
      </w:pPr>
      <w:r>
        <w:t xml:space="preserve">571</w:t>
      </w:r>
    </w:p>
    <w:p>
      <w:pPr>
        <w:pStyle w:val="BodyText"/>
      </w:pPr>
      <w:r>
        <w:t xml:space="preserve">Those obligations, applicable to economic actors and online marketplaces, will be taken into</w:t>
      </w:r>
      <w:r>
        <w:t xml:space="preserve"> </w:t>
      </w:r>
      <w:r>
        <w:t xml:space="preserve">account as a baseline scenario for the CLP revision. This impact assessment will examine</w:t>
      </w:r>
      <w:r>
        <w:t xml:space="preserve"> </w:t>
      </w:r>
      <w:r>
        <w:t xml:space="preserve">whether CLP requires a specific reference to the applicable provisions to enhance compliance</w:t>
      </w:r>
      <w:r>
        <w:t xml:space="preserve"> </w:t>
      </w:r>
      <w:r>
        <w:t xml:space="preserve">and for coherence between the different legislations.</w:t>
      </w:r>
      <w:r>
        <w:br/>
      </w:r>
      <w:r>
        <w:t xml:space="preserve">Draft DSA (relevant for problems 1 and 2) and E-Commerce Directive198, Consumer</w:t>
      </w:r>
      <w:r>
        <w:t xml:space="preserve"> </w:t>
      </w:r>
      <w:r>
        <w:t xml:space="preserve">Rights Directive (relevant for problem 1)</w:t>
      </w:r>
      <w:r>
        <w:t xml:space="preserve"> </w:t>
      </w:r>
      <w:r>
        <w:t xml:space="preserve">Considerations relevant to solve problem 1</w:t>
      </w:r>
      <w:r>
        <w:t xml:space="preserve"> </w:t>
      </w:r>
      <w:r>
        <w:t xml:space="preserve">Draft DSA, the E-Commerce Directive and the Consumer Rights Directive contain provisions</w:t>
      </w:r>
      <w:r>
        <w:t xml:space="preserve"> </w:t>
      </w:r>
      <w:r>
        <w:t xml:space="preserve">on online advertisement and offers that help solving problem 1 and ensuring correct</w:t>
      </w:r>
      <w:r>
        <w:t xml:space="preserve"> </w:t>
      </w:r>
      <w:r>
        <w:t xml:space="preserve">communication of hazards to consumers.</w:t>
      </w:r>
      <w:r>
        <w:br/>
      </w:r>
      <w:r>
        <w:t xml:space="preserve">Draft DSA provides for obligations of online platforms to trace their traders when they</w:t>
      </w:r>
      <w:r>
        <w:t xml:space="preserve"> </w:t>
      </w:r>
      <w:r>
        <w:t xml:space="preserve">promote messages or offer products to consumers (see Article 22 draft DSA). Further, it</w:t>
      </w:r>
      <w:r>
        <w:t xml:space="preserve"> </w:t>
      </w:r>
      <w:r>
        <w:t xml:space="preserve">contains a provision on online advertising transparency (Article 24). Draft DSA also defines</w:t>
      </w:r>
      <w:r>
        <w:t xml:space="preserve"> </w:t>
      </w:r>
      <w:r>
        <w:t xml:space="preserve">“advertisement” as “information designed to promote the message of a legal or natural</w:t>
      </w:r>
      <w:r>
        <w:t xml:space="preserve"> </w:t>
      </w:r>
      <w:r>
        <w:t xml:space="preserve">person, irrespective of whether to achieve commercial or non-commercial purposes, and</w:t>
      </w:r>
      <w:r>
        <w:t xml:space="preserve"> </w:t>
      </w:r>
      <w:r>
        <w:t xml:space="preserve">displayed by an online platform on its online interface against remuneration specifically for</w:t>
      </w:r>
      <w:r>
        <w:t xml:space="preserve"> </w:t>
      </w:r>
      <w:r>
        <w:t xml:space="preserve">promoting that information”199. This definition should also be used under CLP to cover</w:t>
      </w:r>
      <w:r>
        <w:t xml:space="preserve"> </w:t>
      </w:r>
      <w:r>
        <w:t xml:space="preserve">online advertisements and to clearly distinguish advertisement from offers.</w:t>
      </w:r>
      <w:r>
        <w:br/>
      </w:r>
      <w:r>
        <w:t xml:space="preserve">The E-Commerce Directive provides for rules that (advertising) information to be provided</w:t>
      </w:r>
      <w:r>
        <w:t xml:space="preserve"> </w:t>
      </w:r>
      <w:r>
        <w:t xml:space="preserve">for commercial communications must follow (Article 6), to clearly identify its commercial</w:t>
      </w:r>
      <w:r>
        <w:t xml:space="preserve"> </w:t>
      </w:r>
      <w:r>
        <w:t xml:space="preserve">content200.</w:t>
      </w:r>
      <w:r>
        <w:t xml:space="preserve"> </w:t>
      </w:r>
      <w:r>
        <w:t xml:space="preserve">Further, also the Consumer Rights Directive contains rules on information requirements for</w:t>
      </w:r>
      <w:r>
        <w:t xml:space="preserve"> </w:t>
      </w:r>
      <w:r>
        <w:t xml:space="preserve">distance and off-premises contracts, including online sales, which also apply to CLP201.</w:t>
      </w:r>
      <w:r>
        <w:br/>
      </w:r>
      <w:r>
        <w:t xml:space="preserve">CLP should take into account all those applicable rules and this assessment should examine</w:t>
      </w:r>
      <w:r>
        <w:t xml:space="preserve"> </w:t>
      </w:r>
      <w:r>
        <w:t xml:space="preserve">the need of making cross-references to those pieces of legislation and providing that any rules</w:t>
      </w:r>
      <w:r>
        <w:t xml:space="preserve"> </w:t>
      </w:r>
      <w:r>
        <w:t xml:space="preserve">under CLP are without prejudice to these provisions of the other pieces of legislation (this</w:t>
      </w:r>
      <w:r>
        <w:t xml:space="preserve"> </w:t>
      </w:r>
      <w:r>
        <w:t xml:space="preserve">would also include an update of the reference to Directive 97/7/EC on the protection of</w:t>
      </w:r>
      <w:r>
        <w:t xml:space="preserve"> </w:t>
      </w:r>
      <w:r>
        <w:t xml:space="preserve">consumers in respect of distance contracts under Article 48 which was repealed by the</w:t>
      </w:r>
      <w:r>
        <w:t xml:space="preserve"> </w:t>
      </w:r>
      <w:r>
        <w:t xml:space="preserve">Consumer Rights Directive).</w:t>
      </w:r>
      <w:r>
        <w:br/>
      </w:r>
      <w:r>
        <w:t xml:space="preserve">Hence, those provisions are part of the dynamic baseline.</w:t>
      </w:r>
      <w:r>
        <w:br/>
      </w:r>
      <w:r>
        <w:t xml:space="preserve">Considerations relevant to solve problem 2</w:t>
      </w:r>
    </w:p>
    <w:p>
      <w:pPr>
        <w:pStyle w:val="Compact"/>
        <w:numPr>
          <w:ilvl w:val="0"/>
          <w:numId w:val="1001"/>
        </w:numPr>
      </w:pPr>
      <w:r>
        <w:t xml:space="preserve">any warning or safety information that is to be affixed on the product or to accompany it in accordance with</w:t>
      </w:r>
      <w:r>
        <w:t xml:space="preserve"> </w:t>
      </w:r>
      <w:r>
        <w:t xml:space="preserve">this Regulation or the applicable Union harmonisation legislation in a language which can be easily understood</w:t>
      </w:r>
      <w:r>
        <w:t xml:space="preserve"> </w:t>
      </w:r>
      <w:r>
        <w:t xml:space="preserve">by consumers.</w:t>
      </w:r>
      <w:r>
        <w:t xml:space="preserve"> </w:t>
      </w:r>
      <w:r>
        <w:t xml:space="preserve">198 Directive 2000/31/EC, OJ L 178/1.</w:t>
      </w:r>
      <w:r>
        <w:br/>
      </w:r>
      <w:r>
        <w:t xml:space="preserve">199 Article 2(n) draft DSA.</w:t>
      </w:r>
      <w:r>
        <w:br/>
      </w:r>
      <w:r>
        <w:t xml:space="preserve">200 The E-Commerce Directive provides that national governments must ensure that advertising follows certain</w:t>
      </w:r>
      <w:r>
        <w:t xml:space="preserve"> </w:t>
      </w:r>
      <w:r>
        <w:t xml:space="preserve">rules: - it is clearly identifiable as advertising; - the person or company responsible for it is clearly identifiable; -</w:t>
      </w:r>
      <w:r>
        <w:t xml:space="preserve"> </w:t>
      </w:r>
      <w:r>
        <w:t xml:space="preserve">promotional offers, games or competitions are clearly identifiable, and the conditions are easily accessible and</w:t>
      </w:r>
      <w:r>
        <w:t xml:space="preserve"> </w:t>
      </w:r>
      <w:r>
        <w:t xml:space="preserve">presented in clear and simple terms.</w:t>
      </w:r>
      <w:r>
        <w:t xml:space="preserve"> </w:t>
      </w:r>
      <w:r>
        <w:t xml:space="preserve">201 See Article 6 of the Consumer Rights Directive.</w:t>
      </w:r>
    </w:p>
    <w:p>
      <w:pPr>
        <w:pStyle w:val="FirstParagraph"/>
      </w:pPr>
      <w:r>
        <w:t xml:space="preserve">572</w:t>
      </w:r>
    </w:p>
    <w:p>
      <w:pPr>
        <w:pStyle w:val="BodyText"/>
      </w:pPr>
      <w:r>
        <w:t xml:space="preserve">Pursuant to Chapter II of the draft DSA (Liability of providers of intermediary services), the</w:t>
      </w:r>
      <w:r>
        <w:t xml:space="preserve"> </w:t>
      </w:r>
      <w:r>
        <w:t xml:space="preserve">liability of intermediary services, such as online platforms202, is conditional. For instance,</w:t>
      </w:r>
      <w:r>
        <w:t xml:space="preserve"> </w:t>
      </w:r>
      <w:r>
        <w:t xml:space="preserve">they can only be held liable for the illegal content on their websites if they were made aware</w:t>
      </w:r>
      <w:r>
        <w:t xml:space="preserve"> </w:t>
      </w:r>
      <w:r>
        <w:t xml:space="preserve">of such illegal content and they did not remove it. Also, under Article 15 of the E-Commerce</w:t>
      </w:r>
      <w:r>
        <w:t xml:space="preserve"> </w:t>
      </w:r>
      <w:r>
        <w:t xml:space="preserve">Directive, Member States are not allowed to introduce a general obligation of intermediary</w:t>
      </w:r>
      <w:r>
        <w:t xml:space="preserve"> </w:t>
      </w:r>
      <w:r>
        <w:t xml:space="preserve">service providers to monitor the information they store or transmit for non-compliance with</w:t>
      </w:r>
      <w:r>
        <w:t xml:space="preserve"> </w:t>
      </w:r>
      <w:r>
        <w:t xml:space="preserve">legal requirements.</w:t>
      </w:r>
      <w:r>
        <w:t xml:space="preserve"> </w:t>
      </w:r>
      <w:r>
        <w:t xml:space="preserve">CLP does not provide for any specific obligations of online platforms regardless if they are</w:t>
      </w:r>
      <w:r>
        <w:t xml:space="preserve"> </w:t>
      </w:r>
      <w:r>
        <w:t xml:space="preserve">established in or outside the EU. Those platforms would only have obligations under CLP if</w:t>
      </w:r>
      <w:r>
        <w:t xml:space="preserve"> </w:t>
      </w:r>
      <w:r>
        <w:t xml:space="preserve">they met the definitions of the CLP actors, i.e. importers, manufacturers, distributors</w:t>
      </w:r>
      <w:r>
        <w:t xml:space="preserve"> </w:t>
      </w:r>
      <w:r>
        <w:t xml:space="preserve">(including retailers), downstream users and this is very unlikely. Thus, if a non-EU actor sells</w:t>
      </w:r>
      <w:r>
        <w:t xml:space="preserve"> </w:t>
      </w:r>
      <w:r>
        <w:t xml:space="preserve">directly to an EU consumer even via a platform established in the EU, that platform would</w:t>
      </w:r>
      <w:r>
        <w:t xml:space="preserve"> </w:t>
      </w:r>
      <w:r>
        <w:t xml:space="preserve">neither have an obligation under CLP to comply with it (while the non-EU sellers themselves</w:t>
      </w:r>
      <w:r>
        <w:t xml:space="preserve"> </w:t>
      </w:r>
      <w:r>
        <w:t xml:space="preserve">would also have no such obligation), nor any liability under the draft DSA or the E-</w:t>
      </w:r>
      <w:r>
        <w:t xml:space="preserve"> </w:t>
      </w:r>
      <w:r>
        <w:t xml:space="preserve">Commerce Directive. Hence, the problem of supplying unsafe chemicals from outside the</w:t>
      </w:r>
      <w:r>
        <w:t xml:space="preserve"> </w:t>
      </w:r>
      <w:r>
        <w:t xml:space="preserve">EU to consumers persists.</w:t>
      </w:r>
      <w:r>
        <w:br/>
      </w:r>
      <w:r>
        <w:t xml:space="preserve">This impact assessment takes into account the general liability exemption under draft</w:t>
      </w:r>
      <w:r>
        <w:t xml:space="preserve"> </w:t>
      </w:r>
      <w:r>
        <w:t xml:space="preserve">DSA and the E-commerce Directive and will not deviate from that general principle.</w:t>
      </w:r>
      <w:r>
        <w:t xml:space="preserve"> </w:t>
      </w:r>
      <w:r>
        <w:t xml:space="preserve">Therefore, the option to have a responsible actor in the EU by default and include online</w:t>
      </w:r>
      <w:r>
        <w:t xml:space="preserve"> </w:t>
      </w:r>
      <w:r>
        <w:t xml:space="preserve">platforms as such an actor will be discarded (see below).</w:t>
      </w:r>
      <w:r>
        <w:br/>
      </w:r>
      <w:r>
        <w:t xml:space="preserve">Other initiatives</w:t>
      </w:r>
      <w:r>
        <w:t xml:space="preserve"> </w:t>
      </w:r>
      <w:r>
        <w:t xml:space="preserve">The baseline also takes into account already existing measures at EU level to ensure</w:t>
      </w:r>
      <w:r>
        <w:t xml:space="preserve"> </w:t>
      </w:r>
      <w:r>
        <w:t xml:space="preserve">compliance of online sales, such as:</w:t>
      </w:r>
      <w:r>
        <w:br/>
      </w:r>
      <w:r>
        <w:t xml:space="preserve">Product Safety Pledge: This voluntary initiative was issued by the European Commission in</w:t>
      </w:r>
      <w:r>
        <w:t xml:space="preserve"> </w:t>
      </w:r>
      <w:r>
        <w:t xml:space="preserve">2017 and signed by large online marketplaces. It includes voluntary commitments to consult</w:t>
      </w:r>
      <w:r>
        <w:t xml:space="preserve"> </w:t>
      </w:r>
      <w:r>
        <w:t xml:space="preserve">the Product Safety Gate (former RAPEX) for information on recalled/dangerous products,</w:t>
      </w:r>
      <w:r>
        <w:t xml:space="preserve"> </w:t>
      </w:r>
      <w:r>
        <w:t xml:space="preserve">react within two working days on government notices about unsafe products and cooperate</w:t>
      </w:r>
      <w:r>
        <w:t xml:space="preserve"> </w:t>
      </w:r>
      <w:r>
        <w:t xml:space="preserve">with EU Member State authorities in identifying dangerous products203.</w:t>
      </w:r>
      <w:r>
        <w:br/>
      </w:r>
      <w:r>
        <w:t xml:space="preserve">The platforms committed to collaborate with public authorities and contribute to</w:t>
      </w:r>
      <w:r>
        <w:t xml:space="preserve"> </w:t>
      </w:r>
      <w:r>
        <w:t xml:space="preserve">identifying and removing non-compliant products. Key performance indicators to</w:t>
      </w:r>
      <w:r>
        <w:t xml:space="preserve"> </w:t>
      </w:r>
      <w:r>
        <w:t xml:space="preserve">monitor the implementation of commitments were developed and are reported by</w:t>
      </w:r>
      <w:r>
        <w:t xml:space="preserve"> </w:t>
      </w:r>
      <w:r>
        <w:t xml:space="preserve">online platforms (Table 175).</w:t>
      </w:r>
      <w:r>
        <w:t xml:space="preserve"> </w:t>
      </w:r>
      <w:r>
        <w:t xml:space="preserve">Table 176: Examples of performance data of online marketplaces under the Product Safety Pledge</w:t>
      </w:r>
      <w:r>
        <w:t xml:space="preserve"> </w:t>
      </w:r>
      <w:r>
        <w:t xml:space="preserve">Key performance indicator 1: product listings removed based on governmental notices</w:t>
      </w:r>
      <w:r>
        <w:t xml:space="preserve"> </w:t>
      </w:r>
      <w:r>
        <w:t xml:space="preserve">Reporting period</w:t>
      </w:r>
      <w:r>
        <w:t xml:space="preserve"> </w:t>
      </w:r>
      <w:r>
        <w:t xml:space="preserve">Online platforms</w:t>
      </w:r>
      <w:r>
        <w:t xml:space="preserve"> </w:t>
      </w:r>
      <w:r>
        <w:t xml:space="preserve">No. of governmental</w:t>
      </w:r>
      <w:r>
        <w:t xml:space="preserve"> </w:t>
      </w:r>
      <w:r>
        <w:t xml:space="preserve">notices</w:t>
      </w:r>
      <w:r>
        <w:t xml:space="preserve"> </w:t>
      </w:r>
      <w:r>
        <w:t xml:space="preserve">No. of removed</w:t>
      </w:r>
      <w:r>
        <w:t xml:space="preserve"> </w:t>
      </w:r>
      <w:r>
        <w:t xml:space="preserve">product listings</w:t>
      </w:r>
      <w:r>
        <w:t xml:space="preserve"> </w:t>
      </w:r>
      <w:r>
        <w:t xml:space="preserve">1 December 2020 to</w:t>
      </w:r>
      <w:r>
        <w:t xml:space="preserve"> </w:t>
      </w:r>
      <w:r>
        <w:t xml:space="preserve">31 May 2021</w:t>
      </w:r>
      <w:r>
        <w:t xml:space="preserve"> </w:t>
      </w:r>
      <w:r>
        <w:t xml:space="preserve">AliExpress, Allegro, Amazon,</w:t>
      </w:r>
      <w:r>
        <w:t xml:space="preserve"> </w:t>
      </w:r>
      <w:r>
        <w:t xml:space="preserve">CDiscount, eBay, Rakuten France,</w:t>
      </w:r>
      <w:r>
        <w:t xml:space="preserve"> </w:t>
      </w:r>
      <w:r>
        <w:t xml:space="preserve">Wish, eMag and bol.com</w:t>
      </w:r>
      <w:r>
        <w:t xml:space="preserve"> </w:t>
      </w:r>
      <w:r>
        <w:t xml:space="preserve">2,732</w:t>
      </w:r>
      <w:r>
        <w:t xml:space="preserve"> </w:t>
      </w:r>
      <w:r>
        <w:t xml:space="preserve">13,555</w:t>
      </w:r>
      <w:r>
        <w:t xml:space="preserve"> </w:t>
      </w:r>
      <w:r>
        <w:t xml:space="preserve">1 June 2020 to 30</w:t>
      </w:r>
      <w:r>
        <w:t xml:space="preserve"> </w:t>
      </w:r>
      <w:r>
        <w:t xml:space="preserve">AliExpress, Amazon, eBay, Rakuten</w:t>
      </w:r>
      <w:r>
        <w:t xml:space="preserve"> </w:t>
      </w:r>
      <w:r>
        <w:t xml:space="preserve">2,033</w:t>
      </w:r>
      <w:r>
        <w:t xml:space="preserve"> </w:t>
      </w:r>
      <w:r>
        <w:t xml:space="preserve">12,267</w:t>
      </w:r>
    </w:p>
    <w:p>
      <w:pPr>
        <w:pStyle w:val="BodyText"/>
      </w:pPr>
      <w:r>
        <w:t xml:space="preserve">202 See Article 2(f) of draft DSA which defines the different intermediary services and further distinguishes</w:t>
      </w:r>
      <w:r>
        <w:t xml:space="preserve"> </w:t>
      </w:r>
      <w:r>
        <w:t xml:space="preserve">between “mere conduit”, “caching” and “hosting”. “Online platforms” are hosting service providers.</w:t>
      </w:r>
      <w:r>
        <w:br/>
      </w:r>
      <w:r>
        <w:t xml:space="preserve">203 Online marketplaces participating are: Joom, Etsy, bol.com eMAG Wish.com, AliExpress, Amazon, eBay,</w:t>
      </w:r>
      <w:r>
        <w:t xml:space="preserve"> </w:t>
      </w:r>
      <w:r>
        <w:t xml:space="preserve">Rakuten France, Allegro and Cdiscount.</w:t>
      </w:r>
    </w:p>
    <w:p>
      <w:pPr>
        <w:pStyle w:val="BodyText"/>
      </w:pPr>
      <w:r>
        <w:t xml:space="preserve">573</w:t>
      </w:r>
    </w:p>
    <w:p>
      <w:pPr>
        <w:pStyle w:val="BodyText"/>
      </w:pPr>
      <w:r>
        <w:t xml:space="preserve">Table 176: Examples of performance data of online marketplaces under the Product Safety Pledge</w:t>
      </w:r>
      <w:r>
        <w:t xml:space="preserve"> </w:t>
      </w:r>
      <w:r>
        <w:t xml:space="preserve">November 2020</w:t>
      </w:r>
      <w:r>
        <w:t xml:space="preserve"> </w:t>
      </w:r>
      <w:r>
        <w:t xml:space="preserve">France, Allegro and CDiscount</w:t>
      </w:r>
      <w:r>
        <w:t xml:space="preserve"> </w:t>
      </w:r>
      <w:r>
        <w:t xml:space="preserve">Key performance indicator 2: product listings removed based on the monitoring of recall websites</w:t>
      </w:r>
      <w:r>
        <w:t xml:space="preserve"> </w:t>
      </w:r>
      <w:r>
        <w:t xml:space="preserve">Reporting period</w:t>
      </w:r>
      <w:r>
        <w:t xml:space="preserve"> </w:t>
      </w:r>
      <w:r>
        <w:t xml:space="preserve">Online platforms</w:t>
      </w:r>
      <w:r>
        <w:t xml:space="preserve"> </w:t>
      </w:r>
      <w:r>
        <w:t xml:space="preserve">No. of detected</w:t>
      </w:r>
      <w:r>
        <w:t xml:space="preserve"> </w:t>
      </w:r>
      <w:r>
        <w:t xml:space="preserve">alerts</w:t>
      </w:r>
      <w:r>
        <w:t xml:space="preserve"> </w:t>
      </w:r>
      <w:r>
        <w:t xml:space="preserve">No. of removed</w:t>
      </w:r>
      <w:r>
        <w:t xml:space="preserve"> </w:t>
      </w:r>
      <w:r>
        <w:t xml:space="preserve">product listings</w:t>
      </w:r>
      <w:r>
        <w:t xml:space="preserve"> </w:t>
      </w:r>
      <w:r>
        <w:t xml:space="preserve">1 December 2020 to</w:t>
      </w:r>
      <w:r>
        <w:t xml:space="preserve"> </w:t>
      </w:r>
      <w:r>
        <w:t xml:space="preserve">31 May 2021</w:t>
      </w:r>
      <w:r>
        <w:t xml:space="preserve"> </w:t>
      </w:r>
      <w:r>
        <w:t xml:space="preserve">AliExpress, Allegro, Amazon,</w:t>
      </w:r>
      <w:r>
        <w:t xml:space="preserve"> </w:t>
      </w:r>
      <w:r>
        <w:t xml:space="preserve">CDiscount, eBay, Rakuten France,</w:t>
      </w:r>
      <w:r>
        <w:t xml:space="preserve"> </w:t>
      </w:r>
      <w:r>
        <w:t xml:space="preserve">Wish, eMag and bol.com</w:t>
      </w:r>
      <w:r>
        <w:t xml:space="preserve"> </w:t>
      </w:r>
      <w:r>
        <w:t xml:space="preserve">885</w:t>
      </w:r>
      <w:r>
        <w:t xml:space="preserve"> </w:t>
      </w:r>
      <w:r>
        <w:t xml:space="preserve">27,717</w:t>
      </w:r>
      <w:r>
        <w:t xml:space="preserve"> </w:t>
      </w:r>
      <w:r>
        <w:t xml:space="preserve">1 June 2020 to 30</w:t>
      </w:r>
      <w:r>
        <w:t xml:space="preserve"> </w:t>
      </w:r>
      <w:r>
        <w:t xml:space="preserve">November 2020</w:t>
      </w:r>
      <w:r>
        <w:t xml:space="preserve"> </w:t>
      </w:r>
      <w:r>
        <w:t xml:space="preserve">AliExpress, Amazon, eBay, Rakuten</w:t>
      </w:r>
      <w:r>
        <w:t xml:space="preserve"> </w:t>
      </w:r>
      <w:r>
        <w:t xml:space="preserve">France, Allegro and CDiscount</w:t>
      </w:r>
      <w:r>
        <w:t xml:space="preserve"> </w:t>
      </w:r>
      <w:r>
        <w:t xml:space="preserve">1,760</w:t>
      </w:r>
      <w:r>
        <w:t xml:space="preserve"> </w:t>
      </w:r>
      <w:r>
        <w:t xml:space="preserve">70,273</w:t>
      </w:r>
      <w:r>
        <w:t xml:space="preserve"> </w:t>
      </w:r>
      <w:r>
        <w:t xml:space="preserve">Sources: Progress reports on the implementation of the product safety pledge. 2021 report available at:</w:t>
      </w:r>
      <w:r>
        <w:t xml:space="preserve"> </w:t>
      </w:r>
      <w:r>
        <w:t xml:space="preserve">https://ec.europa.eu/info/sites/default/files/5th_progress_report_product_safety_pledge.pdf</w:t>
      </w:r>
      <w:r>
        <w:t xml:space="preserve"> </w:t>
      </w:r>
      <w:r>
        <w:t xml:space="preserve">2019 report available at: https://ec.europa.eu/info/sites/default/files/4th_progress_report_product_safety_pledge_-</w:t>
      </w:r>
      <w:r>
        <w:t xml:space="preserve"> </w:t>
      </w:r>
      <w:r>
        <w:t xml:space="preserve">_final_0.pdf</w:t>
      </w:r>
    </w:p>
    <w:p>
      <w:pPr>
        <w:pStyle w:val="BodyText"/>
      </w:pPr>
      <w:r>
        <w:t xml:space="preserve">However, the performance data of online marketplaces show that safety pledge</w:t>
      </w:r>
      <w:r>
        <w:t xml:space="preserve"> </w:t>
      </w:r>
      <w:r>
        <w:t xml:space="preserve">commitments could hardly provide any substantial contribution to solving the</w:t>
      </w:r>
      <w:r>
        <w:t xml:space="preserve"> </w:t>
      </w:r>
      <w:r>
        <w:t xml:space="preserve">problem of non-compliance of chemicals with the CLP Regulation. The performance</w:t>
      </w:r>
      <w:r>
        <w:t xml:space="preserve"> </w:t>
      </w:r>
      <w:r>
        <w:t xml:space="preserve">data refers to all product safety non-compliances with different pieces of legislation.</w:t>
      </w:r>
      <w:r>
        <w:t xml:space="preserve"> </w:t>
      </w:r>
      <w:r>
        <w:t xml:space="preserve">To compare, in 2015-2019 Member States performed 288,280 controls of compliance</w:t>
      </w:r>
      <w:r>
        <w:t xml:space="preserve"> </w:t>
      </w:r>
      <w:r>
        <w:t xml:space="preserve">with the CLP Regulation and identified 68,898 cases of non-compliance (Milieu</w:t>
      </w:r>
      <w:r>
        <w:t xml:space="preserve"> </w:t>
      </w:r>
      <w:r>
        <w:t xml:space="preserve">Consulting, 2020).</w:t>
      </w:r>
      <w:r>
        <w:t xml:space="preserve"> </w:t>
      </w:r>
      <w:r>
        <w:t xml:space="preserve">EU Product Compliance Network (EUPCN): This network aims to structure the coordination</w:t>
      </w:r>
      <w:r>
        <w:t xml:space="preserve"> </w:t>
      </w:r>
      <w:r>
        <w:t xml:space="preserve">and cooperation between market surveillance authorities in EU countries, and streamline</w:t>
      </w:r>
      <w:r>
        <w:t xml:space="preserve"> </w:t>
      </w:r>
      <w:r>
        <w:t xml:space="preserve">market surveillance practices within the EU that facilitate the implementation of joint</w:t>
      </w:r>
      <w:r>
        <w:t xml:space="preserve"> </w:t>
      </w:r>
      <w:r>
        <w:t xml:space="preserve">enforcement activities by member state authorities, such as joint investigations. Amongst the</w:t>
      </w:r>
      <w:r>
        <w:t xml:space="preserve"> </w:t>
      </w:r>
      <w:r>
        <w:t xml:space="preserve">initiatives or activities listed by the EUPCN’s work programme 2021-2022 is the introduction</w:t>
      </w:r>
      <w:r>
        <w:t xml:space="preserve"> </w:t>
      </w:r>
      <w:r>
        <w:t xml:space="preserve">of a web crawler, i.e. a computer programme that automatically searches information on the</w:t>
      </w:r>
      <w:r>
        <w:t xml:space="preserve"> </w:t>
      </w:r>
      <w:r>
        <w:t xml:space="preserve">web and can hence be used to identify information on incompliant products. It is highly</w:t>
      </w:r>
      <w:r>
        <w:t xml:space="preserve"> </w:t>
      </w:r>
      <w:r>
        <w:t xml:space="preserve">unlikely that such an initiative would solve the problem of non-compliance of chemicals with</w:t>
      </w:r>
      <w:r>
        <w:t xml:space="preserve"> </w:t>
      </w:r>
      <w:r>
        <w:t xml:space="preserve">the CLP Regulation, due to its broad scope.</w:t>
      </w:r>
    </w:p>
    <w:p>
      <w:pPr>
        <w:pStyle w:val="BodyText"/>
      </w:pPr>
      <w:r>
        <w:t xml:space="preserve">DESCRIPTION OF POLICY MEASURES</w:t>
      </w:r>
      <w:r>
        <w:t xml:space="preserve"> </w:t>
      </w:r>
      <w:r>
        <w:t xml:space="preserve">To solve problem 1, the following policy measures were identified:</w:t>
      </w:r>
      <w:r>
        <w:br/>
      </w:r>
      <w:r>
        <w:t xml:space="preserve">#17: Amend or update CLP to refer to horizontal provisions on online offering</w:t>
      </w:r>
      <w:r>
        <w:t xml:space="preserve"> </w:t>
      </w:r>
      <w:r>
        <w:t xml:space="preserve">and advertisement (e.g. draft GPSR, draft DSA, E-Commerce Directive and</w:t>
      </w:r>
      <w:r>
        <w:t xml:space="preserve"> </w:t>
      </w:r>
      <w:r>
        <w:t xml:space="preserve">Consumer Rights Directive)</w:t>
      </w:r>
      <w:r>
        <w:t xml:space="preserve"> </w:t>
      </w:r>
      <w:r>
        <w:t xml:space="preserve">This would entail either an amendment of Article 48 (Advertisement) of the CLP when</w:t>
      </w:r>
      <w:r>
        <w:t xml:space="preserve"> </w:t>
      </w:r>
      <w:r>
        <w:t xml:space="preserve">it comes to referring to the horizontal provisions on advertisement or mentioning those</w:t>
      </w:r>
      <w:r>
        <w:t xml:space="preserve"> </w:t>
      </w:r>
      <w:r>
        <w:t xml:space="preserve">horizontal provisions in a recital with regards to distance contracts.</w:t>
      </w:r>
      <w:r>
        <w:br/>
      </w:r>
      <w:r>
        <w:t xml:space="preserve">Article 48 could also be revised to lay out the same requirements for substances and</w:t>
      </w:r>
      <w:r>
        <w:t xml:space="preserve"> </w:t>
      </w:r>
      <w:r>
        <w:t xml:space="preserve">mixtures to be provided when advertising (currently they are different, provided under</w:t>
      </w:r>
      <w:r>
        <w:t xml:space="preserve"> </w:t>
      </w:r>
      <w:r>
        <w:t xml:space="preserve">par. 1 and 2 respectively) as suggested by stakeholders in the different consultations204.</w:t>
      </w:r>
    </w:p>
    <w:p>
      <w:pPr>
        <w:pStyle w:val="BodyText"/>
      </w:pPr>
      <w:r>
        <w:t xml:space="preserve">204 For substances any advertisement shall mention the hazard class and categories and for mixtures the type or</w:t>
      </w:r>
      <w:r>
        <w:t xml:space="preserve"> </w:t>
      </w:r>
      <w:r>
        <w:t xml:space="preserve">types of hazard indicated on the label if a member of the general public concludes a contract before having first</w:t>
      </w:r>
      <w:r>
        <w:t xml:space="preserve"> </w:t>
      </w:r>
      <w:r>
        <w:t xml:space="preserve">sight of the label. See Article 48 CLP.</w:t>
      </w:r>
    </w:p>
    <w:p>
      <w:pPr>
        <w:pStyle w:val="BodyText"/>
      </w:pPr>
      <w:r>
        <w:t xml:space="preserve">574</w:t>
      </w:r>
    </w:p>
    <w:p>
      <w:pPr>
        <w:pStyle w:val="BodyText"/>
      </w:pPr>
      <w:r>
        <w:t xml:space="preserve">This would also entail addressing online offers in CLP, for instance by adding an</w:t>
      </w:r>
      <w:r>
        <w:t xml:space="preserve"> </w:t>
      </w:r>
      <w:r>
        <w:t xml:space="preserve">article that the rules in the draft GPSR, and in particular rules imposing obligations on</w:t>
      </w:r>
      <w:r>
        <w:t xml:space="preserve"> </w:t>
      </w:r>
      <w:r>
        <w:t xml:space="preserve">economic operators to display product safety information (Article 18 draft GPSR) and</w:t>
      </w:r>
      <w:r>
        <w:t xml:space="preserve"> </w:t>
      </w:r>
      <w:r>
        <w:t xml:space="preserve">on online marketplaces to allow traders to provide that information (Article 22 draft</w:t>
      </w:r>
      <w:r>
        <w:t xml:space="preserve"> </w:t>
      </w:r>
      <w:r>
        <w:t xml:space="preserve">GPSR), need to be adhered to (e.g. add Article 48a on online offers).</w:t>
      </w:r>
      <w:r>
        <w:br/>
      </w:r>
      <w:r>
        <w:t xml:space="preserve">#22: Periodically run consumer awareness raising campaigns on chemicals</w:t>
      </w:r>
      <w:r>
        <w:t xml:space="preserve"> </w:t>
      </w:r>
      <w:r>
        <w:t xml:space="preserve">offered and advertised online</w:t>
      </w:r>
      <w:r>
        <w:t xml:space="preserve"> </w:t>
      </w:r>
      <w:r>
        <w:t xml:space="preserve">This would entail running campaigns at Union wide level making consumers aware</w:t>
      </w:r>
      <w:r>
        <w:t xml:space="preserve"> </w:t>
      </w:r>
      <w:r>
        <w:t xml:space="preserve">that they need to pay particular attention when buying chemicals online and they could</w:t>
      </w:r>
      <w:r>
        <w:t xml:space="preserve"> </w:t>
      </w:r>
      <w:r>
        <w:t xml:space="preserve">be organised by ECHA. This measure is aimed at reaching out to consumers with the</w:t>
      </w:r>
      <w:r>
        <w:t xml:space="preserve"> </w:t>
      </w:r>
      <w:r>
        <w:t xml:space="preserve">purpose of providing information about hazard identification and communication</w:t>
      </w:r>
      <w:r>
        <w:t xml:space="preserve"> </w:t>
      </w:r>
      <w:r>
        <w:t xml:space="preserve">requirements for products sold online. To be effective such measures use various</w:t>
      </w:r>
      <w:r>
        <w:t xml:space="preserve"> </w:t>
      </w:r>
      <w:r>
        <w:t xml:space="preserve">communication media and provide information in an attractive and simple way205.</w:t>
      </w:r>
      <w:r>
        <w:br/>
      </w:r>
      <w:r>
        <w:t xml:space="preserve">To solve problem 2, the following policy measures were identified:</w:t>
      </w:r>
      <w:r>
        <w:br/>
      </w:r>
      <w:r>
        <w:t xml:space="preserve">#18: Introduce the obligation to have a responsible economic actor in the EU by</w:t>
      </w:r>
      <w:r>
        <w:t xml:space="preserve"> </w:t>
      </w:r>
      <w:r>
        <w:t xml:space="preserve">default under CLP</w:t>
      </w:r>
      <w:r>
        <w:t xml:space="preserve"> </w:t>
      </w:r>
      <w:r>
        <w:t xml:space="preserve">This would entail a change of the CLP in order to introduce the obligation of always</w:t>
      </w:r>
      <w:r>
        <w:t xml:space="preserve"> </w:t>
      </w:r>
      <w:r>
        <w:t xml:space="preserve">having a responsible economic actor for CLP compliance in the EU. Such actor</w:t>
      </w:r>
      <w:r>
        <w:t xml:space="preserve"> </w:t>
      </w:r>
      <w:r>
        <w:t xml:space="preserve">should carry out a commercial activity (and therefore would not include the</w:t>
      </w:r>
      <w:r>
        <w:t xml:space="preserve"> </w:t>
      </w:r>
      <w:r>
        <w:t xml:space="preserve">consumer), and could be a natural or legal person. Except for the case outlined above</w:t>
      </w:r>
      <w:r>
        <w:t xml:space="preserve"> </w:t>
      </w:r>
      <w:r>
        <w:t xml:space="preserve">under problem 2, where the consumer buys directly from a seller outside the EU and</w:t>
      </w:r>
      <w:r>
        <w:t xml:space="preserve"> </w:t>
      </w:r>
      <w:r>
        <w:t xml:space="preserve">there is no economic actor in the EU involved in commercial activity, in all other</w:t>
      </w:r>
      <w:r>
        <w:t xml:space="preserve"> </w:t>
      </w:r>
      <w:r>
        <w:t xml:space="preserve">cases (of imports) such an economic actor is already established in the EU.</w:t>
      </w:r>
      <w:r>
        <w:br/>
      </w:r>
      <w:r>
        <w:t xml:space="preserve">DM 13: Introduce the obligation to have a responsible economic actor in the EU</w:t>
      </w:r>
      <w:r>
        <w:t xml:space="preserve"> </w:t>
      </w:r>
      <w:r>
        <w:t xml:space="preserve">and include online platforms as such responsible actors</w:t>
      </w:r>
      <w:r>
        <w:t xml:space="preserve"> </w:t>
      </w:r>
      <w:r>
        <w:t xml:space="preserve">This would entail the same change under CLP as measure 1, with the difference that</w:t>
      </w:r>
      <w:r>
        <w:t xml:space="preserve"> </w:t>
      </w:r>
      <w:r>
        <w:t xml:space="preserve">online platforms established in the EU would be explicitly qualified as responsible</w:t>
      </w:r>
      <w:r>
        <w:t xml:space="preserve"> </w:t>
      </w:r>
      <w:r>
        <w:t xml:space="preserve">economic actors for compliance in case non-EU actors sell chemicals to EU via online</w:t>
      </w:r>
      <w:r>
        <w:t xml:space="preserve"> </w:t>
      </w:r>
      <w:r>
        <w:t xml:space="preserve">means.</w:t>
      </w:r>
      <w:r>
        <w:br/>
      </w:r>
      <w:r>
        <w:t xml:space="preserve">Taking into account the general liability exemption of online platforms under draft</w:t>
      </w:r>
      <w:r>
        <w:t xml:space="preserve"> </w:t>
      </w:r>
      <w:r>
        <w:t xml:space="preserve">DSA and E-Commerce Directive, this measure is discarded.</w:t>
      </w:r>
      <w:r>
        <w:br/>
      </w:r>
      <w:r>
        <w:t xml:space="preserve">Below a table outlining the different policy measures:</w:t>
      </w:r>
      <w:r>
        <w:br/>
      </w:r>
      <w:r>
        <w:t xml:space="preserve">Table 177: Policy measures</w:t>
      </w:r>
    </w:p>
    <w:p>
      <w:pPr>
        <w:pStyle w:val="BodyText"/>
      </w:pPr>
      <w:r>
        <w:t xml:space="preserve">Specific objective Policy measure</w:t>
      </w:r>
      <w:r>
        <w:t xml:space="preserve"> </w:t>
      </w:r>
      <w:r>
        <w:t xml:space="preserve">Regulatory</w:t>
      </w:r>
      <w:r>
        <w:t xml:space="preserve"> </w:t>
      </w:r>
      <w:r>
        <w:t xml:space="preserve">or</w:t>
      </w:r>
      <w:r>
        <w:t xml:space="preserve"> </w:t>
      </w:r>
      <w:r>
        <w:t xml:space="preserve">non</w:t>
      </w:r>
      <w:r>
        <w:t xml:space="preserve"> </w:t>
      </w:r>
      <w:r>
        <w:t xml:space="preserve">-</w:t>
      </w:r>
      <w:r>
        <w:t xml:space="preserve"> </w:t>
      </w:r>
      <w:r>
        <w:t xml:space="preserve">regulatory?</w:t>
      </w:r>
      <w:r>
        <w:br/>
      </w:r>
      <w:r>
        <w:t xml:space="preserve">Alternative</w:t>
      </w:r>
      <w:r>
        <w:t xml:space="preserve"> </w:t>
      </w:r>
      <w:r>
        <w:t xml:space="preserve">option?</w:t>
      </w:r>
      <w:r>
        <w:br/>
      </w:r>
      <w:r>
        <w:t xml:space="preserve">Preference?</w:t>
      </w:r>
      <w:r>
        <w:br/>
      </w:r>
      <w:r>
        <w:t xml:space="preserve">Retained</w:t>
      </w:r>
      <w:r>
        <w:t xml:space="preserve"> </w:t>
      </w:r>
      <w:r>
        <w:t xml:space="preserve">or</w:t>
      </w:r>
      <w:r>
        <w:t xml:space="preserve"> </w:t>
      </w:r>
      <w:r>
        <w:t xml:space="preserve">discarded?</w:t>
      </w:r>
      <w:r>
        <w:br/>
      </w:r>
      <w:r>
        <w:t xml:space="preserve">Why</w:t>
      </w:r>
      <w:r>
        <w:t xml:space="preserve"> </w:t>
      </w:r>
      <w:r>
        <w:t xml:space="preserve">retained or</w:t>
      </w:r>
      <w:r>
        <w:t xml:space="preserve"> </w:t>
      </w:r>
      <w:r>
        <w:t xml:space="preserve">discarded?</w:t>
      </w:r>
      <w:r>
        <w:br/>
      </w:r>
      <w:r>
        <w:t xml:space="preserve">1</w:t>
      </w:r>
      <w:r>
        <w:t xml:space="preserve"> </w:t>
      </w:r>
      <w:r>
        <w:t xml:space="preserve">Ensure comprehensive</w:t>
      </w:r>
      <w:r>
        <w:t xml:space="preserve"> </w:t>
      </w:r>
      <w:r>
        <w:t xml:space="preserve">communication for online</w:t>
      </w:r>
      <w:r>
        <w:t xml:space="preserve"> </w:t>
      </w:r>
      <w:r>
        <w:t xml:space="preserve">offers/advertising</w:t>
      </w:r>
      <w:r>
        <w:t xml:space="preserve"> </w:t>
      </w:r>
      <w:r>
        <w:t xml:space="preserve">#17 Amend or update</w:t>
      </w:r>
      <w:r>
        <w:t xml:space="preserve"> </w:t>
      </w:r>
      <w:r>
        <w:t xml:space="preserve">CLP to cross-refer to</w:t>
      </w:r>
      <w:r>
        <w:t xml:space="preserve"> </w:t>
      </w:r>
      <w:r>
        <w:t xml:space="preserve">horizontal provisions</w:t>
      </w:r>
      <w:r>
        <w:t xml:space="preserve"> </w:t>
      </w:r>
      <w:r>
        <w:t xml:space="preserve">regulatory</w:t>
      </w:r>
      <w:r>
        <w:t xml:space="preserve"> </w:t>
      </w:r>
      <w:r>
        <w:t xml:space="preserve">#22 - PO.</w:t>
      </w:r>
      <w:r>
        <w:t xml:space="preserve"> </w:t>
      </w:r>
      <w:r>
        <w:t xml:space="preserve">Retained</w:t>
      </w:r>
    </w:p>
    <w:p>
      <w:pPr>
        <w:pStyle w:val="BodyText"/>
      </w:pPr>
      <w:r>
        <w:t xml:space="preserve">205 Similar measures are discussed in OECD (2016) and EC (2015).</w:t>
      </w:r>
    </w:p>
    <w:p>
      <w:pPr>
        <w:pStyle w:val="BodyText"/>
      </w:pPr>
      <w:r>
        <w:t xml:space="preserve">575</w:t>
      </w:r>
    </w:p>
    <w:p>
      <w:pPr>
        <w:pStyle w:val="BodyText"/>
      </w:pPr>
      <w:r>
        <w:t xml:space="preserve">on online offering and</w:t>
      </w:r>
      <w:r>
        <w:t xml:space="preserve"> </w:t>
      </w:r>
      <w:r>
        <w:t xml:space="preserve">advertisement</w:t>
      </w:r>
      <w:r>
        <w:t xml:space="preserve"> </w:t>
      </w:r>
      <w:r>
        <w:t xml:space="preserve">(e.g. </w:t>
      </w:r>
      <w:r>
        <w:t xml:space="preserve"> </w:t>
      </w:r>
      <w:r>
        <w:t xml:space="preserve">draft</w:t>
      </w:r>
      <w:r>
        <w:t xml:space="preserve"> </w:t>
      </w:r>
      <w:r>
        <w:t xml:space="preserve">GPSR,</w:t>
      </w:r>
      <w:r>
        <w:t xml:space="preserve"> </w:t>
      </w:r>
      <w:r>
        <w:t xml:space="preserve">Consumer</w:t>
      </w:r>
      <w:r>
        <w:t xml:space="preserve"> </w:t>
      </w:r>
      <w:r>
        <w:t xml:space="preserve">Rights</w:t>
      </w:r>
      <w:r>
        <w:t xml:space="preserve"> </w:t>
      </w:r>
      <w:r>
        <w:t xml:space="preserve">Directive)</w:t>
      </w:r>
      <w:r>
        <w:t xml:space="preserve"> </w:t>
      </w:r>
      <w:r>
        <w:t xml:space="preserve">#22 Raise consumer awareness</w:t>
      </w:r>
      <w:r>
        <w:t xml:space="preserve"> </w:t>
      </w:r>
      <w:r>
        <w:t xml:space="preserve">campaigns on chemicals offered</w:t>
      </w:r>
      <w:r>
        <w:t xml:space="preserve"> </w:t>
      </w:r>
      <w:r>
        <w:t xml:space="preserve">and advertised online</w:t>
      </w:r>
      <w:r>
        <w:t xml:space="preserve"> </w:t>
      </w:r>
      <w:r>
        <w:t xml:space="preserve">non-</w:t>
      </w:r>
      <w:r>
        <w:t xml:space="preserve"> </w:t>
      </w:r>
      <w:r>
        <w:t xml:space="preserve">regulatory</w:t>
      </w:r>
      <w:r>
        <w:t xml:space="preserve"> </w:t>
      </w:r>
      <w:r>
        <w:t xml:space="preserve">#22</w:t>
      </w:r>
      <w:r>
        <w:t xml:space="preserve"> </w:t>
      </w:r>
      <w:r>
        <w:t xml:space="preserve">Retained</w:t>
      </w:r>
    </w:p>
    <w:p>
      <w:pPr>
        <w:pStyle w:val="BodyText"/>
      </w:pPr>
      <w:r>
        <w:t xml:space="preserve">2</w:t>
      </w:r>
      <w:r>
        <w:t xml:space="preserve"> </w:t>
      </w:r>
      <w:r>
        <w:t xml:space="preserve">Ensure products sold on-</w:t>
      </w:r>
      <w:r>
        <w:t xml:space="preserve"> </w:t>
      </w:r>
      <w:r>
        <w:t xml:space="preserve">line by non-EU economic</w:t>
      </w:r>
      <w:r>
        <w:t xml:space="preserve"> </w:t>
      </w:r>
      <w:r>
        <w:t xml:space="preserve">actors reaching directly EU</w:t>
      </w:r>
      <w:r>
        <w:t xml:space="preserve"> </w:t>
      </w:r>
      <w:r>
        <w:t xml:space="preserve">consumers are properly</w:t>
      </w:r>
      <w:r>
        <w:t xml:space="preserve"> </w:t>
      </w:r>
      <w:r>
        <w:t xml:space="preserve">labelled and packaged</w:t>
      </w:r>
      <w:r>
        <w:t xml:space="preserve"> </w:t>
      </w:r>
      <w:r>
        <w:t xml:space="preserve">(following proper</w:t>
      </w:r>
      <w:r>
        <w:t xml:space="preserve"> </w:t>
      </w:r>
      <w:r>
        <w:t xml:space="preserve">classification)</w:t>
      </w:r>
      <w:r>
        <w:t xml:space="preserve"> </w:t>
      </w:r>
      <w:r>
        <w:t xml:space="preserve">#18</w:t>
      </w:r>
      <w:r>
        <w:t xml:space="preserve"> </w:t>
      </w:r>
      <w:r>
        <w:t xml:space="preserve">Introduce</w:t>
      </w:r>
      <w:r>
        <w:t xml:space="preserve"> </w:t>
      </w:r>
      <w:r>
        <w:t xml:space="preserve">the</w:t>
      </w:r>
      <w:r>
        <w:t xml:space="preserve"> </w:t>
      </w:r>
      <w:r>
        <w:t xml:space="preserve">obligation to have a</w:t>
      </w:r>
      <w:r>
        <w:t xml:space="preserve"> </w:t>
      </w:r>
      <w:r>
        <w:t xml:space="preserve">responsible economic</w:t>
      </w:r>
      <w:r>
        <w:t xml:space="preserve"> </w:t>
      </w:r>
      <w:r>
        <w:t xml:space="preserve">actor in the EU by</w:t>
      </w:r>
      <w:r>
        <w:t xml:space="preserve"> </w:t>
      </w:r>
      <w:r>
        <w:t xml:space="preserve">default under CLP</w:t>
      </w:r>
      <w:r>
        <w:t xml:space="preserve"> </w:t>
      </w:r>
      <w:r>
        <w:t xml:space="preserve">regulatory</w:t>
      </w:r>
      <w:r>
        <w:t xml:space="preserve"> </w:t>
      </w:r>
      <w:r>
        <w:t xml:space="preserve">#18 - PO</w:t>
      </w:r>
      <w:r>
        <w:t xml:space="preserve"> </w:t>
      </w:r>
      <w:r>
        <w:t xml:space="preserve">Retained</w:t>
      </w:r>
    </w:p>
    <w:p>
      <w:pPr>
        <w:pStyle w:val="BodyText"/>
      </w:pPr>
      <w:r>
        <w:t xml:space="preserve">#DM13</w:t>
      </w:r>
      <w:r>
        <w:t xml:space="preserve"> </w:t>
      </w:r>
      <w:r>
        <w:t xml:space="preserve">Introduce</w:t>
      </w:r>
      <w:r>
        <w:t xml:space="preserve"> </w:t>
      </w:r>
      <w:r>
        <w:t xml:space="preserve">obligation to have a</w:t>
      </w:r>
      <w:r>
        <w:t xml:space="preserve"> </w:t>
      </w:r>
      <w:r>
        <w:t xml:space="preserve">responsible economic</w:t>
      </w:r>
      <w:r>
        <w:t xml:space="preserve"> </w:t>
      </w:r>
      <w:r>
        <w:t xml:space="preserve">actor in the EU and</w:t>
      </w:r>
      <w:r>
        <w:t xml:space="preserve"> </w:t>
      </w:r>
      <w:r>
        <w:t xml:space="preserve">make online platforms</w:t>
      </w:r>
      <w:r>
        <w:t xml:space="preserve"> </w:t>
      </w:r>
      <w:r>
        <w:t xml:space="preserve">such</w:t>
      </w:r>
    </w:p>
    <w:p>
      <w:pPr>
        <w:pStyle w:val="BodyText"/>
      </w:pPr>
      <w:r>
        <w:t xml:space="preserve">responsible</w:t>
      </w:r>
      <w:r>
        <w:t xml:space="preserve"> </w:t>
      </w:r>
      <w:r>
        <w:t xml:space="preserve">actors</w:t>
      </w:r>
      <w:r>
        <w:br/>
      </w:r>
      <w:r>
        <w:t xml:space="preserve">regulatory</w:t>
      </w:r>
      <w:r>
        <w:t xml:space="preserve"> </w:t>
      </w:r>
      <w:r>
        <w:t xml:space="preserve">#18</w:t>
      </w:r>
      <w:r>
        <w:t xml:space="preserve"> </w:t>
      </w:r>
      <w:r>
        <w:t xml:space="preserve">Discarded</w:t>
      </w:r>
      <w:r>
        <w:t xml:space="preserve"> </w:t>
      </w:r>
      <w:r>
        <w:t xml:space="preserve">Not in line</w:t>
      </w:r>
      <w:r>
        <w:t xml:space="preserve"> </w:t>
      </w:r>
      <w:r>
        <w:t xml:space="preserve">with</w:t>
      </w:r>
      <w:r>
        <w:t xml:space="preserve"> </w:t>
      </w:r>
      <w:r>
        <w:t xml:space="preserve">draft</w:t>
      </w:r>
      <w:r>
        <w:t xml:space="preserve"> </w:t>
      </w:r>
      <w:r>
        <w:t xml:space="preserve">DSA and E-</w:t>
      </w:r>
      <w:r>
        <w:t xml:space="preserve"> </w:t>
      </w:r>
      <w:r>
        <w:t xml:space="preserve">Commerce</w:t>
      </w:r>
      <w:r>
        <w:t xml:space="preserve"> </w:t>
      </w:r>
      <w:r>
        <w:t xml:space="preserve">Directive</w:t>
      </w:r>
    </w:p>
    <w:p>
      <w:pPr>
        <w:pStyle w:val="BodyText"/>
      </w:pPr>
      <w:r>
        <w:t xml:space="preserve">Description of impacts</w:t>
      </w:r>
      <w:r>
        <w:t xml:space="preserve"> </w:t>
      </w:r>
      <w:r>
        <w:t xml:space="preserve">Social and health impacts</w:t>
      </w:r>
      <w:r>
        <w:br/>
      </w:r>
      <w:r>
        <w:t xml:space="preserve">The social and health benefits of the measures are associated with both a reduction in the</w:t>
      </w:r>
      <w:r>
        <w:t xml:space="preserve"> </w:t>
      </w:r>
      <w:r>
        <w:t xml:space="preserve">number of CLP and REACH non-compliant products purchased online and a consequent</w:t>
      </w:r>
      <w:r>
        <w:t xml:space="preserve"> </w:t>
      </w:r>
      <w:r>
        <w:t xml:space="preserve">reduction in the exposure of individuals and the environment to potential hazards.</w:t>
      </w:r>
      <w:r>
        <w:t xml:space="preserve"> </w:t>
      </w:r>
      <w:r>
        <w:t xml:space="preserve">#22 and #17 relating to consumer awareness and CLP cross-referencing reduce non-</w:t>
      </w:r>
      <w:r>
        <w:t xml:space="preserve"> </w:t>
      </w:r>
      <w:r>
        <w:t xml:space="preserve">compliance for both intra-EU and import sales. The table below provides the central estimate</w:t>
      </w:r>
      <w:r>
        <w:t xml:space="preserve"> </w:t>
      </w:r>
      <w:r>
        <w:t xml:space="preserve">of the impact of these two options on reducing the sale of non-CLP compliant items and</w:t>
      </w:r>
      <w:r>
        <w:t xml:space="preserve"> </w:t>
      </w:r>
      <w:r>
        <w:t xml:space="preserve">products that are CLP relevant and are also non-compliant with REACH restrictions.</w:t>
      </w:r>
      <w:r>
        <w:br/>
      </w:r>
      <w:r>
        <w:t xml:space="preserve">Table 178: PO8: Reduction in number of non-compliant items and exposed consumers per year for CLP</w:t>
      </w:r>
      <w:r>
        <w:t xml:space="preserve"> </w:t>
      </w:r>
      <w:r>
        <w:t xml:space="preserve">referencing and consumer awareness measures based on 2021 figures*</w:t>
      </w:r>
    </w:p>
    <w:p>
      <w:pPr>
        <w:pStyle w:val="BodyText"/>
      </w:pPr>
      <w:r>
        <w:t xml:space="preserve">Number</w:t>
      </w:r>
      <w:r>
        <w:t xml:space="preserve"> </w:t>
      </w:r>
      <w:r>
        <w:t xml:space="preserve">of</w:t>
      </w:r>
      <w:r>
        <w:t xml:space="preserve"> </w:t>
      </w:r>
      <w:r>
        <w:t xml:space="preserve">items</w:t>
      </w:r>
      <w:r>
        <w:t xml:space="preserve"> </w:t>
      </w:r>
      <w:r>
        <w:t xml:space="preserve">purchased per year</w:t>
      </w:r>
      <w:r>
        <w:t xml:space="preserve"> </w:t>
      </w:r>
      <w:r>
        <w:t xml:space="preserve">(number)</w:t>
      </w:r>
      <w:r>
        <w:t xml:space="preserve"> </w:t>
      </w:r>
      <w:r>
        <w:t xml:space="preserve">Number of consumers purchasing</w:t>
      </w:r>
      <w:r>
        <w:t xml:space="preserve"> </w:t>
      </w:r>
      <w:r>
        <w:t xml:space="preserve">one item per year</w:t>
      </w:r>
      <w:r>
        <w:t xml:space="preserve"> </w:t>
      </w:r>
      <w:r>
        <w:t xml:space="preserve">(number)</w:t>
      </w:r>
      <w:r>
        <w:t xml:space="preserve"> </w:t>
      </w:r>
      <w:r>
        <w:t xml:space="preserve">two items per year</w:t>
      </w:r>
      <w:r>
        <w:t xml:space="preserve"> </w:t>
      </w:r>
      <w:r>
        <w:t xml:space="preserve">(number)</w:t>
      </w:r>
      <w:r>
        <w:t xml:space="preserve"> </w:t>
      </w:r>
      <w:r>
        <w:t xml:space="preserve">#17 CLP cross-referencing</w:t>
      </w:r>
      <w:r>
        <w:t xml:space="preserve"> </w:t>
      </w:r>
      <w:r>
        <w:t xml:space="preserve">REACH</w:t>
      </w:r>
      <w:r>
        <w:t xml:space="preserve"> </w:t>
      </w:r>
      <w:r>
        <w:t xml:space="preserve">restriction</w:t>
      </w:r>
      <w:r>
        <w:t xml:space="preserve"> </w:t>
      </w:r>
      <w:r>
        <w:t xml:space="preserve">non-</w:t>
      </w:r>
      <w:r>
        <w:t xml:space="preserve"> </w:t>
      </w:r>
      <w:r>
        <w:t xml:space="preserve">compliant items</w:t>
      </w:r>
      <w:r>
        <w:t xml:space="preserve"> </w:t>
      </w:r>
      <w:r>
        <w:t xml:space="preserve">Within EU</w:t>
      </w:r>
      <w:r>
        <w:t xml:space="preserve"> </w:t>
      </w:r>
      <w:r>
        <w:t xml:space="preserve">1 109 816 (1.6%)</w:t>
      </w:r>
      <w:r>
        <w:t xml:space="preserve"> </w:t>
      </w:r>
      <w:r>
        <w:t xml:space="preserve">641 456 (1.6%)</w:t>
      </w:r>
      <w:r>
        <w:t xml:space="preserve"> </w:t>
      </w:r>
      <w:r>
        <w:t xml:space="preserve">234 180 (1.6%)</w:t>
      </w:r>
      <w:r>
        <w:t xml:space="preserve"> </w:t>
      </w:r>
      <w:r>
        <w:t xml:space="preserve">Imports</w:t>
      </w:r>
      <w:r>
        <w:t xml:space="preserve"> </w:t>
      </w:r>
      <w:r>
        <w:t xml:space="preserve">243,306 (0.8%)</w:t>
      </w:r>
      <w:r>
        <w:t xml:space="preserve"> </w:t>
      </w:r>
      <w:r>
        <w:t xml:space="preserve">139,619 (0.8%)</w:t>
      </w:r>
      <w:r>
        <w:t xml:space="preserve"> </w:t>
      </w:r>
      <w:r>
        <w:t xml:space="preserve">51,843 (0.8%)</w:t>
      </w:r>
      <w:r>
        <w:t xml:space="preserve"> </w:t>
      </w:r>
      <w:r>
        <w:t xml:space="preserve">CLP</w:t>
      </w:r>
      <w:r>
        <w:t xml:space="preserve"> </w:t>
      </w:r>
      <w:r>
        <w:t xml:space="preserve">non-</w:t>
      </w:r>
      <w:r>
        <w:t xml:space="preserve"> </w:t>
      </w:r>
      <w:r>
        <w:t xml:space="preserve">compliant items</w:t>
      </w:r>
      <w:r>
        <w:t xml:space="preserve"> </w:t>
      </w:r>
      <w:r>
        <w:t xml:space="preserve">Within EU</w:t>
      </w:r>
      <w:r>
        <w:t xml:space="preserve"> </w:t>
      </w:r>
      <w:r>
        <w:t xml:space="preserve">3,329,449 (20%)</w:t>
      </w:r>
      <w:r>
        <w:t xml:space="preserve"> </w:t>
      </w:r>
      <w:r>
        <w:t xml:space="preserve">1,924,369 (20%)</w:t>
      </w:r>
      <w:r>
        <w:t xml:space="preserve"> </w:t>
      </w:r>
      <w:r>
        <w:t xml:space="preserve">702,540 (20%)</w:t>
      </w:r>
      <w:r>
        <w:t xml:space="preserve"> </w:t>
      </w:r>
      <w:r>
        <w:t xml:space="preserve">Imports</w:t>
      </w:r>
      <w:r>
        <w:t xml:space="preserve"> </w:t>
      </w:r>
      <w:r>
        <w:t xml:space="preserve">729,918 (10%)</w:t>
      </w:r>
      <w:r>
        <w:t xml:space="preserve"> </w:t>
      </w:r>
      <w:r>
        <w:t xml:space="preserve">418,858 (10%)</w:t>
      </w:r>
      <w:r>
        <w:t xml:space="preserve"> </w:t>
      </w:r>
      <w:r>
        <w:t xml:space="preserve">155,530 (10%)</w:t>
      </w:r>
      <w:r>
        <w:t xml:space="preserve"> </w:t>
      </w:r>
      <w:r>
        <w:t xml:space="preserve">REACH</w:t>
      </w:r>
      <w:r>
        <w:t xml:space="preserve"> </w:t>
      </w:r>
      <w:r>
        <w:t xml:space="preserve">restriction non-</w:t>
      </w:r>
      <w:r>
        <w:t xml:space="preserve"> </w:t>
      </w:r>
      <w:r>
        <w:t xml:space="preserve">compliant items</w:t>
      </w:r>
      <w:r>
        <w:br/>
      </w:r>
      <w:r>
        <w:t xml:space="preserve">Total</w:t>
      </w:r>
      <w:r>
        <w:t xml:space="preserve"> </w:t>
      </w:r>
      <w:r>
        <w:t xml:space="preserve">1,353,122 (1.3%)</w:t>
      </w:r>
      <w:r>
        <w:t xml:space="preserve"> </w:t>
      </w:r>
      <w:r>
        <w:t xml:space="preserve">781,075 (1.3%)</w:t>
      </w:r>
      <w:r>
        <w:t xml:space="preserve"> </w:t>
      </w:r>
      <w:r>
        <w:t xml:space="preserve">286,023 (1.3%)</w:t>
      </w:r>
      <w:r>
        <w:t xml:space="preserve"> </w:t>
      </w:r>
      <w:r>
        <w:t xml:space="preserve">CLP</w:t>
      </w:r>
      <w:r>
        <w:t xml:space="preserve"> </w:t>
      </w:r>
      <w:r>
        <w:t xml:space="preserve">non-</w:t>
      </w:r>
      <w:r>
        <w:t xml:space="preserve"> </w:t>
      </w:r>
      <w:r>
        <w:t xml:space="preserve">compliant items</w:t>
      </w:r>
      <w:r>
        <w:t xml:space="preserve"> </w:t>
      </w:r>
      <w:r>
        <w:t xml:space="preserve">Total</w:t>
      </w:r>
      <w:r>
        <w:t xml:space="preserve"> </w:t>
      </w:r>
      <w:r>
        <w:t xml:space="preserve">4,059,367 (17%)</w:t>
      </w:r>
      <w:r>
        <w:t xml:space="preserve"> </w:t>
      </w:r>
      <w:r>
        <w:t xml:space="preserve">2,343,227 (17%)</w:t>
      </w:r>
      <w:r>
        <w:t xml:space="preserve"> </w:t>
      </w:r>
      <w:r>
        <w:t xml:space="preserve">858,070 (16.9%)</w:t>
      </w:r>
      <w:r>
        <w:t xml:space="preserve"> </w:t>
      </w:r>
      <w:r>
        <w:t xml:space="preserve">#22 Consumer awareness</w:t>
      </w:r>
      <w:r>
        <w:t xml:space="preserve"> </w:t>
      </w:r>
      <w:r>
        <w:t xml:space="preserve">REACH</w:t>
      </w:r>
      <w:r>
        <w:t xml:space="preserve"> </w:t>
      </w:r>
      <w:r>
        <w:t xml:space="preserve">Within EU</w:t>
      </w:r>
      <w:r>
        <w:t xml:space="preserve"> </w:t>
      </w:r>
      <w:r>
        <w:t xml:space="preserve">554,908 (0.8%)</w:t>
      </w:r>
      <w:r>
        <w:t xml:space="preserve"> </w:t>
      </w:r>
      <w:r>
        <w:t xml:space="preserve">320,728 (0.8%)</w:t>
      </w:r>
      <w:r>
        <w:t xml:space="preserve"> </w:t>
      </w:r>
      <w:r>
        <w:t xml:space="preserve">117,090 (0.8%)</w:t>
      </w:r>
    </w:p>
    <w:p>
      <w:pPr>
        <w:pStyle w:val="BodyText"/>
      </w:pPr>
      <w:r>
        <w:t xml:space="preserve">576</w:t>
      </w:r>
    </w:p>
    <w:p>
      <w:pPr>
        <w:pStyle w:val="BodyText"/>
      </w:pPr>
      <w:r>
        <w:t xml:space="preserve">restriction</w:t>
      </w:r>
      <w:r>
        <w:t xml:space="preserve"> </w:t>
      </w:r>
      <w:r>
        <w:t xml:space="preserve">non-</w:t>
      </w:r>
      <w:r>
        <w:t xml:space="preserve"> </w:t>
      </w:r>
      <w:r>
        <w:t xml:space="preserve">compliant items</w:t>
      </w:r>
    </w:p>
    <w:p>
      <w:pPr>
        <w:pStyle w:val="BodyText"/>
      </w:pPr>
      <w:r>
        <w:t xml:space="preserve">Imports</w:t>
      </w:r>
      <w:r>
        <w:t xml:space="preserve"> </w:t>
      </w:r>
      <w:r>
        <w:t xml:space="preserve">243,306 (0.8%)</w:t>
      </w:r>
      <w:r>
        <w:t xml:space="preserve"> </w:t>
      </w:r>
      <w:r>
        <w:t xml:space="preserve">139,619 (0.8%)</w:t>
      </w:r>
      <w:r>
        <w:t xml:space="preserve"> </w:t>
      </w:r>
      <w:r>
        <w:t xml:space="preserve">51,843 (0.8%)</w:t>
      </w:r>
      <w:r>
        <w:t xml:space="preserve"> </w:t>
      </w:r>
      <w:r>
        <w:t xml:space="preserve">CLP</w:t>
      </w:r>
      <w:r>
        <w:t xml:space="preserve"> </w:t>
      </w:r>
      <w:r>
        <w:t xml:space="preserve">non-</w:t>
      </w:r>
      <w:r>
        <w:t xml:space="preserve"> </w:t>
      </w:r>
      <w:r>
        <w:t xml:space="preserve">compliant items</w:t>
      </w:r>
      <w:r>
        <w:t xml:space="preserve"> </w:t>
      </w:r>
      <w:r>
        <w:t xml:space="preserve">Within EU</w:t>
      </w:r>
      <w:r>
        <w:t xml:space="preserve"> </w:t>
      </w:r>
      <w:r>
        <w:t xml:space="preserve">1,664,725 (10%)</w:t>
      </w:r>
      <w:r>
        <w:t xml:space="preserve"> </w:t>
      </w:r>
      <w:r>
        <w:t xml:space="preserve">962,184 (10%)</w:t>
      </w:r>
      <w:r>
        <w:t xml:space="preserve"> </w:t>
      </w:r>
      <w:r>
        <w:t xml:space="preserve">351,270 (10%)</w:t>
      </w:r>
    </w:p>
    <w:p>
      <w:pPr>
        <w:pStyle w:val="BodyText"/>
      </w:pPr>
      <w:r>
        <w:t xml:space="preserve">Imports</w:t>
      </w:r>
      <w:r>
        <w:t xml:space="preserve"> </w:t>
      </w:r>
      <w:r>
        <w:t xml:space="preserve">729,918 (10%)</w:t>
      </w:r>
      <w:r>
        <w:t xml:space="preserve"> </w:t>
      </w:r>
      <w:r>
        <w:t xml:space="preserve">418,858 (10%)</w:t>
      </w:r>
      <w:r>
        <w:t xml:space="preserve"> </w:t>
      </w:r>
      <w:r>
        <w:t xml:space="preserve">155,530 (10%)</w:t>
      </w:r>
      <w:r>
        <w:t xml:space="preserve"> </w:t>
      </w:r>
      <w:r>
        <w:t xml:space="preserve">REACH</w:t>
      </w:r>
      <w:r>
        <w:t xml:space="preserve"> </w:t>
      </w:r>
      <w:r>
        <w:t xml:space="preserve">restriction non-</w:t>
      </w:r>
      <w:r>
        <w:t xml:space="preserve"> </w:t>
      </w:r>
      <w:r>
        <w:t xml:space="preserve">compliant items</w:t>
      </w:r>
      <w:r>
        <w:br/>
      </w:r>
      <w:r>
        <w:t xml:space="preserve">Total</w:t>
      </w:r>
      <w:r>
        <w:t xml:space="preserve"> </w:t>
      </w:r>
      <w:r>
        <w:t xml:space="preserve">798,214 (0.8%)</w:t>
      </w:r>
      <w:r>
        <w:t xml:space="preserve"> </w:t>
      </w:r>
      <w:r>
        <w:t xml:space="preserve">460,347 (0.8%)</w:t>
      </w:r>
      <w:r>
        <w:t xml:space="preserve"> </w:t>
      </w:r>
      <w:r>
        <w:t xml:space="preserve">168,933 (0.8%)</w:t>
      </w:r>
      <w:r>
        <w:t xml:space="preserve"> </w:t>
      </w:r>
      <w:r>
        <w:t xml:space="preserve">CLP</w:t>
      </w:r>
      <w:r>
        <w:t xml:space="preserve"> </w:t>
      </w:r>
      <w:r>
        <w:t xml:space="preserve">non-</w:t>
      </w:r>
      <w:r>
        <w:t xml:space="preserve"> </w:t>
      </w:r>
      <w:r>
        <w:t xml:space="preserve">compliant items</w:t>
      </w:r>
      <w:r>
        <w:t xml:space="preserve"> </w:t>
      </w:r>
      <w:r>
        <w:t xml:space="preserve">Total</w:t>
      </w:r>
      <w:r>
        <w:t xml:space="preserve"> </w:t>
      </w:r>
      <w:r>
        <w:t xml:space="preserve">2,394,643 (10%)</w:t>
      </w:r>
      <w:r>
        <w:t xml:space="preserve"> </w:t>
      </w:r>
      <w:r>
        <w:t xml:space="preserve">1,381,042 (10%)</w:t>
      </w:r>
      <w:r>
        <w:t xml:space="preserve"> </w:t>
      </w:r>
      <w:r>
        <w:t xml:space="preserve">506,800 (10%)</w:t>
      </w:r>
      <w:r>
        <w:t xml:space="preserve"> </w:t>
      </w:r>
      <w:r>
        <w:t xml:space="preserve">* Values are calculated based on sales of online goods in 2021. There was 1.1% growth in online sales between 2020</w:t>
      </w:r>
      <w:r>
        <w:t xml:space="preserve"> </w:t>
      </w:r>
      <w:r>
        <w:t xml:space="preserve">and 2021. Thus, the annual values in this table could be expected to increase over time.</w:t>
      </w:r>
    </w:p>
    <w:p>
      <w:pPr>
        <w:pStyle w:val="BodyText"/>
      </w:pPr>
      <w:r>
        <w:t xml:space="preserve">The responsible economic actor obligation (measure #18) affects only import sales (and not</w:t>
      </w:r>
      <w:r>
        <w:t xml:space="preserve"> </w:t>
      </w:r>
      <w:r>
        <w:t xml:space="preserve">online purchases from sellers within the EU). The table below provides the central estimate</w:t>
      </w:r>
      <w:r>
        <w:t xml:space="preserve"> </w:t>
      </w:r>
      <w:r>
        <w:t xml:space="preserve">of the impact of the responsible economic actor obligation on options on reducing the sale of</w:t>
      </w:r>
      <w:r>
        <w:t xml:space="preserve"> </w:t>
      </w:r>
      <w:r>
        <w:t xml:space="preserve">non-CLP compliant items and products that are CLP relevant and are also non-compliant</w:t>
      </w:r>
      <w:r>
        <w:t xml:space="preserve"> </w:t>
      </w:r>
      <w:r>
        <w:t xml:space="preserve">with REACH restrictions. Estimates of the reduction in the number of consumers exposed to</w:t>
      </w:r>
      <w:r>
        <w:t xml:space="preserve"> </w:t>
      </w:r>
      <w:r>
        <w:t xml:space="preserve">non-compliant products are also provided.</w:t>
      </w:r>
    </w:p>
    <w:p>
      <w:pPr>
        <w:pStyle w:val="BodyText"/>
      </w:pPr>
      <w:r>
        <w:t xml:space="preserve">577</w:t>
      </w:r>
    </w:p>
    <w:p>
      <w:pPr>
        <w:pStyle w:val="BodyText"/>
      </w:pPr>
      <w:r>
        <w:t xml:space="preserve">Table 179: PO8: Reduction in number of non-compliant imported items and exposed consumers per year for</w:t>
      </w:r>
      <w:r>
        <w:t xml:space="preserve"> </w:t>
      </w:r>
      <w:r>
        <w:t xml:space="preserve">the responsible economic actor measure based on 2021 figures*</w:t>
      </w:r>
    </w:p>
    <w:p>
      <w:pPr>
        <w:pStyle w:val="BodyText"/>
      </w:pPr>
      <w:r>
        <w:t xml:space="preserve">Number of items</w:t>
      </w:r>
      <w:r>
        <w:t xml:space="preserve"> </w:t>
      </w:r>
      <w:r>
        <w:t xml:space="preserve">purchased</w:t>
      </w:r>
      <w:r>
        <w:t xml:space="preserve"> </w:t>
      </w:r>
      <w:r>
        <w:t xml:space="preserve">per</w:t>
      </w:r>
      <w:r>
        <w:t xml:space="preserve"> </w:t>
      </w:r>
      <w:r>
        <w:t xml:space="preserve">year (number)</w:t>
      </w:r>
      <w:r>
        <w:t xml:space="preserve"> </w:t>
      </w:r>
      <w:r>
        <w:t xml:space="preserve">Number</w:t>
      </w:r>
      <w:r>
        <w:t xml:space="preserve"> </w:t>
      </w:r>
      <w:r>
        <w:t xml:space="preserve">of</w:t>
      </w:r>
      <w:r>
        <w:t xml:space="preserve"> </w:t>
      </w:r>
      <w:r>
        <w:t xml:space="preserve">consumers</w:t>
      </w:r>
      <w:r>
        <w:t xml:space="preserve"> </w:t>
      </w:r>
      <w:r>
        <w:t xml:space="preserve">purchasing</w:t>
      </w:r>
      <w:r>
        <w:t xml:space="preserve"> </w:t>
      </w:r>
      <w:r>
        <w:t xml:space="preserve">one item per</w:t>
      </w:r>
      <w:r>
        <w:t xml:space="preserve"> </w:t>
      </w:r>
      <w:r>
        <w:t xml:space="preserve">year</w:t>
      </w:r>
      <w:r>
        <w:t xml:space="preserve"> </w:t>
      </w:r>
      <w:r>
        <w:t xml:space="preserve">(number)</w:t>
      </w:r>
      <w:r>
        <w:t xml:space="preserve"> </w:t>
      </w:r>
      <w:r>
        <w:t xml:space="preserve">two items per</w:t>
      </w:r>
      <w:r>
        <w:t xml:space="preserve"> </w:t>
      </w:r>
      <w:r>
        <w:t xml:space="preserve">year (number)</w:t>
      </w:r>
      <w:r>
        <w:t xml:space="preserve"> </w:t>
      </w:r>
      <w:r>
        <w:t xml:space="preserve">#18 Responsible economic actor obligation</w:t>
      </w:r>
      <w:r>
        <w:t xml:space="preserve"> </w:t>
      </w:r>
      <w:r>
        <w:t xml:space="preserve">Import of REACH restriction</w:t>
      </w:r>
      <w:r>
        <w:t xml:space="preserve"> </w:t>
      </w:r>
      <w:r>
        <w:t xml:space="preserve">non-compliant items</w:t>
      </w:r>
      <w:r>
        <w:br/>
      </w:r>
      <w:r>
        <w:t xml:space="preserve">811,020 (0.8%)</w:t>
      </w:r>
      <w:r>
        <w:t xml:space="preserve"> </w:t>
      </w:r>
      <w:r>
        <w:t xml:space="preserve">465,398</w:t>
      </w:r>
      <w:r>
        <w:t xml:space="preserve"> </w:t>
      </w:r>
      <w:r>
        <w:t xml:space="preserve">(0.8%)</w:t>
      </w:r>
      <w:r>
        <w:t xml:space="preserve"> </w:t>
      </w:r>
      <w:r>
        <w:t xml:space="preserve">172,811 (0.8%)</w:t>
      </w:r>
      <w:r>
        <w:t xml:space="preserve"> </w:t>
      </w:r>
      <w:r>
        <w:t xml:space="preserve">Import of CLP non-compliant</w:t>
      </w:r>
      <w:r>
        <w:t xml:space="preserve"> </w:t>
      </w:r>
      <w:r>
        <w:t xml:space="preserve">items</w:t>
      </w:r>
      <w:r>
        <w:t xml:space="preserve"> </w:t>
      </w:r>
      <w:r>
        <w:t xml:space="preserve">2,433,059 (10.2%)</w:t>
      </w:r>
      <w:r>
        <w:t xml:space="preserve"> </w:t>
      </w:r>
      <w:r>
        <w:t xml:space="preserve">1,396,194</w:t>
      </w:r>
      <w:r>
        <w:t xml:space="preserve"> </w:t>
      </w:r>
      <w:r>
        <w:t xml:space="preserve">(10.1%)</w:t>
      </w:r>
      <w:r>
        <w:t xml:space="preserve"> </w:t>
      </w:r>
      <w:r>
        <w:t xml:space="preserve">518,433 (10.2%)</w:t>
      </w:r>
      <w:r>
        <w:t xml:space="preserve"> </w:t>
      </w:r>
      <w:r>
        <w:t xml:space="preserve">* Values are calculated based on sales of online goods in 2021. There was 1.1% growth in online sales</w:t>
      </w:r>
      <w:r>
        <w:t xml:space="preserve"> </w:t>
      </w:r>
      <w:r>
        <w:t xml:space="preserve">between 2020 and 2021. Thus, the annual values in this table could be expected to increase over time.</w:t>
      </w:r>
    </w:p>
    <w:p>
      <w:pPr>
        <w:pStyle w:val="BodyText"/>
      </w:pPr>
      <w:r>
        <w:t xml:space="preserve">Environmental impacts</w:t>
      </w:r>
      <w:r>
        <w:t xml:space="preserve"> </w:t>
      </w:r>
      <w:r>
        <w:t xml:space="preserve">It was not possible to assess environmental impacts quantitatively. However, from a</w:t>
      </w:r>
      <w:r>
        <w:t xml:space="preserve"> </w:t>
      </w:r>
      <w:r>
        <w:t xml:space="preserve">qualitative point of view, positive environmental impacts are expected from all sub-measures,</w:t>
      </w:r>
      <w:r>
        <w:t xml:space="preserve"> </w:t>
      </w:r>
      <w:r>
        <w:t xml:space="preserve">albeit with different magnitudes in terms of their effectiveness. It is plausible that especially</w:t>
      </w:r>
      <w:r>
        <w:t xml:space="preserve"> </w:t>
      </w:r>
      <w:r>
        <w:t xml:space="preserve">the expected reduction in imports of non-CLP compliant products will have a quite</w:t>
      </w:r>
      <w:r>
        <w:t xml:space="preserve"> </w:t>
      </w:r>
      <w:r>
        <w:t xml:space="preserve">substantial positive impact. The more incompliant chemicals purchased and used are reduced,</w:t>
      </w:r>
      <w:r>
        <w:t xml:space="preserve"> </w:t>
      </w:r>
      <w:r>
        <w:t xml:space="preserve">the better for the environment, because this implies less spillage, fewer emissions, less</w:t>
      </w:r>
      <w:r>
        <w:t xml:space="preserve"> </w:t>
      </w:r>
      <w:r>
        <w:t xml:space="preserve">pollution from wrongly classified substances.</w:t>
      </w:r>
      <w:r>
        <w:br/>
      </w:r>
      <w:r>
        <w:t xml:space="preserve">Economic impacts</w:t>
      </w:r>
      <w:r>
        <w:br/>
      </w:r>
      <w:r>
        <w:t xml:space="preserve">#17 CLP cross-referencing: The option would not require a change to the physical label or</w:t>
      </w:r>
      <w:r>
        <w:t xml:space="preserve"> </w:t>
      </w:r>
      <w:r>
        <w:t xml:space="preserve">the packaging to which it is attached. Rather, information from the label would need to be</w:t>
      </w:r>
      <w:r>
        <w:t xml:space="preserve"> </w:t>
      </w:r>
      <w:r>
        <w:t xml:space="preserve">included in future online adverts/offerings and this might, for example, be achieved simply</w:t>
      </w:r>
      <w:r>
        <w:t xml:space="preserve"> </w:t>
      </w:r>
      <w:r>
        <w:t xml:space="preserve">by including a photograph of the label/information in the series of photos already provided on</w:t>
      </w:r>
      <w:r>
        <w:t xml:space="preserve"> </w:t>
      </w:r>
      <w:r>
        <w:t xml:space="preserve">most online adverts/offerings or by copying and pasting the information into the item</w:t>
      </w:r>
      <w:r>
        <w:t xml:space="preserve"> </w:t>
      </w:r>
      <w:r>
        <w:t xml:space="preserve">description. Such actions are unlikely to have any perceptible impact on the costs.</w:t>
      </w:r>
      <w:r>
        <w:t xml:space="preserve"> </w:t>
      </w:r>
      <w:r>
        <w:t xml:space="preserve">Regardless, such costs would need to be borne already by online traders and platforms in</w:t>
      </w:r>
      <w:r>
        <w:t xml:space="preserve"> </w:t>
      </w:r>
      <w:r>
        <w:t xml:space="preserve">order to comply with draft GPSR (see above). This sub-measure would just better link the</w:t>
      </w:r>
      <w:r>
        <w:t xml:space="preserve"> </w:t>
      </w:r>
      <w:r>
        <w:t xml:space="preserve">CLP obligations with the ones under draft GPSR to ensure coherence and clarity. Costs for</w:t>
      </w:r>
      <w:r>
        <w:t xml:space="preserve"> </w:t>
      </w:r>
      <w:r>
        <w:t xml:space="preserve">enforcement authorities would already be alleviated by the draft GPSR because they would</w:t>
      </w:r>
      <w:r>
        <w:t xml:space="preserve"> </w:t>
      </w:r>
      <w:r>
        <w:t xml:space="preserve">be better able to check compliance.</w:t>
      </w:r>
      <w:r>
        <w:br/>
      </w:r>
      <w:r>
        <w:t xml:space="preserve">#22 Consumer awareness raising campaigns: The costs of the measure are associated with</w:t>
      </w:r>
      <w:r>
        <w:t xml:space="preserve"> </w:t>
      </w:r>
      <w:r>
        <w:t xml:space="preserve">the operation of a consumer awareness campaign. This could be included within existing</w:t>
      </w:r>
      <w:r>
        <w:t xml:space="preserve"> </w:t>
      </w:r>
      <w:r>
        <w:t xml:space="preserve">campaigns (such as the European Interactive Digital Advertising Alliance) or could be</w:t>
      </w:r>
      <w:r>
        <w:t xml:space="preserve"> </w:t>
      </w:r>
      <w:r>
        <w:t xml:space="preserve">standalone. As the intended target of such a campaign would be online consumers, operation</w:t>
      </w:r>
      <w:r>
        <w:t xml:space="preserve"> </w:t>
      </w:r>
      <w:r>
        <w:t xml:space="preserve">of a digital campaign would be the method of choice, making it relatively inexpensive to</w:t>
      </w:r>
      <w:r>
        <w:t xml:space="preserve"> </w:t>
      </w:r>
      <w:r>
        <w:t xml:space="preserve">operate. Assuming €150,000 in staff costs (3 FTEs) and €150,000 for equipment and</w:t>
      </w:r>
      <w:r>
        <w:t xml:space="preserve"> </w:t>
      </w:r>
      <w:r>
        <w:t xml:space="preserve">operational costs would imply costs of around €300,000 per year.</w:t>
      </w:r>
      <w:r>
        <w:br/>
      </w:r>
      <w:r>
        <w:t xml:space="preserve">#18 Responsible economic actor obligation: Sellers based in the EU would not incur any</w:t>
      </w:r>
      <w:r>
        <w:t xml:space="preserve"> </w:t>
      </w:r>
      <w:r>
        <w:t xml:space="preserve">costs, but sellers based outside the EU would have to sell via a new or already established EU</w:t>
      </w:r>
      <w:r>
        <w:t xml:space="preserve"> </w:t>
      </w:r>
      <w:r>
        <w:t xml:space="preserve">based responsible economic actor and are likely to have to pay a commission to that</w:t>
      </w:r>
    </w:p>
    <w:p>
      <w:pPr>
        <w:pStyle w:val="BodyText"/>
      </w:pPr>
      <w:r>
        <w:t xml:space="preserve">578</w:t>
      </w:r>
    </w:p>
    <w:p>
      <w:pPr>
        <w:pStyle w:val="BodyText"/>
      </w:pPr>
      <w:r>
        <w:t xml:space="preserve">responsible actor. These same costs (to outside sellers) would bring benefits to the existing or</w:t>
      </w:r>
      <w:r>
        <w:t xml:space="preserve"> </w:t>
      </w:r>
      <w:r>
        <w:t xml:space="preserve">newly established responsible economic actors in the EU. With 7.3 million items at a value of</w:t>
      </w:r>
      <w:r>
        <w:t xml:space="preserve"> </w:t>
      </w:r>
      <w:r>
        <w:t xml:space="preserve">€20 each (consistent with the €22 VAT free cut-off that applied until July 2021) and a</w:t>
      </w:r>
      <w:r>
        <w:t xml:space="preserve"> </w:t>
      </w:r>
      <w:r>
        <w:t xml:space="preserve">commission of 2%, this equates to an EU benefit of around €2.9 million per year for items</w:t>
      </w:r>
      <w:r>
        <w:t xml:space="preserve"> </w:t>
      </w:r>
      <w:r>
        <w:t xml:space="preserve">that are non-compliant at present. A commission of 5% would equate to benefits to the EU of</w:t>
      </w:r>
      <w:r>
        <w:t xml:space="preserve"> </w:t>
      </w:r>
      <w:r>
        <w:t xml:space="preserve">around €7.3 million per year. As requirements would also apply to products that currently</w:t>
      </w:r>
      <w:r>
        <w:t xml:space="preserve"> </w:t>
      </w:r>
      <w:r>
        <w:t xml:space="preserve">comply with CLP (as well as those that don’t), such values should be regarded as minimum</w:t>
      </w:r>
      <w:r>
        <w:t xml:space="preserve"> </w:t>
      </w:r>
      <w:r>
        <w:t xml:space="preserve">and conservative estimates.</w:t>
      </w:r>
      <w:r>
        <w:br/>
      </w:r>
      <w:r>
        <w:t xml:space="preserve">Moreover, sellers from outside the EU would have to bear the compliance cost of adhering to</w:t>
      </w:r>
      <w:r>
        <w:t xml:space="preserve"> </w:t>
      </w:r>
      <w:r>
        <w:t xml:space="preserve">the CLP rules and this would level the playing field between sellers from in and outside the</w:t>
      </w:r>
      <w:r>
        <w:t xml:space="preserve"> </w:t>
      </w:r>
      <w:r>
        <w:t xml:space="preserve">EU, with sellers from inside the EU benefitting from the resulting fairness in competition. It</w:t>
      </w:r>
      <w:r>
        <w:t xml:space="preserve"> </w:t>
      </w:r>
      <w:r>
        <w:t xml:space="preserve">was impossible to quantitatively assess how much it costs to comply with CLP rules or how</w:t>
      </w:r>
      <w:r>
        <w:t xml:space="preserve"> </w:t>
      </w:r>
      <w:r>
        <w:t xml:space="preserve">much the EU-based sellers would gain from enhanced competitiveness.</w:t>
      </w:r>
    </w:p>
    <w:p>
      <w:pPr>
        <w:pStyle w:val="BodyText"/>
      </w:pPr>
      <w:r>
        <w:t xml:space="preserve">COMPARISON OF IMPACTS AND PREFERRED OPTION</w:t>
      </w:r>
      <w:r>
        <w:t xml:space="preserve"> </w:t>
      </w:r>
      <w:r>
        <w:t xml:space="preserve">CLP cross-referencing (#17) does not imply any additional economic costs for both online</w:t>
      </w:r>
      <w:r>
        <w:t xml:space="preserve"> </w:t>
      </w:r>
      <w:r>
        <w:t xml:space="preserve">traders/platforms and market surveillance authorities. Those costs would be inexistent due to</w:t>
      </w:r>
      <w:r>
        <w:t xml:space="preserve"> </w:t>
      </w:r>
      <w:r>
        <w:t xml:space="preserve">the measures in draft GPSR. Societal and environmental impacts of the measure are positive</w:t>
      </w:r>
      <w:r>
        <w:t xml:space="preserve"> </w:t>
      </w:r>
      <w:r>
        <w:t xml:space="preserve">as they would grant certainty to consumers regarding various aspects of online sales (from</w:t>
      </w:r>
      <w:r>
        <w:t xml:space="preserve"> </w:t>
      </w:r>
      <w:r>
        <w:t xml:space="preserve">advertisement to offers) and thus allow consumers to be better informed. Consumer</w:t>
      </w:r>
      <w:r>
        <w:t xml:space="preserve"> </w:t>
      </w:r>
      <w:r>
        <w:t xml:space="preserve">awareness raising campaigns (#22) are not so costly either, but they would have a lesser</w:t>
      </w:r>
      <w:r>
        <w:t xml:space="preserve"> </w:t>
      </w:r>
      <w:r>
        <w:t xml:space="preserve">positive societal and environmental impact than #17. The responsible economic actor</w:t>
      </w:r>
      <w:r>
        <w:t xml:space="preserve"> </w:t>
      </w:r>
      <w:r>
        <w:t xml:space="preserve">obligation (#18) has no negative economic impacts for EU actors. To the contrary, (i) it levels</w:t>
      </w:r>
      <w:r>
        <w:t xml:space="preserve"> </w:t>
      </w:r>
      <w:r>
        <w:t xml:space="preserve">the playing field between EU and non-EU actors and (ii) brings new job opportunities to the</w:t>
      </w:r>
      <w:r>
        <w:t xml:space="preserve"> </w:t>
      </w:r>
      <w:r>
        <w:t xml:space="preserve">EU. Sub-measure 2.1. also has positive environmental and social impacts since it reduces the</w:t>
      </w:r>
      <w:r>
        <w:t xml:space="preserve"> </w:t>
      </w:r>
      <w:r>
        <w:t xml:space="preserve">number of incompliant products circulating in the market, leading to consumers being less</w:t>
      </w:r>
      <w:r>
        <w:t xml:space="preserve"> </w:t>
      </w:r>
      <w:r>
        <w:t xml:space="preserve">exposed to incompliant products and to less spillage or pollution from wrongly classified</w:t>
      </w:r>
      <w:r>
        <w:t xml:space="preserve"> </w:t>
      </w:r>
      <w:r>
        <w:t xml:space="preserve">chemicals in the environment.</w:t>
      </w:r>
      <w:r>
        <w:br/>
      </w:r>
      <w:r>
        <w:t xml:space="preserve">The preferred options are measures #17 (CLP cross-referencing) and measure #18 (introduce</w:t>
      </w:r>
      <w:r>
        <w:t xml:space="preserve"> </w:t>
      </w:r>
      <w:r>
        <w:t xml:space="preserve">a responsible economic actor obligation).</w:t>
      </w:r>
    </w:p>
    <w:p>
      <w:pPr>
        <w:pStyle w:val="BodyText"/>
      </w:pPr>
      <w:r>
        <w:t xml:space="preserve">APPENDIX</w:t>
      </w:r>
      <w:r>
        <w:t xml:space="preserve"> </w:t>
      </w:r>
      <w:r>
        <w:t xml:space="preserve">The evolution of the problem of non-compliance of chemicals sold online with the CLP</w:t>
      </w:r>
      <w:r>
        <w:t xml:space="preserve"> </w:t>
      </w:r>
      <w:r>
        <w:t xml:space="preserve">Regulation over time will be shaped by the development in e-commerce and regulatory and</w:t>
      </w:r>
      <w:r>
        <w:t xml:space="preserve"> </w:t>
      </w:r>
      <w:r>
        <w:t xml:space="preserve">non-regulatory initiatives that have been already undertaken by the Commission.</w:t>
      </w:r>
      <w:r>
        <w:t xml:space="preserve"> </w:t>
      </w:r>
      <w:r>
        <w:t xml:space="preserve">No specific data are collected on the actual number of online sales, the location of sellers or</w:t>
      </w:r>
      <w:r>
        <w:t xml:space="preserve"> </w:t>
      </w:r>
      <w:r>
        <w:t xml:space="preserve">the products sold. However, Eurostat does produce an e-commerce dataset that describes the</w:t>
      </w:r>
      <w:r>
        <w:t xml:space="preserve"> </w:t>
      </w:r>
      <w:r>
        <w:t xml:space="preserve">percentage of (all individuals) across the EU that have made purchases in the preceding 3</w:t>
      </w:r>
      <w:r>
        <w:t xml:space="preserve"> </w:t>
      </w:r>
      <w:r>
        <w:t xml:space="preserve">months. These data are organised into different data areas including:</w:t>
      </w:r>
    </w:p>
    <w:p>
      <w:pPr>
        <w:pStyle w:val="BodyText"/>
      </w:pPr>
      <w:r>
        <w:t xml:space="preserve">Percentage of individuals that have purchased items within the last three months from</w:t>
      </w:r>
      <w:r>
        <w:t xml:space="preserve"> </w:t>
      </w:r>
      <w:r>
        <w:t xml:space="preserve">sellers within their nation, from another EU Member State, from sellers in the rest of</w:t>
      </w:r>
      <w:r>
        <w:t xml:space="preserve"> </w:t>
      </w:r>
      <w:r>
        <w:t xml:space="preserve">the world (RoW) or where country is not known;206</w:t>
      </w:r>
    </w:p>
    <w:p>
      <w:pPr>
        <w:pStyle w:val="BodyText"/>
      </w:pPr>
      <w:r>
        <w:t xml:space="preserve">206 https://ec.europa.eu/eurostat/databrowser/view/isoc_ec_ibos/default/table?lang=en</w:t>
      </w:r>
    </w:p>
    <w:p>
      <w:pPr>
        <w:pStyle w:val="BodyText"/>
      </w:pPr>
      <w:r>
        <w:t xml:space="preserve">579</w:t>
      </w:r>
    </w:p>
    <w:p>
      <w:pPr>
        <w:pStyle w:val="BodyText"/>
      </w:pPr>
      <w:r>
        <w:t xml:space="preserve">Percentage of individuals making 1-2, 3-5, 6-10 or more than 10 online purchases in a</w:t>
      </w:r>
      <w:r>
        <w:t xml:space="preserve"> </w:t>
      </w:r>
      <w:r>
        <w:t xml:space="preserve">three-month period;207</w:t>
      </w:r>
    </w:p>
    <w:p>
      <w:pPr>
        <w:pStyle w:val="BodyText"/>
      </w:pPr>
      <w:r>
        <w:t xml:space="preserve">Percentage of individuals making purchases of different value categories in the three-</w:t>
      </w:r>
      <w:r>
        <w:t xml:space="preserve"> </w:t>
      </w:r>
      <w:r>
        <w:t xml:space="preserve">month period; and</w:t>
      </w:r>
      <w:r>
        <w:t xml:space="preserve"> </w:t>
      </w:r>
      <w:r>
        <w:t xml:space="preserve">Percentage of individuals that have purchased each of 16 different types of physical goods</w:t>
      </w:r>
      <w:r>
        <w:t xml:space="preserve"> </w:t>
      </w:r>
      <w:r>
        <w:t xml:space="preserve">and 13 different types of services.208</w:t>
      </w:r>
      <w:r>
        <w:t xml:space="preserve"> </w:t>
      </w:r>
      <w:r>
        <w:t xml:space="preserve">The organisation and presentation of some of these sets (notably identity of items purchased)</w:t>
      </w:r>
      <w:r>
        <w:t xml:space="preserve"> </w:t>
      </w:r>
      <w:r>
        <w:t xml:space="preserve">is different and more expansive/explicit for the years 2020 and 2021 compared with the</w:t>
      </w:r>
      <w:r>
        <w:t xml:space="preserve"> </w:t>
      </w:r>
      <w:r>
        <w:t xml:space="preserve">preceding years.</w:t>
      </w:r>
      <w:r>
        <w:t xml:space="preserve"> </w:t>
      </w:r>
      <w:r>
        <w:t xml:space="preserve">Total number of online purchases/transactions</w:t>
      </w:r>
      <w:r>
        <w:t xml:space="preserve"> </w:t>
      </w:r>
      <w:r>
        <w:t xml:space="preserve">Whilst, as noted, no specific data on the volume of sales are available, using the Eurostat data</w:t>
      </w:r>
      <w:r>
        <w:t xml:space="preserve"> </w:t>
      </w:r>
      <w:r>
        <w:t xml:space="preserve">it is possible to develop best estimates of the number of items sold online by multiplying the</w:t>
      </w:r>
      <w:r>
        <w:t xml:space="preserve"> </w:t>
      </w:r>
      <w:r>
        <w:t xml:space="preserve">relevant percentages of (all individuals) by the total number of individuals (i.e. the</w:t>
      </w:r>
      <w:r>
        <w:t xml:space="preserve"> </w:t>
      </w:r>
      <w:r>
        <w:t xml:space="preserve">population). Table 179 provides the total number of online purchases/transactions over three</w:t>
      </w:r>
      <w:r>
        <w:t xml:space="preserve"> </w:t>
      </w:r>
      <w:r>
        <w:t xml:space="preserve">months (all types of purchase) implied by the data. The table provides data for the full suite</w:t>
      </w:r>
      <w:r>
        <w:t xml:space="preserve"> </w:t>
      </w:r>
      <w:r>
        <w:t xml:space="preserve">of categories of online purchases, including those that are not CLP (or REACH) relevant.</w:t>
      </w:r>
      <w:r>
        <w:t xml:space="preserve"> </w:t>
      </w:r>
      <w:r>
        <w:t xml:space="preserve">This is to allow the total numbers of purchases derived by consideration of Eurostat data on</w:t>
      </w:r>
      <w:r>
        <w:t xml:space="preserve"> </w:t>
      </w:r>
      <w:r>
        <w:t xml:space="preserve">individual product categories (in Table 179) to be compared with total numbers of purchases</w:t>
      </w:r>
      <w:r>
        <w:t xml:space="preserve"> </w:t>
      </w:r>
      <w:r>
        <w:t xml:space="preserve">derived from other statistical breakdowns produced by Eurostat (such as numbers of</w:t>
      </w:r>
      <w:r>
        <w:t xml:space="preserve"> </w:t>
      </w:r>
      <w:r>
        <w:t xml:space="preserve">purchases made). In this way, the comparison provides a means to assess the consistency and</w:t>
      </w:r>
      <w:r>
        <w:t xml:space="preserve"> </w:t>
      </w:r>
      <w:r>
        <w:t xml:space="preserve">reasonableness of the estimates of items purchased (including CLP relevant products).</w:t>
      </w:r>
    </w:p>
    <w:p>
      <w:pPr>
        <w:pStyle w:val="BodyText"/>
      </w:pPr>
      <w:r>
        <w:t xml:space="preserve">207</w:t>
      </w:r>
      <w:r>
        <w:t xml:space="preserve"> </w:t>
      </w:r>
      <w:r>
        <w:t xml:space="preserve">Eurostat,</w:t>
      </w:r>
      <w:r>
        <w:t xml:space="preserve"> </w:t>
      </w:r>
      <w:r>
        <w:t xml:space="preserve">Internet</w:t>
      </w:r>
      <w:r>
        <w:t xml:space="preserve"> </w:t>
      </w:r>
      <w:r>
        <w:t xml:space="preserve">purchases</w:t>
      </w:r>
      <w:r>
        <w:t xml:space="preserve"> </w:t>
      </w:r>
      <w:r>
        <w:t xml:space="preserve">by</w:t>
      </w:r>
      <w:r>
        <w:t xml:space="preserve"> </w:t>
      </w:r>
      <w:r>
        <w:t xml:space="preserve">individuals</w:t>
      </w:r>
      <w:r>
        <w:t xml:space="preserve"> </w:t>
      </w:r>
      <w:r>
        <w:t xml:space="preserve">(2020</w:t>
      </w:r>
      <w:r>
        <w:t xml:space="preserve"> </w:t>
      </w:r>
      <w:r>
        <w:t xml:space="preserve">onwards),</w:t>
      </w:r>
      <w:r>
        <w:t xml:space="preserve"> </w:t>
      </w:r>
      <w:r>
        <w:t xml:space="preserve">available</w:t>
      </w:r>
      <w:r>
        <w:t xml:space="preserve"> </w:t>
      </w:r>
      <w:r>
        <w:t xml:space="preserve">at:</w:t>
      </w:r>
      <w:r>
        <w:t xml:space="preserve"> </w:t>
      </w:r>
      <w:r>
        <w:t xml:space="preserve">https://ec.europa.eu/eurostat/databrowser/view/isoc_ec_ib20/default/table?lang=en</w:t>
      </w:r>
      <w:r>
        <w:t xml:space="preserve"> </w:t>
      </w:r>
      <w:r>
        <w:t xml:space="preserve">208 https://ec.europa.eu/eurostat/databrowser/view/isoc_ec_ibgs/default/table?lang=en</w:t>
      </w:r>
    </w:p>
    <w:p>
      <w:pPr>
        <w:pStyle w:val="BodyText"/>
      </w:pPr>
      <w:r>
        <w:t xml:space="preserve">580</w:t>
      </w:r>
    </w:p>
    <w:p>
      <w:pPr>
        <w:pStyle w:val="BodyText"/>
      </w:pPr>
      <w:r>
        <w:t xml:space="preserve">Table 180: Implied total number of online purchases/transactions over three months (all types of purchase)</w:t>
      </w:r>
    </w:p>
    <w:p>
      <w:pPr>
        <w:pStyle w:val="BodyText"/>
      </w:pPr>
      <w:r>
        <w:t xml:space="preserve">Percentage</w:t>
      </w:r>
      <w:r>
        <w:t xml:space="preserve"> </w:t>
      </w:r>
      <w:r>
        <w:t xml:space="preserve">of</w:t>
      </w:r>
      <w:r>
        <w:t xml:space="preserve"> </w:t>
      </w:r>
      <w:r>
        <w:t xml:space="preserve">individuals</w:t>
      </w:r>
      <w:r>
        <w:t xml:space="preserve"> </w:t>
      </w:r>
      <w:r>
        <w:t xml:space="preserve">making</w:t>
      </w:r>
      <w:r>
        <w:t xml:space="preserve"> </w:t>
      </w:r>
      <w:r>
        <w:t xml:space="preserve">online</w:t>
      </w:r>
      <w:r>
        <w:t xml:space="preserve"> </w:t>
      </w:r>
      <w:r>
        <w:t xml:space="preserve">purchases within</w:t>
      </w:r>
      <w:r>
        <w:t xml:space="preserve"> </w:t>
      </w:r>
      <w:r>
        <w:t xml:space="preserve">a</w:t>
      </w:r>
      <w:r>
        <w:t xml:space="preserve"> </w:t>
      </w:r>
      <w:r>
        <w:t xml:space="preserve">three-month</w:t>
      </w:r>
      <w:r>
        <w:t xml:space="preserve"> </w:t>
      </w:r>
      <w:r>
        <w:t xml:space="preserve">period</w:t>
      </w:r>
      <w:r>
        <w:t xml:space="preserve"> </w:t>
      </w:r>
      <w:r>
        <w:t xml:space="preserve">Implied</w:t>
      </w:r>
      <w:r>
        <w:t xml:space="preserve"> </w:t>
      </w:r>
      <w:r>
        <w:t xml:space="preserve">number</w:t>
      </w:r>
      <w:r>
        <w:t xml:space="preserve"> </w:t>
      </w:r>
      <w:r>
        <w:t xml:space="preserve">of</w:t>
      </w:r>
      <w:r>
        <w:t xml:space="preserve"> </w:t>
      </w:r>
      <w:r>
        <w:t xml:space="preserve">purchases/transactions</w:t>
      </w:r>
      <w:r>
        <w:t xml:space="preserve"> </w:t>
      </w:r>
      <w:r>
        <w:t xml:space="preserve">within a three-month period</w:t>
      </w:r>
    </w:p>
    <w:p>
      <w:pPr>
        <w:pStyle w:val="BodyText"/>
      </w:pPr>
      <w:r>
        <w:t xml:space="preserve">2020</w:t>
      </w:r>
      <w:r>
        <w:t xml:space="preserve"> </w:t>
      </w:r>
      <w:r>
        <w:t xml:space="preserve">2021</w:t>
      </w:r>
      <w:r>
        <w:t xml:space="preserve"> </w:t>
      </w:r>
      <w:r>
        <w:t xml:space="preserve">2020</w:t>
      </w:r>
      <w:r>
        <w:t xml:space="preserve"> </w:t>
      </w:r>
      <w:r>
        <w:t xml:space="preserve">2021</w:t>
      </w:r>
      <w:r>
        <w:t xml:space="preserve"> </w:t>
      </w:r>
      <w:r>
        <w:t xml:space="preserve">Clothes (including sport clothing),</w:t>
      </w:r>
      <w:r>
        <w:t xml:space="preserve"> </w:t>
      </w:r>
      <w:r>
        <w:t xml:space="preserve">shoes or accessories</w:t>
      </w:r>
      <w:r>
        <w:t xml:space="preserve"> </w:t>
      </w:r>
      <w:r>
        <w:t xml:space="preserve">33%</w:t>
      </w:r>
      <w:r>
        <w:t xml:space="preserve"> </w:t>
      </w:r>
      <w:r>
        <w:t xml:space="preserve">38%</w:t>
      </w:r>
      <w:r>
        <w:t xml:space="preserve"> </w:t>
      </w:r>
      <w:r>
        <w:t xml:space="preserve">147,615,572</w:t>
      </w:r>
      <w:r>
        <w:t xml:space="preserve"> </w:t>
      </w:r>
      <w:r>
        <w:t xml:space="preserve">170,314,137</w:t>
      </w:r>
      <w:r>
        <w:t xml:space="preserve"> </w:t>
      </w:r>
      <w:r>
        <w:t xml:space="preserve">Sports</w:t>
      </w:r>
      <w:r>
        <w:t xml:space="preserve"> </w:t>
      </w:r>
      <w:r>
        <w:t xml:space="preserve">goods</w:t>
      </w:r>
      <w:r>
        <w:t xml:space="preserve"> </w:t>
      </w:r>
      <w:r>
        <w:t xml:space="preserve">(excluding</w:t>
      </w:r>
      <w:r>
        <w:t xml:space="preserve"> </w:t>
      </w:r>
      <w:r>
        <w:t xml:space="preserve">sport</w:t>
      </w:r>
      <w:r>
        <w:t xml:space="preserve"> </w:t>
      </w:r>
      <w:r>
        <w:t xml:space="preserve">clothing)</w:t>
      </w:r>
      <w:r>
        <w:t xml:space="preserve"> </w:t>
      </w:r>
      <w:r>
        <w:t xml:space="preserve">11%</w:t>
      </w:r>
      <w:r>
        <w:t xml:space="preserve"> </w:t>
      </w:r>
      <w:r>
        <w:t xml:space="preserve">13%</w:t>
      </w:r>
      <w:r>
        <w:t xml:space="preserve"> </w:t>
      </w:r>
      <w:r>
        <w:t xml:space="preserve">49,205,191</w:t>
      </w:r>
      <w:r>
        <w:t xml:space="preserve"> </w:t>
      </w:r>
      <w:r>
        <w:t xml:space="preserve">58,265,363</w:t>
      </w:r>
      <w:r>
        <w:t xml:space="preserve"> </w:t>
      </w:r>
      <w:r>
        <w:t xml:space="preserve">Children toys or childcare items</w:t>
      </w:r>
      <w:r>
        <w:t xml:space="preserve"> </w:t>
      </w:r>
      <w:r>
        <w:t xml:space="preserve">9%</w:t>
      </w:r>
      <w:r>
        <w:t xml:space="preserve"> </w:t>
      </w:r>
      <w:r>
        <w:t xml:space="preserve">11%</w:t>
      </w:r>
      <w:r>
        <w:t xml:space="preserve"> </w:t>
      </w:r>
      <w:r>
        <w:t xml:space="preserve">40,258,792</w:t>
      </w:r>
      <w:r>
        <w:t xml:space="preserve"> </w:t>
      </w:r>
      <w:r>
        <w:t xml:space="preserve">49,301,461</w:t>
      </w:r>
      <w:r>
        <w:t xml:space="preserve"> </w:t>
      </w:r>
      <w:r>
        <w:t xml:space="preserve">Furniture,</w:t>
      </w:r>
      <w:r>
        <w:t xml:space="preserve"> </w:t>
      </w:r>
      <w:r>
        <w:t xml:space="preserve">home</w:t>
      </w:r>
      <w:r>
        <w:t xml:space="preserve"> </w:t>
      </w:r>
      <w:r>
        <w:t xml:space="preserve">accessories</w:t>
      </w:r>
      <w:r>
        <w:t xml:space="preserve"> </w:t>
      </w:r>
      <w:r>
        <w:t xml:space="preserve">or</w:t>
      </w:r>
      <w:r>
        <w:t xml:space="preserve"> </w:t>
      </w:r>
      <w:r>
        <w:t xml:space="preserve">gardening products</w:t>
      </w:r>
      <w:r>
        <w:t xml:space="preserve"> </w:t>
      </w:r>
      <w:r>
        <w:t xml:space="preserve">15%</w:t>
      </w:r>
      <w:r>
        <w:t xml:space="preserve"> </w:t>
      </w:r>
      <w:r>
        <w:t xml:space="preserve">16%</w:t>
      </w:r>
      <w:r>
        <w:t xml:space="preserve"> </w:t>
      </w:r>
      <w:r>
        <w:t xml:space="preserve">67,097,987</w:t>
      </w:r>
      <w:r>
        <w:t xml:space="preserve"> </w:t>
      </w:r>
      <w:r>
        <w:t xml:space="preserve">71,711,216</w:t>
      </w:r>
      <w:r>
        <w:t xml:space="preserve"> </w:t>
      </w:r>
      <w:r>
        <w:t xml:space="preserve">Music as CDs, vinyls etc.</w:t>
      </w:r>
      <w:r>
        <w:t xml:space="preserve"> </w:t>
      </w:r>
      <w:r>
        <w:t xml:space="preserve">4%</w:t>
      </w:r>
      <w:r>
        <w:t xml:space="preserve"> </w:t>
      </w:r>
      <w:r>
        <w:t xml:space="preserve">3%</w:t>
      </w:r>
      <w:r>
        <w:t xml:space="preserve"> </w:t>
      </w:r>
      <w:r>
        <w:t xml:space="preserve">17,892,797</w:t>
      </w:r>
      <w:r>
        <w:t xml:space="preserve"> </w:t>
      </w:r>
      <w:r>
        <w:t xml:space="preserve">13,445,853</w:t>
      </w:r>
      <w:r>
        <w:t xml:space="preserve"> </w:t>
      </w:r>
      <w:r>
        <w:t xml:space="preserve">Films or series as DVDs, Blu-ray etc.</w:t>
      </w:r>
      <w:r>
        <w:t xml:space="preserve"> </w:t>
      </w:r>
      <w:r>
        <w:t xml:space="preserve">4%</w:t>
      </w:r>
      <w:r>
        <w:t xml:space="preserve"> </w:t>
      </w:r>
      <w:r>
        <w:t xml:space="preserve">3%</w:t>
      </w:r>
      <w:r>
        <w:t xml:space="preserve"> </w:t>
      </w:r>
      <w:r>
        <w:t xml:space="preserve">17,892,797</w:t>
      </w:r>
      <w:r>
        <w:t xml:space="preserve"> </w:t>
      </w:r>
      <w:r>
        <w:t xml:space="preserve">13,445,853</w:t>
      </w:r>
      <w:r>
        <w:t xml:space="preserve"> </w:t>
      </w:r>
      <w:r>
        <w:t xml:space="preserve">Printed</w:t>
      </w:r>
      <w:r>
        <w:t xml:space="preserve"> </w:t>
      </w:r>
      <w:r>
        <w:t xml:space="preserve">books,</w:t>
      </w:r>
      <w:r>
        <w:t xml:space="preserve"> </w:t>
      </w:r>
      <w:r>
        <w:t xml:space="preserve">magazines</w:t>
      </w:r>
      <w:r>
        <w:t xml:space="preserve"> </w:t>
      </w:r>
      <w:r>
        <w:t xml:space="preserve">or</w:t>
      </w:r>
      <w:r>
        <w:t xml:space="preserve"> </w:t>
      </w:r>
      <w:r>
        <w:t xml:space="preserve">newspapers</w:t>
      </w:r>
      <w:r>
        <w:t xml:space="preserve"> </w:t>
      </w:r>
      <w:r>
        <w:t xml:space="preserve">14%</w:t>
      </w:r>
      <w:r>
        <w:t xml:space="preserve"> </w:t>
      </w:r>
      <w:r>
        <w:t xml:space="preserve">14%</w:t>
      </w:r>
      <w:r>
        <w:t xml:space="preserve"> </w:t>
      </w:r>
      <w:r>
        <w:t xml:space="preserve">62,624,788</w:t>
      </w:r>
      <w:r>
        <w:t xml:space="preserve"> </w:t>
      </w:r>
      <w:r>
        <w:t xml:space="preserve">62,747,314</w:t>
      </w:r>
      <w:r>
        <w:t xml:space="preserve"> </w:t>
      </w:r>
      <w:r>
        <w:t xml:space="preserve">Computers, tablets, mobile phones or</w:t>
      </w:r>
      <w:r>
        <w:t xml:space="preserve"> </w:t>
      </w:r>
      <w:r>
        <w:t xml:space="preserve">accessories</w:t>
      </w:r>
      <w:r>
        <w:t xml:space="preserve"> </w:t>
      </w:r>
      <w:r>
        <w:t xml:space="preserve">14%</w:t>
      </w:r>
      <w:r>
        <w:t xml:space="preserve"> </w:t>
      </w:r>
      <w:r>
        <w:t xml:space="preserve">13%</w:t>
      </w:r>
      <w:r>
        <w:t xml:space="preserve"> </w:t>
      </w:r>
      <w:r>
        <w:t xml:space="preserve">62,624,788</w:t>
      </w:r>
      <w:r>
        <w:t xml:space="preserve"> </w:t>
      </w:r>
      <w:r>
        <w:t xml:space="preserve">58,265,363</w:t>
      </w:r>
      <w:r>
        <w:t xml:space="preserve"> </w:t>
      </w:r>
      <w:r>
        <w:t xml:space="preserve">Consumer electronics or household</w:t>
      </w:r>
      <w:r>
        <w:t xml:space="preserve"> </w:t>
      </w:r>
      <w:r>
        <w:t xml:space="preserve">appliances</w:t>
      </w:r>
      <w:r>
        <w:t xml:space="preserve"> </w:t>
      </w:r>
      <w:r>
        <w:t xml:space="preserve">10%</w:t>
      </w:r>
      <w:r>
        <w:t xml:space="preserve"> </w:t>
      </w:r>
      <w:r>
        <w:t xml:space="preserve">10%</w:t>
      </w:r>
      <w:r>
        <w:t xml:space="preserve"> </w:t>
      </w:r>
      <w:r>
        <w:t xml:space="preserve">44,731,992</w:t>
      </w:r>
      <w:r>
        <w:t xml:space="preserve"> </w:t>
      </w:r>
      <w:r>
        <w:t xml:space="preserve">44,819,510</w:t>
      </w:r>
      <w:r>
        <w:t xml:space="preserve"> </w:t>
      </w:r>
      <w:r>
        <w:t xml:space="preserve">Medicine or dietary supplements such</w:t>
      </w:r>
      <w:r>
        <w:t xml:space="preserve"> </w:t>
      </w:r>
      <w:r>
        <w:t xml:space="preserve">as</w:t>
      </w:r>
      <w:r>
        <w:t xml:space="preserve"> </w:t>
      </w:r>
      <w:r>
        <w:t xml:space="preserve">vitamins</w:t>
      </w:r>
      <w:r>
        <w:t xml:space="preserve"> </w:t>
      </w:r>
      <w:r>
        <w:t xml:space="preserve">(online</w:t>
      </w:r>
      <w:r>
        <w:t xml:space="preserve"> </w:t>
      </w:r>
      <w:r>
        <w:t xml:space="preserve">renewal</w:t>
      </w:r>
      <w:r>
        <w:t xml:space="preserve"> </w:t>
      </w:r>
      <w:r>
        <w:t xml:space="preserve">of</w:t>
      </w:r>
      <w:r>
        <w:t xml:space="preserve"> </w:t>
      </w:r>
      <w:r>
        <w:t xml:space="preserve">prescriptions is not included)</w:t>
      </w:r>
      <w:r>
        <w:t xml:space="preserve"> </w:t>
      </w:r>
      <w:r>
        <w:t xml:space="preserve">12%</w:t>
      </w:r>
      <w:r>
        <w:t xml:space="preserve"> </w:t>
      </w:r>
      <w:r>
        <w:t xml:space="preserve">11%</w:t>
      </w:r>
      <w:r>
        <w:t xml:space="preserve"> </w:t>
      </w:r>
      <w:r>
        <w:t xml:space="preserve">53,678,390</w:t>
      </w:r>
      <w:r>
        <w:t xml:space="preserve"> </w:t>
      </w:r>
      <w:r>
        <w:t xml:space="preserve">49,301,461</w:t>
      </w:r>
      <w:r>
        <w:t xml:space="preserve"> </w:t>
      </w:r>
      <w:r>
        <w:t xml:space="preserve">Deliveries from restaurants, fast-food</w:t>
      </w:r>
      <w:r>
        <w:t xml:space="preserve"> </w:t>
      </w:r>
      <w:r>
        <w:t xml:space="preserve">chains, catering services</w:t>
      </w:r>
      <w:r>
        <w:t xml:space="preserve"> </w:t>
      </w:r>
      <w:r>
        <w:t xml:space="preserve">15%</w:t>
      </w:r>
      <w:r>
        <w:t xml:space="preserve"> </w:t>
      </w:r>
      <w:r>
        <w:t xml:space="preserve">17%</w:t>
      </w:r>
      <w:r>
        <w:t xml:space="preserve"> </w:t>
      </w:r>
      <w:r>
        <w:t xml:space="preserve">67,097,987</w:t>
      </w:r>
      <w:r>
        <w:t xml:space="preserve"> </w:t>
      </w:r>
      <w:r>
        <w:t xml:space="preserve">76,193,166</w:t>
      </w:r>
      <w:r>
        <w:t xml:space="preserve"> </w:t>
      </w:r>
      <w:r>
        <w:t xml:space="preserve">Food or beverages from stores or from</w:t>
      </w:r>
      <w:r>
        <w:t xml:space="preserve"> </w:t>
      </w:r>
      <w:r>
        <w:t xml:space="preserve">meal-kits providers</w:t>
      </w:r>
      <w:r>
        <w:t xml:space="preserve"> </w:t>
      </w:r>
      <w:r>
        <w:t xml:space="preserve">10%</w:t>
      </w:r>
      <w:r>
        <w:t xml:space="preserve"> </w:t>
      </w:r>
      <w:r>
        <w:t xml:space="preserve">10%</w:t>
      </w:r>
      <w:r>
        <w:t xml:space="preserve"> </w:t>
      </w:r>
      <w:r>
        <w:t xml:space="preserve">44,731,992</w:t>
      </w:r>
      <w:r>
        <w:t xml:space="preserve"> </w:t>
      </w:r>
      <w:r>
        <w:t xml:space="preserve">44,819,510</w:t>
      </w:r>
      <w:r>
        <w:t xml:space="preserve"> </w:t>
      </w:r>
      <w:r>
        <w:t xml:space="preserve">Cosmetics,</w:t>
      </w:r>
      <w:r>
        <w:t xml:space="preserve"> </w:t>
      </w:r>
      <w:r>
        <w:t xml:space="preserve">beauty</w:t>
      </w:r>
      <w:r>
        <w:t xml:space="preserve"> </w:t>
      </w:r>
      <w:r>
        <w:t xml:space="preserve">or</w:t>
      </w:r>
      <w:r>
        <w:t xml:space="preserve"> </w:t>
      </w:r>
      <w:r>
        <w:t xml:space="preserve">wellness</w:t>
      </w:r>
      <w:r>
        <w:t xml:space="preserve"> </w:t>
      </w:r>
      <w:r>
        <w:t xml:space="preserve">products</w:t>
      </w:r>
      <w:r>
        <w:t xml:space="preserve"> </w:t>
      </w:r>
      <w:r>
        <w:t xml:space="preserve">14%</w:t>
      </w:r>
      <w:r>
        <w:t xml:space="preserve"> </w:t>
      </w:r>
      <w:r>
        <w:t xml:space="preserve">15%</w:t>
      </w:r>
      <w:r>
        <w:t xml:space="preserve"> </w:t>
      </w:r>
      <w:r>
        <w:t xml:space="preserve">62,624,788</w:t>
      </w:r>
      <w:r>
        <w:t xml:space="preserve"> </w:t>
      </w:r>
      <w:r>
        <w:t xml:space="preserve">67,229,265</w:t>
      </w:r>
      <w:r>
        <w:t xml:space="preserve"> </w:t>
      </w:r>
      <w:r>
        <w:t xml:space="preserve">Cleaning products or personal hygiene</w:t>
      </w:r>
      <w:r>
        <w:t xml:space="preserve"> </w:t>
      </w:r>
      <w:r>
        <w:t xml:space="preserve">products</w:t>
      </w:r>
      <w:r>
        <w:t xml:space="preserve"> </w:t>
      </w:r>
      <w:r>
        <w:t xml:space="preserve">8%</w:t>
      </w:r>
      <w:r>
        <w:t xml:space="preserve"> </w:t>
      </w:r>
      <w:r>
        <w:t xml:space="preserve">8%</w:t>
      </w:r>
      <w:r>
        <w:t xml:space="preserve"> </w:t>
      </w:r>
      <w:r>
        <w:t xml:space="preserve">35,785,593</w:t>
      </w:r>
      <w:r>
        <w:t xml:space="preserve"> </w:t>
      </w:r>
      <w:r>
        <w:t xml:space="preserve">35,855,608</w:t>
      </w:r>
      <w:r>
        <w:t xml:space="preserve"> </w:t>
      </w:r>
      <w:r>
        <w:t xml:space="preserve">Bicycles, mopeds, cars, or other</w:t>
      </w:r>
      <w:r>
        <w:t xml:space="preserve"> </w:t>
      </w:r>
      <w:r>
        <w:t xml:space="preserve">vehicles or their spare parts</w:t>
      </w:r>
      <w:r>
        <w:t xml:space="preserve"> </w:t>
      </w:r>
      <w:r>
        <w:t xml:space="preserve">5%</w:t>
      </w:r>
      <w:r>
        <w:t xml:space="preserve"> </w:t>
      </w:r>
      <w:r>
        <w:t xml:space="preserve">5%</w:t>
      </w:r>
      <w:r>
        <w:t xml:space="preserve"> </w:t>
      </w:r>
      <w:r>
        <w:t xml:space="preserve">22,365,996</w:t>
      </w:r>
      <w:r>
        <w:t xml:space="preserve"> </w:t>
      </w:r>
      <w:r>
        <w:t xml:space="preserve">22,409,755</w:t>
      </w:r>
      <w:r>
        <w:t xml:space="preserve"> </w:t>
      </w:r>
      <w:r>
        <w:t xml:space="preserve">Other physical goods</w:t>
      </w:r>
      <w:r>
        <w:t xml:space="preserve"> </w:t>
      </w:r>
      <w:r>
        <w:t xml:space="preserve">10%</w:t>
      </w:r>
      <w:r>
        <w:t xml:space="preserve"> </w:t>
      </w:r>
      <w:r>
        <w:t xml:space="preserve">11%</w:t>
      </w:r>
      <w:r>
        <w:t xml:space="preserve"> </w:t>
      </w:r>
      <w:r>
        <w:t xml:space="preserve">44,731,992</w:t>
      </w:r>
      <w:r>
        <w:t xml:space="preserve"> </w:t>
      </w:r>
      <w:r>
        <w:t xml:space="preserve">49,301,461</w:t>
      </w:r>
      <w:r>
        <w:t xml:space="preserve"> </w:t>
      </w:r>
      <w:r>
        <w:t xml:space="preserve">Online purchases (3 months) from</w:t>
      </w:r>
      <w:r>
        <w:t xml:space="preserve"> </w:t>
      </w:r>
      <w:r>
        <w:t xml:space="preserve">private persons: any physical goods</w:t>
      </w:r>
      <w:r>
        <w:t xml:space="preserve"> </w:t>
      </w:r>
      <w:r>
        <w:t xml:space="preserve">18%</w:t>
      </w:r>
      <w:r>
        <w:t xml:space="preserve"> </w:t>
      </w:r>
      <w:r>
        <w:t xml:space="preserve">18%</w:t>
      </w:r>
      <w:r>
        <w:t xml:space="preserve"> </w:t>
      </w:r>
      <w:r>
        <w:t xml:space="preserve">80,517,585</w:t>
      </w:r>
      <w:r>
        <w:t xml:space="preserve"> </w:t>
      </w:r>
      <w:r>
        <w:t xml:space="preserve">80,675,117</w:t>
      </w:r>
      <w:r>
        <w:t xml:space="preserve"> </w:t>
      </w:r>
      <w:r>
        <w:t xml:space="preserve">Music as a streaming service or</w:t>
      </w:r>
      <w:r>
        <w:t xml:space="preserve"> </w:t>
      </w:r>
      <w:r>
        <w:t xml:space="preserve">downloads</w:t>
      </w:r>
      <w:r>
        <w:t xml:space="preserve"> </w:t>
      </w:r>
      <w:r>
        <w:t xml:space="preserve">13%</w:t>
      </w:r>
      <w:r>
        <w:t xml:space="preserve"> </w:t>
      </w:r>
      <w:r>
        <w:t xml:space="preserve">14%</w:t>
      </w:r>
      <w:r>
        <w:t xml:space="preserve"> </w:t>
      </w:r>
      <w:r>
        <w:t xml:space="preserve">58,151,589</w:t>
      </w:r>
      <w:r>
        <w:t xml:space="preserve"> </w:t>
      </w:r>
      <w:r>
        <w:t xml:space="preserve">62,747,314</w:t>
      </w:r>
      <w:r>
        <w:t xml:space="preserve"> </w:t>
      </w:r>
      <w:r>
        <w:t xml:space="preserve">Films or series as a streaming service</w:t>
      </w:r>
      <w:r>
        <w:t xml:space="preserve"> </w:t>
      </w:r>
      <w:r>
        <w:t xml:space="preserve">or downloads</w:t>
      </w:r>
      <w:r>
        <w:t xml:space="preserve"> </w:t>
      </w:r>
      <w:r>
        <w:t xml:space="preserve">17%</w:t>
      </w:r>
      <w:r>
        <w:t xml:space="preserve"> </w:t>
      </w:r>
      <w:r>
        <w:t xml:space="preserve">17%</w:t>
      </w:r>
      <w:r>
        <w:t xml:space="preserve"> </w:t>
      </w:r>
      <w:r>
        <w:t xml:space="preserve">76,044,386</w:t>
      </w:r>
      <w:r>
        <w:t xml:space="preserve"> </w:t>
      </w:r>
      <w:r>
        <w:t xml:space="preserve">76,193,166</w:t>
      </w:r>
      <w:r>
        <w:t xml:space="preserve"> </w:t>
      </w:r>
      <w:r>
        <w:t xml:space="preserve">e-books, online-magazines or online-</w:t>
      </w:r>
      <w:r>
        <w:t xml:space="preserve"> </w:t>
      </w:r>
      <w:r>
        <w:t xml:space="preserve">newspapers</w:t>
      </w:r>
      <w:r>
        <w:t xml:space="preserve"> </w:t>
      </w:r>
      <w:r>
        <w:t xml:space="preserve">7%</w:t>
      </w:r>
      <w:r>
        <w:t xml:space="preserve"> </w:t>
      </w:r>
      <w:r>
        <w:t xml:space="preserve">7%</w:t>
      </w:r>
      <w:r>
        <w:t xml:space="preserve"> </w:t>
      </w:r>
      <w:r>
        <w:t xml:space="preserve">31,312,394</w:t>
      </w:r>
      <w:r>
        <w:t xml:space="preserve"> </w:t>
      </w:r>
      <w:r>
        <w:t xml:space="preserve">31,373,657</w:t>
      </w:r>
      <w:r>
        <w:t xml:space="preserve"> </w:t>
      </w:r>
      <w:r>
        <w:t xml:space="preserve">Games online or as downloads for</w:t>
      </w:r>
      <w:r>
        <w:t xml:space="preserve"> </w:t>
      </w:r>
      <w:r>
        <w:t xml:space="preserve">smartphones, tablets, computers or</w:t>
      </w:r>
      <w:r>
        <w:t xml:space="preserve"> </w:t>
      </w:r>
      <w:r>
        <w:t xml:space="preserve">consoles</w:t>
      </w:r>
      <w:r>
        <w:t xml:space="preserve"> </w:t>
      </w:r>
      <w:r>
        <w:t xml:space="preserve">9%</w:t>
      </w:r>
      <w:r>
        <w:t xml:space="preserve"> </w:t>
      </w:r>
      <w:r>
        <w:t xml:space="preserve">9%</w:t>
      </w:r>
      <w:r>
        <w:t xml:space="preserve"> </w:t>
      </w:r>
      <w:r>
        <w:t xml:space="preserve">40,258,792</w:t>
      </w:r>
      <w:r>
        <w:t xml:space="preserve"> </w:t>
      </w:r>
      <w:r>
        <w:t xml:space="preserve">40,337,559</w:t>
      </w:r>
      <w:r>
        <w:t xml:space="preserve"> </w:t>
      </w:r>
      <w:r>
        <w:t xml:space="preserve">Computer</w:t>
      </w:r>
      <w:r>
        <w:t xml:space="preserve"> </w:t>
      </w:r>
      <w:r>
        <w:t xml:space="preserve">or</w:t>
      </w:r>
      <w:r>
        <w:t xml:space="preserve"> </w:t>
      </w:r>
      <w:r>
        <w:t xml:space="preserve">other</w:t>
      </w:r>
      <w:r>
        <w:t xml:space="preserve"> </w:t>
      </w:r>
      <w:r>
        <w:t xml:space="preserve">software</w:t>
      </w:r>
      <w:r>
        <w:t xml:space="preserve"> </w:t>
      </w:r>
      <w:r>
        <w:t xml:space="preserve">as 9%</w:t>
      </w:r>
      <w:r>
        <w:t xml:space="preserve"> </w:t>
      </w:r>
      <w:r>
        <w:t xml:space="preserve">9%</w:t>
      </w:r>
      <w:r>
        <w:t xml:space="preserve"> </w:t>
      </w:r>
      <w:r>
        <w:t xml:space="preserve">40,258,792</w:t>
      </w:r>
      <w:r>
        <w:t xml:space="preserve"> </w:t>
      </w:r>
      <w:r>
        <w:t xml:space="preserve">40,337,559</w:t>
      </w:r>
    </w:p>
    <w:p>
      <w:pPr>
        <w:pStyle w:val="BodyText"/>
      </w:pPr>
      <w:r>
        <w:t xml:space="preserve">581</w:t>
      </w:r>
    </w:p>
    <w:p>
      <w:pPr>
        <w:pStyle w:val="BodyText"/>
      </w:pPr>
      <w:r>
        <w:t xml:space="preserve">Table 180: Implied total number of online purchases/transactions over three months (all types of purchase)</w:t>
      </w:r>
    </w:p>
    <w:p>
      <w:pPr>
        <w:pStyle w:val="BodyText"/>
      </w:pPr>
      <w:r>
        <w:t xml:space="preserve">Percentage</w:t>
      </w:r>
      <w:r>
        <w:t xml:space="preserve"> </w:t>
      </w:r>
      <w:r>
        <w:t xml:space="preserve">of</w:t>
      </w:r>
      <w:r>
        <w:t xml:space="preserve"> </w:t>
      </w:r>
      <w:r>
        <w:t xml:space="preserve">individuals</w:t>
      </w:r>
      <w:r>
        <w:t xml:space="preserve"> </w:t>
      </w:r>
      <w:r>
        <w:t xml:space="preserve">making</w:t>
      </w:r>
      <w:r>
        <w:t xml:space="preserve"> </w:t>
      </w:r>
      <w:r>
        <w:t xml:space="preserve">online</w:t>
      </w:r>
      <w:r>
        <w:t xml:space="preserve"> </w:t>
      </w:r>
      <w:r>
        <w:t xml:space="preserve">purchases within</w:t>
      </w:r>
      <w:r>
        <w:t xml:space="preserve"> </w:t>
      </w:r>
      <w:r>
        <w:t xml:space="preserve">a</w:t>
      </w:r>
      <w:r>
        <w:t xml:space="preserve"> </w:t>
      </w:r>
      <w:r>
        <w:t xml:space="preserve">three-month</w:t>
      </w:r>
      <w:r>
        <w:t xml:space="preserve"> </w:t>
      </w:r>
      <w:r>
        <w:t xml:space="preserve">period</w:t>
      </w:r>
      <w:r>
        <w:t xml:space="preserve"> </w:t>
      </w:r>
      <w:r>
        <w:t xml:space="preserve">Implied</w:t>
      </w:r>
      <w:r>
        <w:t xml:space="preserve"> </w:t>
      </w:r>
      <w:r>
        <w:t xml:space="preserve">number</w:t>
      </w:r>
      <w:r>
        <w:t xml:space="preserve"> </w:t>
      </w:r>
      <w:r>
        <w:t xml:space="preserve">of</w:t>
      </w:r>
      <w:r>
        <w:t xml:space="preserve"> </w:t>
      </w:r>
      <w:r>
        <w:t xml:space="preserve">purchases/transactions</w:t>
      </w:r>
      <w:r>
        <w:t xml:space="preserve"> </w:t>
      </w:r>
      <w:r>
        <w:t xml:space="preserve">within a three-month period</w:t>
      </w:r>
      <w:r>
        <w:t xml:space="preserve"> </w:t>
      </w:r>
      <w:r>
        <w:t xml:space="preserve">downloads including upgrades</w:t>
      </w:r>
      <w:r>
        <w:t xml:space="preserve"> </w:t>
      </w:r>
      <w:r>
        <w:t xml:space="preserve">Apps related to health or fitness</w:t>
      </w:r>
      <w:r>
        <w:t xml:space="preserve"> </w:t>
      </w:r>
      <w:r>
        <w:t xml:space="preserve">(excluding free apps)</w:t>
      </w:r>
      <w:r>
        <w:t xml:space="preserve"> </w:t>
      </w:r>
      <w:r>
        <w:t xml:space="preserve">4%</w:t>
      </w:r>
      <w:r>
        <w:t xml:space="preserve"> </w:t>
      </w:r>
      <w:r>
        <w:t xml:space="preserve">4%</w:t>
      </w:r>
      <w:r>
        <w:t xml:space="preserve"> </w:t>
      </w:r>
      <w:r>
        <w:t xml:space="preserve">17,892,797</w:t>
      </w:r>
      <w:r>
        <w:t xml:space="preserve"> </w:t>
      </w:r>
      <w:r>
        <w:t xml:space="preserve">17,927,804</w:t>
      </w:r>
      <w:r>
        <w:t xml:space="preserve"> </w:t>
      </w:r>
      <w:r>
        <w:t xml:space="preserve">Other apps (e.g. related to learning</w:t>
      </w:r>
      <w:r>
        <w:t xml:space="preserve"> </w:t>
      </w:r>
      <w:r>
        <w:t xml:space="preserve">languages,</w:t>
      </w:r>
      <w:r>
        <w:t xml:space="preserve"> </w:t>
      </w:r>
      <w:r>
        <w:t xml:space="preserve">travelling,</w:t>
      </w:r>
      <w:r>
        <w:t xml:space="preserve"> </w:t>
      </w:r>
      <w:r>
        <w:t xml:space="preserve">weather)</w:t>
      </w:r>
      <w:r>
        <w:t xml:space="preserve"> </w:t>
      </w:r>
      <w:r>
        <w:t xml:space="preserve">(excluding free apps)</w:t>
      </w:r>
      <w:r>
        <w:t xml:space="preserve"> </w:t>
      </w:r>
      <w:r>
        <w:t xml:space="preserve">4%</w:t>
      </w:r>
      <w:r>
        <w:t xml:space="preserve"> </w:t>
      </w:r>
      <w:r>
        <w:t xml:space="preserve">4%</w:t>
      </w:r>
      <w:r>
        <w:t xml:space="preserve"> </w:t>
      </w:r>
      <w:r>
        <w:t xml:space="preserve">17,892,797</w:t>
      </w:r>
      <w:r>
        <w:t xml:space="preserve"> </w:t>
      </w:r>
      <w:r>
        <w:t xml:space="preserve">17,927,804</w:t>
      </w:r>
      <w:r>
        <w:t xml:space="preserve"> </w:t>
      </w:r>
      <w:r>
        <w:t xml:space="preserve">Tickets to sport events</w:t>
      </w:r>
      <w:r>
        <w:t xml:space="preserve"> </w:t>
      </w:r>
      <w:r>
        <w:t xml:space="preserve">3%</w:t>
      </w:r>
      <w:r>
        <w:t xml:space="preserve"> </w:t>
      </w:r>
      <w:r>
        <w:t xml:space="preserve">1%</w:t>
      </w:r>
      <w:r>
        <w:t xml:space="preserve"> </w:t>
      </w:r>
      <w:r>
        <w:t xml:space="preserve">13,419,597</w:t>
      </w:r>
      <w:r>
        <w:t xml:space="preserve"> </w:t>
      </w:r>
      <w:r>
        <w:t xml:space="preserve">4,481,951</w:t>
      </w:r>
      <w:r>
        <w:t xml:space="preserve"> </w:t>
      </w:r>
      <w:r>
        <w:t xml:space="preserve">Tickets to cultural or other events</w:t>
      </w:r>
      <w:r>
        <w:t xml:space="preserve"> </w:t>
      </w:r>
      <w:r>
        <w:t xml:space="preserve">12%</w:t>
      </w:r>
      <w:r>
        <w:t xml:space="preserve"> </w:t>
      </w:r>
      <w:r>
        <w:t xml:space="preserve">5%</w:t>
      </w:r>
      <w:r>
        <w:t xml:space="preserve"> </w:t>
      </w:r>
      <w:r>
        <w:t xml:space="preserve">53,678,390</w:t>
      </w:r>
      <w:r>
        <w:t xml:space="preserve"> </w:t>
      </w:r>
      <w:r>
        <w:t xml:space="preserve">22,409,755</w:t>
      </w:r>
      <w:r>
        <w:t xml:space="preserve"> </w:t>
      </w:r>
      <w:r>
        <w:t xml:space="preserve">Subscriptions to the internet or mobile</w:t>
      </w:r>
      <w:r>
        <w:t xml:space="preserve"> </w:t>
      </w:r>
      <w:r>
        <w:t xml:space="preserve">phone connections</w:t>
      </w:r>
      <w:r>
        <w:t xml:space="preserve"> </w:t>
      </w:r>
      <w:r>
        <w:t xml:space="preserve">8%</w:t>
      </w:r>
      <w:r>
        <w:t xml:space="preserve"> </w:t>
      </w:r>
      <w:r>
        <w:t xml:space="preserve">7%</w:t>
      </w:r>
      <w:r>
        <w:t xml:space="preserve"> </w:t>
      </w:r>
      <w:r>
        <w:t xml:space="preserve">35,785,593</w:t>
      </w:r>
      <w:r>
        <w:t xml:space="preserve"> </w:t>
      </w:r>
      <w:r>
        <w:t xml:space="preserve">31,373,657</w:t>
      </w:r>
      <w:r>
        <w:t xml:space="preserve"> </w:t>
      </w:r>
      <w:r>
        <w:t xml:space="preserve">Subscription to electricity, water or</w:t>
      </w:r>
      <w:r>
        <w:t xml:space="preserve"> </w:t>
      </w:r>
      <w:r>
        <w:t xml:space="preserve">heating supply, waste disposal or</w:t>
      </w:r>
      <w:r>
        <w:t xml:space="preserve"> </w:t>
      </w:r>
      <w:r>
        <w:t xml:space="preserve">similar services</w:t>
      </w:r>
      <w:r>
        <w:t xml:space="preserve"> </w:t>
      </w:r>
      <w:r>
        <w:t xml:space="preserve">6%</w:t>
      </w:r>
      <w:r>
        <w:t xml:space="preserve"> </w:t>
      </w:r>
      <w:r>
        <w:t xml:space="preserve">5%</w:t>
      </w:r>
      <w:r>
        <w:t xml:space="preserve"> </w:t>
      </w:r>
      <w:r>
        <w:t xml:space="preserve">26,839,195</w:t>
      </w:r>
      <w:r>
        <w:t xml:space="preserve"> </w:t>
      </w:r>
      <w:r>
        <w:t xml:space="preserve">22,409,755</w:t>
      </w:r>
      <w:r>
        <w:t xml:space="preserve"> </w:t>
      </w:r>
      <w:r>
        <w:t xml:space="preserve">Household services (e.g. cleaning,</w:t>
      </w:r>
      <w:r>
        <w:t xml:space="preserve"> </w:t>
      </w:r>
      <w:r>
        <w:t xml:space="preserve">babysitting, repair work, gardening)</w:t>
      </w:r>
      <w:r>
        <w:t xml:space="preserve"> </w:t>
      </w:r>
      <w:r>
        <w:t xml:space="preserve">2%</w:t>
      </w:r>
      <w:r>
        <w:t xml:space="preserve"> </w:t>
      </w:r>
      <w:r>
        <w:t xml:space="preserve">2%</w:t>
      </w:r>
      <w:r>
        <w:t xml:space="preserve"> </w:t>
      </w:r>
      <w:r>
        <w:t xml:space="preserve">8,946,398</w:t>
      </w:r>
      <w:r>
        <w:t xml:space="preserve"> </w:t>
      </w:r>
      <w:r>
        <w:t xml:space="preserve">8,963,902</w:t>
      </w:r>
      <w:r>
        <w:t xml:space="preserve"> </w:t>
      </w:r>
      <w:r>
        <w:t xml:space="preserve">Total</w:t>
      </w:r>
    </w:p>
    <w:p>
      <w:pPr>
        <w:pStyle w:val="BodyText"/>
      </w:pPr>
      <w:r>
        <w:t xml:space="preserve">1,261,442,16</w:t>
      </w:r>
      <w:r>
        <w:t xml:space="preserve"> </w:t>
      </w:r>
      <w:r>
        <w:t xml:space="preserve">3</w:t>
      </w:r>
      <w:r>
        <w:t xml:space="preserve"> </w:t>
      </w:r>
      <w:r>
        <w:t xml:space="preserve">1,263,910,17</w:t>
      </w:r>
      <w:r>
        <w:t xml:space="preserve"> </w:t>
      </w:r>
      <w:r>
        <w:t xml:space="preserve">3</w:t>
      </w:r>
      <w:r>
        <w:t xml:space="preserve"> </w:t>
      </w:r>
      <w:r>
        <w:t xml:space="preserve">Notes:</w:t>
      </w:r>
      <w:r>
        <w:t xml:space="preserve"> </w:t>
      </w:r>
      <w:r>
        <w:t xml:space="preserve">Based</w:t>
      </w:r>
      <w:r>
        <w:t xml:space="preserve"> </w:t>
      </w:r>
      <w:r>
        <w:t xml:space="preserve">on</w:t>
      </w:r>
      <w:r>
        <w:t xml:space="preserve"> </w:t>
      </w:r>
      <w:r>
        <w:t xml:space="preserve">combination</w:t>
      </w:r>
      <w:r>
        <w:t xml:space="preserve"> </w:t>
      </w:r>
      <w:r>
        <w:t xml:space="preserve">of</w:t>
      </w:r>
      <w:r>
        <w:t xml:space="preserve"> </w:t>
      </w:r>
      <w:r>
        <w:t xml:space="preserve">EUROSTAT</w:t>
      </w:r>
      <w:r>
        <w:t xml:space="preserve"> </w:t>
      </w:r>
      <w:r>
        <w:t xml:space="preserve">population</w:t>
      </w:r>
      <w:r>
        <w:t xml:space="preserve"> </w:t>
      </w:r>
      <w:r>
        <w:t xml:space="preserve">data</w:t>
      </w:r>
      <w:r>
        <w:t xml:space="preserve"> </w:t>
      </w:r>
      <w:r>
        <w:t xml:space="preserve">(https://ec.europa.eu/eurostat/databrowser/view/demo_pjan/default/table?lang=en) of 447 319 916 for 2020 and</w:t>
      </w:r>
      <w:r>
        <w:t xml:space="preserve"> </w:t>
      </w:r>
      <w:r>
        <w:t xml:space="preserve">448</w:t>
      </w:r>
      <w:r>
        <w:t xml:space="preserve"> </w:t>
      </w:r>
      <w:r>
        <w:t xml:space="preserve">195</w:t>
      </w:r>
      <w:r>
        <w:t xml:space="preserve"> </w:t>
      </w:r>
      <w:r>
        <w:t xml:space="preserve">097</w:t>
      </w:r>
      <w:r>
        <w:t xml:space="preserve"> </w:t>
      </w:r>
      <w:r>
        <w:t xml:space="preserve">for</w:t>
      </w:r>
      <w:r>
        <w:t xml:space="preserve"> </w:t>
      </w:r>
      <w:r>
        <w:t xml:space="preserve">2021</w:t>
      </w:r>
      <w:r>
        <w:t xml:space="preserve"> </w:t>
      </w:r>
      <w:r>
        <w:t xml:space="preserve">and</w:t>
      </w:r>
      <w:r>
        <w:t xml:space="preserve"> </w:t>
      </w:r>
      <w:r>
        <w:t xml:space="preserve">E-Commerce</w:t>
      </w:r>
      <w:r>
        <w:t xml:space="preserve"> </w:t>
      </w:r>
      <w:r>
        <w:t xml:space="preserve">and</w:t>
      </w:r>
      <w:r>
        <w:t xml:space="preserve"> </w:t>
      </w:r>
      <w:r>
        <w:t xml:space="preserve">digital</w:t>
      </w:r>
      <w:r>
        <w:t xml:space="preserve"> </w:t>
      </w:r>
      <w:r>
        <w:t xml:space="preserve">economy</w:t>
      </w:r>
      <w:r>
        <w:t xml:space="preserve"> </w:t>
      </w:r>
      <w:r>
        <w:t xml:space="preserve">and</w:t>
      </w:r>
      <w:r>
        <w:t xml:space="preserve"> </w:t>
      </w:r>
      <w:r>
        <w:t xml:space="preserve">society</w:t>
      </w:r>
      <w:r>
        <w:t xml:space="preserve"> </w:t>
      </w:r>
      <w:r>
        <w:t xml:space="preserve">data</w:t>
      </w:r>
      <w:r>
        <w:t xml:space="preserve"> </w:t>
      </w:r>
      <w:r>
        <w:t xml:space="preserve">(https://ec.europa.eu/eurostat/databrowser/view/isoc_ec_ibgs/default/table?lang=en)</w:t>
      </w:r>
    </w:p>
    <w:p>
      <w:pPr>
        <w:pStyle w:val="BodyText"/>
      </w:pPr>
      <w:r>
        <w:t xml:space="preserve">Clearly, the values in Table 179 are derived from the number of individuals who have</w:t>
      </w:r>
      <w:r>
        <w:t xml:space="preserve"> </w:t>
      </w:r>
      <w:r>
        <w:t xml:space="preserve">purchased at least one of each of the listed items in the three-month period. As many</w:t>
      </w:r>
      <w:r>
        <w:t xml:space="preserve"> </w:t>
      </w:r>
      <w:r>
        <w:t xml:space="preserve">consumers may have made more than one purchase in that period, the numbers of items as</w:t>
      </w:r>
      <w:r>
        <w:t xml:space="preserve"> </w:t>
      </w:r>
      <w:r>
        <w:t xml:space="preserve">calculated in Table 179 may represent a minimum. However, Eurostat also provide data on</w:t>
      </w:r>
      <w:r>
        <w:t xml:space="preserve"> </w:t>
      </w:r>
      <w:r>
        <w:t xml:space="preserve">the percentage of (all) individuals making:</w:t>
      </w:r>
      <w:r>
        <w:t xml:space="preserve"> </w:t>
      </w:r>
      <w:r>
        <w:t xml:space="preserve">1 to 2 (average 1.5) online purchases within three months;</w:t>
      </w:r>
      <w:r>
        <w:t xml:space="preserve"> </w:t>
      </w:r>
      <w:r>
        <w:t xml:space="preserve">3 to 5 (average 4) online purchases within three months;</w:t>
      </w:r>
      <w:r>
        <w:t xml:space="preserve"> </w:t>
      </w:r>
      <w:r>
        <w:t xml:space="preserve">6 to 10 (average 8) online purchases within three months; and</w:t>
      </w:r>
      <w:r>
        <w:t xml:space="preserve"> </w:t>
      </w:r>
      <w:r>
        <w:t xml:space="preserve">More than 10 online purchases within three months.209</w:t>
      </w:r>
      <w:r>
        <w:t xml:space="preserve"> </w:t>
      </w:r>
      <w:r>
        <w:t xml:space="preserve">Applying these percentages to the number of individuals and number of purchases provides a</w:t>
      </w:r>
      <w:r>
        <w:t xml:space="preserve"> </w:t>
      </w:r>
      <w:r>
        <w:t xml:space="preserve">second estimate of the total number of purchases/transactions in a three-month period for</w:t>
      </w:r>
      <w:r>
        <w:t xml:space="preserve"> </w:t>
      </w:r>
      <w:r>
        <w:t xml:space="preserve">comparison with the total numbers of purchases of 1.264 billion (2021) and 1.261 billion</w:t>
      </w:r>
      <w:r>
        <w:t xml:space="preserve"> </w:t>
      </w:r>
      <w:r>
        <w:t xml:space="preserve">(2020) from Table 179. For three of the four frequency categories the number of purchases is</w:t>
      </w:r>
      <w:r>
        <w:t xml:space="preserve"> </w:t>
      </w:r>
      <w:r>
        <w:t xml:space="preserve">established. However, for the category of ‘more than 10 purchases’, the number is not</w:t>
      </w:r>
      <w:r>
        <w:t xml:space="preserve"> </w:t>
      </w:r>
      <w:r>
        <w:t xml:space="preserve">defined but can be varied in the calculations to adjust the returned number of transactions</w:t>
      </w:r>
      <w:r>
        <w:t xml:space="preserve"> </w:t>
      </w:r>
      <w:r>
        <w:t xml:space="preserve">from the frequency data until it matches the totals given in Table 179. Cross-checking the</w:t>
      </w:r>
    </w:p>
    <w:p>
      <w:pPr>
        <w:pStyle w:val="BodyText"/>
      </w:pPr>
      <w:r>
        <w:t xml:space="preserve">209</w:t>
      </w:r>
      <w:r>
        <w:t xml:space="preserve"> </w:t>
      </w:r>
      <w:r>
        <w:t xml:space="preserve">Eurostat,</w:t>
      </w:r>
      <w:r>
        <w:t xml:space="preserve"> </w:t>
      </w:r>
      <w:r>
        <w:t xml:space="preserve">Internet</w:t>
      </w:r>
      <w:r>
        <w:t xml:space="preserve"> </w:t>
      </w:r>
      <w:r>
        <w:t xml:space="preserve">purchases</w:t>
      </w:r>
      <w:r>
        <w:t xml:space="preserve"> </w:t>
      </w:r>
      <w:r>
        <w:t xml:space="preserve">by</w:t>
      </w:r>
      <w:r>
        <w:t xml:space="preserve"> </w:t>
      </w:r>
      <w:r>
        <w:t xml:space="preserve">individuals</w:t>
      </w:r>
      <w:r>
        <w:t xml:space="preserve"> </w:t>
      </w:r>
      <w:r>
        <w:t xml:space="preserve">(2020</w:t>
      </w:r>
      <w:r>
        <w:t xml:space="preserve"> </w:t>
      </w:r>
      <w:r>
        <w:t xml:space="preserve">onwards),</w:t>
      </w:r>
      <w:r>
        <w:t xml:space="preserve"> </w:t>
      </w:r>
      <w:r>
        <w:t xml:space="preserve">available</w:t>
      </w:r>
      <w:r>
        <w:t xml:space="preserve"> </w:t>
      </w:r>
      <w:r>
        <w:t xml:space="preserve">at:</w:t>
      </w:r>
      <w:r>
        <w:t xml:space="preserve"> </w:t>
      </w:r>
      <w:r>
        <w:t xml:space="preserve">https://ec.europa.eu/eurostat/databrowser/view/isoc_ec_ib20/default/table?lang=en</w:t>
      </w:r>
    </w:p>
    <w:p>
      <w:pPr>
        <w:pStyle w:val="BodyText"/>
      </w:pPr>
      <w:r>
        <w:t xml:space="preserve">582</w:t>
      </w:r>
    </w:p>
    <w:p>
      <w:pPr>
        <w:pStyle w:val="BodyText"/>
      </w:pPr>
      <w:r>
        <w:t xml:space="preserve">numbers in this way suggests that the ‘more than 10’ category would have to equate to an</w:t>
      </w:r>
      <w:r>
        <w:t xml:space="preserve"> </w:t>
      </w:r>
      <w:r>
        <w:t xml:space="preserve">average of around 14 purchases in three months for the two sets of numbers to agree. This, in</w:t>
      </w:r>
      <w:r>
        <w:t xml:space="preserve"> </w:t>
      </w:r>
      <w:r>
        <w:t xml:space="preserve">turn, equates to a weighted average of 2.8 purchases per individual across all individuals</w:t>
      </w:r>
      <w:r>
        <w:t xml:space="preserve"> </w:t>
      </w:r>
      <w:r>
        <w:t xml:space="preserve">making purchases within the three-month period.</w:t>
      </w:r>
      <w:r>
        <w:br/>
      </w:r>
      <w:r>
        <w:t xml:space="preserve">As, from the cross-checking, this does not seem unreasonable it is assumed that the</w:t>
      </w:r>
      <w:r>
        <w:t xml:space="preserve"> </w:t>
      </w:r>
      <w:r>
        <w:t xml:space="preserve">calculation total number of purchases/transactions across all categories of purchases in Table</w:t>
      </w:r>
      <w:r>
        <w:t xml:space="preserve"> </w:t>
      </w:r>
      <w:r>
        <w:t xml:space="preserve">179 is relatively unaffected by the possibility that multiple individuals may have made</w:t>
      </w:r>
      <w:r>
        <w:t xml:space="preserve"> </w:t>
      </w:r>
      <w:r>
        <w:t xml:space="preserve">multiple purchases from the same category of product. Applying a ‘common sense’</w:t>
      </w:r>
      <w:r>
        <w:t xml:space="preserve"> </w:t>
      </w:r>
      <w:r>
        <w:t xml:space="preserve">approach, for multiple purchases from the same individuals to significantly affect the data</w:t>
      </w:r>
      <w:r>
        <w:t xml:space="preserve"> </w:t>
      </w:r>
      <w:r>
        <w:t xml:space="preserve">and the estimate of the total number of purchases/transactions, multiple individuals would</w:t>
      </w:r>
      <w:r>
        <w:t xml:space="preserve"> </w:t>
      </w:r>
      <w:r>
        <w:t xml:space="preserve">have to be making multiple purchases of the same category of item. Whilst this is possible,</w:t>
      </w:r>
      <w:r>
        <w:t xml:space="preserve"> </w:t>
      </w:r>
      <w:r>
        <w:t xml:space="preserve">the</w:t>
      </w:r>
      <w:r>
        <w:t xml:space="preserve"> </w:t>
      </w:r>
      <w:r>
        <w:t xml:space="preserve">numbers</w:t>
      </w:r>
      <w:r>
        <w:t xml:space="preserve"> </w:t>
      </w:r>
      <w:r>
        <w:t xml:space="preserve">in</w:t>
      </w:r>
      <w:r>
        <w:t xml:space="preserve"> </w:t>
      </w:r>
      <w:r>
        <w:t xml:space="preserve">Table</w:t>
      </w:r>
      <w:r>
        <w:t xml:space="preserve"> </w:t>
      </w:r>
      <w:r>
        <w:t xml:space="preserve">179</w:t>
      </w:r>
      <w:r>
        <w:t xml:space="preserve"> </w:t>
      </w:r>
      <w:r>
        <w:t xml:space="preserve">represent</w:t>
      </w:r>
      <w:r>
        <w:t xml:space="preserve"> </w:t>
      </w:r>
      <w:r>
        <w:t xml:space="preserve">the</w:t>
      </w:r>
      <w:r>
        <w:t xml:space="preserve"> </w:t>
      </w:r>
      <w:r>
        <w:t xml:space="preserve">best</w:t>
      </w:r>
      <w:r>
        <w:t xml:space="preserve"> </w:t>
      </w:r>
      <w:r>
        <w:t xml:space="preserve">available</w:t>
      </w:r>
      <w:r>
        <w:t xml:space="preserve"> </w:t>
      </w:r>
      <w:r>
        <w:t xml:space="preserve">estimate</w:t>
      </w:r>
      <w:r>
        <w:t xml:space="preserve"> </w:t>
      </w:r>
      <w:r>
        <w:t xml:space="preserve">of</w:t>
      </w:r>
      <w:r>
        <w:t xml:space="preserve"> </w:t>
      </w:r>
      <w:r>
        <w:t xml:space="preserve">online</w:t>
      </w:r>
      <w:r>
        <w:t xml:space="preserve"> </w:t>
      </w:r>
      <w:r>
        <w:t xml:space="preserve">purchases/transactions, and it is assumed that the estimates in relation to the CLP (and</w:t>
      </w:r>
      <w:r>
        <w:t xml:space="preserve"> </w:t>
      </w:r>
      <w:r>
        <w:t xml:space="preserve">REACH) relevant categories are a reasonable reflection of the reality.</w:t>
      </w:r>
      <w:r>
        <w:t xml:space="preserve"> </w:t>
      </w:r>
      <w:r>
        <w:t xml:space="preserve">Online purchases from sellers outside the EU</w:t>
      </w:r>
      <w:r>
        <w:t xml:space="preserve"> </w:t>
      </w:r>
      <w:r>
        <w:t xml:space="preserve">Eurostat also produce data describing the percentage of (all) individuals who have made an</w:t>
      </w:r>
      <w:r>
        <w:t xml:space="preserve"> </w:t>
      </w:r>
      <w:r>
        <w:t xml:space="preserve">online purchase from sellers in their own nation or in different country categories.210 The</w:t>
      </w:r>
      <w:r>
        <w:t xml:space="preserve"> </w:t>
      </w:r>
      <w:r>
        <w:t xml:space="preserve">data for 2020 and 2021 are provided in Table 180. These data can be used to describe both</w:t>
      </w:r>
      <w:r>
        <w:t xml:space="preserve"> </w:t>
      </w:r>
      <w:r>
        <w:t xml:space="preserve">the percentage of (all) individuals making purchases from EU versus non-EU sellers and also</w:t>
      </w:r>
      <w:r>
        <w:t xml:space="preserve"> </w:t>
      </w:r>
      <w:r>
        <w:t xml:space="preserve">the fraction of items sold by EU versus non EU sellers. Concerning the implied origin of</w:t>
      </w:r>
      <w:r>
        <w:t xml:space="preserve"> </w:t>
      </w:r>
      <w:r>
        <w:t xml:space="preserve">products, this is only an assumption one can make given that online platforms in one Member</w:t>
      </w:r>
      <w:r>
        <w:t xml:space="preserve"> </w:t>
      </w:r>
      <w:r>
        <w:t xml:space="preserve">State may very well sell goods not originating from that Member State but from a third</w:t>
      </w:r>
      <w:r>
        <w:t xml:space="preserve"> </w:t>
      </w:r>
      <w:r>
        <w:t xml:space="preserve">country. So, in reality, the number of products originating from third countries might be</w:t>
      </w:r>
      <w:r>
        <w:t xml:space="preserve"> </w:t>
      </w:r>
      <w:r>
        <w:t xml:space="preserve">much higher.</w:t>
      </w:r>
      <w:r>
        <w:t xml:space="preserve"> </w:t>
      </w:r>
      <w:r>
        <w:t xml:space="preserve">Table 181: Purchases made from sellers in different locations</w:t>
      </w:r>
    </w:p>
    <w:p>
      <w:pPr>
        <w:pStyle w:val="BodyText"/>
      </w:pPr>
      <w:r>
        <w:t xml:space="preserve">Percentage</w:t>
      </w:r>
      <w:r>
        <w:t xml:space="preserve"> </w:t>
      </w:r>
      <w:r>
        <w:t xml:space="preserve">of</w:t>
      </w:r>
      <w:r>
        <w:t xml:space="preserve"> </w:t>
      </w:r>
      <w:r>
        <w:t xml:space="preserve">individuals</w:t>
      </w:r>
      <w:r>
        <w:t xml:space="preserve"> </w:t>
      </w:r>
      <w:r>
        <w:t xml:space="preserve">making</w:t>
      </w:r>
      <w:r>
        <w:t xml:space="preserve"> </w:t>
      </w:r>
      <w:r>
        <w:t xml:space="preserve">purchases</w:t>
      </w:r>
      <w:r>
        <w:t xml:space="preserve"> </w:t>
      </w:r>
      <w:r>
        <w:t xml:space="preserve">(from</w:t>
      </w:r>
      <w:r>
        <w:t xml:space="preserve"> </w:t>
      </w:r>
      <w:r>
        <w:t xml:space="preserve">EUROSTAT)</w:t>
      </w:r>
      <w:r>
        <w:t xml:space="preserve"> </w:t>
      </w:r>
      <w:r>
        <w:t xml:space="preserve">Fraction of items</w:t>
      </w:r>
      <w:r>
        <w:t xml:space="preserve"> </w:t>
      </w:r>
      <w:r>
        <w:t xml:space="preserve">from</w:t>
      </w:r>
      <w:r>
        <w:t xml:space="preserve"> </w:t>
      </w:r>
      <w:r>
        <w:t xml:space="preserve">sellers</w:t>
      </w:r>
      <w:r>
        <w:t xml:space="preserve"> </w:t>
      </w:r>
      <w:r>
        <w:t xml:space="preserve">in</w:t>
      </w:r>
      <w:r>
        <w:t xml:space="preserve"> </w:t>
      </w:r>
      <w:r>
        <w:t xml:space="preserve">different locations</w:t>
      </w:r>
      <w:r>
        <w:t xml:space="preserve"> </w:t>
      </w:r>
      <w:r>
        <w:t xml:space="preserve">types*</w:t>
      </w:r>
    </w:p>
    <w:p>
      <w:pPr>
        <w:pStyle w:val="BodyText"/>
      </w:pPr>
      <w:r>
        <w:t xml:space="preserve">2020</w:t>
      </w:r>
      <w:r>
        <w:t xml:space="preserve"> </w:t>
      </w:r>
      <w:r>
        <w:t xml:space="preserve">2021</w:t>
      </w:r>
      <w:r>
        <w:t xml:space="preserve"> </w:t>
      </w:r>
      <w:r>
        <w:t xml:space="preserve">2020</w:t>
      </w:r>
      <w:r>
        <w:t xml:space="preserve"> </w:t>
      </w:r>
      <w:r>
        <w:t xml:space="preserve">2021</w:t>
      </w:r>
      <w:r>
        <w:t xml:space="preserve"> </w:t>
      </w:r>
      <w:r>
        <w:t xml:space="preserve">Online purchases: from national sellers</w:t>
      </w:r>
      <w:r>
        <w:t xml:space="preserve"> </w:t>
      </w:r>
      <w:r>
        <w:t xml:space="preserve">over three months</w:t>
      </w:r>
      <w:r>
        <w:t xml:space="preserve"> </w:t>
      </w:r>
      <w:r>
        <w:t xml:space="preserve">47%</w:t>
      </w:r>
      <w:r>
        <w:t xml:space="preserve"> </w:t>
      </w:r>
      <w:r>
        <w:t xml:space="preserve">47%</w:t>
      </w:r>
      <w:r>
        <w:t xml:space="preserve"> </w:t>
      </w:r>
      <w:r>
        <w:t xml:space="preserve">59%</w:t>
      </w:r>
      <w:r>
        <w:t xml:space="preserve"> </w:t>
      </w:r>
      <w:r>
        <w:t xml:space="preserve">56%</w:t>
      </w:r>
      <w:r>
        <w:t xml:space="preserve"> </w:t>
      </w:r>
      <w:r>
        <w:t xml:space="preserve">Online purchases: from sellers from other</w:t>
      </w:r>
      <w:r>
        <w:t xml:space="preserve"> </w:t>
      </w:r>
      <w:r>
        <w:t xml:space="preserve">EU countries over three months</w:t>
      </w:r>
      <w:r>
        <w:t xml:space="preserve"> </w:t>
      </w:r>
      <w:r>
        <w:t xml:space="preserve">17%</w:t>
      </w:r>
      <w:r>
        <w:t xml:space="preserve"> </w:t>
      </w:r>
      <w:r>
        <w:t xml:space="preserve">18%</w:t>
      </w:r>
      <w:r>
        <w:t xml:space="preserve"> </w:t>
      </w:r>
      <w:r>
        <w:t xml:space="preserve">21%</w:t>
      </w:r>
      <w:r>
        <w:t xml:space="preserve"> </w:t>
      </w:r>
      <w:r>
        <w:t xml:space="preserve">21%</w:t>
      </w:r>
      <w:r>
        <w:t xml:space="preserve"> </w:t>
      </w:r>
      <w:r>
        <w:t xml:space="preserve">Online purchases: from sellers from the</w:t>
      </w:r>
      <w:r>
        <w:t xml:space="preserve"> </w:t>
      </w:r>
      <w:r>
        <w:t xml:space="preserve">rest of the world (non-EU) over three</w:t>
      </w:r>
      <w:r>
        <w:t xml:space="preserve"> </w:t>
      </w:r>
      <w:r>
        <w:t xml:space="preserve">months</w:t>
      </w:r>
      <w:r>
        <w:t xml:space="preserve"> </w:t>
      </w:r>
      <w:r>
        <w:t xml:space="preserve">12%</w:t>
      </w:r>
      <w:r>
        <w:t xml:space="preserve"> </w:t>
      </w:r>
      <w:r>
        <w:t xml:space="preserve">12%</w:t>
      </w:r>
      <w:r>
        <w:t xml:space="preserve"> </w:t>
      </w:r>
      <w:r>
        <w:t xml:space="preserve">15%</w:t>
      </w:r>
      <w:r>
        <w:t xml:space="preserve"> </w:t>
      </w:r>
      <w:r>
        <w:t xml:space="preserve">14%</w:t>
      </w:r>
      <w:r>
        <w:t xml:space="preserve"> </w:t>
      </w:r>
      <w:r>
        <w:t xml:space="preserve">Online purchases: from sellers with</w:t>
      </w:r>
      <w:r>
        <w:t xml:space="preserve"> </w:t>
      </w:r>
      <w:r>
        <w:t xml:space="preserve">unknown country of origin over three</w:t>
      </w:r>
      <w:r>
        <w:t xml:space="preserve"> </w:t>
      </w:r>
      <w:r>
        <w:t xml:space="preserve">months</w:t>
      </w:r>
      <w:r>
        <w:t xml:space="preserve"> </w:t>
      </w:r>
      <w:r>
        <w:t xml:space="preserve">4%</w:t>
      </w:r>
      <w:r>
        <w:t xml:space="preserve"> </w:t>
      </w:r>
      <w:r>
        <w:t xml:space="preserve">7%</w:t>
      </w:r>
      <w:r>
        <w:t xml:space="preserve"> </w:t>
      </w:r>
      <w:r>
        <w:t xml:space="preserve">5%</w:t>
      </w:r>
      <w:r>
        <w:t xml:space="preserve"> </w:t>
      </w:r>
      <w:r>
        <w:t xml:space="preserve">8%</w:t>
      </w:r>
      <w:r>
        <w:t xml:space="preserve"> </w:t>
      </w:r>
      <w:r>
        <w:t xml:space="preserve">Notes: * These percentages are calculated from the percentage of individuals data</w:t>
      </w:r>
      <w:r>
        <w:t xml:space="preserve"> </w:t>
      </w:r>
      <w:r>
        <w:t xml:space="preserve">Source: Eurostat data https://ec.europa.eu/eurostat/databrowser/view/isoc_ec_ibos/default/table?lang=en</w:t>
      </w:r>
    </w:p>
    <w:p>
      <w:pPr>
        <w:pStyle w:val="BodyText"/>
      </w:pPr>
      <w:r>
        <w:t xml:space="preserve">Number of individuals ‘exposed’</w:t>
      </w:r>
    </w:p>
    <w:p>
      <w:pPr>
        <w:pStyle w:val="BodyText"/>
      </w:pPr>
      <w:r>
        <w:t xml:space="preserve">210 https://ec.europa.eu/eurostat/databrowser/view/isoc_ec_ibos/default/table?lang=en</w:t>
      </w:r>
    </w:p>
    <w:p>
      <w:pPr>
        <w:pStyle w:val="BodyText"/>
      </w:pPr>
      <w:r>
        <w:t xml:space="preserve">583</w:t>
      </w:r>
    </w:p>
    <w:p>
      <w:pPr>
        <w:pStyle w:val="BodyText"/>
      </w:pPr>
      <w:r>
        <w:t xml:space="preserve">From Table 180, at least211 12% of (all) individuals made a purchase from the RoW in 2020</w:t>
      </w:r>
      <w:r>
        <w:t xml:space="preserve"> </w:t>
      </w:r>
      <w:r>
        <w:t xml:space="preserve">and 12% in 2021. By the same token, at least 4% of (all) individuals made a purchase from an</w:t>
      </w:r>
      <w:r>
        <w:t xml:space="preserve"> </w:t>
      </w:r>
      <w:r>
        <w:t xml:space="preserve">unknown country in 2020 and 7% in 2021. Some individuals in the statistics may have made</w:t>
      </w:r>
      <w:r>
        <w:t xml:space="preserve"> </w:t>
      </w:r>
      <w:r>
        <w:t xml:space="preserve">purchases from both a country in the RoW and an unknown country and some individuals</w:t>
      </w:r>
      <w:r>
        <w:t xml:space="preserve"> </w:t>
      </w:r>
      <w:r>
        <w:t xml:space="preserve">may have only made purchases from either the RoW or from an unknown country. Thus, the</w:t>
      </w:r>
      <w:r>
        <w:t xml:space="preserve"> </w:t>
      </w:r>
      <w:r>
        <w:t xml:space="preserve">total percentage of (all) individuals making purchases from the RoW or an unknown country</w:t>
      </w:r>
      <w:r>
        <w:t xml:space="preserve"> </w:t>
      </w:r>
      <w:r>
        <w:t xml:space="preserve">for 2021 ranges between 12% (based on all individuals making in one or both so the</w:t>
      </w:r>
      <w:r>
        <w:t xml:space="preserve"> </w:t>
      </w:r>
      <w:r>
        <w:t xml:space="preserve">maximum of the two categories applies) and 19% (based on all individuals making either</w:t>
      </w:r>
      <w:r>
        <w:t xml:space="preserve"> </w:t>
      </w:r>
      <w:r>
        <w:t xml:space="preserve">purchases from RoW or from an unknown country so the total applies = 12% + 7%).</w:t>
      </w:r>
      <w:r>
        <w:t xml:space="preserve"> </w:t>
      </w:r>
      <w:r>
        <w:t xml:space="preserve">Applying the percentages and approaches to the number of individuals provides the total</w:t>
      </w:r>
      <w:r>
        <w:t xml:space="preserve"> </w:t>
      </w:r>
      <w:r>
        <w:t xml:space="preserve">number of individuals in the EU making purchases from sellers within and outside the EU in</w:t>
      </w:r>
      <w:r>
        <w:t xml:space="preserve"> </w:t>
      </w:r>
      <w:r>
        <w:t xml:space="preserve">Table 181. Whilst the numbers in the table are derived from three-month statistics, for the</w:t>
      </w:r>
      <w:r>
        <w:t xml:space="preserve"> </w:t>
      </w:r>
      <w:r>
        <w:t xml:space="preserve">purpose of the IA it will be assumed that they represent the total number of people making</w:t>
      </w:r>
      <w:r>
        <w:t xml:space="preserve"> </w:t>
      </w:r>
      <w:r>
        <w:t xml:space="preserve">purchases annually. This would be to assume that the individuals making purchases in each</w:t>
      </w:r>
      <w:r>
        <w:t xml:space="preserve"> </w:t>
      </w:r>
      <w:r>
        <w:t xml:space="preserve">of the four three-month blocks are the same individuals, a fair assumption given that</w:t>
      </w:r>
      <w:r>
        <w:t xml:space="preserve"> </w:t>
      </w:r>
      <w:r>
        <w:t xml:space="preserve">assuming that they are all different would produce annual numbers larger than the EU</w:t>
      </w:r>
      <w:r>
        <w:t xml:space="preserve"> </w:t>
      </w:r>
      <w:r>
        <w:t xml:space="preserve">population.</w:t>
      </w:r>
      <w:r>
        <w:br/>
      </w:r>
      <w:r>
        <w:t xml:space="preserve">Thus, the numbers in Table 181 provide the total EU population purchasing goods coming</w:t>
      </w:r>
      <w:r>
        <w:t xml:space="preserve"> </w:t>
      </w:r>
      <w:r>
        <w:t xml:space="preserve">from territories outside the EU in 2020 and 2021. A proportion of these consumers will be</w:t>
      </w:r>
      <w:r>
        <w:t xml:space="preserve"> </w:t>
      </w:r>
      <w:r>
        <w:t xml:space="preserve">exposed to inaccurate and/or incomplete information in advertisements/offers and/or</w:t>
      </w:r>
      <w:r>
        <w:t xml:space="preserve"> </w:t>
      </w:r>
      <w:r>
        <w:t xml:space="preserve">exposure to substances that are restricted in the EU.</w:t>
      </w:r>
      <w:r>
        <w:t xml:space="preserve"> </w:t>
      </w:r>
      <w:r>
        <w:t xml:space="preserve">Table 182: Number of individuals making online purchases from within and outside the EU</w:t>
      </w:r>
    </w:p>
    <w:p>
      <w:pPr>
        <w:pStyle w:val="BodyText"/>
      </w:pPr>
      <w:r>
        <w:t xml:space="preserve">2020</w:t>
      </w:r>
      <w:r>
        <w:t xml:space="preserve"> </w:t>
      </w:r>
      <w:r>
        <w:t xml:space="preserve">2021</w:t>
      </w:r>
      <w:r>
        <w:t xml:space="preserve"> </w:t>
      </w:r>
      <w:r>
        <w:t xml:space="preserve">Online purchase from outside the EU</w:t>
      </w:r>
      <w:r>
        <w:t xml:space="preserve"> </w:t>
      </w:r>
      <w:r>
        <w:t xml:space="preserve">Online purchases: from sellers from the rest of the world (non-EU)</w:t>
      </w:r>
      <w:r>
        <w:t xml:space="preserve"> </w:t>
      </w:r>
      <w:r>
        <w:t xml:space="preserve">53,678,390</w:t>
      </w:r>
      <w:r>
        <w:t xml:space="preserve"> </w:t>
      </w:r>
      <w:r>
        <w:t xml:space="preserve">53,783,412</w:t>
      </w:r>
      <w:r>
        <w:t xml:space="preserve"> </w:t>
      </w:r>
      <w:r>
        <w:t xml:space="preserve">Online purchases: from sellers with unknown country of origin</w:t>
      </w:r>
      <w:r>
        <w:t xml:space="preserve"> </w:t>
      </w:r>
      <w:r>
        <w:t xml:space="preserve">17,892,797</w:t>
      </w:r>
      <w:r>
        <w:t xml:space="preserve"> </w:t>
      </w:r>
      <w:r>
        <w:t xml:space="preserve">31,373,657</w:t>
      </w:r>
      <w:r>
        <w:t xml:space="preserve"> </w:t>
      </w:r>
      <w:r>
        <w:t xml:space="preserve">Total assuming different people between two categories</w:t>
      </w:r>
      <w:r>
        <w:t xml:space="preserve"> </w:t>
      </w:r>
      <w:r>
        <w:t xml:space="preserve">71,571,187</w:t>
      </w:r>
      <w:r>
        <w:t xml:space="preserve"> </w:t>
      </w:r>
      <w:r>
        <w:t xml:space="preserve">85,157,068</w:t>
      </w:r>
      <w:r>
        <w:t xml:space="preserve"> </w:t>
      </w:r>
      <w:r>
        <w:t xml:space="preserve">Total assuming same people some of whom also make purchases from both</w:t>
      </w:r>
      <w:r>
        <w:t xml:space="preserve"> </w:t>
      </w:r>
      <w:r>
        <w:t xml:space="preserve">categories</w:t>
      </w:r>
      <w:r>
        <w:t xml:space="preserve"> </w:t>
      </w:r>
      <w:r>
        <w:t xml:space="preserve">53,678,390</w:t>
      </w:r>
      <w:r>
        <w:t xml:space="preserve"> </w:t>
      </w:r>
      <w:r>
        <w:t xml:space="preserve">53,783,412</w:t>
      </w:r>
      <w:r>
        <w:t xml:space="preserve"> </w:t>
      </w:r>
      <w:r>
        <w:t xml:space="preserve">Total individuals making extra EU purchases (assuming average of the</w:t>
      </w:r>
      <w:r>
        <w:t xml:space="preserve"> </w:t>
      </w:r>
      <w:r>
        <w:t xml:space="preserve">two cases above)</w:t>
      </w:r>
      <w:r>
        <w:t xml:space="preserve"> </w:t>
      </w:r>
      <w:r>
        <w:t xml:space="preserve">62,624,788</w:t>
      </w:r>
      <w:r>
        <w:t xml:space="preserve"> </w:t>
      </w:r>
      <w:r>
        <w:t xml:space="preserve">69,470,240</w:t>
      </w:r>
      <w:r>
        <w:t xml:space="preserve"> </w:t>
      </w:r>
      <w:r>
        <w:t xml:space="preserve">Online purchases from within the EU</w:t>
      </w:r>
      <w:r>
        <w:t xml:space="preserve"> </w:t>
      </w:r>
      <w:r>
        <w:t xml:space="preserve">Online purchases: from national sellers</w:t>
      </w:r>
      <w:r>
        <w:t xml:space="preserve"> </w:t>
      </w:r>
      <w:r>
        <w:t xml:space="preserve">210,240,361</w:t>
      </w:r>
      <w:r>
        <w:t xml:space="preserve"> </w:t>
      </w:r>
      <w:r>
        <w:t xml:space="preserve">210,651,696</w:t>
      </w:r>
      <w:r>
        <w:t xml:space="preserve"> </w:t>
      </w:r>
      <w:r>
        <w:t xml:space="preserve">Online purchases: from sellers from other EU countries</w:t>
      </w:r>
      <w:r>
        <w:t xml:space="preserve"> </w:t>
      </w:r>
      <w:r>
        <w:t xml:space="preserve">76,044,386</w:t>
      </w:r>
      <w:r>
        <w:t xml:space="preserve"> </w:t>
      </w:r>
      <w:r>
        <w:t xml:space="preserve">80,675,117</w:t>
      </w:r>
      <w:r>
        <w:t xml:space="preserve"> </w:t>
      </w:r>
      <w:r>
        <w:t xml:space="preserve">Total assuming different people between two categories</w:t>
      </w:r>
      <w:r>
        <w:t xml:space="preserve"> </w:t>
      </w:r>
      <w:r>
        <w:t xml:space="preserve">286,284,746</w:t>
      </w:r>
      <w:r>
        <w:t xml:space="preserve"> </w:t>
      </w:r>
      <w:r>
        <w:t xml:space="preserve">291,326,813</w:t>
      </w:r>
      <w:r>
        <w:t xml:space="preserve"> </w:t>
      </w:r>
      <w:r>
        <w:t xml:space="preserve">Total assuming same people some of whom also make purchases from both</w:t>
      </w:r>
      <w:r>
        <w:t xml:space="preserve"> </w:t>
      </w:r>
      <w:r>
        <w:t xml:space="preserve">categories</w:t>
      </w:r>
      <w:r>
        <w:t xml:space="preserve"> </w:t>
      </w:r>
      <w:r>
        <w:t xml:space="preserve">210,240,361</w:t>
      </w:r>
      <w:r>
        <w:t xml:space="preserve"> </w:t>
      </w:r>
      <w:r>
        <w:t xml:space="preserve">210,651,696</w:t>
      </w:r>
      <w:r>
        <w:t xml:space="preserve"> </w:t>
      </w:r>
      <w:r>
        <w:t xml:space="preserve">Total individuals making EU purchases (assuming average of the two</w:t>
      </w:r>
      <w:r>
        <w:t xml:space="preserve"> </w:t>
      </w:r>
      <w:r>
        <w:t xml:space="preserve">cases above)</w:t>
      </w:r>
      <w:r>
        <w:t xml:space="preserve"> </w:t>
      </w:r>
      <w:r>
        <w:t xml:space="preserve">248,262,553</w:t>
      </w:r>
      <w:r>
        <w:t xml:space="preserve"> </w:t>
      </w:r>
      <w:r>
        <w:t xml:space="preserve">250,989,254</w:t>
      </w:r>
      <w:r>
        <w:t xml:space="preserve"> </w:t>
      </w:r>
      <w:r>
        <w:t xml:space="preserve">Source:</w:t>
      </w:r>
      <w:r>
        <w:t xml:space="preserve"> </w:t>
      </w:r>
      <w:r>
        <w:t xml:space="preserve">Based</w:t>
      </w:r>
      <w:r>
        <w:t xml:space="preserve"> </w:t>
      </w:r>
      <w:r>
        <w:t xml:space="preserve">on</w:t>
      </w:r>
      <w:r>
        <w:t xml:space="preserve"> </w:t>
      </w:r>
      <w:r>
        <w:t xml:space="preserve">combination</w:t>
      </w:r>
      <w:r>
        <w:t xml:space="preserve"> </w:t>
      </w:r>
      <w:r>
        <w:t xml:space="preserve">of</w:t>
      </w:r>
      <w:r>
        <w:t xml:space="preserve"> </w:t>
      </w:r>
      <w:r>
        <w:t xml:space="preserve">EUROSTAT</w:t>
      </w:r>
      <w:r>
        <w:t xml:space="preserve"> </w:t>
      </w:r>
      <w:r>
        <w:t xml:space="preserve">population</w:t>
      </w:r>
      <w:r>
        <w:t xml:space="preserve"> </w:t>
      </w:r>
      <w:r>
        <w:t xml:space="preserve">data</w:t>
      </w:r>
      <w:r>
        <w:t xml:space="preserve"> </w:t>
      </w:r>
      <w:r>
        <w:t xml:space="preserve">(https://ec.europa.eu/eurostat/databrowser/view/demo_pjan/default/table?lang=en) and E-Commerce and digital</w:t>
      </w:r>
      <w:r>
        <w:t xml:space="preserve"> </w:t>
      </w:r>
      <w:r>
        <w:t xml:space="preserve">economy and society data</w:t>
      </w:r>
      <w:r>
        <w:t xml:space="preserve"> </w:t>
      </w:r>
      <w:r>
        <w:t xml:space="preserve">https://ec.europa.eu/eurostat/databrowser/view/isoc_ec_ibos/default/table?lang=en</w:t>
      </w:r>
      <w:r>
        <w:t xml:space="preserve"> </w:t>
      </w:r>
      <w:r>
        <w:t xml:space="preserve">Number of products from outside versus inside the EU</w:t>
      </w:r>
    </w:p>
    <w:p>
      <w:pPr>
        <w:pStyle w:val="BodyText"/>
      </w:pPr>
      <w:r>
        <w:t xml:space="preserve">211 Because the statistics are over a three-month period</w:t>
      </w:r>
    </w:p>
    <w:p>
      <w:pPr>
        <w:pStyle w:val="BodyText"/>
      </w:pPr>
      <w:r>
        <w:t xml:space="preserve">584</w:t>
      </w:r>
    </w:p>
    <w:p>
      <w:pPr>
        <w:pStyle w:val="BodyText"/>
      </w:pPr>
      <w:r>
        <w:t xml:space="preserve">In Table 180 the percentage of individuals making purchases in different locations has been</w:t>
      </w:r>
      <w:r>
        <w:t xml:space="preserve"> </w:t>
      </w:r>
      <w:r>
        <w:t xml:space="preserve">used to derive the implied distribution of products by origin. Whilst it could be argued that</w:t>
      </w:r>
      <w:r>
        <w:t xml:space="preserve"> </w:t>
      </w:r>
      <w:r>
        <w:t xml:space="preserve">the statistics by individual do not explicitly describe the proportion of purchases made by</w:t>
      </w:r>
      <w:r>
        <w:t xml:space="preserve"> </w:t>
      </w:r>
      <w:r>
        <w:t xml:space="preserve">location, there is no better data on which to base the assessment and the resulting percentage</w:t>
      </w:r>
      <w:r>
        <w:t xml:space="preserve"> </w:t>
      </w:r>
      <w:r>
        <w:t xml:space="preserve">split between locations so derived seems plausible.</w:t>
      </w:r>
      <w:r>
        <w:t xml:space="preserve"> </w:t>
      </w:r>
      <w:r>
        <w:t xml:space="preserve">The resulting percentages (in Table 180) have been applied to the total number of purchases</w:t>
      </w:r>
      <w:r>
        <w:t xml:space="preserve"> </w:t>
      </w:r>
      <w:r>
        <w:t xml:space="preserve">of physical goods in a three-month period (in Table 179) to make a split between purchases</w:t>
      </w:r>
      <w:r>
        <w:t xml:space="preserve"> </w:t>
      </w:r>
      <w:r>
        <w:t xml:space="preserve">of physical goods from EU sellers and extra EU sellers. The resulting values have been</w:t>
      </w:r>
      <w:r>
        <w:t xml:space="preserve"> </w:t>
      </w:r>
      <w:r>
        <w:t xml:space="preserve">multiplied by four to convert them from three-month figures to annual figures and are</w:t>
      </w:r>
      <w:r>
        <w:t xml:space="preserve"> </w:t>
      </w:r>
      <w:r>
        <w:t xml:space="preserve">provided in Table 182. As can be seen from the table, certain physical goods (such as</w:t>
      </w:r>
      <w:r>
        <w:t xml:space="preserve"> </w:t>
      </w:r>
      <w:r>
        <w:t xml:space="preserve">deliveries from restaurants) are unlikely to have been purchased from outside the EU and this</w:t>
      </w:r>
      <w:r>
        <w:t xml:space="preserve"> </w:t>
      </w:r>
      <w:r>
        <w:t xml:space="preserve">has been accounted for in the calculations.</w:t>
      </w:r>
      <w:r>
        <w:t xml:space="preserve"> </w:t>
      </w:r>
      <w:r>
        <w:t xml:space="preserve">The resulting total number of physical items purchased online from outside the EU is</w:t>
      </w:r>
      <w:r>
        <w:t xml:space="preserve"> </w:t>
      </w:r>
      <w:r>
        <w:t xml:space="preserve">estimated as around 583 million in 2020 and 693 million in 2021. In terms of comparison of</w:t>
      </w:r>
      <w:r>
        <w:t xml:space="preserve"> </w:t>
      </w:r>
      <w:r>
        <w:t xml:space="preserve">this with other data points, in 2017 it was estimated that around 150 million small</w:t>
      </w:r>
      <w:r>
        <w:t xml:space="preserve"> </w:t>
      </w:r>
      <w:r>
        <w:t xml:space="preserve">consignments imported free of VAT into the EU each year212. The number of online</w:t>
      </w:r>
      <w:r>
        <w:t xml:space="preserve"> </w:t>
      </w:r>
      <w:r>
        <w:t xml:space="preserve">purchases/transactions has increased since that time. Using available and comparative data</w:t>
      </w:r>
      <w:r>
        <w:t xml:space="preserve"> </w:t>
      </w:r>
      <w:r>
        <w:t xml:space="preserve">from EUROSTAT for 2017 and 2021 suggests a multiplier of 1.375 to convert the 2017</w:t>
      </w:r>
      <w:r>
        <w:t xml:space="preserve"> </w:t>
      </w:r>
      <w:r>
        <w:t xml:space="preserve">estimate of 150 million into a 2021 estimate of around 206 million small VAT free</w:t>
      </w:r>
      <w:r>
        <w:t xml:space="preserve"> </w:t>
      </w:r>
      <w:r>
        <w:t xml:space="preserve">consignments for 2021. This represents some 30% of the 693 million total number of items.</w:t>
      </w:r>
      <w:r>
        <w:br/>
      </w:r>
      <w:r>
        <w:t xml:space="preserve">In other words, the comparison would suggest that, in 2021, 30% of online purchases from</w:t>
      </w:r>
      <w:r>
        <w:t xml:space="preserve"> </w:t>
      </w:r>
      <w:r>
        <w:t xml:space="preserve">sellers outside the EU would be of a value less than €22 (the VAT free cut-off that applied</w:t>
      </w:r>
      <w:r>
        <w:t xml:space="preserve"> </w:t>
      </w:r>
      <w:r>
        <w:t xml:space="preserve">until July 2021). This does not seem unreasonable.</w:t>
      </w:r>
      <w:r>
        <w:t xml:space="preserve"> </w:t>
      </w:r>
      <w:r>
        <w:t xml:space="preserve">A further sense check of the data on both the number of purchases and the number of</w:t>
      </w:r>
      <w:r>
        <w:t xml:space="preserve"> </w:t>
      </w:r>
      <w:r>
        <w:t xml:space="preserve">consumers (in Table 181) is provided by calculating the average number of purchases per</w:t>
      </w:r>
      <w:r>
        <w:t xml:space="preserve"> </w:t>
      </w:r>
      <w:r>
        <w:t xml:space="preserve">consumer suggested by the data. As can be seen from Table 182, this comparison suggests</w:t>
      </w:r>
      <w:r>
        <w:t xml:space="preserve"> </w:t>
      </w:r>
      <w:r>
        <w:t xml:space="preserve">around 11 purchases per consumer per year on average for purchases from EU countries and</w:t>
      </w:r>
      <w:r>
        <w:t xml:space="preserve"> </w:t>
      </w:r>
      <w:r>
        <w:t xml:space="preserve">9 or 10 per consumer per year for extra EU purchases. This, gain, does not seem</w:t>
      </w:r>
      <w:r>
        <w:t xml:space="preserve"> </w:t>
      </w:r>
      <w:r>
        <w:t xml:space="preserve">unreasonable. Given the sense checks, the data in Table 182 are taken to be a fair</w:t>
      </w:r>
      <w:r>
        <w:t xml:space="preserve"> </w:t>
      </w:r>
      <w:r>
        <w:t xml:space="preserve">representation of the numbers and flow of physical goods to consumers from online</w:t>
      </w:r>
      <w:r>
        <w:t xml:space="preserve"> </w:t>
      </w:r>
      <w:r>
        <w:t xml:space="preserve">purchases and the number of consumers.</w:t>
      </w:r>
    </w:p>
    <w:p>
      <w:pPr>
        <w:pStyle w:val="BodyText"/>
      </w:pPr>
      <w:r>
        <w:t xml:space="preserve">212</w:t>
      </w:r>
      <w:r>
        <w:br/>
      </w:r>
      <w:r>
        <w:t xml:space="preserve">European</w:t>
      </w:r>
      <w:r>
        <w:t xml:space="preserve"> </w:t>
      </w:r>
      <w:r>
        <w:t xml:space="preserve">Commission,</w:t>
      </w:r>
      <w:r>
        <w:t xml:space="preserve"> </w:t>
      </w:r>
      <w:r>
        <w:t xml:space="preserve">Memo</w:t>
      </w:r>
      <w:r>
        <w:t xml:space="preserve"> </w:t>
      </w:r>
      <w:r>
        <w:t xml:space="preserve">2017</w:t>
      </w:r>
      <w:r>
        <w:t xml:space="preserve"> </w:t>
      </w:r>
      <w:r>
        <w:t xml:space="preserve">-</w:t>
      </w:r>
      <w:r>
        <w:t xml:space="preserve"> </w:t>
      </w:r>
      <w:r>
        <w:t xml:space="preserve">Modernising</w:t>
      </w:r>
      <w:r>
        <w:t xml:space="preserve"> </w:t>
      </w:r>
      <w:r>
        <w:t xml:space="preserve">VAT</w:t>
      </w:r>
      <w:r>
        <w:t xml:space="preserve"> </w:t>
      </w:r>
      <w:r>
        <w:t xml:space="preserve">for</w:t>
      </w:r>
      <w:r>
        <w:t xml:space="preserve"> </w:t>
      </w:r>
      <w:r>
        <w:t xml:space="preserve">e-commerce</w:t>
      </w:r>
      <w:r>
        <w:t xml:space="preserve"> </w:t>
      </w:r>
      <w:r>
        <w:t xml:space="preserve">https://ec.europa.eu/commission/presscorner/detail/en/MEMO_16_3746</w:t>
      </w:r>
    </w:p>
    <w:p>
      <w:pPr>
        <w:pStyle w:val="BodyText"/>
      </w:pPr>
      <w:r>
        <w:t xml:space="preserve">585</w:t>
      </w:r>
    </w:p>
    <w:p>
      <w:pPr>
        <w:pStyle w:val="BodyText"/>
      </w:pPr>
      <w:r>
        <w:t xml:space="preserve">Table 183: Purchases of physical goods online from within versus outside the EU (purchases/items per year)</w:t>
      </w:r>
    </w:p>
    <w:p>
      <w:pPr>
        <w:pStyle w:val="BodyText"/>
      </w:pPr>
      <w:r>
        <w:t xml:space="preserve">Within EU</w:t>
      </w:r>
      <w:r>
        <w:t xml:space="preserve"> </w:t>
      </w:r>
      <w:r>
        <w:t xml:space="preserve">Outside EU</w:t>
      </w:r>
    </w:p>
    <w:p>
      <w:pPr>
        <w:pStyle w:val="BodyText"/>
      </w:pPr>
      <w:r>
        <w:t xml:space="preserve">2020</w:t>
      </w:r>
      <w:r>
        <w:t xml:space="preserve"> </w:t>
      </w:r>
      <w:r>
        <w:t xml:space="preserve">2021</w:t>
      </w:r>
      <w:r>
        <w:t xml:space="preserve"> </w:t>
      </w:r>
      <w:r>
        <w:t xml:space="preserve">2020</w:t>
      </w:r>
      <w:r>
        <w:t xml:space="preserve"> </w:t>
      </w:r>
      <w:r>
        <w:t xml:space="preserve">2021</w:t>
      </w:r>
      <w:r>
        <w:t xml:space="preserve"> </w:t>
      </w:r>
      <w:r>
        <w:t xml:space="preserve">Clothes</w:t>
      </w:r>
      <w:r>
        <w:t xml:space="preserve"> </w:t>
      </w:r>
      <w:r>
        <w:t xml:space="preserve">(including</w:t>
      </w:r>
      <w:r>
        <w:t xml:space="preserve"> </w:t>
      </w:r>
      <w:r>
        <w:t xml:space="preserve">sport</w:t>
      </w:r>
      <w:r>
        <w:t xml:space="preserve"> </w:t>
      </w:r>
      <w:r>
        <w:t xml:space="preserve">clothing),</w:t>
      </w:r>
      <w:r>
        <w:t xml:space="preserve"> </w:t>
      </w:r>
      <w:r>
        <w:t xml:space="preserve">shoes</w:t>
      </w:r>
      <w:r>
        <w:t xml:space="preserve"> </w:t>
      </w:r>
      <w:r>
        <w:t xml:space="preserve">or</w:t>
      </w:r>
      <w:r>
        <w:t xml:space="preserve"> </w:t>
      </w:r>
      <w:r>
        <w:t xml:space="preserve">accessories</w:t>
      </w:r>
      <w:r>
        <w:t xml:space="preserve"> </w:t>
      </w:r>
      <w:r>
        <w:t xml:space="preserve">472,369,831</w:t>
      </w:r>
      <w:r>
        <w:t xml:space="preserve"> </w:t>
      </w:r>
      <w:r>
        <w:t xml:space="preserve">527,162,805</w:t>
      </w:r>
      <w:r>
        <w:t xml:space="preserve"> </w:t>
      </w:r>
      <w:r>
        <w:t xml:space="preserve">118,092,45</w:t>
      </w:r>
      <w:r>
        <w:t xml:space="preserve"> </w:t>
      </w:r>
      <w:r>
        <w:t xml:space="preserve">8</w:t>
      </w:r>
      <w:r>
        <w:t xml:space="preserve"> </w:t>
      </w:r>
      <w:r>
        <w:t xml:space="preserve">154,093,74</w:t>
      </w:r>
      <w:r>
        <w:t xml:space="preserve"> </w:t>
      </w:r>
      <w:r>
        <w:t xml:space="preserve">3</w:t>
      </w:r>
      <w:r>
        <w:t xml:space="preserve"> </w:t>
      </w:r>
      <w:r>
        <w:t xml:space="preserve">Sports</w:t>
      </w:r>
      <w:r>
        <w:t xml:space="preserve"> </w:t>
      </w:r>
      <w:r>
        <w:t xml:space="preserve">goods</w:t>
      </w:r>
      <w:r>
        <w:t xml:space="preserve"> </w:t>
      </w:r>
      <w:r>
        <w:t xml:space="preserve">(excluding</w:t>
      </w:r>
      <w:r>
        <w:t xml:space="preserve"> </w:t>
      </w:r>
      <w:r>
        <w:t xml:space="preserve">sport clothing)</w:t>
      </w:r>
      <w:r>
        <w:t xml:space="preserve"> </w:t>
      </w:r>
      <w:r>
        <w:t xml:space="preserve">157,456,610</w:t>
      </w:r>
      <w:r>
        <w:t xml:space="preserve"> </w:t>
      </w:r>
      <w:r>
        <w:t xml:space="preserve">180,345,170</w:t>
      </w:r>
      <w:r>
        <w:t xml:space="preserve"> </w:t>
      </w:r>
      <w:r>
        <w:t xml:space="preserve">39,364,153</w:t>
      </w:r>
      <w:r>
        <w:t xml:space="preserve"> </w:t>
      </w:r>
      <w:r>
        <w:t xml:space="preserve">52,716,280</w:t>
      </w:r>
      <w:r>
        <w:t xml:space="preserve"> </w:t>
      </w:r>
      <w:r>
        <w:t xml:space="preserve">Children toys or childcare</w:t>
      </w:r>
      <w:r>
        <w:t xml:space="preserve"> </w:t>
      </w:r>
      <w:r>
        <w:t xml:space="preserve">items</w:t>
      </w:r>
      <w:r>
        <w:t xml:space="preserve"> </w:t>
      </w:r>
      <w:r>
        <w:t xml:space="preserve">128,828,136</w:t>
      </w:r>
      <w:r>
        <w:t xml:space="preserve"> </w:t>
      </w:r>
      <w:r>
        <w:t xml:space="preserve">152,599,759</w:t>
      </w:r>
      <w:r>
        <w:t xml:space="preserve"> </w:t>
      </w:r>
      <w:r>
        <w:t xml:space="preserve">32,207,034</w:t>
      </w:r>
      <w:r>
        <w:t xml:space="preserve"> </w:t>
      </w:r>
      <w:r>
        <w:t xml:space="preserve">44,606,083</w:t>
      </w:r>
      <w:r>
        <w:t xml:space="preserve"> </w:t>
      </w:r>
      <w:r>
        <w:t xml:space="preserve">Furniture, home accessories</w:t>
      </w:r>
      <w:r>
        <w:t xml:space="preserve"> </w:t>
      </w:r>
      <w:r>
        <w:t xml:space="preserve">or gardening products</w:t>
      </w:r>
      <w:r>
        <w:t xml:space="preserve"> </w:t>
      </w:r>
      <w:r>
        <w:t xml:space="preserve">214,713,560</w:t>
      </w:r>
      <w:r>
        <w:t xml:space="preserve"> </w:t>
      </w:r>
      <w:r>
        <w:t xml:space="preserve">221,963,286</w:t>
      </w:r>
      <w:r>
        <w:t xml:space="preserve"> </w:t>
      </w:r>
      <w:r>
        <w:t xml:space="preserve">53,678,390</w:t>
      </w:r>
      <w:r>
        <w:t xml:space="preserve"> </w:t>
      </w:r>
      <w:r>
        <w:t xml:space="preserve">64,881,576</w:t>
      </w:r>
      <w:r>
        <w:t xml:space="preserve"> </w:t>
      </w:r>
      <w:r>
        <w:t xml:space="preserve">Music as CDs, vinyls etc.</w:t>
      </w:r>
      <w:r>
        <w:t xml:space="preserve"> </w:t>
      </w:r>
      <w:r>
        <w:t xml:space="preserve">57,256,949</w:t>
      </w:r>
      <w:r>
        <w:t xml:space="preserve"> </w:t>
      </w:r>
      <w:r>
        <w:t xml:space="preserve">41,618,116</w:t>
      </w:r>
      <w:r>
        <w:t xml:space="preserve"> </w:t>
      </w:r>
      <w:r>
        <w:t xml:space="preserve">14,314,237</w:t>
      </w:r>
      <w:r>
        <w:t xml:space="preserve"> </w:t>
      </w:r>
      <w:r>
        <w:t xml:space="preserve">12,165,295</w:t>
      </w:r>
      <w:r>
        <w:t xml:space="preserve"> </w:t>
      </w:r>
      <w:r>
        <w:t xml:space="preserve">Films or series as DVDs,</w:t>
      </w:r>
      <w:r>
        <w:t xml:space="preserve"> </w:t>
      </w:r>
      <w:r>
        <w:t xml:space="preserve">Blu-ray etc.</w:t>
      </w:r>
      <w:r>
        <w:t xml:space="preserve"> </w:t>
      </w:r>
      <w:r>
        <w:t xml:space="preserve">57,256,949</w:t>
      </w:r>
      <w:r>
        <w:t xml:space="preserve"> </w:t>
      </w:r>
      <w:r>
        <w:t xml:space="preserve">41,618,116</w:t>
      </w:r>
      <w:r>
        <w:t xml:space="preserve"> </w:t>
      </w:r>
      <w:r>
        <w:t xml:space="preserve">14,314,237</w:t>
      </w:r>
      <w:r>
        <w:t xml:space="preserve"> </w:t>
      </w:r>
      <w:r>
        <w:t xml:space="preserve">12,165,295</w:t>
      </w:r>
      <w:r>
        <w:t xml:space="preserve"> </w:t>
      </w:r>
      <w:r>
        <w:t xml:space="preserve">Printed books, magazines or</w:t>
      </w:r>
      <w:r>
        <w:t xml:space="preserve"> </w:t>
      </w:r>
      <w:r>
        <w:t xml:space="preserve">newspapers</w:t>
      </w:r>
      <w:r>
        <w:t xml:space="preserve"> </w:t>
      </w:r>
      <w:r>
        <w:t xml:space="preserve">200,399,322</w:t>
      </w:r>
      <w:r>
        <w:t xml:space="preserve"> </w:t>
      </w:r>
      <w:r>
        <w:t xml:space="preserve">194,217,875</w:t>
      </w:r>
      <w:r>
        <w:t xml:space="preserve"> </w:t>
      </w:r>
      <w:r>
        <w:t xml:space="preserve">50,099,831</w:t>
      </w:r>
      <w:r>
        <w:t xml:space="preserve"> </w:t>
      </w:r>
      <w:r>
        <w:t xml:space="preserve">56,771,379</w:t>
      </w:r>
      <w:r>
        <w:t xml:space="preserve"> </w:t>
      </w:r>
      <w:r>
        <w:t xml:space="preserve">Computers, tablets, mobile</w:t>
      </w:r>
      <w:r>
        <w:t xml:space="preserve"> </w:t>
      </w:r>
      <w:r>
        <w:t xml:space="preserve">phones or accessories</w:t>
      </w:r>
      <w:r>
        <w:t xml:space="preserve"> </w:t>
      </w:r>
      <w:r>
        <w:t xml:space="preserve">200,399,322</w:t>
      </w:r>
      <w:r>
        <w:t xml:space="preserve"> </w:t>
      </w:r>
      <w:r>
        <w:t xml:space="preserve">180,345,170</w:t>
      </w:r>
      <w:r>
        <w:t xml:space="preserve"> </w:t>
      </w:r>
      <w:r>
        <w:t xml:space="preserve">50,099,831</w:t>
      </w:r>
      <w:r>
        <w:t xml:space="preserve"> </w:t>
      </w:r>
      <w:r>
        <w:t xml:space="preserve">52,716,280</w:t>
      </w:r>
      <w:r>
        <w:t xml:space="preserve"> </w:t>
      </w:r>
      <w:r>
        <w:t xml:space="preserve">Consumer</w:t>
      </w:r>
      <w:r>
        <w:t xml:space="preserve"> </w:t>
      </w:r>
      <w:r>
        <w:t xml:space="preserve">electronics</w:t>
      </w:r>
      <w:r>
        <w:t xml:space="preserve"> </w:t>
      </w:r>
      <w:r>
        <w:t xml:space="preserve">or</w:t>
      </w:r>
      <w:r>
        <w:t xml:space="preserve"> </w:t>
      </w:r>
      <w:r>
        <w:t xml:space="preserve">household appliances</w:t>
      </w:r>
      <w:r>
        <w:t xml:space="preserve"> </w:t>
      </w:r>
      <w:r>
        <w:t xml:space="preserve">143,142,373</w:t>
      </w:r>
      <w:r>
        <w:t xml:space="preserve"> </w:t>
      </w:r>
      <w:r>
        <w:t xml:space="preserve">138,727,054</w:t>
      </w:r>
      <w:r>
        <w:t xml:space="preserve"> </w:t>
      </w:r>
      <w:r>
        <w:t xml:space="preserve">35,785,593</w:t>
      </w:r>
      <w:r>
        <w:t xml:space="preserve"> </w:t>
      </w:r>
      <w:r>
        <w:t xml:space="preserve">40,550,985</w:t>
      </w:r>
      <w:r>
        <w:t xml:space="preserve"> </w:t>
      </w:r>
      <w:r>
        <w:t xml:space="preserve">Medicine</w:t>
      </w:r>
      <w:r>
        <w:t xml:space="preserve"> </w:t>
      </w:r>
      <w:r>
        <w:t xml:space="preserve">or</w:t>
      </w:r>
      <w:r>
        <w:t xml:space="preserve"> </w:t>
      </w:r>
      <w:r>
        <w:t xml:space="preserve">dietary</w:t>
      </w:r>
      <w:r>
        <w:t xml:space="preserve"> </w:t>
      </w:r>
      <w:r>
        <w:t xml:space="preserve">supplements</w:t>
      </w:r>
      <w:r>
        <w:t xml:space="preserve"> </w:t>
      </w:r>
      <w:r>
        <w:t xml:space="preserve">such</w:t>
      </w:r>
      <w:r>
        <w:t xml:space="preserve"> </w:t>
      </w:r>
      <w:r>
        <w:t xml:space="preserve">as</w:t>
      </w:r>
      <w:r>
        <w:t xml:space="preserve"> </w:t>
      </w:r>
      <w:r>
        <w:t xml:space="preserve">vitamins (online renewal of</w:t>
      </w:r>
      <w:r>
        <w:t xml:space="preserve"> </w:t>
      </w:r>
      <w:r>
        <w:t xml:space="preserve">prescriptions is not included)</w:t>
      </w:r>
      <w:r>
        <w:t xml:space="preserve"> </w:t>
      </w:r>
      <w:r>
        <w:t xml:space="preserve">171,770,848</w:t>
      </w:r>
      <w:r>
        <w:t xml:space="preserve"> </w:t>
      </w:r>
      <w:r>
        <w:t xml:space="preserve">152,599,759</w:t>
      </w:r>
      <w:r>
        <w:t xml:space="preserve"> </w:t>
      </w:r>
      <w:r>
        <w:t xml:space="preserve">42,942,712</w:t>
      </w:r>
      <w:r>
        <w:t xml:space="preserve"> </w:t>
      </w:r>
      <w:r>
        <w:t xml:space="preserve">44,606,083</w:t>
      </w:r>
      <w:r>
        <w:t xml:space="preserve"> </w:t>
      </w:r>
      <w:r>
        <w:t xml:space="preserve">Deliveries from restaurants,</w:t>
      </w:r>
      <w:r>
        <w:t xml:space="preserve"> </w:t>
      </w:r>
      <w:r>
        <w:t xml:space="preserve">fast-food</w:t>
      </w:r>
      <w:r>
        <w:t xml:space="preserve"> </w:t>
      </w:r>
      <w:r>
        <w:t xml:space="preserve">chains,</w:t>
      </w:r>
      <w:r>
        <w:t xml:space="preserve"> </w:t>
      </w:r>
      <w:r>
        <w:t xml:space="preserve">catering</w:t>
      </w:r>
      <w:r>
        <w:t xml:space="preserve"> </w:t>
      </w:r>
      <w:r>
        <w:t xml:space="preserve">services</w:t>
      </w:r>
      <w:r>
        <w:t xml:space="preserve"> </w:t>
      </w:r>
      <w:r>
        <w:t xml:space="preserve">268,391,950</w:t>
      </w:r>
      <w:r>
        <w:t xml:space="preserve"> </w:t>
      </w:r>
      <w:r>
        <w:t xml:space="preserve">304,772,666</w:t>
      </w:r>
      <w:r>
        <w:t xml:space="preserve"> </w:t>
      </w:r>
      <w:r>
        <w:t xml:space="preserve">0</w:t>
      </w:r>
      <w:r>
        <w:t xml:space="preserve"> </w:t>
      </w:r>
      <w:r>
        <w:t xml:space="preserve">0</w:t>
      </w:r>
      <w:r>
        <w:t xml:space="preserve"> </w:t>
      </w:r>
      <w:r>
        <w:t xml:space="preserve">Food or beverages from</w:t>
      </w:r>
      <w:r>
        <w:t xml:space="preserve"> </w:t>
      </w:r>
      <w:r>
        <w:t xml:space="preserve">stores or from meal-kits</w:t>
      </w:r>
      <w:r>
        <w:t xml:space="preserve"> </w:t>
      </w:r>
      <w:r>
        <w:t xml:space="preserve">providers</w:t>
      </w:r>
      <w:r>
        <w:t xml:space="preserve"> </w:t>
      </w:r>
      <w:r>
        <w:t xml:space="preserve">178,927,966</w:t>
      </w:r>
      <w:r>
        <w:t xml:space="preserve"> </w:t>
      </w:r>
      <w:r>
        <w:t xml:space="preserve">179,278,039</w:t>
      </w:r>
      <w:r>
        <w:t xml:space="preserve"> </w:t>
      </w:r>
      <w:r>
        <w:t xml:space="preserve">0</w:t>
      </w:r>
      <w:r>
        <w:t xml:space="preserve"> </w:t>
      </w:r>
      <w:r>
        <w:t xml:space="preserve">0</w:t>
      </w:r>
      <w:r>
        <w:t xml:space="preserve"> </w:t>
      </w:r>
      <w:r>
        <w:t xml:space="preserve">Cosmetics,</w:t>
      </w:r>
      <w:r>
        <w:t xml:space="preserve"> </w:t>
      </w:r>
      <w:r>
        <w:t xml:space="preserve">beauty</w:t>
      </w:r>
      <w:r>
        <w:t xml:space="preserve"> </w:t>
      </w:r>
      <w:r>
        <w:t xml:space="preserve">or</w:t>
      </w:r>
      <w:r>
        <w:t xml:space="preserve"> </w:t>
      </w:r>
      <w:r>
        <w:t xml:space="preserve">wellness products</w:t>
      </w:r>
      <w:r>
        <w:t xml:space="preserve"> </w:t>
      </w:r>
      <w:r>
        <w:t xml:space="preserve">200,399,322</w:t>
      </w:r>
      <w:r>
        <w:t xml:space="preserve"> </w:t>
      </w:r>
      <w:r>
        <w:t xml:space="preserve">208,090,581</w:t>
      </w:r>
      <w:r>
        <w:t xml:space="preserve"> </w:t>
      </w:r>
      <w:r>
        <w:t xml:space="preserve">50,099,831</w:t>
      </w:r>
      <w:r>
        <w:t xml:space="preserve"> </w:t>
      </w:r>
      <w:r>
        <w:t xml:space="preserve">60,826,477</w:t>
      </w:r>
      <w:r>
        <w:t xml:space="preserve"> </w:t>
      </w:r>
      <w:r>
        <w:t xml:space="preserve">Cleaning</w:t>
      </w:r>
      <w:r>
        <w:t xml:space="preserve"> </w:t>
      </w:r>
      <w:r>
        <w:t xml:space="preserve">products</w:t>
      </w:r>
      <w:r>
        <w:t xml:space="preserve"> </w:t>
      </w:r>
      <w:r>
        <w:t xml:space="preserve">or</w:t>
      </w:r>
      <w:r>
        <w:t xml:space="preserve"> </w:t>
      </w:r>
      <w:r>
        <w:t xml:space="preserve">personal hygiene products</w:t>
      </w:r>
      <w:r>
        <w:t xml:space="preserve"> </w:t>
      </w:r>
      <w:r>
        <w:t xml:space="preserve">114,513,898</w:t>
      </w:r>
      <w:r>
        <w:t xml:space="preserve"> </w:t>
      </w:r>
      <w:r>
        <w:t xml:space="preserve">110,981,643</w:t>
      </w:r>
      <w:r>
        <w:t xml:space="preserve"> </w:t>
      </w:r>
      <w:r>
        <w:t xml:space="preserve">28,628,475</w:t>
      </w:r>
      <w:r>
        <w:t xml:space="preserve"> </w:t>
      </w:r>
      <w:r>
        <w:t xml:space="preserve">32,440,788</w:t>
      </w:r>
      <w:r>
        <w:t xml:space="preserve"> </w:t>
      </w:r>
      <w:r>
        <w:t xml:space="preserve">Bicycles, mopeds, cars, or</w:t>
      </w:r>
      <w:r>
        <w:t xml:space="preserve"> </w:t>
      </w:r>
      <w:r>
        <w:t xml:space="preserve">other vehicles or their spare</w:t>
      </w:r>
      <w:r>
        <w:t xml:space="preserve"> </w:t>
      </w:r>
      <w:r>
        <w:t xml:space="preserve">parts</w:t>
      </w:r>
      <w:r>
        <w:t xml:space="preserve"> </w:t>
      </w:r>
      <w:r>
        <w:t xml:space="preserve">71,571,187</w:t>
      </w:r>
      <w:r>
        <w:t xml:space="preserve"> </w:t>
      </w:r>
      <w:r>
        <w:t xml:space="preserve">69,363,527</w:t>
      </w:r>
      <w:r>
        <w:t xml:space="preserve"> </w:t>
      </w:r>
      <w:r>
        <w:t xml:space="preserve">17,892,797</w:t>
      </w:r>
      <w:r>
        <w:t xml:space="preserve"> </w:t>
      </w:r>
      <w:r>
        <w:t xml:space="preserve">20,275,492</w:t>
      </w:r>
      <w:r>
        <w:t xml:space="preserve"> </w:t>
      </w:r>
      <w:r>
        <w:t xml:space="preserve">Other physical goods</w:t>
      </w:r>
      <w:r>
        <w:t xml:space="preserve"> </w:t>
      </w:r>
      <w:r>
        <w:t xml:space="preserve">143,142,373</w:t>
      </w:r>
      <w:r>
        <w:t xml:space="preserve"> </w:t>
      </w:r>
      <w:r>
        <w:t xml:space="preserve">152,599,759</w:t>
      </w:r>
      <w:r>
        <w:t xml:space="preserve"> </w:t>
      </w:r>
      <w:r>
        <w:t xml:space="preserve">35,785,593</w:t>
      </w:r>
      <w:r>
        <w:t xml:space="preserve"> </w:t>
      </w:r>
      <w:r>
        <w:t xml:space="preserve">44,606,083</w:t>
      </w:r>
      <w:r>
        <w:t xml:space="preserve"> </w:t>
      </w:r>
      <w:r>
        <w:t xml:space="preserve">Total purchases</w:t>
      </w:r>
      <w:r>
        <w:t xml:space="preserve"> </w:t>
      </w:r>
      <w:r>
        <w:t xml:space="preserve">2,780,540,598</w:t>
      </w:r>
      <w:r>
        <w:t xml:space="preserve"> </w:t>
      </w:r>
      <w:r>
        <w:t xml:space="preserve">2,856,283,32</w:t>
      </w:r>
      <w:r>
        <w:t xml:space="preserve"> </w:t>
      </w:r>
      <w:r>
        <w:t xml:space="preserve">5</w:t>
      </w:r>
      <w:r>
        <w:t xml:space="preserve"> </w:t>
      </w:r>
      <w:r>
        <w:t xml:space="preserve">583,305,17</w:t>
      </w:r>
      <w:r>
        <w:t xml:space="preserve"> </w:t>
      </w:r>
      <w:r>
        <w:t xml:space="preserve">0</w:t>
      </w:r>
      <w:r>
        <w:t xml:space="preserve"> </w:t>
      </w:r>
      <w:r>
        <w:t xml:space="preserve">693,421,84</w:t>
      </w:r>
      <w:r>
        <w:t xml:space="preserve"> </w:t>
      </w:r>
      <w:r>
        <w:t xml:space="preserve">3</w:t>
      </w:r>
      <w:r>
        <w:t xml:space="preserve"> </w:t>
      </w:r>
      <w:r>
        <w:t xml:space="preserve">Total individuals making</w:t>
      </w:r>
      <w:r>
        <w:t xml:space="preserve"> </w:t>
      </w:r>
      <w:r>
        <w:t xml:space="preserve">online purchases</w:t>
      </w:r>
      <w:r>
        <w:br/>
      </w:r>
      <w:r>
        <w:t xml:space="preserve">248,262,553</w:t>
      </w:r>
      <w:r>
        <w:t xml:space="preserve"> </w:t>
      </w:r>
      <w:r>
        <w:t xml:space="preserve">250,989,254</w:t>
      </w:r>
      <w:r>
        <w:t xml:space="preserve"> </w:t>
      </w:r>
      <w:r>
        <w:t xml:space="preserve">62,624,788</w:t>
      </w:r>
      <w:r>
        <w:t xml:space="preserve"> </w:t>
      </w:r>
      <w:r>
        <w:t xml:space="preserve">69,470,240</w:t>
      </w:r>
      <w:r>
        <w:t xml:space="preserve"> </w:t>
      </w:r>
      <w:r>
        <w:t xml:space="preserve">Average</w:t>
      </w:r>
      <w:r>
        <w:t xml:space="preserve"> </w:t>
      </w:r>
      <w:r>
        <w:t xml:space="preserve">purchases</w:t>
      </w:r>
      <w:r>
        <w:t xml:space="preserve"> </w:t>
      </w:r>
      <w:r>
        <w:t xml:space="preserve">per</w:t>
      </w:r>
      <w:r>
        <w:t xml:space="preserve"> </w:t>
      </w:r>
      <w:r>
        <w:t xml:space="preserve">consumer per year</w:t>
      </w:r>
      <w:r>
        <w:t xml:space="preserve"> </w:t>
      </w:r>
      <w:r>
        <w:t xml:space="preserve">11.2</w:t>
      </w:r>
      <w:r>
        <w:t xml:space="preserve"> </w:t>
      </w:r>
      <w:r>
        <w:t xml:space="preserve">11.4</w:t>
      </w:r>
      <w:r>
        <w:t xml:space="preserve"> </w:t>
      </w:r>
      <w:r>
        <w:t xml:space="preserve">9.3</w:t>
      </w:r>
      <w:r>
        <w:t xml:space="preserve"> </w:t>
      </w:r>
      <w:r>
        <w:t xml:space="preserve">10.0</w:t>
      </w:r>
      <w:r>
        <w:t xml:space="preserve"> </w:t>
      </w:r>
      <w:r>
        <w:t xml:space="preserve">Number of non-compliant transactions</w:t>
      </w:r>
      <w:r>
        <w:t xml:space="preserve"> </w:t>
      </w:r>
      <w:r>
        <w:t xml:space="preserve">While not all of the categories of physical goods set out in Table 182 are entirely relevant</w:t>
      </w:r>
      <w:r>
        <w:t xml:space="preserve"> </w:t>
      </w:r>
      <w:r>
        <w:t xml:space="preserve">from the perspective of EU safety standards in general or requirements on chemicals under</w:t>
      </w:r>
      <w:r>
        <w:t xml:space="preserve"> </w:t>
      </w:r>
      <w:r>
        <w:t xml:space="preserve">CLP and REACH specifically, some are relevant.</w:t>
      </w:r>
    </w:p>
    <w:p>
      <w:pPr>
        <w:pStyle w:val="BodyText"/>
      </w:pPr>
      <w:r>
        <w:t xml:space="preserve">586</w:t>
      </w:r>
    </w:p>
    <w:p>
      <w:pPr>
        <w:pStyle w:val="BodyText"/>
      </w:pPr>
      <w:r>
        <w:t xml:space="preserve">A proportion of these goods will have been non-compliant, and the objective of the</w:t>
      </w:r>
      <w:r>
        <w:t xml:space="preserve"> </w:t>
      </w:r>
      <w:r>
        <w:t xml:space="preserve">interventions is to address this and ensure greater compliance in the future. For the IA, then,</w:t>
      </w:r>
      <w:r>
        <w:t xml:space="preserve"> </w:t>
      </w:r>
      <w:r>
        <w:t xml:space="preserve">an estimate of the percentage/number of REACH/CLP non-compliant online products needs</w:t>
      </w:r>
      <w:r>
        <w:t xml:space="preserve"> </w:t>
      </w:r>
      <w:r>
        <w:t xml:space="preserve">to be established for the following types of relevant products listed in Table 182 to establish a</w:t>
      </w:r>
      <w:r>
        <w:t xml:space="preserve"> </w:t>
      </w:r>
      <w:r>
        <w:t xml:space="preserve">baseline for the assessment:</w:t>
      </w:r>
      <w:r>
        <w:t xml:space="preserve"> </w:t>
      </w:r>
      <w:r>
        <w:t xml:space="preserve">Clothes (including sport clothing), shoes or accessories</w:t>
      </w:r>
      <w:r>
        <w:t xml:space="preserve"> </w:t>
      </w:r>
      <w:r>
        <w:t xml:space="preserve">Children toys or childcare items</w:t>
      </w:r>
      <w:r>
        <w:t xml:space="preserve"> </w:t>
      </w:r>
      <w:r>
        <w:t xml:space="preserve">Furniture, home accessories or gardening products</w:t>
      </w:r>
      <w:r>
        <w:t xml:space="preserve"> </w:t>
      </w:r>
      <w:r>
        <w:t xml:space="preserve">Computers, tablets, mobile phones or accessories</w:t>
      </w:r>
      <w:r>
        <w:t xml:space="preserve"> </w:t>
      </w:r>
      <w:r>
        <w:t xml:space="preserve">Consumer electronics or household appliances</w:t>
      </w:r>
      <w:r>
        <w:t xml:space="preserve"> </w:t>
      </w:r>
      <w:r>
        <w:t xml:space="preserve">Cosmetics, beauty or wellness products</w:t>
      </w:r>
      <w:r>
        <w:t xml:space="preserve"> </w:t>
      </w:r>
      <w:r>
        <w:t xml:space="preserve">Cleaning products or personal hygiene products</w:t>
      </w:r>
      <w:r>
        <w:t xml:space="preserve"> </w:t>
      </w:r>
      <w:r>
        <w:t xml:space="preserve">Bicycles, mopeds, cars, or other vehicles or their spare parts</w:t>
      </w:r>
      <w:r>
        <w:t xml:space="preserve"> </w:t>
      </w:r>
      <w:r>
        <w:t xml:space="preserve">To inform this estimation of non-compliance, available surveillance information on online</w:t>
      </w:r>
      <w:r>
        <w:t xml:space="preserve"> </w:t>
      </w:r>
      <w:r>
        <w:t xml:space="preserve">products has been gathered from a variety of consumer reports and enforcement projects.</w:t>
      </w:r>
      <w:r>
        <w:br/>
      </w:r>
      <w:r>
        <w:t xml:space="preserve">Data on notifications to Safety Gate/RAPEX that was previously compiled for the IA of</w:t>
      </w:r>
      <w:r>
        <w:t xml:space="preserve"> </w:t>
      </w:r>
      <w:r>
        <w:t xml:space="preserve">GPSD has also been reviewed for relevance. However, as the GPSD IA Staff Working</w:t>
      </w:r>
      <w:r>
        <w:t xml:space="preserve"> </w:t>
      </w:r>
      <w:r>
        <w:t xml:space="preserve">Document identifies that only 25% of the notifications in the period from 2013 to 2019</w:t>
      </w:r>
      <w:r>
        <w:t xml:space="preserve"> </w:t>
      </w:r>
      <w:r>
        <w:t xml:space="preserve">included reference to a ‘chemical risk’ it was concluded that the data were not useful for the</w:t>
      </w:r>
      <w:r>
        <w:t xml:space="preserve"> </w:t>
      </w:r>
      <w:r>
        <w:t xml:space="preserve">current analysis.</w:t>
      </w:r>
      <w:r>
        <w:t xml:space="preserve"> </w:t>
      </w:r>
      <w:r>
        <w:t xml:space="preserve">The results of surveillance studies on online products have been collated as Table 183:. The</w:t>
      </w:r>
      <w:r>
        <w:t xml:space="preserve"> </w:t>
      </w:r>
      <w:r>
        <w:t xml:space="preserve">table provides information on reasons for non-compliance where this includes both</w:t>
      </w:r>
      <w:r>
        <w:t xml:space="preserve"> </w:t>
      </w:r>
      <w:r>
        <w:t xml:space="preserve">chemically relevant variables (relating to, for example, presence/concentration of restricted</w:t>
      </w:r>
      <w:r>
        <w:t xml:space="preserve"> </w:t>
      </w:r>
      <w:r>
        <w:t xml:space="preserve">substances or hazard information) and also other non-compliance issues (such as electrical</w:t>
      </w:r>
      <w:r>
        <w:t xml:space="preserve"> </w:t>
      </w:r>
      <w:r>
        <w:t xml:space="preserve">safety, choking hazards, etc.).</w:t>
      </w:r>
    </w:p>
    <w:p>
      <w:pPr>
        <w:pStyle w:val="BodyText"/>
      </w:pPr>
      <w:r>
        <w:t xml:space="preserve">587</w:t>
      </w:r>
    </w:p>
    <w:p>
      <w:pPr>
        <w:pStyle w:val="BodyText"/>
      </w:pPr>
      <w:r>
        <w:t xml:space="preserve">Table 184: Collated information on online product non-compliance</w:t>
      </w:r>
      <w:r>
        <w:t xml:space="preserve"> </w:t>
      </w:r>
      <w:r>
        <w:t xml:space="preserve">Product</w:t>
      </w:r>
      <w:r>
        <w:t xml:space="preserve"> </w:t>
      </w:r>
      <w:r>
        <w:t xml:space="preserve">Reference</w:t>
      </w:r>
      <w:r>
        <w:t xml:space="preserve"> </w:t>
      </w:r>
      <w:r>
        <w:t xml:space="preserve">number/</w:t>
      </w:r>
      <w:r>
        <w:t xml:space="preserve"> </w:t>
      </w:r>
      <w:r>
        <w:t xml:space="preserve">Number</w:t>
      </w:r>
      <w:r>
        <w:t xml:space="preserve"> </w:t>
      </w:r>
      <w:r>
        <w:t xml:space="preserve">tested/assessed</w:t>
      </w:r>
      <w:r>
        <w:t xml:space="preserve"> </w:t>
      </w:r>
      <w:r>
        <w:t xml:space="preserve">Non-</w:t>
      </w:r>
      <w:r>
        <w:t xml:space="preserve"> </w:t>
      </w:r>
      <w:r>
        <w:t xml:space="preserve">compliant</w:t>
      </w:r>
      <w:r>
        <w:t xml:space="preserve"> </w:t>
      </w:r>
      <w:r>
        <w:t xml:space="preserve">Non-</w:t>
      </w:r>
      <w:r>
        <w:t xml:space="preserve"> </w:t>
      </w:r>
      <w:r>
        <w:t xml:space="preserve">compliant</w:t>
      </w:r>
      <w:r>
        <w:t xml:space="preserve"> </w:t>
      </w:r>
      <w:r>
        <w:t xml:space="preserve">(%)</w:t>
      </w:r>
      <w:r>
        <w:t xml:space="preserve"> </w:t>
      </w:r>
      <w:r>
        <w:t xml:space="preserve">Requirement/reason</w:t>
      </w:r>
      <w:r>
        <w:t xml:space="preserve"> </w:t>
      </w:r>
      <w:r>
        <w:t xml:space="preserve">Source</w:t>
      </w:r>
      <w:r>
        <w:t xml:space="preserve"> </w:t>
      </w:r>
      <w:r>
        <w:t xml:space="preserve">Year</w:t>
      </w:r>
      <w:r>
        <w:t xml:space="preserve"> </w:t>
      </w:r>
      <w:r>
        <w:t xml:space="preserve">Non-compliance with chemicals related requirements</w:t>
      </w:r>
      <w:r>
        <w:t xml:space="preserve"> </w:t>
      </w:r>
      <w:r>
        <w:t xml:space="preserve">Online Cosmetics</w:t>
      </w:r>
    </w:p>
    <w:p>
      <w:pPr>
        <w:pStyle w:val="BodyText"/>
      </w:pPr>
      <w:r>
        <w:t xml:space="preserve">21%</w:t>
      </w:r>
      <w:r>
        <w:t xml:space="preserve"> </w:t>
      </w:r>
      <w:r>
        <w:t xml:space="preserve">Non-compliant - often owing to</w:t>
      </w:r>
      <w:r>
        <w:t xml:space="preserve"> </w:t>
      </w:r>
      <w:r>
        <w:t xml:space="preserve">lack of information on alergens</w:t>
      </w:r>
      <w:r>
        <w:t xml:space="preserve"> </w:t>
      </w:r>
      <w:r>
        <w:t xml:space="preserve">DGCCRF</w:t>
      </w:r>
      <w:r>
        <w:t xml:space="preserve"> </w:t>
      </w:r>
      <w:r>
        <w:t xml:space="preserve">(Direction</w:t>
      </w:r>
      <w:r>
        <w:t xml:space="preserve"> </w:t>
      </w:r>
      <w:r>
        <w:t xml:space="preserve">générale</w:t>
      </w:r>
      <w:r>
        <w:t xml:space="preserve"> </w:t>
      </w:r>
      <w:r>
        <w:t xml:space="preserve">de</w:t>
      </w:r>
      <w:r>
        <w:t xml:space="preserve"> </w:t>
      </w:r>
      <w:r>
        <w:t xml:space="preserve">la</w:t>
      </w:r>
      <w:r>
        <w:t xml:space="preserve"> </w:t>
      </w:r>
      <w:r>
        <w:t xml:space="preserve">Concurrence,</w:t>
      </w:r>
      <w:r>
        <w:t xml:space="preserve"> </w:t>
      </w:r>
      <w:r>
        <w:t xml:space="preserve">de</w:t>
      </w:r>
      <w:r>
        <w:t xml:space="preserve"> </w:t>
      </w:r>
      <w:r>
        <w:t xml:space="preserve">la</w:t>
      </w:r>
      <w:r>
        <w:t xml:space="preserve"> </w:t>
      </w:r>
      <w:r>
        <w:t xml:space="preserve">Consommation et de la</w:t>
      </w:r>
      <w:r>
        <w:t xml:space="preserve"> </w:t>
      </w:r>
      <w:r>
        <w:t xml:space="preserve">Répression des fraudes)</w:t>
      </w:r>
      <w:r>
        <w:t xml:space="preserve"> </w:t>
      </w:r>
      <w:r>
        <w:t xml:space="preserve">2020 survey</w:t>
      </w:r>
      <w:r>
        <w:t xml:space="preserve"> </w:t>
      </w:r>
      <w:r>
        <w:t xml:space="preserve">2020</w:t>
      </w:r>
      <w:r>
        <w:t xml:space="preserve"> </w:t>
      </w:r>
      <w:r>
        <w:t xml:space="preserve">Online Cosmetics for</w:t>
      </w:r>
      <w:r>
        <w:t xml:space="preserve"> </w:t>
      </w:r>
      <w:r>
        <w:t xml:space="preserve">adults</w:t>
      </w:r>
      <w:r>
        <w:t xml:space="preserve"> </w:t>
      </w:r>
      <w:r>
        <w:t xml:space="preserve">39</w:t>
      </w:r>
      <w:r>
        <w:t xml:space="preserve"> </w:t>
      </w:r>
      <w:r>
        <w:t xml:space="preserve">22</w:t>
      </w:r>
      <w:r>
        <w:t xml:space="preserve"> </w:t>
      </w:r>
      <w:r>
        <w:t xml:space="preserve">56%</w:t>
      </w:r>
      <w:r>
        <w:t xml:space="preserve"> </w:t>
      </w:r>
      <w:r>
        <w:t xml:space="preserve">No</w:t>
      </w:r>
      <w:r>
        <w:t xml:space="preserve"> </w:t>
      </w:r>
      <w:r>
        <w:t xml:space="preserve">list</w:t>
      </w:r>
      <w:r>
        <w:t xml:space="preserve"> </w:t>
      </w:r>
      <w:r>
        <w:t xml:space="preserve">of</w:t>
      </w:r>
      <w:r>
        <w:t xml:space="preserve"> </w:t>
      </w:r>
      <w:r>
        <w:t xml:space="preserve">ingredients</w:t>
      </w:r>
      <w:r>
        <w:t xml:space="preserve"> </w:t>
      </w:r>
      <w:r>
        <w:t xml:space="preserve">and</w:t>
      </w:r>
      <w:r>
        <w:t xml:space="preserve"> </w:t>
      </w:r>
      <w:r>
        <w:t xml:space="preserve">company information</w:t>
      </w:r>
      <w:r>
        <w:t xml:space="preserve"> </w:t>
      </w:r>
      <w:r>
        <w:t xml:space="preserve">BEUC report</w:t>
      </w:r>
      <w:r>
        <w:t xml:space="preserve"> </w:t>
      </w:r>
      <w:r>
        <w:t xml:space="preserve">2021</w:t>
      </w:r>
      <w:r>
        <w:t xml:space="preserve"> </w:t>
      </w:r>
      <w:r>
        <w:t xml:space="preserve">Online Cosmetics for</w:t>
      </w:r>
      <w:r>
        <w:t xml:space="preserve"> </w:t>
      </w:r>
      <w:r>
        <w:t xml:space="preserve">adults</w:t>
      </w:r>
      <w:r>
        <w:t xml:space="preserve"> </w:t>
      </w:r>
      <w:r>
        <w:t xml:space="preserve">39</w:t>
      </w:r>
      <w:r>
        <w:t xml:space="preserve"> </w:t>
      </w:r>
      <w:r>
        <w:t xml:space="preserve">1</w:t>
      </w:r>
      <w:r>
        <w:t xml:space="preserve"> </w:t>
      </w:r>
      <w:r>
        <w:t xml:space="preserve">3%</w:t>
      </w:r>
      <w:r>
        <w:t xml:space="preserve"> </w:t>
      </w:r>
      <w:r>
        <w:t xml:space="preserve">Illegal substances</w:t>
      </w:r>
      <w:r>
        <w:t xml:space="preserve"> </w:t>
      </w:r>
      <w:r>
        <w:t xml:space="preserve">BEUC report</w:t>
      </w:r>
      <w:r>
        <w:t xml:space="preserve"> </w:t>
      </w:r>
      <w:r>
        <w:t xml:space="preserve">2021</w:t>
      </w:r>
      <w:r>
        <w:t xml:space="preserve"> </w:t>
      </w:r>
      <w:r>
        <w:t xml:space="preserve">Online Teeth whitening</w:t>
      </w:r>
      <w:r>
        <w:t xml:space="preserve"> </w:t>
      </w:r>
      <w:r>
        <w:t xml:space="preserve">products</w:t>
      </w:r>
      <w:r>
        <w:t xml:space="preserve"> </w:t>
      </w:r>
      <w:r>
        <w:t xml:space="preserve">11</w:t>
      </w:r>
      <w:r>
        <w:t xml:space="preserve"> </w:t>
      </w:r>
      <w:r>
        <w:t xml:space="preserve">7</w:t>
      </w:r>
      <w:r>
        <w:t xml:space="preserve"> </w:t>
      </w:r>
      <w:r>
        <w:t xml:space="preserve">64%</w:t>
      </w:r>
      <w:r>
        <w:t xml:space="preserve"> </w:t>
      </w:r>
      <w:r>
        <w:t xml:space="preserve">Hydrogen peroxide limits</w:t>
      </w:r>
      <w:r>
        <w:t xml:space="preserve"> </w:t>
      </w:r>
      <w:r>
        <w:t xml:space="preserve">BEUC report</w:t>
      </w:r>
      <w:r>
        <w:t xml:space="preserve"> </w:t>
      </w:r>
      <w:r>
        <w:t xml:space="preserve">2021</w:t>
      </w:r>
      <w:r>
        <w:t xml:space="preserve"> </w:t>
      </w:r>
      <w:r>
        <w:t xml:space="preserve">Online Teeth whitening</w:t>
      </w:r>
      <w:r>
        <w:t xml:space="preserve"> </w:t>
      </w:r>
      <w:r>
        <w:t xml:space="preserve">products</w:t>
      </w:r>
      <w:r>
        <w:t xml:space="preserve"> </w:t>
      </w:r>
      <w:r>
        <w:t xml:space="preserve">11</w:t>
      </w:r>
      <w:r>
        <w:t xml:space="preserve"> </w:t>
      </w:r>
      <w:r>
        <w:t xml:space="preserve">11</w:t>
      </w:r>
      <w:r>
        <w:t xml:space="preserve"> </w:t>
      </w:r>
      <w:r>
        <w:t xml:space="preserve">100%</w:t>
      </w:r>
      <w:r>
        <w:t xml:space="preserve"> </w:t>
      </w:r>
      <w:r>
        <w:t xml:space="preserve">Labelling</w:t>
      </w:r>
      <w:r>
        <w:t xml:space="preserve"> </w:t>
      </w:r>
      <w:r>
        <w:t xml:space="preserve">and</w:t>
      </w:r>
      <w:r>
        <w:t xml:space="preserve"> </w:t>
      </w:r>
      <w:r>
        <w:t xml:space="preserve">no</w:t>
      </w:r>
      <w:r>
        <w:t xml:space="preserve"> </w:t>
      </w:r>
      <w:r>
        <w:t xml:space="preserve">manufacturer/batch labels</w:t>
      </w:r>
      <w:r>
        <w:t xml:space="preserve"> </w:t>
      </w:r>
      <w:r>
        <w:t xml:space="preserve">BEUC report</w:t>
      </w:r>
      <w:r>
        <w:t xml:space="preserve"> </w:t>
      </w:r>
      <w:r>
        <w:t xml:space="preserve">2021</w:t>
      </w:r>
      <w:r>
        <w:t xml:space="preserve"> </w:t>
      </w:r>
      <w:r>
        <w:t xml:space="preserve">Online</w:t>
      </w:r>
      <w:r>
        <w:t xml:space="preserve"> </w:t>
      </w:r>
      <w:r>
        <w:t xml:space="preserve">Children’s</w:t>
      </w:r>
      <w:r>
        <w:t xml:space="preserve"> </w:t>
      </w:r>
      <w:r>
        <w:t xml:space="preserve">make-up</w:t>
      </w:r>
      <w:r>
        <w:t xml:space="preserve"> </w:t>
      </w:r>
      <w:r>
        <w:t xml:space="preserve">11</w:t>
      </w:r>
      <w:r>
        <w:t xml:space="preserve"> </w:t>
      </w:r>
      <w:r>
        <w:t xml:space="preserve">1</w:t>
      </w:r>
      <w:r>
        <w:t xml:space="preserve"> </w:t>
      </w:r>
      <w:r>
        <w:t xml:space="preserve">9%</w:t>
      </w:r>
      <w:r>
        <w:t xml:space="preserve"> </w:t>
      </w:r>
      <w:r>
        <w:t xml:space="preserve">425 x legal limit for lead</w:t>
      </w:r>
      <w:r>
        <w:t xml:space="preserve"> </w:t>
      </w:r>
      <w:r>
        <w:t xml:space="preserve">BEUC report</w:t>
      </w:r>
      <w:r>
        <w:t xml:space="preserve"> </w:t>
      </w:r>
      <w:r>
        <w:t xml:space="preserve">2021</w:t>
      </w:r>
      <w:r>
        <w:t xml:space="preserve"> </w:t>
      </w:r>
      <w:r>
        <w:t xml:space="preserve">Online</w:t>
      </w:r>
      <w:r>
        <w:t xml:space="preserve"> </w:t>
      </w:r>
      <w:r>
        <w:t xml:space="preserve">Children’s</w:t>
      </w:r>
      <w:r>
        <w:t xml:space="preserve"> </w:t>
      </w:r>
      <w:r>
        <w:t xml:space="preserve">make-up</w:t>
      </w:r>
      <w:r>
        <w:t xml:space="preserve"> </w:t>
      </w:r>
      <w:r>
        <w:t xml:space="preserve">11</w:t>
      </w:r>
      <w:r>
        <w:t xml:space="preserve"> </w:t>
      </w:r>
      <w:r>
        <w:t xml:space="preserve">2</w:t>
      </w:r>
      <w:r>
        <w:t xml:space="preserve"> </w:t>
      </w:r>
      <w:r>
        <w:t xml:space="preserve">18%</w:t>
      </w:r>
      <w:r>
        <w:t xml:space="preserve"> </w:t>
      </w:r>
      <w:r>
        <w:t xml:space="preserve">Legal limits on antimony</w:t>
      </w:r>
      <w:r>
        <w:t xml:space="preserve"> </w:t>
      </w:r>
      <w:r>
        <w:t xml:space="preserve">BEUC report</w:t>
      </w:r>
      <w:r>
        <w:t xml:space="preserve"> </w:t>
      </w:r>
      <w:r>
        <w:t xml:space="preserve">2021</w:t>
      </w:r>
      <w:r>
        <w:t xml:space="preserve"> </w:t>
      </w:r>
      <w:r>
        <w:t xml:space="preserve">Online</w:t>
      </w:r>
      <w:r>
        <w:t xml:space="preserve"> </w:t>
      </w:r>
      <w:r>
        <w:t xml:space="preserve">Children’s</w:t>
      </w:r>
      <w:r>
        <w:t xml:space="preserve"> </w:t>
      </w:r>
      <w:r>
        <w:t xml:space="preserve">make-up</w:t>
      </w:r>
      <w:r>
        <w:t xml:space="preserve"> </w:t>
      </w:r>
      <w:r>
        <w:t xml:space="preserve">11</w:t>
      </w:r>
      <w:r>
        <w:t xml:space="preserve"> </w:t>
      </w:r>
      <w:r>
        <w:t xml:space="preserve">3</w:t>
      </w:r>
      <w:r>
        <w:t xml:space="preserve"> </w:t>
      </w:r>
      <w:r>
        <w:t xml:space="preserve">27%</w:t>
      </w:r>
      <w:r>
        <w:t xml:space="preserve"> </w:t>
      </w:r>
      <w:r>
        <w:t xml:space="preserve">Legal limits substances</w:t>
      </w:r>
      <w:r>
        <w:t xml:space="preserve"> </w:t>
      </w:r>
      <w:r>
        <w:t xml:space="preserve">BEUC report</w:t>
      </w:r>
      <w:r>
        <w:t xml:space="preserve"> </w:t>
      </w:r>
      <w:r>
        <w:t xml:space="preserve">2021</w:t>
      </w:r>
      <w:r>
        <w:t xml:space="preserve"> </w:t>
      </w:r>
      <w:r>
        <w:t xml:space="preserve">COSMETICS - average</w:t>
      </w:r>
      <w:r>
        <w:t xml:space="preserve"> </w:t>
      </w:r>
      <w:r>
        <w:t xml:space="preserve">37%</w:t>
      </w:r>
      <w:r>
        <w:t xml:space="preserve"> </w:t>
      </w:r>
      <w:r>
        <w:t xml:space="preserve">Restrictions</w:t>
      </w:r>
      <w:r>
        <w:t xml:space="preserve"> </w:t>
      </w:r>
      <w:r>
        <w:t xml:space="preserve">Online Toys</w:t>
      </w:r>
      <w:r>
        <w:t xml:space="preserve"> </w:t>
      </w:r>
      <w:r>
        <w:t xml:space="preserve">193</w:t>
      </w:r>
      <w:r>
        <w:t xml:space="preserve"> </w:t>
      </w:r>
      <w:r>
        <w:t xml:space="preserve">18</w:t>
      </w:r>
      <w:r>
        <w:t xml:space="preserve"> </w:t>
      </w:r>
      <w:r>
        <w:t xml:space="preserve">9%</w:t>
      </w:r>
      <w:r>
        <w:t xml:space="preserve"> </w:t>
      </w:r>
      <w:r>
        <w:t xml:space="preserve">Pthalate levels</w:t>
      </w:r>
      <w:r>
        <w:t xml:space="preserve"> </w:t>
      </w:r>
      <w:r>
        <w:t xml:space="preserve">June 2020 Toy industry</w:t>
      </w:r>
      <w:r>
        <w:t xml:space="preserve"> </w:t>
      </w:r>
      <w:r>
        <w:t xml:space="preserve">survey</w:t>
      </w:r>
      <w:r>
        <w:t xml:space="preserve"> </w:t>
      </w:r>
      <w:r>
        <w:t xml:space="preserve">2020</w:t>
      </w:r>
      <w:r>
        <w:t xml:space="preserve"> </w:t>
      </w:r>
      <w:r>
        <w:t xml:space="preserve">Online Toys</w:t>
      </w:r>
      <w:r>
        <w:t xml:space="preserve"> </w:t>
      </w:r>
      <w:r>
        <w:t xml:space="preserve">193</w:t>
      </w:r>
      <w:r>
        <w:t xml:space="preserve"> </w:t>
      </w:r>
      <w:r>
        <w:t xml:space="preserve">7</w:t>
      </w:r>
      <w:r>
        <w:t xml:space="preserve"> </w:t>
      </w:r>
      <w:r>
        <w:t xml:space="preserve">4%</w:t>
      </w:r>
      <w:r>
        <w:t xml:space="preserve"> </w:t>
      </w:r>
      <w:r>
        <w:t xml:space="preserve">Boron migration</w:t>
      </w:r>
      <w:r>
        <w:t xml:space="preserve"> </w:t>
      </w:r>
      <w:r>
        <w:t xml:space="preserve">June 2020 Toy industry</w:t>
      </w:r>
      <w:r>
        <w:t xml:space="preserve"> </w:t>
      </w:r>
      <w:r>
        <w:t xml:space="preserve">survey</w:t>
      </w:r>
      <w:r>
        <w:t xml:space="preserve"> </w:t>
      </w:r>
      <w:r>
        <w:t xml:space="preserve">2020</w:t>
      </w:r>
    </w:p>
    <w:p>
      <w:pPr>
        <w:pStyle w:val="BodyText"/>
      </w:pPr>
      <w:r>
        <w:t xml:space="preserve">588</w:t>
      </w:r>
    </w:p>
    <w:p>
      <w:pPr>
        <w:pStyle w:val="BodyText"/>
      </w:pPr>
      <w:r>
        <w:t xml:space="preserve">Table 184: Collated information on online product non-compliance</w:t>
      </w:r>
      <w:r>
        <w:t xml:space="preserve"> </w:t>
      </w:r>
      <w:r>
        <w:t xml:space="preserve">Product</w:t>
      </w:r>
      <w:r>
        <w:t xml:space="preserve"> </w:t>
      </w:r>
      <w:r>
        <w:t xml:space="preserve">Reference</w:t>
      </w:r>
      <w:r>
        <w:t xml:space="preserve"> </w:t>
      </w:r>
      <w:r>
        <w:t xml:space="preserve">number/</w:t>
      </w:r>
      <w:r>
        <w:t xml:space="preserve"> </w:t>
      </w:r>
      <w:r>
        <w:t xml:space="preserve">Number</w:t>
      </w:r>
      <w:r>
        <w:t xml:space="preserve"> </w:t>
      </w:r>
      <w:r>
        <w:t xml:space="preserve">tested/assessed</w:t>
      </w:r>
      <w:r>
        <w:t xml:space="preserve"> </w:t>
      </w:r>
      <w:r>
        <w:t xml:space="preserve">Non-</w:t>
      </w:r>
      <w:r>
        <w:t xml:space="preserve"> </w:t>
      </w:r>
      <w:r>
        <w:t xml:space="preserve">compliant</w:t>
      </w:r>
      <w:r>
        <w:t xml:space="preserve"> </w:t>
      </w:r>
      <w:r>
        <w:t xml:space="preserve">Non-</w:t>
      </w:r>
      <w:r>
        <w:t xml:space="preserve"> </w:t>
      </w:r>
      <w:r>
        <w:t xml:space="preserve">compliant</w:t>
      </w:r>
      <w:r>
        <w:t xml:space="preserve"> </w:t>
      </w:r>
      <w:r>
        <w:t xml:space="preserve">(%)</w:t>
      </w:r>
      <w:r>
        <w:t xml:space="preserve"> </w:t>
      </w:r>
      <w:r>
        <w:t xml:space="preserve">Requirement/reason</w:t>
      </w:r>
      <w:r>
        <w:t xml:space="preserve"> </w:t>
      </w:r>
      <w:r>
        <w:t xml:space="preserve">Source</w:t>
      </w:r>
      <w:r>
        <w:t xml:space="preserve"> </w:t>
      </w:r>
      <w:r>
        <w:t xml:space="preserve">Year</w:t>
      </w:r>
      <w:r>
        <w:t xml:space="preserve"> </w:t>
      </w:r>
      <w:r>
        <w:t xml:space="preserve">Online Toys</w:t>
      </w:r>
      <w:r>
        <w:t xml:space="preserve"> </w:t>
      </w:r>
      <w:r>
        <w:t xml:space="preserve">82</w:t>
      </w:r>
      <w:r>
        <w:t xml:space="preserve"> </w:t>
      </w:r>
      <w:r>
        <w:t xml:space="preserve">12</w:t>
      </w:r>
      <w:r>
        <w:t xml:space="preserve"> </w:t>
      </w:r>
      <w:r>
        <w:t xml:space="preserve">15%</w:t>
      </w:r>
      <w:r>
        <w:t xml:space="preserve"> </w:t>
      </w:r>
      <w:r>
        <w:t xml:space="preserve">Noncompliance with restriction:</w:t>
      </w:r>
      <w:r>
        <w:t xml:space="preserve"> </w:t>
      </w:r>
      <w:r>
        <w:t xml:space="preserve">Entry 51: Phthalates (DEHP,</w:t>
      </w:r>
      <w:r>
        <w:t xml:space="preserve"> </w:t>
      </w:r>
      <w:r>
        <w:t xml:space="preserve">DBP, BBP,</w:t>
      </w:r>
      <w:r>
        <w:br/>
      </w:r>
      <w:r>
        <w:t xml:space="preserve">ECHA Ref 8 report</w:t>
      </w:r>
      <w:r>
        <w:t xml:space="preserve"> </w:t>
      </w:r>
      <w:r>
        <w:t xml:space="preserve">2020</w:t>
      </w:r>
      <w:r>
        <w:t xml:space="preserve"> </w:t>
      </w:r>
      <w:r>
        <w:t xml:space="preserve">Online Toys</w:t>
      </w:r>
      <w:r>
        <w:t xml:space="preserve"> </w:t>
      </w:r>
      <w:r>
        <w:t xml:space="preserve">94</w:t>
      </w:r>
      <w:r>
        <w:t xml:space="preserve"> </w:t>
      </w:r>
      <w:r>
        <w:t xml:space="preserve">2</w:t>
      </w:r>
      <w:r>
        <w:t xml:space="preserve"> </w:t>
      </w:r>
      <w:r>
        <w:t xml:space="preserve">2%</w:t>
      </w:r>
      <w:r>
        <w:t xml:space="preserve"> </w:t>
      </w:r>
      <w:r>
        <w:t xml:space="preserve">Noncompliance with restriction:</w:t>
      </w:r>
      <w:r>
        <w:t xml:space="preserve"> </w:t>
      </w:r>
      <w:r>
        <w:t xml:space="preserve">Entry</w:t>
      </w:r>
      <w:r>
        <w:t xml:space="preserve"> </w:t>
      </w:r>
      <w:r>
        <w:t xml:space="preserve">52:</w:t>
      </w:r>
      <w:r>
        <w:t xml:space="preserve"> </w:t>
      </w:r>
      <w:r>
        <w:t xml:space="preserve">Phthalates</w:t>
      </w:r>
      <w:r>
        <w:t xml:space="preserve"> </w:t>
      </w:r>
      <w:r>
        <w:t xml:space="preserve">(DINP,</w:t>
      </w:r>
      <w:r>
        <w:t xml:space="preserve"> </w:t>
      </w:r>
      <w:r>
        <w:t xml:space="preserve">DIDP,</w:t>
      </w:r>
      <w:r>
        <w:br/>
      </w:r>
      <w:r>
        <w:t xml:space="preserve">ECHA Ref 8 report</w:t>
      </w:r>
      <w:r>
        <w:t xml:space="preserve"> </w:t>
      </w:r>
      <w:r>
        <w:t xml:space="preserve">2020</w:t>
      </w:r>
      <w:r>
        <w:t xml:space="preserve"> </w:t>
      </w:r>
      <w:r>
        <w:t xml:space="preserve">Online Balloons</w:t>
      </w:r>
      <w:r>
        <w:t xml:space="preserve"> </w:t>
      </w:r>
      <w:r>
        <w:t xml:space="preserve">5</w:t>
      </w:r>
      <w:r>
        <w:t xml:space="preserve"> </w:t>
      </w:r>
      <w:r>
        <w:t xml:space="preserve">5</w:t>
      </w:r>
      <w:r>
        <w:t xml:space="preserve"> </w:t>
      </w:r>
      <w:r>
        <w:t xml:space="preserve">100%</w:t>
      </w:r>
      <w:r>
        <w:t xml:space="preserve"> </w:t>
      </w:r>
      <w:r>
        <w:t xml:space="preserve">nitrosamines and/or nitrosatable</w:t>
      </w:r>
      <w:r>
        <w:t xml:space="preserve"> </w:t>
      </w:r>
      <w:r>
        <w:t xml:space="preserve">substances</w:t>
      </w:r>
      <w:r>
        <w:t xml:space="preserve"> </w:t>
      </w:r>
      <w:r>
        <w:t xml:space="preserve">BEUC report</w:t>
      </w:r>
      <w:r>
        <w:t xml:space="preserve"> </w:t>
      </w:r>
      <w:r>
        <w:t xml:space="preserve">2021</w:t>
      </w:r>
      <w:r>
        <w:t xml:space="preserve"> </w:t>
      </w:r>
      <w:r>
        <w:t xml:space="preserve">Online Balloons</w:t>
      </w:r>
      <w:r>
        <w:t xml:space="preserve"> </w:t>
      </w:r>
      <w:r>
        <w:t xml:space="preserve">5</w:t>
      </w:r>
      <w:r>
        <w:t xml:space="preserve"> </w:t>
      </w:r>
      <w:r>
        <w:t xml:space="preserve">2</w:t>
      </w:r>
      <w:r>
        <w:t xml:space="preserve"> </w:t>
      </w:r>
      <w:r>
        <w:t xml:space="preserve">40%</w:t>
      </w:r>
      <w:r>
        <w:t xml:space="preserve"> </w:t>
      </w:r>
      <w:r>
        <w:t xml:space="preserve">15 x limit for nitrosamines, 27 x</w:t>
      </w:r>
      <w:r>
        <w:t xml:space="preserve"> </w:t>
      </w:r>
      <w:r>
        <w:t xml:space="preserve">limit for nitrosatable substances</w:t>
      </w:r>
      <w:r>
        <w:t xml:space="preserve"> </w:t>
      </w:r>
      <w:r>
        <w:t xml:space="preserve">BEUC report</w:t>
      </w:r>
      <w:r>
        <w:t xml:space="preserve"> </w:t>
      </w:r>
      <w:r>
        <w:t xml:space="preserve">2021</w:t>
      </w:r>
      <w:r>
        <w:t xml:space="preserve"> </w:t>
      </w:r>
      <w:r>
        <w:t xml:space="preserve">Soft plastic toys</w:t>
      </w:r>
      <w:r>
        <w:t xml:space="preserve"> </w:t>
      </w:r>
      <w:r>
        <w:t xml:space="preserve">29</w:t>
      </w:r>
      <w:r>
        <w:t xml:space="preserve"> </w:t>
      </w:r>
      <w:r>
        <w:t xml:space="preserve">9</w:t>
      </w:r>
      <w:r>
        <w:t xml:space="preserve"> </w:t>
      </w:r>
      <w:r>
        <w:t xml:space="preserve">31%</w:t>
      </w:r>
      <w:r>
        <w:t xml:space="preserve"> </w:t>
      </w:r>
      <w:r>
        <w:t xml:space="preserve">Above legal limits for one or</w:t>
      </w:r>
      <w:r>
        <w:t xml:space="preserve"> </w:t>
      </w:r>
      <w:r>
        <w:t xml:space="preserve">more Phthalates</w:t>
      </w:r>
      <w:r>
        <w:t xml:space="preserve"> </w:t>
      </w:r>
      <w:r>
        <w:t xml:space="preserve">BEUC report</w:t>
      </w:r>
      <w:r>
        <w:t xml:space="preserve"> </w:t>
      </w:r>
      <w:r>
        <w:t xml:space="preserve">2021</w:t>
      </w:r>
      <w:r>
        <w:t xml:space="preserve"> </w:t>
      </w:r>
      <w:r>
        <w:t xml:space="preserve">Online Acoustic toys</w:t>
      </w:r>
      <w:r>
        <w:t xml:space="preserve"> </w:t>
      </w:r>
      <w:r>
        <w:t xml:space="preserve">23</w:t>
      </w:r>
      <w:r>
        <w:t xml:space="preserve"> </w:t>
      </w:r>
      <w:r>
        <w:t xml:space="preserve">0</w:t>
      </w:r>
      <w:r>
        <w:t xml:space="preserve"> </w:t>
      </w:r>
      <w:r>
        <w:t xml:space="preserve">0%</w:t>
      </w:r>
      <w:r>
        <w:t xml:space="preserve"> </w:t>
      </w:r>
      <w:r>
        <w:t xml:space="preserve">Legal limits on substances</w:t>
      </w:r>
      <w:r>
        <w:t xml:space="preserve"> </w:t>
      </w:r>
      <w:r>
        <w:t xml:space="preserve">BEUC report</w:t>
      </w:r>
      <w:r>
        <w:t xml:space="preserve"> </w:t>
      </w:r>
      <w:r>
        <w:t xml:space="preserve">2021</w:t>
      </w:r>
      <w:r>
        <w:t xml:space="preserve"> </w:t>
      </w:r>
      <w:r>
        <w:t xml:space="preserve">Online Acoustic toys</w:t>
      </w:r>
      <w:r>
        <w:t xml:space="preserve"> </w:t>
      </w:r>
      <w:r>
        <w:t xml:space="preserve">23</w:t>
      </w:r>
      <w:r>
        <w:t xml:space="preserve"> </w:t>
      </w:r>
      <w:r>
        <w:t xml:space="preserve">4</w:t>
      </w:r>
      <w:r>
        <w:t xml:space="preserve"> </w:t>
      </w:r>
      <w:r>
        <w:t xml:space="preserve">17%</w:t>
      </w:r>
      <w:r>
        <w:t xml:space="preserve"> </w:t>
      </w:r>
      <w:r>
        <w:t xml:space="preserve">German limits on PAHs</w:t>
      </w:r>
      <w:r>
        <w:t xml:space="preserve"> </w:t>
      </w:r>
      <w:r>
        <w:t xml:space="preserve">BEUC report</w:t>
      </w:r>
      <w:r>
        <w:t xml:space="preserve"> </w:t>
      </w:r>
      <w:r>
        <w:t xml:space="preserve">2021</w:t>
      </w:r>
      <w:r>
        <w:t xml:space="preserve"> </w:t>
      </w:r>
      <w:r>
        <w:t xml:space="preserve">Online</w:t>
      </w:r>
      <w:r>
        <w:t xml:space="preserve"> </w:t>
      </w:r>
      <w:r>
        <w:t xml:space="preserve">Toys</w:t>
      </w:r>
      <w:r>
        <w:t xml:space="preserve"> </w:t>
      </w:r>
      <w:r>
        <w:t xml:space="preserve">and</w:t>
      </w:r>
      <w:r>
        <w:t xml:space="preserve"> </w:t>
      </w:r>
      <w:r>
        <w:t xml:space="preserve">childcare items</w:t>
      </w:r>
    </w:p>
    <w:p>
      <w:pPr>
        <w:pStyle w:val="BodyText"/>
      </w:pPr>
      <w:r>
        <w:t xml:space="preserve">24%</w:t>
      </w:r>
      <w:r>
        <w:t xml:space="preserve"> </w:t>
      </w:r>
      <w:r>
        <w:t xml:space="preserve">Not conforming to restrictions on</w:t>
      </w:r>
      <w:r>
        <w:t xml:space="preserve"> </w:t>
      </w:r>
      <w:r>
        <w:t xml:space="preserve">substances (KEMI enforcememnt</w:t>
      </w:r>
      <w:r>
        <w:t xml:space="preserve"> </w:t>
      </w:r>
      <w:r>
        <w:t xml:space="preserve">2014-2019)</w:t>
      </w:r>
      <w:r>
        <w:t xml:space="preserve"> </w:t>
      </w:r>
      <w:r>
        <w:t xml:space="preserve">Kemi</w:t>
      </w:r>
      <w:r>
        <w:t xml:space="preserve"> </w:t>
      </w:r>
      <w:r>
        <w:t xml:space="preserve">-</w:t>
      </w:r>
      <w:r>
        <w:t xml:space="preserve"> </w:t>
      </w:r>
      <w:r>
        <w:t xml:space="preserve">Increased</w:t>
      </w:r>
      <w:r>
        <w:t xml:space="preserve"> </w:t>
      </w:r>
      <w:r>
        <w:t xml:space="preserve">e-</w:t>
      </w:r>
      <w:r>
        <w:t xml:space="preserve"> </w:t>
      </w:r>
      <w:r>
        <w:t xml:space="preserve">commerce – increased</w:t>
      </w:r>
      <w:r>
        <w:t xml:space="preserve"> </w:t>
      </w:r>
      <w:r>
        <w:t xml:space="preserve">chemicals risks?</w:t>
      </w:r>
      <w:r>
        <w:br/>
      </w:r>
      <w:r>
        <w:t xml:space="preserve">2016</w:t>
      </w:r>
      <w:r>
        <w:t xml:space="preserve"> </w:t>
      </w:r>
      <w:r>
        <w:t xml:space="preserve">Online</w:t>
      </w:r>
      <w:r>
        <w:t xml:space="preserve"> </w:t>
      </w:r>
      <w:r>
        <w:t xml:space="preserve">Toys</w:t>
      </w:r>
      <w:r>
        <w:t xml:space="preserve"> </w:t>
      </w:r>
      <w:r>
        <w:t xml:space="preserve">and</w:t>
      </w:r>
      <w:r>
        <w:t xml:space="preserve"> </w:t>
      </w:r>
      <w:r>
        <w:t xml:space="preserve">childcare items</w:t>
      </w:r>
    </w:p>
    <w:p>
      <w:pPr>
        <w:pStyle w:val="BodyText"/>
      </w:pPr>
      <w:r>
        <w:t xml:space="preserve">23%</w:t>
      </w:r>
      <w:r>
        <w:t xml:space="preserve"> </w:t>
      </w:r>
      <w:r>
        <w:t xml:space="preserve">Not conforming to restrictions on</w:t>
      </w:r>
      <w:r>
        <w:t xml:space="preserve"> </w:t>
      </w:r>
      <w:r>
        <w:t xml:space="preserve">substances (Nordic e-commerce</w:t>
      </w:r>
      <w:r>
        <w:t xml:space="preserve"> </w:t>
      </w:r>
      <w:r>
        <w:t xml:space="preserve">project 2019)</w:t>
      </w:r>
      <w:r>
        <w:t xml:space="preserve"> </w:t>
      </w:r>
      <w:r>
        <w:t xml:space="preserve">Kemi</w:t>
      </w:r>
      <w:r>
        <w:t xml:space="preserve"> </w:t>
      </w:r>
      <w:r>
        <w:t xml:space="preserve">-</w:t>
      </w:r>
      <w:r>
        <w:t xml:space="preserve"> </w:t>
      </w:r>
      <w:r>
        <w:t xml:space="preserve">Increased</w:t>
      </w:r>
      <w:r>
        <w:t xml:space="preserve"> </w:t>
      </w:r>
      <w:r>
        <w:t xml:space="preserve">e-</w:t>
      </w:r>
      <w:r>
        <w:t xml:space="preserve"> </w:t>
      </w:r>
      <w:r>
        <w:t xml:space="preserve">commerce – increased</w:t>
      </w:r>
      <w:r>
        <w:t xml:space="preserve"> </w:t>
      </w:r>
      <w:r>
        <w:t xml:space="preserve">chemicals risks?</w:t>
      </w:r>
      <w:r>
        <w:br/>
      </w:r>
      <w:r>
        <w:t xml:space="preserve">2016</w:t>
      </w:r>
      <w:r>
        <w:t xml:space="preserve"> </w:t>
      </w:r>
      <w:r>
        <w:t xml:space="preserve">Online</w:t>
      </w:r>
      <w:r>
        <w:t xml:space="preserve"> </w:t>
      </w:r>
      <w:r>
        <w:t xml:space="preserve">Childcare</w:t>
      </w:r>
      <w:r>
        <w:t xml:space="preserve"> </w:t>
      </w:r>
      <w:r>
        <w:t xml:space="preserve">articles</w:t>
      </w:r>
      <w:r>
        <w:br/>
      </w:r>
      <w:r>
        <w:t xml:space="preserve">24</w:t>
      </w:r>
      <w:r>
        <w:t xml:space="preserve"> </w:t>
      </w:r>
      <w:r>
        <w:t xml:space="preserve">0</w:t>
      </w:r>
      <w:r>
        <w:t xml:space="preserve"> </w:t>
      </w:r>
      <w:r>
        <w:t xml:space="preserve">0%</w:t>
      </w:r>
      <w:r>
        <w:t xml:space="preserve"> </w:t>
      </w:r>
      <w:r>
        <w:t xml:space="preserve">Noncompliance with restriction:</w:t>
      </w:r>
      <w:r>
        <w:t xml:space="preserve"> </w:t>
      </w:r>
      <w:r>
        <w:t xml:space="preserve">Entry 51: Phthalates (DEHP,</w:t>
      </w:r>
      <w:r>
        <w:t xml:space="preserve"> </w:t>
      </w:r>
      <w:r>
        <w:t xml:space="preserve">DBP, BBP,</w:t>
      </w:r>
      <w:r>
        <w:br/>
      </w:r>
      <w:r>
        <w:t xml:space="preserve">ECHA Ref 8 report</w:t>
      </w:r>
      <w:r>
        <w:t xml:space="preserve"> </w:t>
      </w:r>
      <w:r>
        <w:t xml:space="preserve">2020</w:t>
      </w:r>
      <w:r>
        <w:t xml:space="preserve"> </w:t>
      </w:r>
      <w:r>
        <w:t xml:space="preserve">Online</w:t>
      </w:r>
      <w:r>
        <w:t xml:space="preserve"> </w:t>
      </w:r>
      <w:r>
        <w:t xml:space="preserve">Childcare</w:t>
      </w:r>
      <w:r>
        <w:t xml:space="preserve"> </w:t>
      </w:r>
      <w:r>
        <w:t xml:space="preserve">articles</w:t>
      </w:r>
      <w:r>
        <w:br/>
      </w:r>
      <w:r>
        <w:t xml:space="preserve">28</w:t>
      </w:r>
      <w:r>
        <w:t xml:space="preserve"> </w:t>
      </w:r>
      <w:r>
        <w:t xml:space="preserve">0</w:t>
      </w:r>
      <w:r>
        <w:t xml:space="preserve"> </w:t>
      </w:r>
      <w:r>
        <w:t xml:space="preserve">0%</w:t>
      </w:r>
      <w:r>
        <w:t xml:space="preserve"> </w:t>
      </w:r>
      <w:r>
        <w:t xml:space="preserve">Noncompliance with restriction:</w:t>
      </w:r>
      <w:r>
        <w:t xml:space="preserve"> </w:t>
      </w:r>
      <w:r>
        <w:t xml:space="preserve">Entry</w:t>
      </w:r>
      <w:r>
        <w:t xml:space="preserve"> </w:t>
      </w:r>
      <w:r>
        <w:t xml:space="preserve">52:</w:t>
      </w:r>
      <w:r>
        <w:t xml:space="preserve"> </w:t>
      </w:r>
      <w:r>
        <w:t xml:space="preserve">Phthalates</w:t>
      </w:r>
      <w:r>
        <w:t xml:space="preserve"> </w:t>
      </w:r>
      <w:r>
        <w:t xml:space="preserve">(DINP,</w:t>
      </w:r>
      <w:r>
        <w:t xml:space="preserve"> </w:t>
      </w:r>
      <w:r>
        <w:t xml:space="preserve">DIDP,</w:t>
      </w:r>
      <w:r>
        <w:br/>
      </w:r>
      <w:r>
        <w:t xml:space="preserve">ECHA Ref 8 report</w:t>
      </w:r>
      <w:r>
        <w:t xml:space="preserve"> </w:t>
      </w:r>
      <w:r>
        <w:t xml:space="preserve">2020</w:t>
      </w:r>
    </w:p>
    <w:p>
      <w:pPr>
        <w:pStyle w:val="BodyText"/>
      </w:pPr>
      <w:r>
        <w:t xml:space="preserve">589</w:t>
      </w:r>
    </w:p>
    <w:p>
      <w:pPr>
        <w:pStyle w:val="BodyText"/>
      </w:pPr>
      <w:r>
        <w:t xml:space="preserve">Table 184: Collated information on online product non-compliance</w:t>
      </w:r>
      <w:r>
        <w:t xml:space="preserve"> </w:t>
      </w:r>
      <w:r>
        <w:t xml:space="preserve">Product</w:t>
      </w:r>
      <w:r>
        <w:t xml:space="preserve"> </w:t>
      </w:r>
      <w:r>
        <w:t xml:space="preserve">Reference</w:t>
      </w:r>
      <w:r>
        <w:t xml:space="preserve"> </w:t>
      </w:r>
      <w:r>
        <w:t xml:space="preserve">number/</w:t>
      </w:r>
      <w:r>
        <w:t xml:space="preserve"> </w:t>
      </w:r>
      <w:r>
        <w:t xml:space="preserve">Number</w:t>
      </w:r>
      <w:r>
        <w:t xml:space="preserve"> </w:t>
      </w:r>
      <w:r>
        <w:t xml:space="preserve">tested/assessed</w:t>
      </w:r>
      <w:r>
        <w:t xml:space="preserve"> </w:t>
      </w:r>
      <w:r>
        <w:t xml:space="preserve">Non-</w:t>
      </w:r>
      <w:r>
        <w:t xml:space="preserve"> </w:t>
      </w:r>
      <w:r>
        <w:t xml:space="preserve">compliant</w:t>
      </w:r>
      <w:r>
        <w:t xml:space="preserve"> </w:t>
      </w:r>
      <w:r>
        <w:t xml:space="preserve">Non-</w:t>
      </w:r>
      <w:r>
        <w:t xml:space="preserve"> </w:t>
      </w:r>
      <w:r>
        <w:t xml:space="preserve">compliant</w:t>
      </w:r>
      <w:r>
        <w:t xml:space="preserve"> </w:t>
      </w:r>
      <w:r>
        <w:t xml:space="preserve">(%)</w:t>
      </w:r>
      <w:r>
        <w:t xml:space="preserve"> </w:t>
      </w:r>
      <w:r>
        <w:t xml:space="preserve">Requirement/reason</w:t>
      </w:r>
      <w:r>
        <w:t xml:space="preserve"> </w:t>
      </w:r>
      <w:r>
        <w:t xml:space="preserve">Source</w:t>
      </w:r>
      <w:r>
        <w:t xml:space="preserve"> </w:t>
      </w:r>
      <w:r>
        <w:t xml:space="preserve">Year</w:t>
      </w:r>
      <w:r>
        <w:t xml:space="preserve"> </w:t>
      </w:r>
      <w:r>
        <w:t xml:space="preserve">TOYS AND CHILDCARE ITEMS - average</w:t>
      </w:r>
      <w:r>
        <w:t xml:space="preserve"> </w:t>
      </w:r>
      <w:r>
        <w:t xml:space="preserve">20%</w:t>
      </w:r>
      <w:r>
        <w:t xml:space="preserve"> </w:t>
      </w:r>
      <w:r>
        <w:t xml:space="preserve">Restrictions</w:t>
      </w:r>
      <w:r>
        <w:t xml:space="preserve"> </w:t>
      </w:r>
      <w:r>
        <w:t xml:space="preserve">Online</w:t>
      </w:r>
      <w:r>
        <w:t xml:space="preserve"> </w:t>
      </w:r>
      <w:r>
        <w:t xml:space="preserve">Electrical</w:t>
      </w:r>
      <w:r>
        <w:t xml:space="preserve"> </w:t>
      </w:r>
      <w:r>
        <w:t xml:space="preserve">products</w:t>
      </w:r>
    </w:p>
    <w:p>
      <w:pPr>
        <w:pStyle w:val="BodyText"/>
      </w:pPr>
      <w:r>
        <w:t xml:space="preserve">31%</w:t>
      </w:r>
      <w:r>
        <w:t xml:space="preserve"> </w:t>
      </w:r>
      <w:r>
        <w:t xml:space="preserve">Not conforming to restrictions on</w:t>
      </w:r>
      <w:r>
        <w:t xml:space="preserve"> </w:t>
      </w:r>
      <w:r>
        <w:t xml:space="preserve">substances (KEMI enforcememnt</w:t>
      </w:r>
      <w:r>
        <w:t xml:space="preserve"> </w:t>
      </w:r>
      <w:r>
        <w:t xml:space="preserve">2014-2019)</w:t>
      </w:r>
      <w:r>
        <w:t xml:space="preserve"> </w:t>
      </w:r>
      <w:r>
        <w:t xml:space="preserve">Kemi</w:t>
      </w:r>
      <w:r>
        <w:t xml:space="preserve"> </w:t>
      </w:r>
      <w:r>
        <w:t xml:space="preserve">-</w:t>
      </w:r>
      <w:r>
        <w:t xml:space="preserve"> </w:t>
      </w:r>
      <w:r>
        <w:t xml:space="preserve">Increased</w:t>
      </w:r>
      <w:r>
        <w:t xml:space="preserve"> </w:t>
      </w:r>
      <w:r>
        <w:t xml:space="preserve">e-</w:t>
      </w:r>
      <w:r>
        <w:t xml:space="preserve"> </w:t>
      </w:r>
      <w:r>
        <w:t xml:space="preserve">commerce – increased</w:t>
      </w:r>
      <w:r>
        <w:t xml:space="preserve"> </w:t>
      </w:r>
      <w:r>
        <w:t xml:space="preserve">chemicals risks?</w:t>
      </w:r>
      <w:r>
        <w:br/>
      </w:r>
      <w:r>
        <w:t xml:space="preserve">2016</w:t>
      </w:r>
      <w:r>
        <w:t xml:space="preserve"> </w:t>
      </w:r>
      <w:r>
        <w:t xml:space="preserve">Online</w:t>
      </w:r>
      <w:r>
        <w:t xml:space="preserve"> </w:t>
      </w:r>
      <w:r>
        <w:t xml:space="preserve">Electrical</w:t>
      </w:r>
      <w:r>
        <w:t xml:space="preserve"> </w:t>
      </w:r>
      <w:r>
        <w:t xml:space="preserve">products</w:t>
      </w:r>
    </w:p>
    <w:p>
      <w:pPr>
        <w:pStyle w:val="BodyText"/>
      </w:pPr>
      <w:r>
        <w:t xml:space="preserve">57%</w:t>
      </w:r>
      <w:r>
        <w:t xml:space="preserve"> </w:t>
      </w:r>
      <w:r>
        <w:t xml:space="preserve">Not conforming to restrictions on</w:t>
      </w:r>
      <w:r>
        <w:t xml:space="preserve"> </w:t>
      </w:r>
      <w:r>
        <w:t xml:space="preserve">substances (Nordic e-commerce</w:t>
      </w:r>
      <w:r>
        <w:t xml:space="preserve"> </w:t>
      </w:r>
      <w:r>
        <w:t xml:space="preserve">project 2019)</w:t>
      </w:r>
      <w:r>
        <w:t xml:space="preserve"> </w:t>
      </w:r>
      <w:r>
        <w:t xml:space="preserve">Kemi</w:t>
      </w:r>
      <w:r>
        <w:t xml:space="preserve"> </w:t>
      </w:r>
      <w:r>
        <w:t xml:space="preserve">-</w:t>
      </w:r>
      <w:r>
        <w:t xml:space="preserve"> </w:t>
      </w:r>
      <w:r>
        <w:t xml:space="preserve">Increased</w:t>
      </w:r>
      <w:r>
        <w:t xml:space="preserve"> </w:t>
      </w:r>
      <w:r>
        <w:t xml:space="preserve">e-</w:t>
      </w:r>
      <w:r>
        <w:t xml:space="preserve"> </w:t>
      </w:r>
      <w:r>
        <w:t xml:space="preserve">commerce – increased</w:t>
      </w:r>
      <w:r>
        <w:t xml:space="preserve"> </w:t>
      </w:r>
      <w:r>
        <w:t xml:space="preserve">chemicals risks?</w:t>
      </w:r>
      <w:r>
        <w:br/>
      </w:r>
      <w:r>
        <w:t xml:space="preserve">2016</w:t>
      </w:r>
      <w:r>
        <w:t xml:space="preserve"> </w:t>
      </w:r>
      <w:r>
        <w:t xml:space="preserve">ELECTRICAL PRODUCTS - average</w:t>
      </w:r>
      <w:r>
        <w:t xml:space="preserve"> </w:t>
      </w:r>
      <w:r>
        <w:t xml:space="preserve">44%</w:t>
      </w:r>
      <w:r>
        <w:t xml:space="preserve"> </w:t>
      </w:r>
      <w:r>
        <w:t xml:space="preserve">Restrictions</w:t>
      </w:r>
      <w:r>
        <w:t xml:space="preserve"> </w:t>
      </w:r>
      <w:r>
        <w:t xml:space="preserve">Solder</w:t>
      </w:r>
      <w:r>
        <w:t xml:space="preserve"> </w:t>
      </w:r>
      <w:r>
        <w:t xml:space="preserve">(for</w:t>
      </w:r>
      <w:r>
        <w:t xml:space="preserve"> </w:t>
      </w:r>
      <w:r>
        <w:t xml:space="preserve">use</w:t>
      </w:r>
      <w:r>
        <w:t xml:space="preserve"> </w:t>
      </w:r>
      <w:r>
        <w:t xml:space="preserve">in</w:t>
      </w:r>
      <w:r>
        <w:t xml:space="preserve"> </w:t>
      </w:r>
      <w:r>
        <w:t xml:space="preserve">soldering) - inside EU</w:t>
      </w:r>
    </w:p>
    <w:p>
      <w:pPr>
        <w:pStyle w:val="BodyText"/>
      </w:pPr>
      <w:r>
        <w:t xml:space="preserve">40%</w:t>
      </w:r>
      <w:r>
        <w:t xml:space="preserve"> </w:t>
      </w:r>
      <w:r>
        <w:t xml:space="preserve">Restrictions on lead</w:t>
      </w:r>
      <w:r>
        <w:t xml:space="preserve"> </w:t>
      </w:r>
      <w:r>
        <w:t xml:space="preserve">ECHA Ref 8 report</w:t>
      </w:r>
      <w:r>
        <w:t xml:space="preserve"> </w:t>
      </w:r>
      <w:r>
        <w:t xml:space="preserve">2020</w:t>
      </w:r>
      <w:r>
        <w:t xml:space="preserve"> </w:t>
      </w:r>
      <w:r>
        <w:t xml:space="preserve">Solder</w:t>
      </w:r>
      <w:r>
        <w:t xml:space="preserve"> </w:t>
      </w:r>
      <w:r>
        <w:t xml:space="preserve">(for</w:t>
      </w:r>
      <w:r>
        <w:t xml:space="preserve"> </w:t>
      </w:r>
      <w:r>
        <w:t xml:space="preserve">use</w:t>
      </w:r>
      <w:r>
        <w:t xml:space="preserve"> </w:t>
      </w:r>
      <w:r>
        <w:t xml:space="preserve">in</w:t>
      </w:r>
      <w:r>
        <w:t xml:space="preserve"> </w:t>
      </w:r>
      <w:r>
        <w:t xml:space="preserve">soldering) - outside EU</w:t>
      </w:r>
    </w:p>
    <w:p>
      <w:pPr>
        <w:pStyle w:val="BodyText"/>
      </w:pPr>
      <w:r>
        <w:t xml:space="preserve">60%</w:t>
      </w:r>
      <w:r>
        <w:t xml:space="preserve"> </w:t>
      </w:r>
      <w:r>
        <w:t xml:space="preserve">Restrictions on lead</w:t>
      </w:r>
      <w:r>
        <w:t xml:space="preserve"> </w:t>
      </w:r>
      <w:r>
        <w:t xml:space="preserve">ECHA Ref 8 report</w:t>
      </w:r>
      <w:r>
        <w:t xml:space="preserve"> </w:t>
      </w:r>
      <w:r>
        <w:t xml:space="preserve">2020</w:t>
      </w:r>
      <w:r>
        <w:t xml:space="preserve"> </w:t>
      </w:r>
      <w:r>
        <w:t xml:space="preserve">Online Jewellery</w:t>
      </w:r>
      <w:r>
        <w:br/>
      </w:r>
      <w:r>
        <w:t xml:space="preserve">340</w:t>
      </w:r>
      <w:r>
        <w:t xml:space="preserve"> </w:t>
      </w:r>
      <w:r>
        <w:t xml:space="preserve">79</w:t>
      </w:r>
      <w:r>
        <w:t xml:space="preserve"> </w:t>
      </w:r>
      <w:r>
        <w:t xml:space="preserve">23%</w:t>
      </w:r>
      <w:r>
        <w:t xml:space="preserve"> </w:t>
      </w:r>
      <w:r>
        <w:t xml:space="preserve">Noncompliance with restriction:</w:t>
      </w:r>
      <w:r>
        <w:t xml:space="preserve"> </w:t>
      </w:r>
      <w:r>
        <w:t xml:space="preserve">Entry 23: Cadmium</w:t>
      </w:r>
      <w:r>
        <w:br/>
      </w:r>
      <w:r>
        <w:t xml:space="preserve">ECHA Ref 8 report</w:t>
      </w:r>
      <w:r>
        <w:t xml:space="preserve"> </w:t>
      </w:r>
      <w:r>
        <w:t xml:space="preserve">2020</w:t>
      </w:r>
      <w:r>
        <w:t xml:space="preserve"> </w:t>
      </w:r>
      <w:r>
        <w:t xml:space="preserve">Online Jewellery</w:t>
      </w:r>
      <w:r>
        <w:br/>
      </w:r>
      <w:r>
        <w:t xml:space="preserve">302</w:t>
      </w:r>
      <w:r>
        <w:t xml:space="preserve"> </w:t>
      </w:r>
      <w:r>
        <w:t xml:space="preserve">16</w:t>
      </w:r>
      <w:r>
        <w:t xml:space="preserve"> </w:t>
      </w:r>
      <w:r>
        <w:t xml:space="preserve">5%</w:t>
      </w:r>
      <w:r>
        <w:t xml:space="preserve"> </w:t>
      </w:r>
      <w:r>
        <w:t xml:space="preserve">Noncompliance with restriction:</w:t>
      </w:r>
      <w:r>
        <w:t xml:space="preserve"> </w:t>
      </w:r>
      <w:r>
        <w:t xml:space="preserve">Entry 27: Nickel in jewellery</w:t>
      </w:r>
      <w:r>
        <w:br/>
      </w:r>
      <w:r>
        <w:t xml:space="preserve">ECHA Ref 8 report</w:t>
      </w:r>
      <w:r>
        <w:t xml:space="preserve"> </w:t>
      </w:r>
      <w:r>
        <w:t xml:space="preserve">2020</w:t>
      </w:r>
      <w:r>
        <w:t xml:space="preserve"> </w:t>
      </w:r>
      <w:r>
        <w:t xml:space="preserve">Online Jewellery</w:t>
      </w:r>
      <w:r>
        <w:br/>
      </w:r>
      <w:r>
        <w:t xml:space="preserve">337</w:t>
      </w:r>
      <w:r>
        <w:t xml:space="preserve"> </w:t>
      </w:r>
      <w:r>
        <w:t xml:space="preserve">31</w:t>
      </w:r>
      <w:r>
        <w:t xml:space="preserve"> </w:t>
      </w:r>
      <w:r>
        <w:t xml:space="preserve">9%</w:t>
      </w:r>
      <w:r>
        <w:t xml:space="preserve"> </w:t>
      </w:r>
      <w:r>
        <w:t xml:space="preserve">Noncompliance with restriction:</w:t>
      </w:r>
      <w:r>
        <w:t xml:space="preserve"> </w:t>
      </w:r>
      <w:r>
        <w:t xml:space="preserve">Entry 63 Lead</w:t>
      </w:r>
      <w:r>
        <w:br/>
      </w:r>
      <w:r>
        <w:t xml:space="preserve">ECHA Ref 8 report</w:t>
      </w:r>
      <w:r>
        <w:t xml:space="preserve"> </w:t>
      </w:r>
      <w:r>
        <w:t xml:space="preserve">2020</w:t>
      </w:r>
      <w:r>
        <w:t xml:space="preserve"> </w:t>
      </w:r>
      <w:r>
        <w:t xml:space="preserve">Online Jewelery</w:t>
      </w:r>
      <w:r>
        <w:t xml:space="preserve"> </w:t>
      </w:r>
      <w:r>
        <w:t xml:space="preserve">7</w:t>
      </w:r>
      <w:r>
        <w:t xml:space="preserve"> </w:t>
      </w:r>
      <w:r>
        <w:t xml:space="preserve">5</w:t>
      </w:r>
      <w:r>
        <w:t xml:space="preserve"> </w:t>
      </w:r>
      <w:r>
        <w:t xml:space="preserve">71%</w:t>
      </w:r>
      <w:r>
        <w:t xml:space="preserve"> </w:t>
      </w:r>
      <w:r>
        <w:t xml:space="preserve">nickel and or cadmium</w:t>
      </w:r>
      <w:r>
        <w:t xml:space="preserve"> </w:t>
      </w:r>
      <w:r>
        <w:t xml:space="preserve">BEUC report</w:t>
      </w:r>
      <w:r>
        <w:t xml:space="preserve"> </w:t>
      </w:r>
      <w:r>
        <w:t xml:space="preserve">2021</w:t>
      </w:r>
      <w:r>
        <w:t xml:space="preserve"> </w:t>
      </w:r>
      <w:r>
        <w:t xml:space="preserve">JEWELERY - average</w:t>
      </w:r>
      <w:r>
        <w:t xml:space="preserve"> </w:t>
      </w:r>
      <w:r>
        <w:t xml:space="preserve">27%</w:t>
      </w:r>
      <w:r>
        <w:t xml:space="preserve"> </w:t>
      </w:r>
      <w:r>
        <w:t xml:space="preserve">restrictions</w:t>
      </w:r>
      <w:r>
        <w:t xml:space="preserve"> </w:t>
      </w:r>
      <w:r>
        <w:t xml:space="preserve">Online Leather articles</w:t>
      </w:r>
      <w:r>
        <w:t xml:space="preserve"> </w:t>
      </w:r>
      <w:r>
        <w:t xml:space="preserve">1</w:t>
      </w:r>
      <w:r>
        <w:t xml:space="preserve"> </w:t>
      </w:r>
      <w:r>
        <w:t xml:space="preserve">0</w:t>
      </w:r>
      <w:r>
        <w:t xml:space="preserve"> </w:t>
      </w:r>
      <w:r>
        <w:t xml:space="preserve">0%</w:t>
      </w:r>
      <w:r>
        <w:t xml:space="preserve"> </w:t>
      </w:r>
      <w:r>
        <w:t xml:space="preserve">Noncompliance with restriction:</w:t>
      </w:r>
      <w:r>
        <w:t xml:space="preserve"> </w:t>
      </w:r>
      <w:r>
        <w:t xml:space="preserve">Entry 43: Azocolourants and</w:t>
      </w:r>
      <w:r>
        <w:t xml:space="preserve"> </w:t>
      </w:r>
      <w:r>
        <w:t xml:space="preserve">azodyes</w:t>
      </w:r>
      <w:r>
        <w:br/>
      </w:r>
      <w:r>
        <w:t xml:space="preserve">ECHA Ref 8 report</w:t>
      </w:r>
      <w:r>
        <w:t xml:space="preserve"> </w:t>
      </w:r>
      <w:r>
        <w:t xml:space="preserve">2020</w:t>
      </w:r>
      <w:r>
        <w:t xml:space="preserve"> </w:t>
      </w:r>
      <w:r>
        <w:t xml:space="preserve">Online Leather articles</w:t>
      </w:r>
      <w:r>
        <w:t xml:space="preserve"> </w:t>
      </w:r>
      <w:r>
        <w:t xml:space="preserve">76</w:t>
      </w:r>
      <w:r>
        <w:t xml:space="preserve"> </w:t>
      </w:r>
      <w:r>
        <w:t xml:space="preserve">6</w:t>
      </w:r>
      <w:r>
        <w:t xml:space="preserve"> </w:t>
      </w:r>
      <w:r>
        <w:t xml:space="preserve">8%</w:t>
      </w:r>
      <w:r>
        <w:t xml:space="preserve"> </w:t>
      </w:r>
      <w:r>
        <w:t xml:space="preserve">Noncompliance with restriction:</w:t>
      </w:r>
      <w:r>
        <w:t xml:space="preserve"> </w:t>
      </w:r>
      <w:r>
        <w:t xml:space="preserve">Entry 47. 5-7: Chromium VI in</w:t>
      </w:r>
      <w:r>
        <w:t xml:space="preserve"> </w:t>
      </w:r>
      <w:r>
        <w:t xml:space="preserve">leather articles</w:t>
      </w:r>
      <w:r>
        <w:br/>
      </w:r>
      <w:r>
        <w:t xml:space="preserve">ECHA Ref 8 report</w:t>
      </w:r>
      <w:r>
        <w:t xml:space="preserve"> </w:t>
      </w:r>
      <w:r>
        <w:t xml:space="preserve">2020</w:t>
      </w:r>
    </w:p>
    <w:p>
      <w:pPr>
        <w:pStyle w:val="BodyText"/>
      </w:pPr>
      <w:r>
        <w:t xml:space="preserve">590</w:t>
      </w:r>
    </w:p>
    <w:p>
      <w:pPr>
        <w:pStyle w:val="BodyText"/>
      </w:pPr>
      <w:r>
        <w:t xml:space="preserve">Table 184: Collated information on online product non-compliance</w:t>
      </w:r>
      <w:r>
        <w:t xml:space="preserve"> </w:t>
      </w:r>
      <w:r>
        <w:t xml:space="preserve">Product</w:t>
      </w:r>
      <w:r>
        <w:t xml:space="preserve"> </w:t>
      </w:r>
      <w:r>
        <w:t xml:space="preserve">Reference</w:t>
      </w:r>
      <w:r>
        <w:t xml:space="preserve"> </w:t>
      </w:r>
      <w:r>
        <w:t xml:space="preserve">number/</w:t>
      </w:r>
      <w:r>
        <w:t xml:space="preserve"> </w:t>
      </w:r>
      <w:r>
        <w:t xml:space="preserve">Number</w:t>
      </w:r>
      <w:r>
        <w:t xml:space="preserve"> </w:t>
      </w:r>
      <w:r>
        <w:t xml:space="preserve">tested/assessed</w:t>
      </w:r>
      <w:r>
        <w:t xml:space="preserve"> </w:t>
      </w:r>
      <w:r>
        <w:t xml:space="preserve">Non-</w:t>
      </w:r>
      <w:r>
        <w:t xml:space="preserve"> </w:t>
      </w:r>
      <w:r>
        <w:t xml:space="preserve">compliant</w:t>
      </w:r>
      <w:r>
        <w:t xml:space="preserve"> </w:t>
      </w:r>
      <w:r>
        <w:t xml:space="preserve">Non-</w:t>
      </w:r>
      <w:r>
        <w:t xml:space="preserve"> </w:t>
      </w:r>
      <w:r>
        <w:t xml:space="preserve">compliant</w:t>
      </w:r>
      <w:r>
        <w:t xml:space="preserve"> </w:t>
      </w:r>
      <w:r>
        <w:t xml:space="preserve">(%)</w:t>
      </w:r>
      <w:r>
        <w:t xml:space="preserve"> </w:t>
      </w:r>
      <w:r>
        <w:t xml:space="preserve">Requirement/reason</w:t>
      </w:r>
      <w:r>
        <w:t xml:space="preserve"> </w:t>
      </w:r>
      <w:r>
        <w:t xml:space="preserve">Source</w:t>
      </w:r>
      <w:r>
        <w:t xml:space="preserve"> </w:t>
      </w:r>
      <w:r>
        <w:t xml:space="preserve">Year</w:t>
      </w:r>
      <w:r>
        <w:t xml:space="preserve"> </w:t>
      </w:r>
      <w:r>
        <w:t xml:space="preserve">Online Textiles</w:t>
      </w:r>
      <w:r>
        <w:br/>
      </w:r>
      <w:r>
        <w:t xml:space="preserve">31</w:t>
      </w:r>
      <w:r>
        <w:t xml:space="preserve"> </w:t>
      </w:r>
      <w:r>
        <w:t xml:space="preserve">0</w:t>
      </w:r>
      <w:r>
        <w:t xml:space="preserve"> </w:t>
      </w:r>
      <w:r>
        <w:t xml:space="preserve">0%</w:t>
      </w:r>
      <w:r>
        <w:t xml:space="preserve"> </w:t>
      </w:r>
      <w:r>
        <w:t xml:space="preserve">Noncompliance with restriction:</w:t>
      </w:r>
      <w:r>
        <w:t xml:space="preserve"> </w:t>
      </w:r>
      <w:r>
        <w:t xml:space="preserve">Entry 43: Azocolourants and</w:t>
      </w:r>
      <w:r>
        <w:t xml:space="preserve"> </w:t>
      </w:r>
      <w:r>
        <w:t xml:space="preserve">azodyes</w:t>
      </w:r>
      <w:r>
        <w:br/>
      </w:r>
      <w:r>
        <w:t xml:space="preserve">ECHA Ref 8 report</w:t>
      </w:r>
      <w:r>
        <w:t xml:space="preserve"> </w:t>
      </w:r>
      <w:r>
        <w:t xml:space="preserve">2020</w:t>
      </w:r>
      <w:r>
        <w:t xml:space="preserve"> </w:t>
      </w:r>
      <w:r>
        <w:t xml:space="preserve">LEATHER AND TEXTILES – average</w:t>
      </w:r>
      <w:r>
        <w:t xml:space="preserve"> </w:t>
      </w:r>
      <w:r>
        <w:t xml:space="preserve">3%</w:t>
      </w:r>
      <w:r>
        <w:t xml:space="preserve"> </w:t>
      </w:r>
      <w:r>
        <w:t xml:space="preserve">Restrictions</w:t>
      </w:r>
      <w:r>
        <w:t xml:space="preserve"> </w:t>
      </w:r>
      <w:r>
        <w:t xml:space="preserve">Online Plastic material</w:t>
      </w:r>
      <w:r>
        <w:br/>
      </w:r>
      <w:r>
        <w:t xml:space="preserve">6</w:t>
      </w:r>
      <w:r>
        <w:t xml:space="preserve"> </w:t>
      </w:r>
      <w:r>
        <w:t xml:space="preserve">2</w:t>
      </w:r>
      <w:r>
        <w:t xml:space="preserve"> </w:t>
      </w:r>
      <w:r>
        <w:t xml:space="preserve">33%</w:t>
      </w:r>
      <w:r>
        <w:t xml:space="preserve"> </w:t>
      </w:r>
      <w:r>
        <w:t xml:space="preserve">Noncompliance with restriction:</w:t>
      </w:r>
      <w:r>
        <w:t xml:space="preserve"> </w:t>
      </w:r>
      <w:r>
        <w:t xml:space="preserve">Entry 23: Cadmium</w:t>
      </w:r>
      <w:r>
        <w:br/>
      </w:r>
      <w:r>
        <w:t xml:space="preserve">ECHA Ref 8 report</w:t>
      </w:r>
      <w:r>
        <w:t xml:space="preserve"> </w:t>
      </w:r>
      <w:r>
        <w:t xml:space="preserve">2020</w:t>
      </w:r>
      <w:r>
        <w:t xml:space="preserve"> </w:t>
      </w:r>
      <w:r>
        <w:t xml:space="preserve">Online Binoculars</w:t>
      </w:r>
      <w:r>
        <w:t xml:space="preserve"> </w:t>
      </w:r>
      <w:r>
        <w:t xml:space="preserve">17</w:t>
      </w:r>
      <w:r>
        <w:t xml:space="preserve"> </w:t>
      </w:r>
      <w:r>
        <w:t xml:space="preserve">16</w:t>
      </w:r>
      <w:r>
        <w:t xml:space="preserve"> </w:t>
      </w:r>
      <w:r>
        <w:t xml:space="preserve">94%</w:t>
      </w:r>
      <w:r>
        <w:t xml:space="preserve"> </w:t>
      </w:r>
      <w:r>
        <w:t xml:space="preserve">Chlorinated paraffins, phthalates,</w:t>
      </w:r>
      <w:r>
        <w:t xml:space="preserve"> </w:t>
      </w:r>
      <w:r>
        <w:t xml:space="preserve">PAHs</w:t>
      </w:r>
      <w:r>
        <w:t xml:space="preserve"> </w:t>
      </w:r>
      <w:r>
        <w:t xml:space="preserve">BEUC report</w:t>
      </w:r>
      <w:r>
        <w:t xml:space="preserve"> </w:t>
      </w:r>
      <w:r>
        <w:t xml:space="preserve">2021</w:t>
      </w:r>
      <w:r>
        <w:t xml:space="preserve"> </w:t>
      </w:r>
      <w:r>
        <w:t xml:space="preserve">Online</w:t>
      </w:r>
      <w:r>
        <w:t xml:space="preserve"> </w:t>
      </w:r>
      <w:r>
        <w:t xml:space="preserve">products</w:t>
      </w:r>
      <w:r>
        <w:t xml:space="preserve"> </w:t>
      </w:r>
      <w:r>
        <w:t xml:space="preserve">(substances,</w:t>
      </w:r>
      <w:r>
        <w:t xml:space="preserve"> </w:t>
      </w:r>
      <w:r>
        <w:t xml:space="preserve">mixtures,</w:t>
      </w:r>
      <w:r>
        <w:t xml:space="preserve"> </w:t>
      </w:r>
      <w:r>
        <w:t xml:space="preserve">artcles)</w:t>
      </w:r>
      <w:r>
        <w:t xml:space="preserve"> </w:t>
      </w:r>
      <w:r>
        <w:t xml:space="preserve">5,730</w:t>
      </w:r>
      <w:r>
        <w:t xml:space="preserve"> </w:t>
      </w:r>
      <w:r>
        <w:t xml:space="preserve">5,047</w:t>
      </w:r>
      <w:r>
        <w:t xml:space="preserve"> </w:t>
      </w:r>
      <w:r>
        <w:t xml:space="preserve">88%</w:t>
      </w:r>
      <w:r>
        <w:t xml:space="preserve"> </w:t>
      </w:r>
      <w:r>
        <w:t xml:space="preserve">Noncompliant for one or more</w:t>
      </w:r>
      <w:r>
        <w:t xml:space="preserve"> </w:t>
      </w:r>
      <w:r>
        <w:t xml:space="preserve">reasons</w:t>
      </w:r>
      <w:r>
        <w:t xml:space="preserve"> </w:t>
      </w:r>
      <w:r>
        <w:t xml:space="preserve">REF-8</w:t>
      </w:r>
      <w:r>
        <w:t xml:space="preserve"> </w:t>
      </w:r>
      <w:r>
        <w:t xml:space="preserve">(2020)*</w:t>
      </w:r>
      <w:r>
        <w:t xml:space="preserve"> </w:t>
      </w:r>
      <w:r>
        <w:t xml:space="preserve">as</w:t>
      </w:r>
      <w:r>
        <w:t xml:space="preserve"> </w:t>
      </w:r>
      <w:r>
        <w:t xml:space="preserve">reported in ECHA Ref 8</w:t>
      </w:r>
      <w:r>
        <w:t xml:space="preserve"> </w:t>
      </w:r>
      <w:r>
        <w:t xml:space="preserve">report</w:t>
      </w:r>
      <w:r>
        <w:t xml:space="preserve"> </w:t>
      </w:r>
      <w:r>
        <w:t xml:space="preserve">2020</w:t>
      </w:r>
      <w:r>
        <w:t xml:space="preserve"> </w:t>
      </w:r>
      <w:r>
        <w:t xml:space="preserve">Online</w:t>
      </w:r>
      <w:r>
        <w:t xml:space="preserve"> </w:t>
      </w:r>
      <w:r>
        <w:t xml:space="preserve">products</w:t>
      </w:r>
      <w:r>
        <w:t xml:space="preserve"> </w:t>
      </w:r>
      <w:r>
        <w:t xml:space="preserve">(substances,</w:t>
      </w:r>
      <w:r>
        <w:t xml:space="preserve"> </w:t>
      </w:r>
      <w:r>
        <w:t xml:space="preserve">mixtures,</w:t>
      </w:r>
      <w:r>
        <w:t xml:space="preserve"> </w:t>
      </w:r>
      <w:r>
        <w:t xml:space="preserve">artcles)</w:t>
      </w:r>
      <w:r>
        <w:t xml:space="preserve"> </w:t>
      </w:r>
      <w:r>
        <w:t xml:space="preserve">3,391</w:t>
      </w:r>
      <w:r>
        <w:t xml:space="preserve"> </w:t>
      </w:r>
      <w:r>
        <w:t xml:space="preserve">1,398</w:t>
      </w:r>
      <w:r>
        <w:t xml:space="preserve"> </w:t>
      </w:r>
      <w:r>
        <w:t xml:space="preserve">41%</w:t>
      </w:r>
      <w:r>
        <w:t xml:space="preserve"> </w:t>
      </w:r>
      <w:r>
        <w:t xml:space="preserve">Noncompliant for one or more</w:t>
      </w:r>
      <w:r>
        <w:t xml:space="preserve"> </w:t>
      </w:r>
      <w:r>
        <w:t xml:space="preserve">reasons</w:t>
      </w:r>
      <w:r>
        <w:t xml:space="preserve"> </w:t>
      </w:r>
      <w:r>
        <w:t xml:space="preserve">REF-6[2]</w:t>
      </w:r>
      <w:r>
        <w:t xml:space="preserve"> </w:t>
      </w:r>
      <w:r>
        <w:t xml:space="preserve">(2018)*</w:t>
      </w:r>
      <w:r>
        <w:t xml:space="preserve"> </w:t>
      </w:r>
      <w:r>
        <w:t xml:space="preserve">as</w:t>
      </w:r>
      <w:r>
        <w:t xml:space="preserve"> </w:t>
      </w:r>
      <w:r>
        <w:t xml:space="preserve">reported in ECHA Ref 8</w:t>
      </w:r>
      <w:r>
        <w:t xml:space="preserve"> </w:t>
      </w:r>
      <w:r>
        <w:t xml:space="preserve">report</w:t>
      </w:r>
      <w:r>
        <w:t xml:space="preserve"> </w:t>
      </w:r>
      <w:r>
        <w:t xml:space="preserve">2018</w:t>
      </w:r>
      <w:r>
        <w:t xml:space="preserve"> </w:t>
      </w:r>
      <w:r>
        <w:t xml:space="preserve">Online</w:t>
      </w:r>
      <w:r>
        <w:t xml:space="preserve"> </w:t>
      </w:r>
      <w:r>
        <w:t xml:space="preserve">products</w:t>
      </w:r>
      <w:r>
        <w:t xml:space="preserve"> </w:t>
      </w:r>
      <w:r>
        <w:t xml:space="preserve">(substances,</w:t>
      </w:r>
      <w:r>
        <w:t xml:space="preserve"> </w:t>
      </w:r>
      <w:r>
        <w:t xml:space="preserve">mixtures,</w:t>
      </w:r>
      <w:r>
        <w:t xml:space="preserve"> </w:t>
      </w:r>
      <w:r>
        <w:t xml:space="preserve">artcles)</w:t>
      </w:r>
      <w:r>
        <w:t xml:space="preserve"> </w:t>
      </w:r>
      <w:r>
        <w:t xml:space="preserve">2,629</w:t>
      </w:r>
      <w:r>
        <w:t xml:space="preserve"> </w:t>
      </w:r>
      <w:r>
        <w:t xml:space="preserve">2,042</w:t>
      </w:r>
      <w:r>
        <w:t xml:space="preserve"> </w:t>
      </w:r>
      <w:r>
        <w:t xml:space="preserve">78%</w:t>
      </w:r>
      <w:r>
        <w:t xml:space="preserve"> </w:t>
      </w:r>
      <w:r>
        <w:t xml:space="preserve">Noncompliant</w:t>
      </w:r>
      <w:r>
        <w:t xml:space="preserve"> </w:t>
      </w:r>
      <w:r>
        <w:t xml:space="preserve">with</w:t>
      </w:r>
      <w:r>
        <w:t xml:space="preserve"> </w:t>
      </w:r>
      <w:r>
        <w:t xml:space="preserve">REACH</w:t>
      </w:r>
      <w:r>
        <w:t xml:space="preserve"> </w:t>
      </w:r>
      <w:r>
        <w:t xml:space="preserve">restrictions</w:t>
      </w:r>
      <w:r>
        <w:br/>
      </w:r>
      <w:r>
        <w:t xml:space="preserve">ECHA Ref 8 report</w:t>
      </w:r>
      <w:r>
        <w:t xml:space="preserve"> </w:t>
      </w:r>
      <w:r>
        <w:t xml:space="preserve">2020</w:t>
      </w:r>
      <w:r>
        <w:t xml:space="preserve"> </w:t>
      </w:r>
      <w:r>
        <w:t xml:space="preserve">Online</w:t>
      </w:r>
      <w:r>
        <w:t xml:space="preserve"> </w:t>
      </w:r>
      <w:r>
        <w:t xml:space="preserve">products</w:t>
      </w:r>
      <w:r>
        <w:t xml:space="preserve"> </w:t>
      </w:r>
      <w:r>
        <w:t xml:space="preserve">(substances,</w:t>
      </w:r>
      <w:r>
        <w:t xml:space="preserve"> </w:t>
      </w:r>
      <w:r>
        <w:t xml:space="preserve">mixtures,</w:t>
      </w:r>
      <w:r>
        <w:t xml:space="preserve"> </w:t>
      </w:r>
      <w:r>
        <w:t xml:space="preserve">artcles)</w:t>
      </w:r>
      <w:r>
        <w:t xml:space="preserve"> </w:t>
      </w:r>
      <w:r>
        <w:t xml:space="preserve">5,625</w:t>
      </w:r>
      <w:r>
        <w:t xml:space="preserve"> </w:t>
      </w:r>
      <w:r>
        <w:t xml:space="preserve">1125</w:t>
      </w:r>
      <w:r>
        <w:t xml:space="preserve"> </w:t>
      </w:r>
      <w:r>
        <w:t xml:space="preserve">22%</w:t>
      </w:r>
      <w:r>
        <w:t xml:space="preserve"> </w:t>
      </w:r>
      <w:r>
        <w:t xml:space="preserve">Noncompliant</w:t>
      </w:r>
      <w:r>
        <w:t xml:space="preserve"> </w:t>
      </w:r>
      <w:r>
        <w:t xml:space="preserve">with</w:t>
      </w:r>
      <w:r>
        <w:t xml:space="preserve"> </w:t>
      </w:r>
      <w:r>
        <w:t xml:space="preserve">REACH</w:t>
      </w:r>
      <w:r>
        <w:t xml:space="preserve"> </w:t>
      </w:r>
      <w:r>
        <w:t xml:space="preserve">restrictions</w:t>
      </w:r>
      <w:r>
        <w:br/>
      </w:r>
      <w:r>
        <w:t xml:space="preserve">REF-411</w:t>
      </w:r>
      <w:r>
        <w:t xml:space="preserve"> </w:t>
      </w:r>
      <w:r>
        <w:t xml:space="preserve">(2016)*</w:t>
      </w:r>
      <w:r>
        <w:t xml:space="preserve"> </w:t>
      </w:r>
      <w:r>
        <w:t xml:space="preserve">as</w:t>
      </w:r>
      <w:r>
        <w:t xml:space="preserve"> </w:t>
      </w:r>
      <w:r>
        <w:t xml:space="preserve">reported in ECHA Ref 8</w:t>
      </w:r>
      <w:r>
        <w:t xml:space="preserve"> </w:t>
      </w:r>
      <w:r>
        <w:t xml:space="preserve">report</w:t>
      </w:r>
      <w:r>
        <w:t xml:space="preserve"> </w:t>
      </w:r>
      <w:r>
        <w:t xml:space="preserve">2016</w:t>
      </w:r>
      <w:r>
        <w:t xml:space="preserve"> </w:t>
      </w:r>
      <w:r>
        <w:t xml:space="preserve">Online</w:t>
      </w:r>
      <w:r>
        <w:t xml:space="preserve"> </w:t>
      </w:r>
      <w:r>
        <w:t xml:space="preserve">products</w:t>
      </w:r>
      <w:r>
        <w:t xml:space="preserve"> </w:t>
      </w:r>
      <w:r>
        <w:t xml:space="preserve">(substances,</w:t>
      </w:r>
      <w:r>
        <w:t xml:space="preserve"> </w:t>
      </w:r>
      <w:r>
        <w:t xml:space="preserve">mixtures,</w:t>
      </w:r>
      <w:r>
        <w:t xml:space="preserve"> </w:t>
      </w:r>
      <w:r>
        <w:t xml:space="preserve">artcles)</w:t>
      </w:r>
      <w:r>
        <w:t xml:space="preserve"> </w:t>
      </w:r>
      <w:r>
        <w:t xml:space="preserve">1,225</w:t>
      </w:r>
      <w:r>
        <w:t xml:space="preserve"> </w:t>
      </w:r>
      <w:r>
        <w:t xml:space="preserve">211</w:t>
      </w:r>
      <w:r>
        <w:t xml:space="preserve"> </w:t>
      </w:r>
      <w:r>
        <w:t xml:space="preserve">17%</w:t>
      </w:r>
      <w:r>
        <w:t xml:space="preserve"> </w:t>
      </w:r>
      <w:r>
        <w:t xml:space="preserve">Noncompliant</w:t>
      </w:r>
      <w:r>
        <w:t xml:space="preserve"> </w:t>
      </w:r>
      <w:r>
        <w:t xml:space="preserve">with</w:t>
      </w:r>
      <w:r>
        <w:t xml:space="preserve"> </w:t>
      </w:r>
      <w:r>
        <w:t xml:space="preserve">REACH</w:t>
      </w:r>
      <w:r>
        <w:t xml:space="preserve"> </w:t>
      </w:r>
      <w:r>
        <w:t xml:space="preserve">restrictions</w:t>
      </w:r>
      <w:r>
        <w:br/>
      </w:r>
      <w:r>
        <w:t xml:space="preserve">Cooperation</w:t>
      </w:r>
      <w:r>
        <w:t xml:space="preserve"> </w:t>
      </w:r>
      <w:r>
        <w:t xml:space="preserve">with</w:t>
      </w:r>
      <w:r>
        <w:t xml:space="preserve"> </w:t>
      </w:r>
      <w:r>
        <w:t xml:space="preserve">customs 2 project [1]</w:t>
      </w:r>
      <w:r>
        <w:t xml:space="preserve"> </w:t>
      </w:r>
      <w:r>
        <w:t xml:space="preserve">(2019)* as reported in</w:t>
      </w:r>
      <w:r>
        <w:t xml:space="preserve"> </w:t>
      </w:r>
      <w:r>
        <w:t xml:space="preserve">ECHA Ref 8 report</w:t>
      </w:r>
      <w:r>
        <w:t xml:space="preserve"> </w:t>
      </w:r>
      <w:r>
        <w:t xml:space="preserve">2018</w:t>
      </w:r>
      <w:r>
        <w:t xml:space="preserve"> </w:t>
      </w:r>
      <w:r>
        <w:t xml:space="preserve">Online</w:t>
      </w:r>
      <w:r>
        <w:t xml:space="preserve"> </w:t>
      </w:r>
      <w:r>
        <w:t xml:space="preserve">Substances/mixtures</w:t>
      </w:r>
      <w:r>
        <w:t xml:space="preserve"> </w:t>
      </w:r>
      <w:r>
        <w:t xml:space="preserve">1,974</w:t>
      </w:r>
      <w:r>
        <w:t xml:space="preserve"> </w:t>
      </w:r>
      <w:r>
        <w:t xml:space="preserve">1,876</w:t>
      </w:r>
      <w:r>
        <w:t xml:space="preserve"> </w:t>
      </w:r>
      <w:r>
        <w:t xml:space="preserve">95%</w:t>
      </w:r>
      <w:r>
        <w:t xml:space="preserve"> </w:t>
      </w:r>
      <w:r>
        <w:t xml:space="preserve">Non compliance with restriction</w:t>
      </w:r>
      <w:r>
        <w:t xml:space="preserve"> </w:t>
      </w:r>
      <w:r>
        <w:t xml:space="preserve">ECHA Ref 8 report</w:t>
      </w:r>
      <w:r>
        <w:t xml:space="preserve"> </w:t>
      </w:r>
      <w:r>
        <w:t xml:space="preserve">2020</w:t>
      </w:r>
      <w:r>
        <w:t xml:space="preserve"> </w:t>
      </w:r>
      <w:r>
        <w:t xml:space="preserve">Online Articles</w:t>
      </w:r>
      <w:r>
        <w:t xml:space="preserve"> </w:t>
      </w:r>
      <w:r>
        <w:t xml:space="preserve">655</w:t>
      </w:r>
      <w:r>
        <w:t xml:space="preserve"> </w:t>
      </w:r>
      <w:r>
        <w:t xml:space="preserve">164</w:t>
      </w:r>
      <w:r>
        <w:t xml:space="preserve"> </w:t>
      </w:r>
      <w:r>
        <w:t xml:space="preserve">25%</w:t>
      </w:r>
      <w:r>
        <w:t xml:space="preserve"> </w:t>
      </w:r>
      <w:r>
        <w:t xml:space="preserve">Non compliance with restriction</w:t>
      </w:r>
      <w:r>
        <w:t xml:space="preserve"> </w:t>
      </w:r>
      <w:r>
        <w:t xml:space="preserve">ECHA Ref 8 report</w:t>
      </w:r>
      <w:r>
        <w:t xml:space="preserve"> </w:t>
      </w:r>
      <w:r>
        <w:t xml:space="preserve">2020</w:t>
      </w:r>
    </w:p>
    <w:p>
      <w:pPr>
        <w:pStyle w:val="BodyText"/>
      </w:pPr>
      <w:r>
        <w:t xml:space="preserve">591</w:t>
      </w:r>
    </w:p>
    <w:p>
      <w:pPr>
        <w:pStyle w:val="BodyText"/>
      </w:pPr>
      <w:r>
        <w:t xml:space="preserve">Table 184: Collated information on online product non-compliance</w:t>
      </w:r>
      <w:r>
        <w:t xml:space="preserve"> </w:t>
      </w:r>
      <w:r>
        <w:t xml:space="preserve">Product</w:t>
      </w:r>
      <w:r>
        <w:t xml:space="preserve"> </w:t>
      </w:r>
      <w:r>
        <w:t xml:space="preserve">Reference</w:t>
      </w:r>
      <w:r>
        <w:t xml:space="preserve"> </w:t>
      </w:r>
      <w:r>
        <w:t xml:space="preserve">number/</w:t>
      </w:r>
      <w:r>
        <w:t xml:space="preserve"> </w:t>
      </w:r>
      <w:r>
        <w:t xml:space="preserve">Number</w:t>
      </w:r>
      <w:r>
        <w:t xml:space="preserve"> </w:t>
      </w:r>
      <w:r>
        <w:t xml:space="preserve">tested/assessed</w:t>
      </w:r>
      <w:r>
        <w:t xml:space="preserve"> </w:t>
      </w:r>
      <w:r>
        <w:t xml:space="preserve">Non-</w:t>
      </w:r>
      <w:r>
        <w:t xml:space="preserve"> </w:t>
      </w:r>
      <w:r>
        <w:t xml:space="preserve">compliant</w:t>
      </w:r>
      <w:r>
        <w:t xml:space="preserve"> </w:t>
      </w:r>
      <w:r>
        <w:t xml:space="preserve">Non-</w:t>
      </w:r>
      <w:r>
        <w:t xml:space="preserve"> </w:t>
      </w:r>
      <w:r>
        <w:t xml:space="preserve">compliant</w:t>
      </w:r>
      <w:r>
        <w:t xml:space="preserve"> </w:t>
      </w:r>
      <w:r>
        <w:t xml:space="preserve">(%)</w:t>
      </w:r>
      <w:r>
        <w:t xml:space="preserve"> </w:t>
      </w:r>
      <w:r>
        <w:t xml:space="preserve">Requirement/reason</w:t>
      </w:r>
      <w:r>
        <w:t xml:space="preserve"> </w:t>
      </w:r>
      <w:r>
        <w:t xml:space="preserve">Source</w:t>
      </w:r>
      <w:r>
        <w:t xml:space="preserve"> </w:t>
      </w:r>
      <w:r>
        <w:t xml:space="preserve">Year</w:t>
      </w:r>
      <w:r>
        <w:t xml:space="preserve"> </w:t>
      </w:r>
      <w:r>
        <w:t xml:space="preserve">Online Articles</w:t>
      </w:r>
      <w:r>
        <w:br/>
      </w:r>
      <w:r>
        <w:t xml:space="preserve">7</w:t>
      </w:r>
      <w:r>
        <w:t xml:space="preserve"> </w:t>
      </w:r>
      <w:r>
        <w:t xml:space="preserve">2</w:t>
      </w:r>
      <w:r>
        <w:t xml:space="preserve"> </w:t>
      </w:r>
      <w:r>
        <w:t xml:space="preserve">29%</w:t>
      </w:r>
      <w:r>
        <w:t xml:space="preserve"> </w:t>
      </w:r>
      <w:r>
        <w:t xml:space="preserve">Noncompliance with restriction:</w:t>
      </w:r>
      <w:r>
        <w:t xml:space="preserve"> </w:t>
      </w:r>
      <w:r>
        <w:t xml:space="preserve">Entry 63 Lead</w:t>
      </w:r>
      <w:r>
        <w:br/>
      </w:r>
      <w:r>
        <w:t xml:space="preserve">ECHA Ref 8 report</w:t>
      </w:r>
      <w:r>
        <w:t xml:space="preserve"> </w:t>
      </w:r>
      <w:r>
        <w:t xml:space="preserve">2020</w:t>
      </w:r>
      <w:r>
        <w:t xml:space="preserve"> </w:t>
      </w:r>
      <w:r>
        <w:t xml:space="preserve">REACH</w:t>
      </w:r>
      <w:r>
        <w:t xml:space="preserve"> </w:t>
      </w:r>
      <w:r>
        <w:t xml:space="preserve">(RESTRICTIONS)</w:t>
      </w:r>
      <w:r>
        <w:t xml:space="preserve"> </w:t>
      </w:r>
      <w:r>
        <w:t xml:space="preserve">Online</w:t>
      </w:r>
      <w:r>
        <w:t xml:space="preserve"> </w:t>
      </w:r>
      <w:r>
        <w:t xml:space="preserve">products</w:t>
      </w:r>
      <w:r>
        <w:t xml:space="preserve"> </w:t>
      </w:r>
      <w:r>
        <w:t xml:space="preserve">(substances, mixtures, artcles) - average</w:t>
      </w:r>
      <w:r>
        <w:t xml:space="preserve"> </w:t>
      </w:r>
      <w:r>
        <w:t xml:space="preserve">49%</w:t>
      </w:r>
    </w:p>
    <w:p>
      <w:pPr>
        <w:pStyle w:val="BodyText"/>
      </w:pPr>
      <w:r>
        <w:t xml:space="preserve">Online</w:t>
      </w:r>
      <w:r>
        <w:t xml:space="preserve"> </w:t>
      </w:r>
      <w:r>
        <w:t xml:space="preserve">products</w:t>
      </w:r>
      <w:r>
        <w:t xml:space="preserve"> </w:t>
      </w:r>
      <w:r>
        <w:t xml:space="preserve">(substances,</w:t>
      </w:r>
      <w:r>
        <w:t xml:space="preserve"> </w:t>
      </w:r>
      <w:r>
        <w:t xml:space="preserve">mixtures,</w:t>
      </w:r>
      <w:r>
        <w:t xml:space="preserve"> </w:t>
      </w:r>
      <w:r>
        <w:t xml:space="preserve">artcles)</w:t>
      </w:r>
      <w:r>
        <w:t xml:space="preserve"> </w:t>
      </w:r>
      <w:r>
        <w:t xml:space="preserve">from</w:t>
      </w:r>
      <w:r>
        <w:t xml:space="preserve"> </w:t>
      </w:r>
      <w:r>
        <w:t xml:space="preserve">EU</w:t>
      </w:r>
      <w:r>
        <w:t xml:space="preserve"> </w:t>
      </w:r>
      <w:r>
        <w:t xml:space="preserve">marketplace</w:t>
      </w:r>
    </w:p>
    <w:p>
      <w:pPr>
        <w:pStyle w:val="BodyText"/>
      </w:pPr>
      <w:r>
        <w:t xml:space="preserve">98%</w:t>
      </w:r>
      <w:r>
        <w:t xml:space="preserve"> </w:t>
      </w:r>
      <w:r>
        <w:t xml:space="preserve">REACH restrictions</w:t>
      </w:r>
      <w:r>
        <w:br/>
      </w:r>
      <w:r>
        <w:t xml:space="preserve">ECHA Ref 8 report</w:t>
      </w:r>
      <w:r>
        <w:t xml:space="preserve"> </w:t>
      </w:r>
      <w:r>
        <w:t xml:space="preserve">2023</w:t>
      </w:r>
      <w:r>
        <w:t xml:space="preserve"> </w:t>
      </w:r>
      <w:r>
        <w:t xml:space="preserve">Online</w:t>
      </w:r>
      <w:r>
        <w:t xml:space="preserve"> </w:t>
      </w:r>
      <w:r>
        <w:t xml:space="preserve">products</w:t>
      </w:r>
      <w:r>
        <w:t xml:space="preserve"> </w:t>
      </w:r>
      <w:r>
        <w:t xml:space="preserve">(substances,</w:t>
      </w:r>
      <w:r>
        <w:t xml:space="preserve"> </w:t>
      </w:r>
      <w:r>
        <w:t xml:space="preserve">mixtures,</w:t>
      </w:r>
      <w:r>
        <w:t xml:space="preserve"> </w:t>
      </w:r>
      <w:r>
        <w:t xml:space="preserve">artcles) from NON-EU</w:t>
      </w:r>
      <w:r>
        <w:t xml:space="preserve"> </w:t>
      </w:r>
      <w:r>
        <w:t xml:space="preserve">marketplace</w:t>
      </w:r>
    </w:p>
    <w:p>
      <w:pPr>
        <w:pStyle w:val="BodyText"/>
      </w:pPr>
      <w:r>
        <w:t xml:space="preserve">84%</w:t>
      </w:r>
      <w:r>
        <w:t xml:space="preserve"> </w:t>
      </w:r>
      <w:r>
        <w:t xml:space="preserve">REACH restrictions</w:t>
      </w:r>
      <w:r>
        <w:br/>
      </w:r>
      <w:r>
        <w:t xml:space="preserve">ECHA Ref 8 report</w:t>
      </w:r>
      <w:r>
        <w:t xml:space="preserve"> </w:t>
      </w:r>
      <w:r>
        <w:t xml:space="preserve">2024</w:t>
      </w:r>
      <w:r>
        <w:t xml:space="preserve"> </w:t>
      </w:r>
      <w:r>
        <w:t xml:space="preserve">Online Articles from</w:t>
      </w:r>
      <w:r>
        <w:t xml:space="preserve"> </w:t>
      </w:r>
      <w:r>
        <w:t xml:space="preserve">marketplace</w:t>
      </w:r>
    </w:p>
    <w:p>
      <w:pPr>
        <w:pStyle w:val="BodyText"/>
      </w:pPr>
      <w:r>
        <w:t xml:space="preserve">45%</w:t>
      </w:r>
      <w:r>
        <w:t xml:space="preserve"> </w:t>
      </w:r>
      <w:r>
        <w:t xml:space="preserve">Non compliance with restriction</w:t>
      </w:r>
      <w:r>
        <w:t xml:space="preserve"> </w:t>
      </w:r>
      <w:r>
        <w:t xml:space="preserve">ECHA Ref 8 report</w:t>
      </w:r>
      <w:r>
        <w:t xml:space="preserve"> </w:t>
      </w:r>
      <w:r>
        <w:t xml:space="preserve">2020</w:t>
      </w:r>
      <w:r>
        <w:t xml:space="preserve"> </w:t>
      </w:r>
      <w:r>
        <w:t xml:space="preserve">Online Arictles from</w:t>
      </w:r>
      <w:r>
        <w:t xml:space="preserve"> </w:t>
      </w:r>
      <w:r>
        <w:t xml:space="preserve">Webshop</w:t>
      </w:r>
    </w:p>
    <w:p>
      <w:pPr>
        <w:pStyle w:val="BodyText"/>
      </w:pPr>
      <w:r>
        <w:t xml:space="preserve">18%</w:t>
      </w:r>
      <w:r>
        <w:t xml:space="preserve"> </w:t>
      </w:r>
      <w:r>
        <w:t xml:space="preserve">Non compliance with restriction</w:t>
      </w:r>
      <w:r>
        <w:t xml:space="preserve"> </w:t>
      </w:r>
      <w:r>
        <w:t xml:space="preserve">ECHA Ref 8 report</w:t>
      </w:r>
      <w:r>
        <w:t xml:space="preserve"> </w:t>
      </w:r>
      <w:r>
        <w:t xml:space="preserve">2020</w:t>
      </w:r>
      <w:r>
        <w:t xml:space="preserve"> </w:t>
      </w:r>
      <w:r>
        <w:t xml:space="preserve">Online</w:t>
      </w:r>
      <w:r>
        <w:t xml:space="preserve"> </w:t>
      </w:r>
      <w:r>
        <w:t xml:space="preserve">products</w:t>
      </w:r>
      <w:r>
        <w:t xml:space="preserve"> </w:t>
      </w:r>
      <w:r>
        <w:t xml:space="preserve">(substances,</w:t>
      </w:r>
      <w:r>
        <w:t xml:space="preserve"> </w:t>
      </w:r>
      <w:r>
        <w:t xml:space="preserve">mixtures,</w:t>
      </w:r>
      <w:r>
        <w:t xml:space="preserve"> </w:t>
      </w:r>
      <w:r>
        <w:t xml:space="preserve">artcles)</w:t>
      </w:r>
    </w:p>
    <w:p>
      <w:pPr>
        <w:pStyle w:val="BodyText"/>
      </w:pPr>
      <w:r>
        <w:t xml:space="preserve">54%</w:t>
      </w:r>
      <w:r>
        <w:t xml:space="preserve"> </w:t>
      </w:r>
      <w:r>
        <w:t xml:space="preserve">Noncompliant with CLP Article</w:t>
      </w:r>
      <w:r>
        <w:t xml:space="preserve"> </w:t>
      </w:r>
      <w:r>
        <w:t xml:space="preserve">48 (2)</w:t>
      </w:r>
      <w:r>
        <w:br/>
      </w:r>
      <w:r>
        <w:t xml:space="preserve">REF-8</w:t>
      </w:r>
      <w:r>
        <w:t xml:space="preserve"> </w:t>
      </w:r>
      <w:r>
        <w:t xml:space="preserve">(2020)*</w:t>
      </w:r>
      <w:r>
        <w:t xml:space="preserve"> </w:t>
      </w:r>
      <w:r>
        <w:t xml:space="preserve">as</w:t>
      </w:r>
      <w:r>
        <w:t xml:space="preserve"> </w:t>
      </w:r>
      <w:r>
        <w:t xml:space="preserve">reported in ECHA Ref 8</w:t>
      </w:r>
      <w:r>
        <w:t xml:space="preserve"> </w:t>
      </w:r>
      <w:r>
        <w:t xml:space="preserve">report</w:t>
      </w:r>
      <w:r>
        <w:t xml:space="preserve"> </w:t>
      </w:r>
      <w:r>
        <w:t xml:space="preserve">2020</w:t>
      </w:r>
      <w:r>
        <w:t xml:space="preserve"> </w:t>
      </w:r>
      <w:r>
        <w:t xml:space="preserve">Online</w:t>
      </w:r>
      <w:r>
        <w:t xml:space="preserve"> </w:t>
      </w:r>
      <w:r>
        <w:t xml:space="preserve">products</w:t>
      </w:r>
      <w:r>
        <w:t xml:space="preserve"> </w:t>
      </w:r>
      <w:r>
        <w:t xml:space="preserve">(substances,</w:t>
      </w:r>
      <w:r>
        <w:t xml:space="preserve"> </w:t>
      </w:r>
      <w:r>
        <w:t xml:space="preserve">mixtures,</w:t>
      </w:r>
      <w:r>
        <w:t xml:space="preserve"> </w:t>
      </w:r>
      <w:r>
        <w:t xml:space="preserve">artcles)</w:t>
      </w:r>
      <w:r>
        <w:t xml:space="preserve"> </w:t>
      </w:r>
      <w:r>
        <w:t xml:space="preserve">1,314</w:t>
      </w:r>
      <w:r>
        <w:t xml:space="preserve"> </w:t>
      </w:r>
      <w:r>
        <w:t xml:space="preserve">1,083</w:t>
      </w:r>
      <w:r>
        <w:t xml:space="preserve"> </w:t>
      </w:r>
      <w:r>
        <w:t xml:space="preserve">82%</w:t>
      </w:r>
      <w:r>
        <w:t xml:space="preserve"> </w:t>
      </w:r>
      <w:r>
        <w:t xml:space="preserve">Noncompliant with CLP Article</w:t>
      </w:r>
      <w:r>
        <w:t xml:space="preserve"> </w:t>
      </w:r>
      <w:r>
        <w:t xml:space="preserve">48 (2)</w:t>
      </w:r>
      <w:r>
        <w:br/>
      </w:r>
      <w:r>
        <w:t xml:space="preserve">e-commerce</w:t>
      </w:r>
      <w:r>
        <w:t xml:space="preserve"> </w:t>
      </w:r>
      <w:r>
        <w:t xml:space="preserve">project[3]</w:t>
      </w:r>
      <w:r>
        <w:t xml:space="preserve"> </w:t>
      </w:r>
      <w:r>
        <w:t xml:space="preserve">(2017)* as reported in</w:t>
      </w:r>
      <w:r>
        <w:t xml:space="preserve"> </w:t>
      </w:r>
      <w:r>
        <w:t xml:space="preserve">ECHA Ref 8 report</w:t>
      </w:r>
      <w:r>
        <w:t xml:space="preserve"> </w:t>
      </w:r>
      <w:r>
        <w:t xml:space="preserve">2016</w:t>
      </w:r>
      <w:r>
        <w:t xml:space="preserve"> </w:t>
      </w:r>
      <w:r>
        <w:t xml:space="preserve">Online</w:t>
      </w:r>
      <w:r>
        <w:t xml:space="preserve"> </w:t>
      </w:r>
      <w:r>
        <w:t xml:space="preserve">products</w:t>
      </w:r>
      <w:r>
        <w:t xml:space="preserve"> </w:t>
      </w:r>
      <w:r>
        <w:t xml:space="preserve">(substances,</w:t>
      </w:r>
      <w:r>
        <w:t xml:space="preserve"> </w:t>
      </w:r>
      <w:r>
        <w:t xml:space="preserve">mixtures,</w:t>
      </w:r>
      <w:r>
        <w:t xml:space="preserve"> </w:t>
      </w:r>
      <w:r>
        <w:t xml:space="preserve">artcles)</w:t>
      </w:r>
      <w:r>
        <w:t xml:space="preserve"> </w:t>
      </w:r>
      <w:r>
        <w:t xml:space="preserve">2,752</w:t>
      </w:r>
      <w:r>
        <w:t xml:space="preserve"> </w:t>
      </w:r>
      <w:r>
        <w:t xml:space="preserve">2,065</w:t>
      </w:r>
      <w:r>
        <w:t xml:space="preserve"> </w:t>
      </w:r>
      <w:r>
        <w:t xml:space="preserve">75%</w:t>
      </w:r>
      <w:r>
        <w:t xml:space="preserve"> </w:t>
      </w:r>
      <w:r>
        <w:t xml:space="preserve">non-compliant with CLP (Article</w:t>
      </w:r>
      <w:r>
        <w:t xml:space="preserve"> </w:t>
      </w:r>
      <w:r>
        <w:t xml:space="preserve">48(1) and (2))</w:t>
      </w:r>
      <w:r>
        <w:br/>
      </w:r>
      <w:r>
        <w:t xml:space="preserve">ECHA Ref 8 report</w:t>
      </w:r>
      <w:r>
        <w:t xml:space="preserve"> </w:t>
      </w:r>
      <w:r>
        <w:t xml:space="preserve">2020</w:t>
      </w:r>
      <w:r>
        <w:t xml:space="preserve"> </w:t>
      </w:r>
      <w:r>
        <w:t xml:space="preserve">Online</w:t>
      </w:r>
      <w:r>
        <w:t xml:space="preserve"> </w:t>
      </w:r>
      <w:r>
        <w:t xml:space="preserve">products</w:t>
      </w:r>
      <w:r>
        <w:t xml:space="preserve"> </w:t>
      </w:r>
      <w:r>
        <w:t xml:space="preserve">(substances,</w:t>
      </w:r>
      <w:r>
        <w:t xml:space="preserve"> </w:t>
      </w:r>
      <w:r>
        <w:t xml:space="preserve">mixtures,</w:t>
      </w:r>
      <w:r>
        <w:t xml:space="preserve"> </w:t>
      </w:r>
      <w:r>
        <w:t xml:space="preserve">2,752</w:t>
      </w:r>
      <w:r>
        <w:t xml:space="preserve"> </w:t>
      </w:r>
      <w:r>
        <w:t xml:space="preserve">1,321</w:t>
      </w:r>
      <w:r>
        <w:t xml:space="preserve"> </w:t>
      </w:r>
      <w:r>
        <w:t xml:space="preserve">48%</w:t>
      </w:r>
      <w:r>
        <w:t xml:space="preserve"> </w:t>
      </w:r>
      <w:r>
        <w:t xml:space="preserve">No</w:t>
      </w:r>
      <w:r>
        <w:t xml:space="preserve"> </w:t>
      </w:r>
      <w:r>
        <w:t xml:space="preserve">hazard</w:t>
      </w:r>
      <w:r>
        <w:t xml:space="preserve"> </w:t>
      </w:r>
      <w:r>
        <w:t xml:space="preserve">informtion</w:t>
      </w:r>
      <w:r>
        <w:t xml:space="preserve"> </w:t>
      </w:r>
      <w:r>
        <w:t xml:space="preserve">CLP</w:t>
      </w:r>
      <w:r>
        <w:br/>
      </w:r>
      <w:r>
        <w:t xml:space="preserve">(Article 48(1) and (2))</w:t>
      </w:r>
      <w:r>
        <w:br/>
      </w:r>
      <w:r>
        <w:t xml:space="preserve">ECHA Ref 8 report</w:t>
      </w:r>
      <w:r>
        <w:t xml:space="preserve"> </w:t>
      </w:r>
      <w:r>
        <w:t xml:space="preserve">2020</w:t>
      </w:r>
    </w:p>
    <w:p>
      <w:pPr>
        <w:pStyle w:val="BodyText"/>
      </w:pPr>
      <w:r>
        <w:t xml:space="preserve">592</w:t>
      </w:r>
    </w:p>
    <w:p>
      <w:pPr>
        <w:pStyle w:val="BodyText"/>
      </w:pPr>
      <w:r>
        <w:t xml:space="preserve">Table 184: Collated information on online product non-compliance</w:t>
      </w:r>
      <w:r>
        <w:t xml:space="preserve"> </w:t>
      </w:r>
      <w:r>
        <w:t xml:space="preserve">Product</w:t>
      </w:r>
      <w:r>
        <w:t xml:space="preserve"> </w:t>
      </w:r>
      <w:r>
        <w:t xml:space="preserve">Reference</w:t>
      </w:r>
      <w:r>
        <w:t xml:space="preserve"> </w:t>
      </w:r>
      <w:r>
        <w:t xml:space="preserve">number/</w:t>
      </w:r>
      <w:r>
        <w:t xml:space="preserve"> </w:t>
      </w:r>
      <w:r>
        <w:t xml:space="preserve">Number</w:t>
      </w:r>
      <w:r>
        <w:t xml:space="preserve"> </w:t>
      </w:r>
      <w:r>
        <w:t xml:space="preserve">tested/assessed</w:t>
      </w:r>
      <w:r>
        <w:t xml:space="preserve"> </w:t>
      </w:r>
      <w:r>
        <w:t xml:space="preserve">Non-</w:t>
      </w:r>
      <w:r>
        <w:t xml:space="preserve"> </w:t>
      </w:r>
      <w:r>
        <w:t xml:space="preserve">compliant</w:t>
      </w:r>
      <w:r>
        <w:t xml:space="preserve"> </w:t>
      </w:r>
      <w:r>
        <w:t xml:space="preserve">Non-</w:t>
      </w:r>
      <w:r>
        <w:t xml:space="preserve"> </w:t>
      </w:r>
      <w:r>
        <w:t xml:space="preserve">compliant</w:t>
      </w:r>
      <w:r>
        <w:t xml:space="preserve"> </w:t>
      </w:r>
      <w:r>
        <w:t xml:space="preserve">(%)</w:t>
      </w:r>
      <w:r>
        <w:t xml:space="preserve"> </w:t>
      </w:r>
      <w:r>
        <w:t xml:space="preserve">Requirement/reason</w:t>
      </w:r>
      <w:r>
        <w:t xml:space="preserve"> </w:t>
      </w:r>
      <w:r>
        <w:t xml:space="preserve">Source</w:t>
      </w:r>
      <w:r>
        <w:t xml:space="preserve"> </w:t>
      </w:r>
      <w:r>
        <w:t xml:space="preserve">Year</w:t>
      </w:r>
      <w:r>
        <w:t xml:space="preserve"> </w:t>
      </w:r>
      <w:r>
        <w:t xml:space="preserve">artcles)</w:t>
      </w:r>
      <w:r>
        <w:t xml:space="preserve"> </w:t>
      </w:r>
      <w:r>
        <w:t xml:space="preserve">Online</w:t>
      </w:r>
      <w:r>
        <w:t xml:space="preserve"> </w:t>
      </w:r>
      <w:r>
        <w:t xml:space="preserve">hazardous</w:t>
      </w:r>
      <w:r>
        <w:t xml:space="preserve"> </w:t>
      </w:r>
      <w:r>
        <w:t xml:space="preserve">mixture</w:t>
      </w:r>
      <w:r>
        <w:t xml:space="preserve"> </w:t>
      </w:r>
      <w:r>
        <w:t xml:space="preserve">1,335</w:t>
      </w:r>
      <w:r>
        <w:t xml:space="preserve"> </w:t>
      </w:r>
      <w:r>
        <w:t xml:space="preserve">92</w:t>
      </w:r>
      <w:r>
        <w:t xml:space="preserve"> </w:t>
      </w:r>
      <w:r>
        <w:t xml:space="preserve">7%</w:t>
      </w:r>
      <w:r>
        <w:t xml:space="preserve"> </w:t>
      </w:r>
      <w:r>
        <w:t xml:space="preserve">Information provided was not</w:t>
      </w:r>
      <w:r>
        <w:t xml:space="preserve"> </w:t>
      </w:r>
      <w:r>
        <w:t xml:space="preserve">complete (e.g. missing hazard</w:t>
      </w:r>
      <w:r>
        <w:t xml:space="preserve"> </w:t>
      </w:r>
      <w:r>
        <w:t xml:space="preserve">statements, H-codes only instead</w:t>
      </w:r>
      <w:r>
        <w:t xml:space="preserve"> </w:t>
      </w:r>
      <w:r>
        <w:t xml:space="preserve">of full hazard statements)</w:t>
      </w:r>
      <w:r>
        <w:br/>
      </w:r>
      <w:r>
        <w:t xml:space="preserve">ECHA Ref 8 report</w:t>
      </w:r>
      <w:r>
        <w:t xml:space="preserve"> </w:t>
      </w:r>
      <w:r>
        <w:t xml:space="preserve">2020</w:t>
      </w:r>
      <w:r>
        <w:t xml:space="preserve"> </w:t>
      </w:r>
      <w:r>
        <w:t xml:space="preserve">Online</w:t>
      </w:r>
      <w:r>
        <w:t xml:space="preserve"> </w:t>
      </w:r>
      <w:r>
        <w:t xml:space="preserve">hazardous</w:t>
      </w:r>
      <w:r>
        <w:t xml:space="preserve"> </w:t>
      </w:r>
      <w:r>
        <w:t xml:space="preserve">mixture</w:t>
      </w:r>
      <w:r>
        <w:t xml:space="preserve"> </w:t>
      </w:r>
      <w:r>
        <w:t xml:space="preserve">1,335</w:t>
      </w:r>
      <w:r>
        <w:t xml:space="preserve"> </w:t>
      </w:r>
      <w:r>
        <w:t xml:space="preserve">626</w:t>
      </w:r>
      <w:r>
        <w:t xml:space="preserve"> </w:t>
      </w:r>
      <w:r>
        <w:t xml:space="preserve">47%</w:t>
      </w:r>
      <w:r>
        <w:t xml:space="preserve"> </w:t>
      </w:r>
      <w:r>
        <w:t xml:space="preserve">No hazard information provided</w:t>
      </w:r>
      <w:r>
        <w:br/>
      </w:r>
      <w:r>
        <w:t xml:space="preserve">ECHA Ref 8 report</w:t>
      </w:r>
      <w:r>
        <w:t xml:space="preserve"> </w:t>
      </w:r>
      <w:r>
        <w:t xml:space="preserve">2020</w:t>
      </w:r>
      <w:r>
        <w:t xml:space="preserve"> </w:t>
      </w:r>
      <w:r>
        <w:t xml:space="preserve">Online</w:t>
      </w:r>
      <w:r>
        <w:t xml:space="preserve"> </w:t>
      </w:r>
      <w:r>
        <w:t xml:space="preserve">hazardous</w:t>
      </w:r>
      <w:r>
        <w:t xml:space="preserve"> </w:t>
      </w:r>
      <w:r>
        <w:t xml:space="preserve">mixture</w:t>
      </w:r>
      <w:r>
        <w:t xml:space="preserve"> </w:t>
      </w:r>
      <w:r>
        <w:t xml:space="preserve">1,335</w:t>
      </w:r>
      <w:r>
        <w:t xml:space="preserve"> </w:t>
      </w:r>
      <w:r>
        <w:t xml:space="preserve">718</w:t>
      </w:r>
      <w:r>
        <w:t xml:space="preserve"> </w:t>
      </w:r>
      <w:r>
        <w:t xml:space="preserve">54%</w:t>
      </w:r>
      <w:r>
        <w:t xml:space="preserve"> </w:t>
      </w:r>
      <w:r>
        <w:t xml:space="preserve">No</w:t>
      </w:r>
      <w:r>
        <w:t xml:space="preserve"> </w:t>
      </w:r>
      <w:r>
        <w:t xml:space="preserve">or</w:t>
      </w:r>
      <w:r>
        <w:t xml:space="preserve"> </w:t>
      </w:r>
      <w:r>
        <w:t xml:space="preserve">incomplete</w:t>
      </w:r>
      <w:r>
        <w:t xml:space="preserve"> </w:t>
      </w:r>
      <w:r>
        <w:t xml:space="preserve">hazard</w:t>
      </w:r>
      <w:r>
        <w:t xml:space="preserve"> </w:t>
      </w:r>
      <w:r>
        <w:t xml:space="preserve">information</w:t>
      </w:r>
      <w:r>
        <w:t xml:space="preserve"> </w:t>
      </w:r>
      <w:r>
        <w:t xml:space="preserve">ECHA Ref 8 report</w:t>
      </w:r>
      <w:r>
        <w:t xml:space="preserve"> </w:t>
      </w:r>
      <w:r>
        <w:t xml:space="preserve">2020</w:t>
      </w:r>
      <w:r>
        <w:t xml:space="preserve"> </w:t>
      </w:r>
      <w:r>
        <w:t xml:space="preserve">Online</w:t>
      </w:r>
      <w:r>
        <w:t xml:space="preserve"> </w:t>
      </w:r>
      <w:r>
        <w:t xml:space="preserve">hazardous</w:t>
      </w:r>
      <w:r>
        <w:t xml:space="preserve"> </w:t>
      </w:r>
      <w:r>
        <w:t xml:space="preserve">mixture</w:t>
      </w:r>
      <w:r>
        <w:t xml:space="preserve"> </w:t>
      </w:r>
      <w:r>
        <w:t xml:space="preserve">1,083</w:t>
      </w:r>
      <w:r>
        <w:t xml:space="preserve"> </w:t>
      </w:r>
      <w:r>
        <w:t xml:space="preserve">902</w:t>
      </w:r>
      <w:r>
        <w:t xml:space="preserve"> </w:t>
      </w:r>
      <w:r>
        <w:t xml:space="preserve">83%</w:t>
      </w:r>
      <w:r>
        <w:t xml:space="preserve"> </w:t>
      </w:r>
      <w:r>
        <w:t xml:space="preserve">No</w:t>
      </w:r>
      <w:r>
        <w:t xml:space="preserve"> </w:t>
      </w:r>
      <w:r>
        <w:t xml:space="preserve">information</w:t>
      </w:r>
      <w:r>
        <w:t xml:space="preserve"> </w:t>
      </w:r>
      <w:r>
        <w:t xml:space="preserve">provided</w:t>
      </w:r>
      <w:r>
        <w:t xml:space="preserve"> </w:t>
      </w:r>
      <w:r>
        <w:t xml:space="preserve">on</w:t>
      </w:r>
      <w:r>
        <w:t xml:space="preserve"> </w:t>
      </w:r>
      <w:r>
        <w:t xml:space="preserve">hazard</w:t>
      </w:r>
      <w:r>
        <w:t xml:space="preserve"> </w:t>
      </w:r>
      <w:r>
        <w:t xml:space="preserve">statements</w:t>
      </w:r>
      <w:r>
        <w:t xml:space="preserve"> </w:t>
      </w:r>
      <w:r>
        <w:t xml:space="preserve">and/or</w:t>
      </w:r>
      <w:r>
        <w:t xml:space="preserve"> </w:t>
      </w:r>
      <w:r>
        <w:t xml:space="preserve">supplementary hazard statements</w:t>
      </w:r>
      <w:r>
        <w:t xml:space="preserve"> </w:t>
      </w:r>
      <w:r>
        <w:t xml:space="preserve">ECHA Final report on the</w:t>
      </w:r>
      <w:r>
        <w:t xml:space="preserve"> </w:t>
      </w:r>
      <w:r>
        <w:t xml:space="preserve">Forum Pilot Project on</w:t>
      </w:r>
      <w:r>
        <w:t xml:space="preserve"> </w:t>
      </w:r>
      <w:r>
        <w:t xml:space="preserve">CLP focusing on control</w:t>
      </w:r>
      <w:r>
        <w:t xml:space="preserve"> </w:t>
      </w:r>
      <w:r>
        <w:t xml:space="preserve">of internet sales (2017)</w:t>
      </w:r>
      <w:r>
        <w:t xml:space="preserve"> </w:t>
      </w:r>
      <w:r>
        <w:t xml:space="preserve">2017</w:t>
      </w:r>
      <w:r>
        <w:t xml:space="preserve"> </w:t>
      </w:r>
      <w:r>
        <w:t xml:space="preserve">Online</w:t>
      </w:r>
      <w:r>
        <w:t xml:space="preserve"> </w:t>
      </w:r>
      <w:r>
        <w:t xml:space="preserve">hazardous</w:t>
      </w:r>
      <w:r>
        <w:t xml:space="preserve"> </w:t>
      </w:r>
      <w:r>
        <w:t xml:space="preserve">mixture</w:t>
      </w:r>
      <w:r>
        <w:t xml:space="preserve"> </w:t>
      </w:r>
      <w:r>
        <w:t xml:space="preserve">1,083</w:t>
      </w:r>
      <w:r>
        <w:t xml:space="preserve"> </w:t>
      </w:r>
      <w:r>
        <w:t xml:space="preserve">55</w:t>
      </w:r>
      <w:r>
        <w:t xml:space="preserve"> </w:t>
      </w:r>
      <w:r>
        <w:t xml:space="preserve">5%</w:t>
      </w:r>
      <w:r>
        <w:t xml:space="preserve"> </w:t>
      </w:r>
      <w:r>
        <w:t xml:space="preserve">The information on the hazard</w:t>
      </w:r>
      <w:r>
        <w:t xml:space="preserve"> </w:t>
      </w:r>
      <w:r>
        <w:t xml:space="preserve">statements</w:t>
      </w:r>
      <w:r>
        <w:t xml:space="preserve"> </w:t>
      </w:r>
      <w:r>
        <w:t xml:space="preserve">provided</w:t>
      </w:r>
      <w:r>
        <w:t xml:space="preserve"> </w:t>
      </w:r>
      <w:r>
        <w:t xml:space="preserve">is</w:t>
      </w:r>
      <w:r>
        <w:t xml:space="preserve"> </w:t>
      </w:r>
      <w:r>
        <w:t xml:space="preserve">not</w:t>
      </w:r>
      <w:r>
        <w:t xml:space="preserve"> </w:t>
      </w:r>
      <w:r>
        <w:t xml:space="preserve">complete (e.g. H-codes instead of</w:t>
      </w:r>
      <w:r>
        <w:t xml:space="preserve"> </w:t>
      </w:r>
      <w:r>
        <w:t xml:space="preserve">phrases)</w:t>
      </w:r>
      <w:r>
        <w:t xml:space="preserve"> </w:t>
      </w:r>
      <w:r>
        <w:t xml:space="preserve">ECHA Final report on the</w:t>
      </w:r>
      <w:r>
        <w:t xml:space="preserve"> </w:t>
      </w:r>
      <w:r>
        <w:t xml:space="preserve">Forum Pilot Project on</w:t>
      </w:r>
      <w:r>
        <w:t xml:space="preserve"> </w:t>
      </w:r>
      <w:r>
        <w:t xml:space="preserve">CLP focusing on control</w:t>
      </w:r>
      <w:r>
        <w:t xml:space="preserve"> </w:t>
      </w:r>
      <w:r>
        <w:t xml:space="preserve">of internet sales (2017)</w:t>
      </w:r>
      <w:r>
        <w:t xml:space="preserve"> </w:t>
      </w:r>
      <w:r>
        <w:t xml:space="preserve">2017</w:t>
      </w:r>
      <w:r>
        <w:t xml:space="preserve"> </w:t>
      </w:r>
      <w:r>
        <w:t xml:space="preserve">Online</w:t>
      </w:r>
      <w:r>
        <w:t xml:space="preserve"> </w:t>
      </w:r>
      <w:r>
        <w:t xml:space="preserve">hazardous</w:t>
      </w:r>
      <w:r>
        <w:t xml:space="preserve"> </w:t>
      </w:r>
      <w:r>
        <w:t xml:space="preserve">mixture</w:t>
      </w:r>
      <w:r>
        <w:t xml:space="preserve"> </w:t>
      </w:r>
      <w:r>
        <w:t xml:space="preserve">1,083</w:t>
      </w:r>
      <w:r>
        <w:t xml:space="preserve"> </w:t>
      </w:r>
      <w:r>
        <w:t xml:space="preserve">98</w:t>
      </w:r>
      <w:r>
        <w:t xml:space="preserve"> </w:t>
      </w:r>
      <w:r>
        <w:t xml:space="preserve">9%</w:t>
      </w:r>
      <w:r>
        <w:t xml:space="preserve"> </w:t>
      </w:r>
      <w:r>
        <w:t xml:space="preserve">The text of the hazard statements</w:t>
      </w:r>
      <w:r>
        <w:t xml:space="preserve"> </w:t>
      </w:r>
      <w:r>
        <w:t xml:space="preserve">is not in the official language of</w:t>
      </w:r>
      <w:r>
        <w:t xml:space="preserve"> </w:t>
      </w:r>
      <w:r>
        <w:t xml:space="preserve">relevant MSs which are addressed</w:t>
      </w:r>
      <w:r>
        <w:t xml:space="preserve"> </w:t>
      </w:r>
      <w:r>
        <w:t xml:space="preserve">with</w:t>
      </w:r>
      <w:r>
        <w:t xml:space="preserve"> </w:t>
      </w:r>
      <w:r>
        <w:t xml:space="preserve">the</w:t>
      </w:r>
      <w:r>
        <w:t xml:space="preserve"> </w:t>
      </w:r>
      <w:r>
        <w:t xml:space="preserve">Article</w:t>
      </w:r>
      <w:r>
        <w:t xml:space="preserve"> </w:t>
      </w:r>
      <w:r>
        <w:t xml:space="preserve">48(2)</w:t>
      </w:r>
      <w:r>
        <w:t xml:space="preserve"> </w:t>
      </w:r>
      <w:r>
        <w:t xml:space="preserve">advertisement</w:t>
      </w:r>
      <w:r>
        <w:t xml:space="preserve"> </w:t>
      </w:r>
      <w:r>
        <w:t xml:space="preserve">ECHA Final report on the</w:t>
      </w:r>
      <w:r>
        <w:t xml:space="preserve"> </w:t>
      </w:r>
      <w:r>
        <w:t xml:space="preserve">Forum Pilot Project on</w:t>
      </w:r>
      <w:r>
        <w:t xml:space="preserve"> </w:t>
      </w:r>
      <w:r>
        <w:t xml:space="preserve">CLP focusing on control</w:t>
      </w:r>
      <w:r>
        <w:t xml:space="preserve"> </w:t>
      </w:r>
      <w:r>
        <w:t xml:space="preserve">of internet sales (2017)</w:t>
      </w:r>
      <w:r>
        <w:t xml:space="preserve"> </w:t>
      </w:r>
      <w:r>
        <w:t xml:space="preserve">2017</w:t>
      </w:r>
      <w:r>
        <w:t xml:space="preserve"> </w:t>
      </w:r>
      <w:r>
        <w:t xml:space="preserve">Online</w:t>
      </w:r>
      <w:r>
        <w:t xml:space="preserve"> </w:t>
      </w:r>
      <w:r>
        <w:t xml:space="preserve">hazardous</w:t>
      </w:r>
      <w:r>
        <w:t xml:space="preserve"> </w:t>
      </w:r>
      <w:r>
        <w:t xml:space="preserve">mixture</w:t>
      </w:r>
      <w:r>
        <w:t xml:space="preserve"> </w:t>
      </w:r>
      <w:r>
        <w:t xml:space="preserve">1,083</w:t>
      </w:r>
      <w:r>
        <w:t xml:space="preserve"> </w:t>
      </w:r>
      <w:r>
        <w:t xml:space="preserve">172</w:t>
      </w:r>
      <w:r>
        <w:t xml:space="preserve"> </w:t>
      </w:r>
      <w:r>
        <w:t xml:space="preserve">16%</w:t>
      </w:r>
      <w:r>
        <w:t xml:space="preserve"> </w:t>
      </w:r>
      <w:r>
        <w:t xml:space="preserve">Other non-compliance</w:t>
      </w:r>
      <w:r>
        <w:br/>
      </w:r>
      <w:r>
        <w:t xml:space="preserve">ECHA Final report on the</w:t>
      </w:r>
      <w:r>
        <w:t xml:space="preserve"> </w:t>
      </w:r>
      <w:r>
        <w:t xml:space="preserve">Forum Pilot Project on</w:t>
      </w:r>
      <w:r>
        <w:t xml:space="preserve"> </w:t>
      </w:r>
      <w:r>
        <w:t xml:space="preserve">CLP focusing on control</w:t>
      </w:r>
      <w:r>
        <w:t xml:space="preserve"> </w:t>
      </w:r>
      <w:r>
        <w:t xml:space="preserve">of internet sales (2017)</w:t>
      </w:r>
      <w:r>
        <w:t xml:space="preserve"> </w:t>
      </w:r>
      <w:r>
        <w:t xml:space="preserve">2017</w:t>
      </w:r>
      <w:r>
        <w:t xml:space="preserve"> </w:t>
      </w:r>
      <w:r>
        <w:t xml:space="preserve">CLP INORMATION Online products (substances, 70%</w:t>
      </w:r>
    </w:p>
    <w:p>
      <w:pPr>
        <w:pStyle w:val="BodyText"/>
      </w:pPr>
      <w:r>
        <w:t xml:space="preserve">593</w:t>
      </w:r>
    </w:p>
    <w:p>
      <w:pPr>
        <w:pStyle w:val="BodyText"/>
      </w:pPr>
      <w:r>
        <w:t xml:space="preserve">Table 184: Collated information on online product non-compliance</w:t>
      </w:r>
      <w:r>
        <w:t xml:space="preserve"> </w:t>
      </w:r>
      <w:r>
        <w:t xml:space="preserve">Product</w:t>
      </w:r>
      <w:r>
        <w:t xml:space="preserve"> </w:t>
      </w:r>
      <w:r>
        <w:t xml:space="preserve">Reference</w:t>
      </w:r>
      <w:r>
        <w:t xml:space="preserve"> </w:t>
      </w:r>
      <w:r>
        <w:t xml:space="preserve">number/</w:t>
      </w:r>
      <w:r>
        <w:t xml:space="preserve"> </w:t>
      </w:r>
      <w:r>
        <w:t xml:space="preserve">Number</w:t>
      </w:r>
      <w:r>
        <w:t xml:space="preserve"> </w:t>
      </w:r>
      <w:r>
        <w:t xml:space="preserve">tested/assessed</w:t>
      </w:r>
      <w:r>
        <w:t xml:space="preserve"> </w:t>
      </w:r>
      <w:r>
        <w:t xml:space="preserve">Non-</w:t>
      </w:r>
      <w:r>
        <w:t xml:space="preserve"> </w:t>
      </w:r>
      <w:r>
        <w:t xml:space="preserve">compliant</w:t>
      </w:r>
      <w:r>
        <w:t xml:space="preserve"> </w:t>
      </w:r>
      <w:r>
        <w:t xml:space="preserve">Non-</w:t>
      </w:r>
      <w:r>
        <w:t xml:space="preserve"> </w:t>
      </w:r>
      <w:r>
        <w:t xml:space="preserve">compliant</w:t>
      </w:r>
      <w:r>
        <w:t xml:space="preserve"> </w:t>
      </w:r>
      <w:r>
        <w:t xml:space="preserve">(%)</w:t>
      </w:r>
      <w:r>
        <w:t xml:space="preserve"> </w:t>
      </w:r>
      <w:r>
        <w:t xml:space="preserve">Requirement/reason</w:t>
      </w:r>
      <w:r>
        <w:t xml:space="preserve"> </w:t>
      </w:r>
      <w:r>
        <w:t xml:space="preserve">Source</w:t>
      </w:r>
      <w:r>
        <w:t xml:space="preserve"> </w:t>
      </w:r>
      <w:r>
        <w:t xml:space="preserve">Year</w:t>
      </w:r>
      <w:r>
        <w:t xml:space="preserve"> </w:t>
      </w:r>
      <w:r>
        <w:t xml:space="preserve">mixtures, articles) - average</w:t>
      </w:r>
      <w:r>
        <w:t xml:space="preserve"> </w:t>
      </w:r>
      <w:r>
        <w:t xml:space="preserve">Online</w:t>
      </w:r>
      <w:r>
        <w:t xml:space="preserve"> </w:t>
      </w:r>
      <w:r>
        <w:t xml:space="preserve">products</w:t>
      </w:r>
      <w:r>
        <w:t xml:space="preserve"> </w:t>
      </w:r>
      <w:r>
        <w:t xml:space="preserve">(substances,</w:t>
      </w:r>
      <w:r>
        <w:t xml:space="preserve"> </w:t>
      </w:r>
      <w:r>
        <w:t xml:space="preserve">mixtures,</w:t>
      </w:r>
      <w:r>
        <w:t xml:space="preserve"> </w:t>
      </w:r>
      <w:r>
        <w:t xml:space="preserve">artcles)</w:t>
      </w:r>
      <w:r>
        <w:t xml:space="preserve"> </w:t>
      </w:r>
      <w:r>
        <w:t xml:space="preserve">from</w:t>
      </w:r>
      <w:r>
        <w:t xml:space="preserve"> </w:t>
      </w:r>
      <w:r>
        <w:t xml:space="preserve">EU</w:t>
      </w:r>
      <w:r>
        <w:t xml:space="preserve"> </w:t>
      </w:r>
      <w:r>
        <w:t xml:space="preserve">marketplace</w:t>
      </w:r>
    </w:p>
    <w:p>
      <w:pPr>
        <w:pStyle w:val="BodyText"/>
      </w:pPr>
      <w:r>
        <w:t xml:space="preserve">73%</w:t>
      </w:r>
      <w:r>
        <w:t xml:space="preserve"> </w:t>
      </w:r>
      <w:r>
        <w:t xml:space="preserve">CLP</w:t>
      </w:r>
      <w:r>
        <w:t xml:space="preserve"> </w:t>
      </w:r>
      <w:r>
        <w:t xml:space="preserve">ECHA Ref 8 report</w:t>
      </w:r>
      <w:r>
        <w:t xml:space="preserve"> </w:t>
      </w:r>
      <w:r>
        <w:t xml:space="preserve">2027</w:t>
      </w:r>
      <w:r>
        <w:t xml:space="preserve"> </w:t>
      </w:r>
      <w:r>
        <w:t xml:space="preserve">Online</w:t>
      </w:r>
      <w:r>
        <w:t xml:space="preserve"> </w:t>
      </w:r>
      <w:r>
        <w:t xml:space="preserve">products</w:t>
      </w:r>
      <w:r>
        <w:t xml:space="preserve"> </w:t>
      </w:r>
      <w:r>
        <w:t xml:space="preserve">(substances,</w:t>
      </w:r>
      <w:r>
        <w:t xml:space="preserve"> </w:t>
      </w:r>
      <w:r>
        <w:t xml:space="preserve">mixtures,</w:t>
      </w:r>
      <w:r>
        <w:t xml:space="preserve"> </w:t>
      </w:r>
      <w:r>
        <w:t xml:space="preserve">artcles) from NON-EU</w:t>
      </w:r>
      <w:r>
        <w:t xml:space="preserve"> </w:t>
      </w:r>
      <w:r>
        <w:t xml:space="preserve">marketplace</w:t>
      </w:r>
    </w:p>
    <w:p>
      <w:pPr>
        <w:pStyle w:val="BodyText"/>
      </w:pPr>
      <w:r>
        <w:t xml:space="preserve">100%</w:t>
      </w:r>
      <w:r>
        <w:t xml:space="preserve"> </w:t>
      </w:r>
      <w:r>
        <w:t xml:space="preserve">CLP</w:t>
      </w:r>
      <w:r>
        <w:t xml:space="preserve"> </w:t>
      </w:r>
      <w:r>
        <w:t xml:space="preserve">ECHA Ref 8 report</w:t>
      </w:r>
      <w:r>
        <w:t xml:space="preserve"> </w:t>
      </w:r>
      <w:r>
        <w:t xml:space="preserve">2028</w:t>
      </w:r>
      <w:r>
        <w:t xml:space="preserve"> </w:t>
      </w:r>
      <w:r>
        <w:t xml:space="preserve">Online</w:t>
      </w:r>
      <w:r>
        <w:t xml:space="preserve"> </w:t>
      </w:r>
      <w:r>
        <w:t xml:space="preserve">products</w:t>
      </w:r>
      <w:r>
        <w:t xml:space="preserve"> </w:t>
      </w:r>
      <w:r>
        <w:t xml:space="preserve">(substances,</w:t>
      </w:r>
      <w:r>
        <w:t xml:space="preserve"> </w:t>
      </w:r>
      <w:r>
        <w:t xml:space="preserve">mixtures,</w:t>
      </w:r>
      <w:r>
        <w:t xml:space="preserve"> </w:t>
      </w:r>
      <w:r>
        <w:t xml:space="preserve">artcles)</w:t>
      </w:r>
      <w:r>
        <w:t xml:space="preserve"> </w:t>
      </w:r>
      <w:r>
        <w:t xml:space="preserve">956</w:t>
      </w:r>
      <w:r>
        <w:t xml:space="preserve"> </w:t>
      </w:r>
      <w:r>
        <w:t xml:space="preserve">49</w:t>
      </w:r>
      <w:r>
        <w:t xml:space="preserve"> </w:t>
      </w:r>
      <w:r>
        <w:t xml:space="preserve">5%</w:t>
      </w:r>
      <w:r>
        <w:t xml:space="preserve"> </w:t>
      </w:r>
      <w:r>
        <w:t xml:space="preserve">REACH SDS (Article 31)</w:t>
      </w:r>
      <w:r>
        <w:br/>
      </w:r>
      <w:r>
        <w:t xml:space="preserve">ECHA Ref 8 report</w:t>
      </w:r>
      <w:r>
        <w:t xml:space="preserve"> </w:t>
      </w:r>
      <w:r>
        <w:t xml:space="preserve">2020</w:t>
      </w:r>
      <w:r>
        <w:t xml:space="preserve"> </w:t>
      </w:r>
      <w:r>
        <w:t xml:space="preserve">Online</w:t>
      </w:r>
      <w:r>
        <w:t xml:space="preserve"> </w:t>
      </w:r>
      <w:r>
        <w:t xml:space="preserve">products</w:t>
      </w:r>
      <w:r>
        <w:t xml:space="preserve"> </w:t>
      </w:r>
      <w:r>
        <w:t xml:space="preserve">(substances,</w:t>
      </w:r>
      <w:r>
        <w:t xml:space="preserve"> </w:t>
      </w:r>
      <w:r>
        <w:t xml:space="preserve">mixtures,</w:t>
      </w:r>
      <w:r>
        <w:t xml:space="preserve"> </w:t>
      </w:r>
      <w:r>
        <w:t xml:space="preserve">artcles)</w:t>
      </w:r>
      <w:r>
        <w:t xml:space="preserve"> </w:t>
      </w:r>
      <w:r>
        <w:t xml:space="preserve">from</w:t>
      </w:r>
      <w:r>
        <w:t xml:space="preserve"> </w:t>
      </w:r>
      <w:r>
        <w:t xml:space="preserve">EU</w:t>
      </w:r>
      <w:r>
        <w:t xml:space="preserve"> </w:t>
      </w:r>
      <w:r>
        <w:t xml:space="preserve">marketplace</w:t>
      </w:r>
    </w:p>
    <w:p>
      <w:pPr>
        <w:pStyle w:val="BodyText"/>
      </w:pPr>
      <w:r>
        <w:t xml:space="preserve">16%</w:t>
      </w:r>
      <w:r>
        <w:t xml:space="preserve"> </w:t>
      </w:r>
      <w:r>
        <w:t xml:space="preserve">READ SDS</w:t>
      </w:r>
      <w:r>
        <w:t xml:space="preserve"> </w:t>
      </w:r>
      <w:r>
        <w:t xml:space="preserve">ECHA Ref 8 report</w:t>
      </w:r>
      <w:r>
        <w:t xml:space="preserve"> </w:t>
      </w:r>
      <w:r>
        <w:t xml:space="preserve">2025</w:t>
      </w:r>
      <w:r>
        <w:t xml:space="preserve"> </w:t>
      </w:r>
      <w:r>
        <w:t xml:space="preserve">Online</w:t>
      </w:r>
      <w:r>
        <w:t xml:space="preserve"> </w:t>
      </w:r>
      <w:r>
        <w:t xml:space="preserve">products</w:t>
      </w:r>
      <w:r>
        <w:t xml:space="preserve"> </w:t>
      </w:r>
      <w:r>
        <w:t xml:space="preserve">(substances,</w:t>
      </w:r>
      <w:r>
        <w:t xml:space="preserve"> </w:t>
      </w:r>
      <w:r>
        <w:t xml:space="preserve">mixtures,</w:t>
      </w:r>
      <w:r>
        <w:t xml:space="preserve"> </w:t>
      </w:r>
      <w:r>
        <w:t xml:space="preserve">artcles) from NON-EU</w:t>
      </w:r>
      <w:r>
        <w:t xml:space="preserve"> </w:t>
      </w:r>
      <w:r>
        <w:t xml:space="preserve">marketplace</w:t>
      </w:r>
    </w:p>
    <w:p>
      <w:pPr>
        <w:pStyle w:val="BodyText"/>
      </w:pPr>
      <w:r>
        <w:t xml:space="preserve">0%</w:t>
      </w:r>
      <w:r>
        <w:t xml:space="preserve"> </w:t>
      </w:r>
      <w:r>
        <w:t xml:space="preserve">READ SDS</w:t>
      </w:r>
      <w:r>
        <w:t xml:space="preserve"> </w:t>
      </w:r>
      <w:r>
        <w:t xml:space="preserve">ECHA Ref 8 report</w:t>
      </w:r>
      <w:r>
        <w:t xml:space="preserve"> </w:t>
      </w:r>
      <w:r>
        <w:t xml:space="preserve">2026</w:t>
      </w:r>
      <w:r>
        <w:t xml:space="preserve"> </w:t>
      </w:r>
      <w:r>
        <w:t xml:space="preserve">Online</w:t>
      </w:r>
      <w:r>
        <w:t xml:space="preserve"> </w:t>
      </w:r>
      <w:r>
        <w:t xml:space="preserve">products</w:t>
      </w:r>
      <w:r>
        <w:t xml:space="preserve"> </w:t>
      </w:r>
      <w:r>
        <w:t xml:space="preserve">(substances,</w:t>
      </w:r>
      <w:r>
        <w:t xml:space="preserve"> </w:t>
      </w:r>
      <w:r>
        <w:t xml:space="preserve">mixtures,</w:t>
      </w:r>
      <w:r>
        <w:t xml:space="preserve"> </w:t>
      </w:r>
      <w:r>
        <w:t xml:space="preserve">artcles)</w:t>
      </w:r>
    </w:p>
    <w:p>
      <w:pPr>
        <w:pStyle w:val="BodyText"/>
      </w:pPr>
      <w:r>
        <w:t xml:space="preserve">42%</w:t>
      </w:r>
      <w:r>
        <w:t xml:space="preserve"> </w:t>
      </w:r>
      <w:r>
        <w:t xml:space="preserve">Non-</w:t>
      </w:r>
      <w:r>
        <w:t xml:space="preserve"> </w:t>
      </w:r>
      <w:r>
        <w:t xml:space="preserve">compliant</w:t>
      </w:r>
      <w:r>
        <w:t xml:space="preserve"> </w:t>
      </w:r>
      <w:r>
        <w:t xml:space="preserve">with</w:t>
      </w:r>
      <w:r>
        <w:t xml:space="preserve"> </w:t>
      </w:r>
      <w:r>
        <w:t xml:space="preserve">BPR</w:t>
      </w:r>
      <w:r>
        <w:t xml:space="preserve"> </w:t>
      </w:r>
      <w:r>
        <w:t xml:space="preserve">Articles 17 and 89</w:t>
      </w:r>
      <w:r>
        <w:br/>
      </w:r>
      <w:r>
        <w:t xml:space="preserve">REF-8</w:t>
      </w:r>
      <w:r>
        <w:t xml:space="preserve"> </w:t>
      </w:r>
      <w:r>
        <w:t xml:space="preserve">(2020)*</w:t>
      </w:r>
      <w:r>
        <w:t xml:space="preserve"> </w:t>
      </w:r>
      <w:r>
        <w:t xml:space="preserve">as</w:t>
      </w:r>
      <w:r>
        <w:t xml:space="preserve"> </w:t>
      </w:r>
      <w:r>
        <w:t xml:space="preserve">reported in ECHA Ref 8</w:t>
      </w:r>
      <w:r>
        <w:t xml:space="preserve"> </w:t>
      </w:r>
      <w:r>
        <w:t xml:space="preserve">report</w:t>
      </w:r>
      <w:r>
        <w:t xml:space="preserve"> </w:t>
      </w:r>
      <w:r>
        <w:t xml:space="preserve">2020</w:t>
      </w:r>
      <w:r>
        <w:t xml:space="preserve"> </w:t>
      </w:r>
      <w:r>
        <w:t xml:space="preserve">Online</w:t>
      </w:r>
      <w:r>
        <w:t xml:space="preserve"> </w:t>
      </w:r>
      <w:r>
        <w:t xml:space="preserve">products</w:t>
      </w:r>
      <w:r>
        <w:t xml:space="preserve"> </w:t>
      </w:r>
      <w:r>
        <w:t xml:space="preserve">(substances,</w:t>
      </w:r>
      <w:r>
        <w:t xml:space="preserve"> </w:t>
      </w:r>
      <w:r>
        <w:t xml:space="preserve">mixtures,</w:t>
      </w:r>
      <w:r>
        <w:t xml:space="preserve"> </w:t>
      </w:r>
      <w:r>
        <w:t xml:space="preserve">artcles)</w:t>
      </w:r>
    </w:p>
    <w:p>
      <w:pPr>
        <w:pStyle w:val="BodyText"/>
      </w:pPr>
      <w:r>
        <w:t xml:space="preserve">7%</w:t>
      </w:r>
      <w:r>
        <w:t xml:space="preserve"> </w:t>
      </w:r>
      <w:r>
        <w:t xml:space="preserve">Non-</w:t>
      </w:r>
      <w:r>
        <w:t xml:space="preserve"> </w:t>
      </w:r>
      <w:r>
        <w:t xml:space="preserve">compliant</w:t>
      </w:r>
      <w:r>
        <w:t xml:space="preserve"> </w:t>
      </w:r>
      <w:r>
        <w:t xml:space="preserve">with</w:t>
      </w:r>
      <w:r>
        <w:t xml:space="preserve"> </w:t>
      </w:r>
      <w:r>
        <w:t xml:space="preserve">BPR</w:t>
      </w:r>
      <w:r>
        <w:t xml:space="preserve"> </w:t>
      </w:r>
      <w:r>
        <w:t xml:space="preserve">Articles 17 and 89</w:t>
      </w:r>
      <w:r>
        <w:br/>
      </w:r>
      <w:r>
        <w:t xml:space="preserve">REF-6[2]</w:t>
      </w:r>
      <w:r>
        <w:t xml:space="preserve"> </w:t>
      </w:r>
      <w:r>
        <w:t xml:space="preserve">(2018)*</w:t>
      </w:r>
      <w:r>
        <w:t xml:space="preserve"> </w:t>
      </w:r>
      <w:r>
        <w:t xml:space="preserve">as</w:t>
      </w:r>
      <w:r>
        <w:t xml:space="preserve"> </w:t>
      </w:r>
      <w:r>
        <w:t xml:space="preserve">reported in ECHA Ref 8</w:t>
      </w:r>
      <w:r>
        <w:t xml:space="preserve"> </w:t>
      </w:r>
      <w:r>
        <w:t xml:space="preserve">report</w:t>
      </w:r>
      <w:r>
        <w:t xml:space="preserve"> </w:t>
      </w:r>
      <w:r>
        <w:t xml:space="preserve">2018</w:t>
      </w:r>
      <w:r>
        <w:t xml:space="preserve"> </w:t>
      </w:r>
      <w:r>
        <w:t xml:space="preserve">Online</w:t>
      </w:r>
      <w:r>
        <w:t xml:space="preserve"> </w:t>
      </w:r>
      <w:r>
        <w:t xml:space="preserve">products 1,153</w:t>
      </w:r>
      <w:r>
        <w:t xml:space="preserve"> </w:t>
      </w:r>
      <w:r>
        <w:t xml:space="preserve">891</w:t>
      </w:r>
      <w:r>
        <w:t xml:space="preserve"> </w:t>
      </w:r>
      <w:r>
        <w:t xml:space="preserve">77%</w:t>
      </w:r>
      <w:r>
        <w:t xml:space="preserve"> </w:t>
      </w:r>
      <w:r>
        <w:t xml:space="preserve">Non compliant with BPR</w:t>
      </w:r>
      <w:r>
        <w:br/>
      </w:r>
      <w:r>
        <w:t xml:space="preserve">ECHA Ref 8 report</w:t>
      </w:r>
      <w:r>
        <w:t xml:space="preserve"> </w:t>
      </w:r>
      <w:r>
        <w:t xml:space="preserve">2020</w:t>
      </w:r>
    </w:p>
    <w:p>
      <w:pPr>
        <w:pStyle w:val="BodyText"/>
      </w:pPr>
      <w:r>
        <w:t xml:space="preserve">594</w:t>
      </w:r>
    </w:p>
    <w:p>
      <w:pPr>
        <w:pStyle w:val="BodyText"/>
      </w:pPr>
      <w:r>
        <w:t xml:space="preserve">Table 184: Collated information on online product non-compliance</w:t>
      </w:r>
      <w:r>
        <w:t xml:space="preserve"> </w:t>
      </w:r>
      <w:r>
        <w:t xml:space="preserve">Product</w:t>
      </w:r>
      <w:r>
        <w:t xml:space="preserve"> </w:t>
      </w:r>
      <w:r>
        <w:t xml:space="preserve">Reference</w:t>
      </w:r>
      <w:r>
        <w:t xml:space="preserve"> </w:t>
      </w:r>
      <w:r>
        <w:t xml:space="preserve">number/</w:t>
      </w:r>
      <w:r>
        <w:t xml:space="preserve"> </w:t>
      </w:r>
      <w:r>
        <w:t xml:space="preserve">Number</w:t>
      </w:r>
      <w:r>
        <w:t xml:space="preserve"> </w:t>
      </w:r>
      <w:r>
        <w:t xml:space="preserve">tested/assessed</w:t>
      </w:r>
      <w:r>
        <w:t xml:space="preserve"> </w:t>
      </w:r>
      <w:r>
        <w:t xml:space="preserve">Non-</w:t>
      </w:r>
      <w:r>
        <w:t xml:space="preserve"> </w:t>
      </w:r>
      <w:r>
        <w:t xml:space="preserve">compliant</w:t>
      </w:r>
      <w:r>
        <w:t xml:space="preserve"> </w:t>
      </w:r>
      <w:r>
        <w:t xml:space="preserve">Non-</w:t>
      </w:r>
      <w:r>
        <w:t xml:space="preserve"> </w:t>
      </w:r>
      <w:r>
        <w:t xml:space="preserve">compliant</w:t>
      </w:r>
      <w:r>
        <w:t xml:space="preserve"> </w:t>
      </w:r>
      <w:r>
        <w:t xml:space="preserve">(%)</w:t>
      </w:r>
      <w:r>
        <w:t xml:space="preserve"> </w:t>
      </w:r>
      <w:r>
        <w:t xml:space="preserve">Requirement/reason</w:t>
      </w:r>
      <w:r>
        <w:t xml:space="preserve"> </w:t>
      </w:r>
      <w:r>
        <w:t xml:space="preserve">Source</w:t>
      </w:r>
      <w:r>
        <w:t xml:space="preserve"> </w:t>
      </w:r>
      <w:r>
        <w:t xml:space="preserve">Year</w:t>
      </w:r>
      <w:r>
        <w:t xml:space="preserve"> </w:t>
      </w:r>
      <w:r>
        <w:t xml:space="preserve">(substances,</w:t>
      </w:r>
      <w:r>
        <w:t xml:space="preserve"> </w:t>
      </w:r>
      <w:r>
        <w:t xml:space="preserve">mixtures,</w:t>
      </w:r>
      <w:r>
        <w:t xml:space="preserve"> </w:t>
      </w:r>
      <w:r>
        <w:t xml:space="preserve">artcles)</w:t>
      </w:r>
      <w:r>
        <w:t xml:space="preserve"> </w:t>
      </w:r>
      <w:r>
        <w:t xml:space="preserve">Online</w:t>
      </w:r>
      <w:r>
        <w:t xml:space="preserve"> </w:t>
      </w:r>
      <w:r>
        <w:t xml:space="preserve">products</w:t>
      </w:r>
      <w:r>
        <w:t xml:space="preserve"> </w:t>
      </w:r>
      <w:r>
        <w:t xml:space="preserve">(substances,</w:t>
      </w:r>
      <w:r>
        <w:t xml:space="preserve"> </w:t>
      </w:r>
      <w:r>
        <w:t xml:space="preserve">mixtures,</w:t>
      </w:r>
      <w:r>
        <w:t xml:space="preserve"> </w:t>
      </w:r>
      <w:r>
        <w:t xml:space="preserve">artcles)</w:t>
      </w:r>
      <w:r>
        <w:t xml:space="preserve"> </w:t>
      </w:r>
      <w:r>
        <w:t xml:space="preserve">from</w:t>
      </w:r>
      <w:r>
        <w:t xml:space="preserve"> </w:t>
      </w:r>
      <w:r>
        <w:t xml:space="preserve">EU</w:t>
      </w:r>
      <w:r>
        <w:t xml:space="preserve"> </w:t>
      </w:r>
      <w:r>
        <w:t xml:space="preserve">marketplace</w:t>
      </w:r>
    </w:p>
    <w:p>
      <w:pPr>
        <w:pStyle w:val="BodyText"/>
      </w:pPr>
      <w:r>
        <w:t xml:space="preserve">89%</w:t>
      </w:r>
      <w:r>
        <w:t xml:space="preserve"> </w:t>
      </w:r>
      <w:r>
        <w:t xml:space="preserve">BPR</w:t>
      </w:r>
      <w:r>
        <w:t xml:space="preserve"> </w:t>
      </w:r>
      <w:r>
        <w:t xml:space="preserve">ECHA Ref 8 report</w:t>
      </w:r>
      <w:r>
        <w:t xml:space="preserve"> </w:t>
      </w:r>
      <w:r>
        <w:t xml:space="preserve">2029</w:t>
      </w:r>
      <w:r>
        <w:t xml:space="preserve"> </w:t>
      </w:r>
      <w:r>
        <w:t xml:space="preserve">Online</w:t>
      </w:r>
      <w:r>
        <w:t xml:space="preserve"> </w:t>
      </w:r>
      <w:r>
        <w:t xml:space="preserve">products</w:t>
      </w:r>
      <w:r>
        <w:t xml:space="preserve"> </w:t>
      </w:r>
      <w:r>
        <w:t xml:space="preserve">(substances,</w:t>
      </w:r>
      <w:r>
        <w:t xml:space="preserve"> </w:t>
      </w:r>
      <w:r>
        <w:t xml:space="preserve">mixtures,</w:t>
      </w:r>
      <w:r>
        <w:t xml:space="preserve"> </w:t>
      </w:r>
      <w:r>
        <w:t xml:space="preserve">artcles) from NON-EU</w:t>
      </w:r>
      <w:r>
        <w:t xml:space="preserve"> </w:t>
      </w:r>
      <w:r>
        <w:t xml:space="preserve">marketplace</w:t>
      </w:r>
    </w:p>
    <w:p>
      <w:pPr>
        <w:pStyle w:val="BodyText"/>
      </w:pPr>
      <w:r>
        <w:t xml:space="preserve">100%</w:t>
      </w:r>
      <w:r>
        <w:t xml:space="preserve"> </w:t>
      </w:r>
      <w:r>
        <w:t xml:space="preserve">BPR</w:t>
      </w:r>
      <w:r>
        <w:t xml:space="preserve"> </w:t>
      </w:r>
      <w:r>
        <w:t xml:space="preserve">ECHA Ref 8 report</w:t>
      </w:r>
      <w:r>
        <w:t xml:space="preserve"> </w:t>
      </w:r>
      <w:r>
        <w:t xml:space="preserve">2030</w:t>
      </w:r>
      <w:r>
        <w:t xml:space="preserve"> </w:t>
      </w:r>
      <w:r>
        <w:t xml:space="preserve">Online</w:t>
      </w:r>
      <w:r>
        <w:t xml:space="preserve"> </w:t>
      </w:r>
      <w:r>
        <w:t xml:space="preserve">products</w:t>
      </w:r>
      <w:r>
        <w:br/>
      </w:r>
      <w:r>
        <w:t xml:space="preserve">(substances,</w:t>
      </w:r>
      <w:r>
        <w:t xml:space="preserve"> </w:t>
      </w:r>
      <w:r>
        <w:t xml:space="preserve">mixtures,</w:t>
      </w:r>
      <w:r>
        <w:t xml:space="preserve"> </w:t>
      </w:r>
      <w:r>
        <w:t xml:space="preserve">artcles)</w:t>
      </w:r>
      <w:r>
        <w:t xml:space="preserve"> </w:t>
      </w:r>
      <w:r>
        <w:t xml:space="preserve">from</w:t>
      </w:r>
      <w:r>
        <w:t xml:space="preserve"> </w:t>
      </w:r>
      <w:r>
        <w:t xml:space="preserve">marketplace</w:t>
      </w:r>
    </w:p>
    <w:p>
      <w:pPr>
        <w:pStyle w:val="BodyText"/>
      </w:pPr>
      <w:r>
        <w:t xml:space="preserve">95%</w:t>
      </w:r>
      <w:r>
        <w:t xml:space="preserve"> </w:t>
      </w:r>
      <w:r>
        <w:t xml:space="preserve">Non</w:t>
      </w:r>
      <w:r>
        <w:t xml:space="preserve"> </w:t>
      </w:r>
      <w:r>
        <w:t xml:space="preserve">compliant</w:t>
      </w:r>
      <w:r>
        <w:t xml:space="preserve"> </w:t>
      </w:r>
      <w:r>
        <w:t xml:space="preserve">with</w:t>
      </w:r>
      <w:r>
        <w:t xml:space="preserve"> </w:t>
      </w:r>
      <w:r>
        <w:t xml:space="preserve">BPR,</w:t>
      </w:r>
      <w:r>
        <w:t xml:space="preserve"> </w:t>
      </w:r>
      <w:r>
        <w:t xml:space="preserve">REACH or CLP</w:t>
      </w:r>
      <w:r>
        <w:t xml:space="preserve"> </w:t>
      </w:r>
      <w:r>
        <w:t xml:space="preserve">ECHA Ref 8 report</w:t>
      </w:r>
      <w:r>
        <w:t xml:space="preserve"> </w:t>
      </w:r>
      <w:r>
        <w:t xml:space="preserve">2021</w:t>
      </w:r>
      <w:r>
        <w:t xml:space="preserve"> </w:t>
      </w:r>
      <w:r>
        <w:t xml:space="preserve">Online</w:t>
      </w:r>
      <w:r>
        <w:t xml:space="preserve"> </w:t>
      </w:r>
      <w:r>
        <w:t xml:space="preserve">products</w:t>
      </w:r>
      <w:r>
        <w:t xml:space="preserve"> </w:t>
      </w:r>
      <w:r>
        <w:t xml:space="preserve">(substances,</w:t>
      </w:r>
      <w:r>
        <w:t xml:space="preserve"> </w:t>
      </w:r>
      <w:r>
        <w:t xml:space="preserve">mixtures,</w:t>
      </w:r>
      <w:r>
        <w:t xml:space="preserve"> </w:t>
      </w:r>
      <w:r>
        <w:t xml:space="preserve">artcles) from webshop</w:t>
      </w:r>
    </w:p>
    <w:p>
      <w:pPr>
        <w:pStyle w:val="BodyText"/>
      </w:pPr>
      <w:r>
        <w:t xml:space="preserve">65%</w:t>
      </w:r>
      <w:r>
        <w:t xml:space="preserve"> </w:t>
      </w:r>
      <w:r>
        <w:t xml:space="preserve">Non</w:t>
      </w:r>
      <w:r>
        <w:t xml:space="preserve"> </w:t>
      </w:r>
      <w:r>
        <w:t xml:space="preserve">compliant</w:t>
      </w:r>
      <w:r>
        <w:t xml:space="preserve"> </w:t>
      </w:r>
      <w:r>
        <w:t xml:space="preserve">with</w:t>
      </w:r>
      <w:r>
        <w:t xml:space="preserve"> </w:t>
      </w:r>
      <w:r>
        <w:t xml:space="preserve">BPR,</w:t>
      </w:r>
      <w:r>
        <w:t xml:space="preserve"> </w:t>
      </w:r>
      <w:r>
        <w:t xml:space="preserve">REACH or CLP</w:t>
      </w:r>
      <w:r>
        <w:t xml:space="preserve"> </w:t>
      </w:r>
      <w:r>
        <w:t xml:space="preserve">ECHA Ref 8 report</w:t>
      </w:r>
      <w:r>
        <w:t xml:space="preserve"> </w:t>
      </w:r>
      <w:r>
        <w:t xml:space="preserve">2022</w:t>
      </w:r>
      <w:r>
        <w:t xml:space="preserve"> </w:t>
      </w:r>
      <w:r>
        <w:t xml:space="preserve">Non-compliance with other (non-chemical related) requirements</w:t>
      </w:r>
      <w:r>
        <w:t xml:space="preserve"> </w:t>
      </w:r>
      <w:r>
        <w:t xml:space="preserve">Online Toys</w:t>
      </w:r>
    </w:p>
    <w:p>
      <w:pPr>
        <w:pStyle w:val="BodyText"/>
      </w:pPr>
      <w:r>
        <w:t xml:space="preserve">58%</w:t>
      </w:r>
      <w:r>
        <w:t xml:space="preserve"> </w:t>
      </w:r>
      <w:r>
        <w:t xml:space="preserve">Non-compliant only</w:t>
      </w:r>
      <w:r>
        <w:t xml:space="preserve"> </w:t>
      </w:r>
      <w:r>
        <w:t xml:space="preserve">DGCCRF</w:t>
      </w:r>
      <w:r>
        <w:t xml:space="preserve"> </w:t>
      </w:r>
      <w:r>
        <w:t xml:space="preserve">(Direction</w:t>
      </w:r>
      <w:r>
        <w:t xml:space="preserve"> </w:t>
      </w:r>
      <w:r>
        <w:t xml:space="preserve">générale</w:t>
      </w:r>
      <w:r>
        <w:t xml:space="preserve"> </w:t>
      </w:r>
      <w:r>
        <w:t xml:space="preserve">de</w:t>
      </w:r>
      <w:r>
        <w:t xml:space="preserve"> </w:t>
      </w:r>
      <w:r>
        <w:t xml:space="preserve">la</w:t>
      </w:r>
      <w:r>
        <w:t xml:space="preserve"> </w:t>
      </w:r>
      <w:r>
        <w:t xml:space="preserve">Concurrence,</w:t>
      </w:r>
      <w:r>
        <w:t xml:space="preserve"> </w:t>
      </w:r>
      <w:r>
        <w:t xml:space="preserve">de</w:t>
      </w:r>
      <w:r>
        <w:t xml:space="preserve"> </w:t>
      </w:r>
      <w:r>
        <w:t xml:space="preserve">la</w:t>
      </w:r>
      <w:r>
        <w:t xml:space="preserve"> </w:t>
      </w:r>
      <w:r>
        <w:t xml:space="preserve">Consommation et de la</w:t>
      </w:r>
      <w:r>
        <w:t xml:space="preserve"> </w:t>
      </w:r>
      <w:r>
        <w:t xml:space="preserve">Répression des fraudes)</w:t>
      </w:r>
      <w:r>
        <w:t xml:space="preserve"> </w:t>
      </w:r>
      <w:r>
        <w:t xml:space="preserve">2020 survey</w:t>
      </w:r>
      <w:r>
        <w:t xml:space="preserve"> </w:t>
      </w:r>
      <w:r>
        <w:t xml:space="preserve">2020</w:t>
      </w:r>
      <w:r>
        <w:t xml:space="preserve"> </w:t>
      </w:r>
      <w:r>
        <w:t xml:space="preserve">Online Toys</w:t>
      </w:r>
    </w:p>
    <w:p>
      <w:pPr>
        <w:pStyle w:val="BodyText"/>
      </w:pPr>
      <w:r>
        <w:t xml:space="preserve">23%</w:t>
      </w:r>
      <w:r>
        <w:t xml:space="preserve"> </w:t>
      </w:r>
      <w:r>
        <w:t xml:space="preserve">Non-compliant</w:t>
      </w:r>
      <w:r>
        <w:t xml:space="preserve"> </w:t>
      </w:r>
      <w:r>
        <w:t xml:space="preserve">and</w:t>
      </w:r>
      <w:r>
        <w:t xml:space="preserve"> </w:t>
      </w:r>
      <w:r>
        <w:t xml:space="preserve">dangerous</w:t>
      </w:r>
      <w:r>
        <w:t xml:space="preserve"> </w:t>
      </w:r>
      <w:r>
        <w:t xml:space="preserve">(suffocation, strangulation and</w:t>
      </w:r>
      <w:r>
        <w:t xml:space="preserve"> </w:t>
      </w:r>
      <w:r>
        <w:t xml:space="preserve">small parts)</w:t>
      </w:r>
      <w:r>
        <w:t xml:space="preserve"> </w:t>
      </w:r>
      <w:r>
        <w:t xml:space="preserve">DGCCRF</w:t>
      </w:r>
      <w:r>
        <w:t xml:space="preserve"> </w:t>
      </w:r>
      <w:r>
        <w:t xml:space="preserve">(Direction</w:t>
      </w:r>
      <w:r>
        <w:t xml:space="preserve"> </w:t>
      </w:r>
      <w:r>
        <w:t xml:space="preserve">générale</w:t>
      </w:r>
      <w:r>
        <w:t xml:space="preserve"> </w:t>
      </w:r>
      <w:r>
        <w:t xml:space="preserve">de</w:t>
      </w:r>
      <w:r>
        <w:t xml:space="preserve"> </w:t>
      </w:r>
      <w:r>
        <w:t xml:space="preserve">la</w:t>
      </w:r>
      <w:r>
        <w:t xml:space="preserve"> </w:t>
      </w:r>
      <w:r>
        <w:t xml:space="preserve">Concurrence,</w:t>
      </w:r>
      <w:r>
        <w:t xml:space="preserve"> </w:t>
      </w:r>
      <w:r>
        <w:t xml:space="preserve">de</w:t>
      </w:r>
      <w:r>
        <w:t xml:space="preserve"> </w:t>
      </w:r>
      <w:r>
        <w:t xml:space="preserve">la</w:t>
      </w:r>
      <w:r>
        <w:t xml:space="preserve"> </w:t>
      </w:r>
      <w:r>
        <w:t xml:space="preserve">2020</w:t>
      </w:r>
    </w:p>
    <w:p>
      <w:pPr>
        <w:pStyle w:val="BodyText"/>
      </w:pPr>
      <w:r>
        <w:t xml:space="preserve">595</w:t>
      </w:r>
    </w:p>
    <w:p>
      <w:pPr>
        <w:pStyle w:val="BodyText"/>
      </w:pPr>
      <w:r>
        <w:t xml:space="preserve">Table 184: Collated information on online product non-compliance</w:t>
      </w:r>
      <w:r>
        <w:t xml:space="preserve"> </w:t>
      </w:r>
      <w:r>
        <w:t xml:space="preserve">Product</w:t>
      </w:r>
      <w:r>
        <w:t xml:space="preserve"> </w:t>
      </w:r>
      <w:r>
        <w:t xml:space="preserve">Reference</w:t>
      </w:r>
      <w:r>
        <w:t xml:space="preserve"> </w:t>
      </w:r>
      <w:r>
        <w:t xml:space="preserve">number/</w:t>
      </w:r>
      <w:r>
        <w:t xml:space="preserve"> </w:t>
      </w:r>
      <w:r>
        <w:t xml:space="preserve">Number</w:t>
      </w:r>
      <w:r>
        <w:t xml:space="preserve"> </w:t>
      </w:r>
      <w:r>
        <w:t xml:space="preserve">tested/assessed</w:t>
      </w:r>
      <w:r>
        <w:t xml:space="preserve"> </w:t>
      </w:r>
      <w:r>
        <w:t xml:space="preserve">Non-</w:t>
      </w:r>
      <w:r>
        <w:t xml:space="preserve"> </w:t>
      </w:r>
      <w:r>
        <w:t xml:space="preserve">compliant</w:t>
      </w:r>
      <w:r>
        <w:t xml:space="preserve"> </w:t>
      </w:r>
      <w:r>
        <w:t xml:space="preserve">Non-</w:t>
      </w:r>
      <w:r>
        <w:t xml:space="preserve"> </w:t>
      </w:r>
      <w:r>
        <w:t xml:space="preserve">compliant</w:t>
      </w:r>
      <w:r>
        <w:t xml:space="preserve"> </w:t>
      </w:r>
      <w:r>
        <w:t xml:space="preserve">(%)</w:t>
      </w:r>
      <w:r>
        <w:t xml:space="preserve"> </w:t>
      </w:r>
      <w:r>
        <w:t xml:space="preserve">Requirement/reason</w:t>
      </w:r>
      <w:r>
        <w:t xml:space="preserve"> </w:t>
      </w:r>
      <w:r>
        <w:t xml:space="preserve">Source</w:t>
      </w:r>
      <w:r>
        <w:t xml:space="preserve"> </w:t>
      </w:r>
      <w:r>
        <w:t xml:space="preserve">Year</w:t>
      </w:r>
      <w:r>
        <w:t xml:space="preserve"> </w:t>
      </w:r>
      <w:r>
        <w:t xml:space="preserve">Consommation et de la</w:t>
      </w:r>
      <w:r>
        <w:t xml:space="preserve"> </w:t>
      </w:r>
      <w:r>
        <w:t xml:space="preserve">Répression des fraudes)</w:t>
      </w:r>
      <w:r>
        <w:t xml:space="preserve"> </w:t>
      </w:r>
      <w:r>
        <w:t xml:space="preserve">2020 survey</w:t>
      </w:r>
      <w:r>
        <w:t xml:space="preserve"> </w:t>
      </w:r>
      <w:r>
        <w:t xml:space="preserve">Online Toys</w:t>
      </w:r>
      <w:r>
        <w:t xml:space="preserve"> </w:t>
      </w:r>
      <w:r>
        <w:t xml:space="preserve">193</w:t>
      </w:r>
      <w:r>
        <w:t xml:space="preserve"> </w:t>
      </w:r>
      <w:r>
        <w:t xml:space="preserve">55</w:t>
      </w:r>
      <w:r>
        <w:t xml:space="preserve"> </w:t>
      </w:r>
      <w:r>
        <w:t xml:space="preserve">28%</w:t>
      </w:r>
      <w:r>
        <w:t xml:space="preserve"> </w:t>
      </w:r>
      <w:r>
        <w:t xml:space="preserve">Containing small parts</w:t>
      </w:r>
      <w:r>
        <w:t xml:space="preserve"> </w:t>
      </w:r>
      <w:r>
        <w:t xml:space="preserve">June 2020 Toy industry</w:t>
      </w:r>
      <w:r>
        <w:t xml:space="preserve"> </w:t>
      </w:r>
      <w:r>
        <w:t xml:space="preserve">survey</w:t>
      </w:r>
      <w:r>
        <w:t xml:space="preserve"> </w:t>
      </w:r>
      <w:r>
        <w:t xml:space="preserve">2020</w:t>
      </w:r>
      <w:r>
        <w:t xml:space="preserve"> </w:t>
      </w:r>
      <w:r>
        <w:t xml:space="preserve">Online Toys</w:t>
      </w:r>
      <w:r>
        <w:t xml:space="preserve"> </w:t>
      </w:r>
      <w:r>
        <w:t xml:space="preserve">193</w:t>
      </w:r>
      <w:r>
        <w:t xml:space="preserve"> </w:t>
      </w:r>
      <w:r>
        <w:t xml:space="preserve">36</w:t>
      </w:r>
      <w:r>
        <w:t xml:space="preserve"> </w:t>
      </w:r>
      <w:r>
        <w:t xml:space="preserve">19%</w:t>
      </w:r>
      <w:r>
        <w:t xml:space="preserve"> </w:t>
      </w:r>
      <w:r>
        <w:t xml:space="preserve">Packaging thickness</w:t>
      </w:r>
      <w:r>
        <w:t xml:space="preserve"> </w:t>
      </w:r>
      <w:r>
        <w:t xml:space="preserve">June 2020 Toy industry</w:t>
      </w:r>
      <w:r>
        <w:t xml:space="preserve"> </w:t>
      </w:r>
      <w:r>
        <w:t xml:space="preserve">survey</w:t>
      </w:r>
      <w:r>
        <w:t xml:space="preserve"> </w:t>
      </w:r>
      <w:r>
        <w:t xml:space="preserve">2020</w:t>
      </w:r>
      <w:r>
        <w:t xml:space="preserve"> </w:t>
      </w:r>
      <w:r>
        <w:t xml:space="preserve">Online Toys</w:t>
      </w:r>
      <w:r>
        <w:t xml:space="preserve"> </w:t>
      </w:r>
      <w:r>
        <w:t xml:space="preserve">193</w:t>
      </w:r>
      <w:r>
        <w:t xml:space="preserve"> </w:t>
      </w:r>
      <w:r>
        <w:t xml:space="preserve">24</w:t>
      </w:r>
      <w:r>
        <w:t xml:space="preserve"> </w:t>
      </w:r>
      <w:r>
        <w:t xml:space="preserve">12%</w:t>
      </w:r>
      <w:r>
        <w:t xml:space="preserve"> </w:t>
      </w:r>
      <w:r>
        <w:t xml:space="preserve">Shape and size</w:t>
      </w:r>
      <w:r>
        <w:t xml:space="preserve"> </w:t>
      </w:r>
      <w:r>
        <w:t xml:space="preserve">June 2020 Toy industry</w:t>
      </w:r>
      <w:r>
        <w:t xml:space="preserve"> </w:t>
      </w:r>
      <w:r>
        <w:t xml:space="preserve">survey</w:t>
      </w:r>
      <w:r>
        <w:t xml:space="preserve"> </w:t>
      </w:r>
      <w:r>
        <w:t xml:space="preserve">2020</w:t>
      </w:r>
      <w:r>
        <w:t xml:space="preserve"> </w:t>
      </w:r>
      <w:r>
        <w:t xml:space="preserve">Online Toys</w:t>
      </w:r>
      <w:r>
        <w:t xml:space="preserve"> </w:t>
      </w:r>
      <w:r>
        <w:t xml:space="preserve">193</w:t>
      </w:r>
      <w:r>
        <w:t xml:space="preserve"> </w:t>
      </w:r>
      <w:r>
        <w:t xml:space="preserve">10</w:t>
      </w:r>
      <w:r>
        <w:t xml:space="preserve"> </w:t>
      </w:r>
      <w:r>
        <w:t xml:space="preserve">5%</w:t>
      </w:r>
      <w:r>
        <w:t xml:space="preserve"> </w:t>
      </w:r>
      <w:r>
        <w:t xml:space="preserve">Access to stuffing material</w:t>
      </w:r>
      <w:r>
        <w:t xml:space="preserve"> </w:t>
      </w:r>
      <w:r>
        <w:t xml:space="preserve">June 2020 Toy industry</w:t>
      </w:r>
      <w:r>
        <w:t xml:space="preserve"> </w:t>
      </w:r>
      <w:r>
        <w:t xml:space="preserve">survey</w:t>
      </w:r>
      <w:r>
        <w:t xml:space="preserve"> </w:t>
      </w:r>
      <w:r>
        <w:t xml:space="preserve">2020</w:t>
      </w:r>
      <w:r>
        <w:t xml:space="preserve"> </w:t>
      </w:r>
      <w:r>
        <w:t xml:space="preserve">Online Toys</w:t>
      </w:r>
      <w:r>
        <w:t xml:space="preserve"> </w:t>
      </w:r>
      <w:r>
        <w:t xml:space="preserve">193</w:t>
      </w:r>
      <w:r>
        <w:t xml:space="preserve"> </w:t>
      </w:r>
      <w:r>
        <w:t xml:space="preserve">10</w:t>
      </w:r>
      <w:r>
        <w:t xml:space="preserve"> </w:t>
      </w:r>
      <w:r>
        <w:t xml:space="preserve">5%</w:t>
      </w:r>
      <w:r>
        <w:t xml:space="preserve"> </w:t>
      </w:r>
      <w:r>
        <w:t xml:space="preserve">Sharp points</w:t>
      </w:r>
      <w:r>
        <w:t xml:space="preserve"> </w:t>
      </w:r>
      <w:r>
        <w:t xml:space="preserve">June 2020 Toy industry</w:t>
      </w:r>
      <w:r>
        <w:t xml:space="preserve"> </w:t>
      </w:r>
      <w:r>
        <w:t xml:space="preserve">survey</w:t>
      </w:r>
      <w:r>
        <w:t xml:space="preserve"> </w:t>
      </w:r>
      <w:r>
        <w:t xml:space="preserve">2020</w:t>
      </w:r>
      <w:r>
        <w:t xml:space="preserve"> </w:t>
      </w:r>
      <w:r>
        <w:t xml:space="preserve">Online Toys</w:t>
      </w:r>
      <w:r>
        <w:t xml:space="preserve"> </w:t>
      </w:r>
      <w:r>
        <w:t xml:space="preserve">193</w:t>
      </w:r>
      <w:r>
        <w:t xml:space="preserve"> </w:t>
      </w:r>
      <w:r>
        <w:t xml:space="preserve">7</w:t>
      </w:r>
      <w:r>
        <w:t xml:space="preserve"> </w:t>
      </w:r>
      <w:r>
        <w:t xml:space="preserve">4%</w:t>
      </w:r>
      <w:r>
        <w:t xml:space="preserve"> </w:t>
      </w:r>
      <w:r>
        <w:t xml:space="preserve">Small ball release</w:t>
      </w:r>
      <w:r>
        <w:t xml:space="preserve"> </w:t>
      </w:r>
      <w:r>
        <w:t xml:space="preserve">June 2020 Toy industry</w:t>
      </w:r>
      <w:r>
        <w:t xml:space="preserve"> </w:t>
      </w:r>
      <w:r>
        <w:t xml:space="preserve">survey</w:t>
      </w:r>
      <w:r>
        <w:t xml:space="preserve"> </w:t>
      </w:r>
      <w:r>
        <w:t xml:space="preserve">2020</w:t>
      </w:r>
      <w:r>
        <w:t xml:space="preserve"> </w:t>
      </w:r>
      <w:r>
        <w:t xml:space="preserve">Online Toys</w:t>
      </w:r>
      <w:r>
        <w:t xml:space="preserve"> </w:t>
      </w:r>
      <w:r>
        <w:t xml:space="preserve">193</w:t>
      </w:r>
      <w:r>
        <w:t xml:space="preserve"> </w:t>
      </w:r>
      <w:r>
        <w:t xml:space="preserve">6</w:t>
      </w:r>
      <w:r>
        <w:t xml:space="preserve"> </w:t>
      </w:r>
      <w:r>
        <w:t xml:space="preserve">3%</w:t>
      </w:r>
      <w:r>
        <w:t xml:space="preserve"> </w:t>
      </w:r>
      <w:r>
        <w:t xml:space="preserve">Long cords</w:t>
      </w:r>
      <w:r>
        <w:t xml:space="preserve"> </w:t>
      </w:r>
      <w:r>
        <w:t xml:space="preserve">June 2020 Toy industry</w:t>
      </w:r>
      <w:r>
        <w:t xml:space="preserve"> </w:t>
      </w:r>
      <w:r>
        <w:t xml:space="preserve">survey</w:t>
      </w:r>
      <w:r>
        <w:t xml:space="preserve"> </w:t>
      </w:r>
      <w:r>
        <w:t xml:space="preserve">2020</w:t>
      </w:r>
      <w:r>
        <w:t xml:space="preserve"> </w:t>
      </w:r>
      <w:r>
        <w:t xml:space="preserve">Online Toys</w:t>
      </w:r>
      <w:r>
        <w:t xml:space="preserve"> </w:t>
      </w:r>
      <w:r>
        <w:t xml:space="preserve">193</w:t>
      </w:r>
      <w:r>
        <w:t xml:space="preserve"> </w:t>
      </w:r>
      <w:r>
        <w:t xml:space="preserve">5</w:t>
      </w:r>
      <w:r>
        <w:t xml:space="preserve"> </w:t>
      </w:r>
      <w:r>
        <w:t xml:space="preserve">3%</w:t>
      </w:r>
      <w:r>
        <w:t xml:space="preserve"> </w:t>
      </w:r>
      <w:r>
        <w:t xml:space="preserve">Suction cups</w:t>
      </w:r>
      <w:r>
        <w:t xml:space="preserve"> </w:t>
      </w:r>
      <w:r>
        <w:t xml:space="preserve">June 2020 Toy industry</w:t>
      </w:r>
      <w:r>
        <w:t xml:space="preserve"> </w:t>
      </w:r>
      <w:r>
        <w:t xml:space="preserve">survey</w:t>
      </w:r>
      <w:r>
        <w:t xml:space="preserve"> </w:t>
      </w:r>
      <w:r>
        <w:t xml:space="preserve">2020</w:t>
      </w:r>
      <w:r>
        <w:t xml:space="preserve"> </w:t>
      </w:r>
      <w:r>
        <w:t xml:space="preserve">Online Toys</w:t>
      </w:r>
      <w:r>
        <w:t xml:space="preserve"> </w:t>
      </w:r>
      <w:r>
        <w:t xml:space="preserve">193</w:t>
      </w:r>
      <w:r>
        <w:t xml:space="preserve"> </w:t>
      </w:r>
      <w:r>
        <w:t xml:space="preserve">5</w:t>
      </w:r>
      <w:r>
        <w:t xml:space="preserve"> </w:t>
      </w:r>
      <w:r>
        <w:t xml:space="preserve">3%</w:t>
      </w:r>
      <w:r>
        <w:t xml:space="preserve"> </w:t>
      </w:r>
      <w:r>
        <w:t xml:space="preserve">Short circuit</w:t>
      </w:r>
      <w:r>
        <w:t xml:space="preserve"> </w:t>
      </w:r>
      <w:r>
        <w:t xml:space="preserve">June 2020 Toy industry</w:t>
      </w:r>
      <w:r>
        <w:t xml:space="preserve"> </w:t>
      </w:r>
      <w:r>
        <w:t xml:space="preserve">survey</w:t>
      </w:r>
      <w:r>
        <w:t xml:space="preserve"> </w:t>
      </w:r>
      <w:r>
        <w:t xml:space="preserve">2020</w:t>
      </w:r>
      <w:r>
        <w:t xml:space="preserve"> </w:t>
      </w:r>
      <w:r>
        <w:t xml:space="preserve">Online Toys</w:t>
      </w:r>
      <w:r>
        <w:t xml:space="preserve"> </w:t>
      </w:r>
      <w:r>
        <w:t xml:space="preserve">193</w:t>
      </w:r>
      <w:r>
        <w:t xml:space="preserve"> </w:t>
      </w:r>
      <w:r>
        <w:t xml:space="preserve">8</w:t>
      </w:r>
      <w:r>
        <w:t xml:space="preserve"> </w:t>
      </w:r>
      <w:r>
        <w:t xml:space="preserve">4%</w:t>
      </w:r>
      <w:r>
        <w:t xml:space="preserve"> </w:t>
      </w:r>
      <w:r>
        <w:t xml:space="preserve">Other reason</w:t>
      </w:r>
      <w:r>
        <w:t xml:space="preserve"> </w:t>
      </w:r>
      <w:r>
        <w:t xml:space="preserve">June 2020 Toy industry</w:t>
      </w:r>
      <w:r>
        <w:t xml:space="preserve"> </w:t>
      </w:r>
      <w:r>
        <w:t xml:space="preserve">survey</w:t>
      </w:r>
      <w:r>
        <w:t xml:space="preserve"> </w:t>
      </w:r>
      <w:r>
        <w:t xml:space="preserve">2020</w:t>
      </w:r>
      <w:r>
        <w:t xml:space="preserve"> </w:t>
      </w:r>
      <w:r>
        <w:t xml:space="preserve">Online Toys for &lt;3 year</w:t>
      </w:r>
      <w:r>
        <w:t xml:space="preserve"> </w:t>
      </w:r>
      <w:r>
        <w:t xml:space="preserve">olds</w:t>
      </w:r>
      <w:r>
        <w:t xml:space="preserve"> </w:t>
      </w:r>
      <w:r>
        <w:t xml:space="preserve">21</w:t>
      </w:r>
      <w:r>
        <w:t xml:space="preserve"> </w:t>
      </w:r>
      <w:r>
        <w:t xml:space="preserve">19</w:t>
      </w:r>
      <w:r>
        <w:t xml:space="preserve"> </w:t>
      </w:r>
      <w:r>
        <w:t xml:space="preserve">90%</w:t>
      </w:r>
      <w:r>
        <w:t xml:space="preserve"> </w:t>
      </w:r>
      <w:r>
        <w:t xml:space="preserve">Any aspect</w:t>
      </w:r>
      <w:r>
        <w:t xml:space="preserve"> </w:t>
      </w:r>
      <w:r>
        <w:t xml:space="preserve">BEUC report</w:t>
      </w:r>
      <w:r>
        <w:t xml:space="preserve"> </w:t>
      </w:r>
      <w:r>
        <w:t xml:space="preserve">2021</w:t>
      </w:r>
      <w:r>
        <w:t xml:space="preserve"> </w:t>
      </w:r>
      <w:r>
        <w:t xml:space="preserve">Online Toys for &lt;3 year</w:t>
      </w:r>
      <w:r>
        <w:t xml:space="preserve"> </w:t>
      </w:r>
      <w:r>
        <w:t xml:space="preserve">olds</w:t>
      </w:r>
      <w:r>
        <w:t xml:space="preserve"> </w:t>
      </w:r>
      <w:r>
        <w:t xml:space="preserve">21</w:t>
      </w:r>
      <w:r>
        <w:t xml:space="preserve"> </w:t>
      </w:r>
      <w:r>
        <w:t xml:space="preserve">12</w:t>
      </w:r>
      <w:r>
        <w:t xml:space="preserve"> </w:t>
      </w:r>
      <w:r>
        <w:t xml:space="preserve">57%</w:t>
      </w:r>
      <w:r>
        <w:t xml:space="preserve"> </w:t>
      </w:r>
      <w:r>
        <w:t xml:space="preserve">Small parts</w:t>
      </w:r>
      <w:r>
        <w:t xml:space="preserve"> </w:t>
      </w:r>
      <w:r>
        <w:t xml:space="preserve">BEUC report</w:t>
      </w:r>
      <w:r>
        <w:t xml:space="preserve"> </w:t>
      </w:r>
      <w:r>
        <w:t xml:space="preserve">2021</w:t>
      </w:r>
    </w:p>
    <w:p>
      <w:pPr>
        <w:pStyle w:val="BodyText"/>
      </w:pPr>
      <w:r>
        <w:t xml:space="preserve">596</w:t>
      </w:r>
    </w:p>
    <w:p>
      <w:pPr>
        <w:pStyle w:val="BodyText"/>
      </w:pPr>
      <w:r>
        <w:t xml:space="preserve">Table 184: Collated information on online product non-compliance</w:t>
      </w:r>
      <w:r>
        <w:t xml:space="preserve"> </w:t>
      </w:r>
      <w:r>
        <w:t xml:space="preserve">Product</w:t>
      </w:r>
      <w:r>
        <w:t xml:space="preserve"> </w:t>
      </w:r>
      <w:r>
        <w:t xml:space="preserve">Reference</w:t>
      </w:r>
      <w:r>
        <w:t xml:space="preserve"> </w:t>
      </w:r>
      <w:r>
        <w:t xml:space="preserve">number/</w:t>
      </w:r>
      <w:r>
        <w:t xml:space="preserve"> </w:t>
      </w:r>
      <w:r>
        <w:t xml:space="preserve">Number</w:t>
      </w:r>
      <w:r>
        <w:t xml:space="preserve"> </w:t>
      </w:r>
      <w:r>
        <w:t xml:space="preserve">tested/assessed</w:t>
      </w:r>
      <w:r>
        <w:t xml:space="preserve"> </w:t>
      </w:r>
      <w:r>
        <w:t xml:space="preserve">Non-</w:t>
      </w:r>
      <w:r>
        <w:t xml:space="preserve"> </w:t>
      </w:r>
      <w:r>
        <w:t xml:space="preserve">compliant</w:t>
      </w:r>
      <w:r>
        <w:t xml:space="preserve"> </w:t>
      </w:r>
      <w:r>
        <w:t xml:space="preserve">Non-</w:t>
      </w:r>
      <w:r>
        <w:t xml:space="preserve"> </w:t>
      </w:r>
      <w:r>
        <w:t xml:space="preserve">compliant</w:t>
      </w:r>
      <w:r>
        <w:t xml:space="preserve"> </w:t>
      </w:r>
      <w:r>
        <w:t xml:space="preserve">(%)</w:t>
      </w:r>
      <w:r>
        <w:t xml:space="preserve"> </w:t>
      </w:r>
      <w:r>
        <w:t xml:space="preserve">Requirement/reason</w:t>
      </w:r>
      <w:r>
        <w:t xml:space="preserve"> </w:t>
      </w:r>
      <w:r>
        <w:t xml:space="preserve">Source</w:t>
      </w:r>
      <w:r>
        <w:t xml:space="preserve"> </w:t>
      </w:r>
      <w:r>
        <w:t xml:space="preserve">Year</w:t>
      </w:r>
      <w:r>
        <w:t xml:space="preserve"> </w:t>
      </w:r>
      <w:r>
        <w:t xml:space="preserve">Online Toys for &lt;3 year</w:t>
      </w:r>
      <w:r>
        <w:t xml:space="preserve"> </w:t>
      </w:r>
      <w:r>
        <w:t xml:space="preserve">olds</w:t>
      </w:r>
      <w:r>
        <w:t xml:space="preserve"> </w:t>
      </w:r>
      <w:r>
        <w:t xml:space="preserve">21</w:t>
      </w:r>
      <w:r>
        <w:t xml:space="preserve"> </w:t>
      </w:r>
      <w:r>
        <w:t xml:space="preserve">4</w:t>
      </w:r>
      <w:r>
        <w:t xml:space="preserve"> </w:t>
      </w:r>
      <w:r>
        <w:t xml:space="preserve">19%</w:t>
      </w:r>
      <w:r>
        <w:t xml:space="preserve"> </w:t>
      </w:r>
      <w:r>
        <w:t xml:space="preserve">Choking hazard</w:t>
      </w:r>
      <w:r>
        <w:t xml:space="preserve"> </w:t>
      </w:r>
      <w:r>
        <w:t xml:space="preserve">BEUC report</w:t>
      </w:r>
      <w:r>
        <w:t xml:space="preserve"> </w:t>
      </w:r>
      <w:r>
        <w:t xml:space="preserve">2021</w:t>
      </w:r>
      <w:r>
        <w:t xml:space="preserve"> </w:t>
      </w:r>
      <w:r>
        <w:t xml:space="preserve">Online Toys for &lt;3 year</w:t>
      </w:r>
      <w:r>
        <w:t xml:space="preserve"> </w:t>
      </w:r>
      <w:r>
        <w:t xml:space="preserve">olds</w:t>
      </w:r>
      <w:r>
        <w:t xml:space="preserve"> </w:t>
      </w:r>
      <w:r>
        <w:t xml:space="preserve">21</w:t>
      </w:r>
      <w:r>
        <w:t xml:space="preserve"> </w:t>
      </w:r>
      <w:r>
        <w:t xml:space="preserve">2</w:t>
      </w:r>
      <w:r>
        <w:t xml:space="preserve"> </w:t>
      </w:r>
      <w:r>
        <w:t xml:space="preserve">10%</w:t>
      </w:r>
      <w:r>
        <w:t xml:space="preserve"> </w:t>
      </w:r>
      <w:r>
        <w:t xml:space="preserve">Strangulation hazard</w:t>
      </w:r>
      <w:r>
        <w:t xml:space="preserve"> </w:t>
      </w:r>
      <w:r>
        <w:t xml:space="preserve">BEUC report</w:t>
      </w:r>
      <w:r>
        <w:t xml:space="preserve"> </w:t>
      </w:r>
      <w:r>
        <w:t xml:space="preserve">2021</w:t>
      </w:r>
      <w:r>
        <w:t xml:space="preserve"> </w:t>
      </w:r>
      <w:r>
        <w:t xml:space="preserve">Online Toys for &lt;3 year</w:t>
      </w:r>
      <w:r>
        <w:t xml:space="preserve"> </w:t>
      </w:r>
      <w:r>
        <w:t xml:space="preserve">olds</w:t>
      </w:r>
      <w:r>
        <w:t xml:space="preserve"> </w:t>
      </w:r>
      <w:r>
        <w:t xml:space="preserve">21</w:t>
      </w:r>
      <w:r>
        <w:t xml:space="preserve"> </w:t>
      </w:r>
      <w:r>
        <w:t xml:space="preserve">1</w:t>
      </w:r>
      <w:r>
        <w:t xml:space="preserve"> </w:t>
      </w:r>
      <w:r>
        <w:t xml:space="preserve">5%</w:t>
      </w:r>
      <w:r>
        <w:t xml:space="preserve"> </w:t>
      </w:r>
      <w:r>
        <w:t xml:space="preserve">Accessible stuffing</w:t>
      </w:r>
      <w:r>
        <w:t xml:space="preserve"> </w:t>
      </w:r>
      <w:r>
        <w:t xml:space="preserve">BEUC report</w:t>
      </w:r>
      <w:r>
        <w:t xml:space="preserve"> </w:t>
      </w:r>
      <w:r>
        <w:t xml:space="preserve">2021</w:t>
      </w:r>
      <w:r>
        <w:t xml:space="preserve"> </w:t>
      </w:r>
      <w:r>
        <w:t xml:space="preserve">Online Toys for &lt;3 year</w:t>
      </w:r>
      <w:r>
        <w:t xml:space="preserve"> </w:t>
      </w:r>
      <w:r>
        <w:t xml:space="preserve">olds</w:t>
      </w:r>
      <w:r>
        <w:t xml:space="preserve"> </w:t>
      </w:r>
      <w:r>
        <w:t xml:space="preserve">21</w:t>
      </w:r>
      <w:r>
        <w:t xml:space="preserve"> </w:t>
      </w:r>
      <w:r>
        <w:t xml:space="preserve">2</w:t>
      </w:r>
      <w:r>
        <w:t xml:space="preserve"> </w:t>
      </w:r>
      <w:r>
        <w:t xml:space="preserve">10%</w:t>
      </w:r>
      <w:r>
        <w:t xml:space="preserve"> </w:t>
      </w:r>
      <w:r>
        <w:t xml:space="preserve">Packaging issues</w:t>
      </w:r>
      <w:r>
        <w:t xml:space="preserve"> </w:t>
      </w:r>
      <w:r>
        <w:t xml:space="preserve">BEUC report</w:t>
      </w:r>
      <w:r>
        <w:t xml:space="preserve"> </w:t>
      </w:r>
      <w:r>
        <w:t xml:space="preserve">2021</w:t>
      </w:r>
      <w:r>
        <w:t xml:space="preserve"> </w:t>
      </w:r>
      <w:r>
        <w:t xml:space="preserve">Online Toys for &lt;3 year</w:t>
      </w:r>
      <w:r>
        <w:t xml:space="preserve"> </w:t>
      </w:r>
      <w:r>
        <w:t xml:space="preserve">olds</w:t>
      </w:r>
      <w:r>
        <w:t xml:space="preserve"> </w:t>
      </w:r>
      <w:r>
        <w:t xml:space="preserve">21</w:t>
      </w:r>
      <w:r>
        <w:t xml:space="preserve"> </w:t>
      </w:r>
      <w:r>
        <w:t xml:space="preserve">1</w:t>
      </w:r>
      <w:r>
        <w:t xml:space="preserve"> </w:t>
      </w:r>
      <w:r>
        <w:t xml:space="preserve">5%</w:t>
      </w:r>
      <w:r>
        <w:t xml:space="preserve"> </w:t>
      </w:r>
      <w:r>
        <w:t xml:space="preserve">Battery accessible</w:t>
      </w:r>
      <w:r>
        <w:t xml:space="preserve"> </w:t>
      </w:r>
      <w:r>
        <w:t xml:space="preserve">BEUC report</w:t>
      </w:r>
      <w:r>
        <w:t xml:space="preserve"> </w:t>
      </w:r>
      <w:r>
        <w:t xml:space="preserve">2021</w:t>
      </w:r>
      <w:r>
        <w:t xml:space="preserve"> </w:t>
      </w:r>
      <w:r>
        <w:t xml:space="preserve">Online Toys for &lt;3 year</w:t>
      </w:r>
      <w:r>
        <w:t xml:space="preserve"> </w:t>
      </w:r>
      <w:r>
        <w:t xml:space="preserve">olds</w:t>
      </w:r>
      <w:r>
        <w:t xml:space="preserve"> </w:t>
      </w:r>
      <w:r>
        <w:t xml:space="preserve">21</w:t>
      </w:r>
      <w:r>
        <w:t xml:space="preserve"> </w:t>
      </w:r>
      <w:r>
        <w:t xml:space="preserve">2</w:t>
      </w:r>
      <w:r>
        <w:t xml:space="preserve"> </w:t>
      </w:r>
      <w:r>
        <w:t xml:space="preserve">10%</w:t>
      </w:r>
      <w:r>
        <w:t xml:space="preserve"> </w:t>
      </w:r>
      <w:r>
        <w:t xml:space="preserve">Suffocation hazard</w:t>
      </w:r>
      <w:r>
        <w:t xml:space="preserve"> </w:t>
      </w:r>
      <w:r>
        <w:t xml:space="preserve">BEUC report</w:t>
      </w:r>
      <w:r>
        <w:t xml:space="preserve"> </w:t>
      </w:r>
      <w:r>
        <w:t xml:space="preserve">2021</w:t>
      </w:r>
      <w:r>
        <w:t xml:space="preserve"> </w:t>
      </w:r>
      <w:r>
        <w:t xml:space="preserve">Online Teething toys</w:t>
      </w:r>
      <w:r>
        <w:t xml:space="preserve"> </w:t>
      </w:r>
      <w:r>
        <w:t xml:space="preserve">8</w:t>
      </w:r>
      <w:r>
        <w:t xml:space="preserve"> </w:t>
      </w:r>
      <w:r>
        <w:t xml:space="preserve">6</w:t>
      </w:r>
      <w:r>
        <w:t xml:space="preserve"> </w:t>
      </w:r>
      <w:r>
        <w:t xml:space="preserve">75%</w:t>
      </w:r>
      <w:r>
        <w:t xml:space="preserve"> </w:t>
      </w:r>
      <w:r>
        <w:t xml:space="preserve">Small parts broke off in tests</w:t>
      </w:r>
      <w:r>
        <w:t xml:space="preserve"> </w:t>
      </w:r>
      <w:r>
        <w:t xml:space="preserve">BEUC report</w:t>
      </w:r>
      <w:r>
        <w:t xml:space="preserve"> </w:t>
      </w:r>
      <w:r>
        <w:t xml:space="preserve">2021</w:t>
      </w:r>
      <w:r>
        <w:t xml:space="preserve"> </w:t>
      </w:r>
      <w:r>
        <w:t xml:space="preserve">Online Smoke detectors 9</w:t>
      </w:r>
      <w:r>
        <w:t xml:space="preserve"> </w:t>
      </w:r>
      <w:r>
        <w:t xml:space="preserve">4</w:t>
      </w:r>
      <w:r>
        <w:t xml:space="preserve"> </w:t>
      </w:r>
      <w:r>
        <w:t xml:space="preserve">44%</w:t>
      </w:r>
      <w:r>
        <w:t xml:space="preserve"> </w:t>
      </w:r>
      <w:r>
        <w:t xml:space="preserve">Non-compliant only</w:t>
      </w:r>
      <w:r>
        <w:t xml:space="preserve"> </w:t>
      </w:r>
      <w:r>
        <w:t xml:space="preserve">DGCCRF</w:t>
      </w:r>
      <w:r>
        <w:t xml:space="preserve"> </w:t>
      </w:r>
      <w:r>
        <w:t xml:space="preserve">(Direction</w:t>
      </w:r>
      <w:r>
        <w:t xml:space="preserve"> </w:t>
      </w:r>
      <w:r>
        <w:t xml:space="preserve">générale</w:t>
      </w:r>
      <w:r>
        <w:t xml:space="preserve"> </w:t>
      </w:r>
      <w:r>
        <w:t xml:space="preserve">de</w:t>
      </w:r>
      <w:r>
        <w:t xml:space="preserve"> </w:t>
      </w:r>
      <w:r>
        <w:t xml:space="preserve">la</w:t>
      </w:r>
      <w:r>
        <w:t xml:space="preserve"> </w:t>
      </w:r>
      <w:r>
        <w:t xml:space="preserve">Concurrence,</w:t>
      </w:r>
      <w:r>
        <w:t xml:space="preserve"> </w:t>
      </w:r>
      <w:r>
        <w:t xml:space="preserve">de</w:t>
      </w:r>
      <w:r>
        <w:t xml:space="preserve"> </w:t>
      </w:r>
      <w:r>
        <w:t xml:space="preserve">la</w:t>
      </w:r>
      <w:r>
        <w:t xml:space="preserve"> </w:t>
      </w:r>
      <w:r>
        <w:t xml:space="preserve">Consommation et de la</w:t>
      </w:r>
      <w:r>
        <w:t xml:space="preserve"> </w:t>
      </w:r>
      <w:r>
        <w:t xml:space="preserve">Répression des fraudes)</w:t>
      </w:r>
      <w:r>
        <w:t xml:space="preserve"> </w:t>
      </w:r>
      <w:r>
        <w:t xml:space="preserve">2020 survey</w:t>
      </w:r>
      <w:r>
        <w:t xml:space="preserve"> </w:t>
      </w:r>
      <w:r>
        <w:t xml:space="preserve">2020</w:t>
      </w:r>
      <w:r>
        <w:t xml:space="preserve"> </w:t>
      </w:r>
      <w:r>
        <w:t xml:space="preserve">Online Smoke detectors 9</w:t>
      </w:r>
      <w:r>
        <w:t xml:space="preserve"> </w:t>
      </w:r>
      <w:r>
        <w:t xml:space="preserve">5</w:t>
      </w:r>
      <w:r>
        <w:t xml:space="preserve"> </w:t>
      </w:r>
      <w:r>
        <w:t xml:space="preserve">56%</w:t>
      </w:r>
      <w:r>
        <w:t xml:space="preserve"> </w:t>
      </w:r>
      <w:r>
        <w:t xml:space="preserve">Non-compliant and dangerous</w:t>
      </w:r>
      <w:r>
        <w:t xml:space="preserve"> </w:t>
      </w:r>
      <w:r>
        <w:t xml:space="preserve">DGCCRF</w:t>
      </w:r>
      <w:r>
        <w:t xml:space="preserve"> </w:t>
      </w:r>
      <w:r>
        <w:t xml:space="preserve">(Direction</w:t>
      </w:r>
      <w:r>
        <w:t xml:space="preserve"> </w:t>
      </w:r>
      <w:r>
        <w:t xml:space="preserve">générale</w:t>
      </w:r>
      <w:r>
        <w:t xml:space="preserve"> </w:t>
      </w:r>
      <w:r>
        <w:t xml:space="preserve">de</w:t>
      </w:r>
      <w:r>
        <w:t xml:space="preserve"> </w:t>
      </w:r>
      <w:r>
        <w:t xml:space="preserve">la</w:t>
      </w:r>
      <w:r>
        <w:t xml:space="preserve"> </w:t>
      </w:r>
      <w:r>
        <w:t xml:space="preserve">Concurrence,</w:t>
      </w:r>
      <w:r>
        <w:t xml:space="preserve"> </w:t>
      </w:r>
      <w:r>
        <w:t xml:space="preserve">de</w:t>
      </w:r>
      <w:r>
        <w:t xml:space="preserve"> </w:t>
      </w:r>
      <w:r>
        <w:t xml:space="preserve">la</w:t>
      </w:r>
      <w:r>
        <w:t xml:space="preserve"> </w:t>
      </w:r>
      <w:r>
        <w:t xml:space="preserve">Consommation et de la</w:t>
      </w:r>
      <w:r>
        <w:t xml:space="preserve"> </w:t>
      </w:r>
      <w:r>
        <w:t xml:space="preserve">Répression des fraudes)</w:t>
      </w:r>
      <w:r>
        <w:t xml:space="preserve"> </w:t>
      </w:r>
      <w:r>
        <w:t xml:space="preserve">2020 survey</w:t>
      </w:r>
      <w:r>
        <w:t xml:space="preserve"> </w:t>
      </w:r>
      <w:r>
        <w:t xml:space="preserve">2020</w:t>
      </w:r>
      <w:r>
        <w:t xml:space="preserve"> </w:t>
      </w:r>
      <w:r>
        <w:t xml:space="preserve">Online Smoke detectors 4</w:t>
      </w:r>
      <w:r>
        <w:t xml:space="preserve"> </w:t>
      </w:r>
      <w:r>
        <w:t xml:space="preserve">4</w:t>
      </w:r>
      <w:r>
        <w:t xml:space="preserve"> </w:t>
      </w:r>
      <w:r>
        <w:t xml:space="preserve">100%</w:t>
      </w:r>
      <w:r>
        <w:t xml:space="preserve"> </w:t>
      </w:r>
      <w:r>
        <w:t xml:space="preserve">Detection</w:t>
      </w:r>
      <w:r>
        <w:t xml:space="preserve"> </w:t>
      </w:r>
      <w:r>
        <w:t xml:space="preserve">BEUC report</w:t>
      </w:r>
      <w:r>
        <w:t xml:space="preserve"> </w:t>
      </w:r>
      <w:r>
        <w:t xml:space="preserve">2021</w:t>
      </w:r>
    </w:p>
    <w:p>
      <w:pPr>
        <w:pStyle w:val="BodyText"/>
      </w:pPr>
      <w:r>
        <w:t xml:space="preserve">597</w:t>
      </w:r>
    </w:p>
    <w:p>
      <w:pPr>
        <w:pStyle w:val="BodyText"/>
      </w:pPr>
      <w:r>
        <w:t xml:space="preserve">Table 184: Collated information on online product non-compliance</w:t>
      </w:r>
      <w:r>
        <w:t xml:space="preserve"> </w:t>
      </w:r>
      <w:r>
        <w:t xml:space="preserve">Product</w:t>
      </w:r>
      <w:r>
        <w:t xml:space="preserve"> </w:t>
      </w:r>
      <w:r>
        <w:t xml:space="preserve">Reference</w:t>
      </w:r>
      <w:r>
        <w:t xml:space="preserve"> </w:t>
      </w:r>
      <w:r>
        <w:t xml:space="preserve">number/</w:t>
      </w:r>
      <w:r>
        <w:t xml:space="preserve"> </w:t>
      </w:r>
      <w:r>
        <w:t xml:space="preserve">Number</w:t>
      </w:r>
      <w:r>
        <w:t xml:space="preserve"> </w:t>
      </w:r>
      <w:r>
        <w:t xml:space="preserve">tested/assessed</w:t>
      </w:r>
      <w:r>
        <w:t xml:space="preserve"> </w:t>
      </w:r>
      <w:r>
        <w:t xml:space="preserve">Non-</w:t>
      </w:r>
      <w:r>
        <w:t xml:space="preserve"> </w:t>
      </w:r>
      <w:r>
        <w:t xml:space="preserve">compliant</w:t>
      </w:r>
      <w:r>
        <w:t xml:space="preserve"> </w:t>
      </w:r>
      <w:r>
        <w:t xml:space="preserve">Non-</w:t>
      </w:r>
      <w:r>
        <w:t xml:space="preserve"> </w:t>
      </w:r>
      <w:r>
        <w:t xml:space="preserve">compliant</w:t>
      </w:r>
      <w:r>
        <w:t xml:space="preserve"> </w:t>
      </w:r>
      <w:r>
        <w:t xml:space="preserve">(%)</w:t>
      </w:r>
      <w:r>
        <w:t xml:space="preserve"> </w:t>
      </w:r>
      <w:r>
        <w:t xml:space="preserve">Requirement/reason</w:t>
      </w:r>
      <w:r>
        <w:t xml:space="preserve"> </w:t>
      </w:r>
      <w:r>
        <w:t xml:space="preserve">Source</w:t>
      </w:r>
      <w:r>
        <w:t xml:space="preserve"> </w:t>
      </w:r>
      <w:r>
        <w:t xml:space="preserve">Year</w:t>
      </w:r>
      <w:r>
        <w:t xml:space="preserve"> </w:t>
      </w:r>
      <w:r>
        <w:t xml:space="preserve">Online</w:t>
      </w:r>
      <w:r>
        <w:t xml:space="preserve"> </w:t>
      </w:r>
      <w:r>
        <w:t xml:space="preserve">Carbon</w:t>
      </w:r>
      <w:r>
        <w:t xml:space="preserve"> </w:t>
      </w:r>
      <w:r>
        <w:t xml:space="preserve">monoxide alarms</w:t>
      </w:r>
      <w:r>
        <w:t xml:space="preserve"> </w:t>
      </w:r>
      <w:r>
        <w:t xml:space="preserve">7</w:t>
      </w:r>
      <w:r>
        <w:t xml:space="preserve"> </w:t>
      </w:r>
      <w:r>
        <w:t xml:space="preserve">7</w:t>
      </w:r>
      <w:r>
        <w:t xml:space="preserve"> </w:t>
      </w:r>
      <w:r>
        <w:t xml:space="preserve">100%</w:t>
      </w:r>
      <w:r>
        <w:t xml:space="preserve"> </w:t>
      </w:r>
      <w:r>
        <w:t xml:space="preserve">Detection and/or safety</w:t>
      </w:r>
      <w:r>
        <w:t xml:space="preserve"> </w:t>
      </w:r>
      <w:r>
        <w:t xml:space="preserve">BEUC report</w:t>
      </w:r>
      <w:r>
        <w:t xml:space="preserve"> </w:t>
      </w:r>
      <w:r>
        <w:t xml:space="preserve">2021</w:t>
      </w:r>
      <w:r>
        <w:t xml:space="preserve"> </w:t>
      </w:r>
      <w:r>
        <w:t xml:space="preserve">Online Power banks</w:t>
      </w:r>
      <w:r>
        <w:t xml:space="preserve"> </w:t>
      </w:r>
      <w:r>
        <w:t xml:space="preserve">12</w:t>
      </w:r>
      <w:r>
        <w:t xml:space="preserve"> </w:t>
      </w:r>
      <w:r>
        <w:t xml:space="preserve">7</w:t>
      </w:r>
      <w:r>
        <w:t xml:space="preserve"> </w:t>
      </w:r>
      <w:r>
        <w:t xml:space="preserve">58%</w:t>
      </w:r>
      <w:r>
        <w:t xml:space="preserve"> </w:t>
      </w:r>
      <w:r>
        <w:t xml:space="preserve">Electrical/fire safety</w:t>
      </w:r>
      <w:r>
        <w:t xml:space="preserve"> </w:t>
      </w:r>
      <w:r>
        <w:t xml:space="preserve">BEUC report</w:t>
      </w:r>
      <w:r>
        <w:t xml:space="preserve"> </w:t>
      </w:r>
      <w:r>
        <w:t xml:space="preserve">2021</w:t>
      </w:r>
      <w:r>
        <w:t xml:space="preserve"> </w:t>
      </w:r>
      <w:r>
        <w:t xml:space="preserve">Online</w:t>
      </w:r>
      <w:r>
        <w:t xml:space="preserve"> </w:t>
      </w:r>
      <w:r>
        <w:t xml:space="preserve">USB</w:t>
      </w:r>
      <w:r>
        <w:t xml:space="preserve"> </w:t>
      </w:r>
      <w:r>
        <w:t xml:space="preserve">travel</w:t>
      </w:r>
      <w:r>
        <w:t xml:space="preserve"> </w:t>
      </w:r>
      <w:r>
        <w:t xml:space="preserve">adapters</w:t>
      </w:r>
      <w:r>
        <w:t xml:space="preserve"> </w:t>
      </w:r>
      <w:r>
        <w:t xml:space="preserve">12</w:t>
      </w:r>
      <w:r>
        <w:t xml:space="preserve"> </w:t>
      </w:r>
      <w:r>
        <w:t xml:space="preserve">11</w:t>
      </w:r>
      <w:r>
        <w:t xml:space="preserve"> </w:t>
      </w:r>
      <w:r>
        <w:t xml:space="preserve">92%</w:t>
      </w:r>
      <w:r>
        <w:t xml:space="preserve"> </w:t>
      </w:r>
      <w:r>
        <w:t xml:space="preserve">Electrical/fire safety</w:t>
      </w:r>
      <w:r>
        <w:t xml:space="preserve"> </w:t>
      </w:r>
      <w:r>
        <w:t xml:space="preserve">BEUC report</w:t>
      </w:r>
      <w:r>
        <w:t xml:space="preserve"> </w:t>
      </w:r>
      <w:r>
        <w:t xml:space="preserve">2021</w:t>
      </w:r>
      <w:r>
        <w:t xml:space="preserve"> </w:t>
      </w:r>
      <w:r>
        <w:t xml:space="preserve">Online USB chargers</w:t>
      </w:r>
      <w:r>
        <w:t xml:space="preserve"> </w:t>
      </w:r>
      <w:r>
        <w:t xml:space="preserve">12</w:t>
      </w:r>
      <w:r>
        <w:t xml:space="preserve"> </w:t>
      </w:r>
      <w:r>
        <w:t xml:space="preserve">8</w:t>
      </w:r>
      <w:r>
        <w:t xml:space="preserve"> </w:t>
      </w:r>
      <w:r>
        <w:t xml:space="preserve">67%</w:t>
      </w:r>
      <w:r>
        <w:t xml:space="preserve"> </w:t>
      </w:r>
      <w:r>
        <w:t xml:space="preserve">Electrical/fire safety</w:t>
      </w:r>
      <w:r>
        <w:t xml:space="preserve"> </w:t>
      </w:r>
      <w:r>
        <w:t xml:space="preserve">BEUC report</w:t>
      </w:r>
      <w:r>
        <w:t xml:space="preserve"> </w:t>
      </w:r>
      <w:r>
        <w:t xml:space="preserve">2021</w:t>
      </w:r>
      <w:r>
        <w:t xml:space="preserve"> </w:t>
      </w:r>
      <w:r>
        <w:t xml:space="preserve">Online Christmas tree</w:t>
      </w:r>
      <w:r>
        <w:t xml:space="preserve"> </w:t>
      </w:r>
      <w:r>
        <w:t xml:space="preserve">lights</w:t>
      </w:r>
      <w:r>
        <w:t xml:space="preserve"> </w:t>
      </w:r>
      <w:r>
        <w:t xml:space="preserve">13</w:t>
      </w:r>
      <w:r>
        <w:t xml:space="preserve"> </w:t>
      </w:r>
      <w:r>
        <w:t xml:space="preserve">12</w:t>
      </w:r>
      <w:r>
        <w:t xml:space="preserve"> </w:t>
      </w:r>
      <w:r>
        <w:t xml:space="preserve">92%</w:t>
      </w:r>
      <w:r>
        <w:t xml:space="preserve"> </w:t>
      </w:r>
      <w:r>
        <w:t xml:space="preserve">Electrical/fire safety</w:t>
      </w:r>
      <w:r>
        <w:t xml:space="preserve"> </w:t>
      </w:r>
      <w:r>
        <w:t xml:space="preserve">BEUC report</w:t>
      </w:r>
      <w:r>
        <w:t xml:space="preserve"> </w:t>
      </w:r>
      <w:r>
        <w:t xml:space="preserve">2021</w:t>
      </w:r>
      <w:r>
        <w:t xml:space="preserve"> </w:t>
      </w:r>
      <w:r>
        <w:t xml:space="preserve">Online Jewellery</w:t>
      </w:r>
    </w:p>
    <w:p>
      <w:pPr>
        <w:pStyle w:val="BodyText"/>
      </w:pPr>
      <w:r>
        <w:t xml:space="preserve">38%</w:t>
      </w:r>
      <w:r>
        <w:t xml:space="preserve"> </w:t>
      </w:r>
      <w:r>
        <w:t xml:space="preserve">Non-compliant and dangerous</w:t>
      </w:r>
      <w:r>
        <w:t xml:space="preserve"> </w:t>
      </w:r>
      <w:r>
        <w:t xml:space="preserve">DGCCRF</w:t>
      </w:r>
      <w:r>
        <w:t xml:space="preserve"> </w:t>
      </w:r>
      <w:r>
        <w:t xml:space="preserve">(Direction</w:t>
      </w:r>
      <w:r>
        <w:t xml:space="preserve"> </w:t>
      </w:r>
      <w:r>
        <w:t xml:space="preserve">générale</w:t>
      </w:r>
      <w:r>
        <w:t xml:space="preserve"> </w:t>
      </w:r>
      <w:r>
        <w:t xml:space="preserve">de</w:t>
      </w:r>
      <w:r>
        <w:t xml:space="preserve"> </w:t>
      </w:r>
      <w:r>
        <w:t xml:space="preserve">la</w:t>
      </w:r>
      <w:r>
        <w:t xml:space="preserve"> </w:t>
      </w:r>
      <w:r>
        <w:t xml:space="preserve">Concurrence,</w:t>
      </w:r>
      <w:r>
        <w:t xml:space="preserve"> </w:t>
      </w:r>
      <w:r>
        <w:t xml:space="preserve">de</w:t>
      </w:r>
      <w:r>
        <w:t xml:space="preserve"> </w:t>
      </w:r>
      <w:r>
        <w:t xml:space="preserve">la</w:t>
      </w:r>
      <w:r>
        <w:t xml:space="preserve"> </w:t>
      </w:r>
      <w:r>
        <w:t xml:space="preserve">Consommation et de la</w:t>
      </w:r>
      <w:r>
        <w:t xml:space="preserve"> </w:t>
      </w:r>
      <w:r>
        <w:t xml:space="preserve">Répression des fraudes)</w:t>
      </w:r>
      <w:r>
        <w:t xml:space="preserve"> </w:t>
      </w:r>
      <w:r>
        <w:t xml:space="preserve">2020 survey</w:t>
      </w:r>
      <w:r>
        <w:t xml:space="preserve"> </w:t>
      </w:r>
      <w:r>
        <w:t xml:space="preserve">2020</w:t>
      </w:r>
      <w:r>
        <w:t xml:space="preserve"> </w:t>
      </w:r>
      <w:r>
        <w:t xml:space="preserve">Online</w:t>
      </w:r>
      <w:r>
        <w:t xml:space="preserve"> </w:t>
      </w:r>
      <w:r>
        <w:t xml:space="preserve">Chilrens</w:t>
      </w:r>
      <w:r>
        <w:t xml:space="preserve"> </w:t>
      </w:r>
      <w:r>
        <w:t xml:space="preserve">clothing</w:t>
      </w:r>
      <w:r>
        <w:t xml:space="preserve"> </w:t>
      </w:r>
      <w:r>
        <w:t xml:space="preserve">16</w:t>
      </w:r>
      <w:r>
        <w:t xml:space="preserve"> </w:t>
      </w:r>
      <w:r>
        <w:t xml:space="preserve">14</w:t>
      </w:r>
      <w:r>
        <w:t xml:space="preserve"> </w:t>
      </w:r>
      <w:r>
        <w:t xml:space="preserve">88%</w:t>
      </w:r>
      <w:r>
        <w:t xml:space="preserve"> </w:t>
      </w:r>
      <w:r>
        <w:t xml:space="preserve">Safety requirements</w:t>
      </w:r>
      <w:r>
        <w:t xml:space="preserve"> </w:t>
      </w:r>
      <w:r>
        <w:t xml:space="preserve">BEUC report</w:t>
      </w:r>
      <w:r>
        <w:t xml:space="preserve"> </w:t>
      </w:r>
      <w:r>
        <w:t xml:space="preserve">2021</w:t>
      </w:r>
      <w:r>
        <w:t xml:space="preserve"> </w:t>
      </w:r>
      <w:r>
        <w:t xml:space="preserve">Online</w:t>
      </w:r>
      <w:r>
        <w:t xml:space="preserve"> </w:t>
      </w:r>
      <w:r>
        <w:t xml:space="preserve">Electrical</w:t>
      </w:r>
      <w:r>
        <w:t xml:space="preserve"> </w:t>
      </w:r>
      <w:r>
        <w:t xml:space="preserve">products</w:t>
      </w:r>
    </w:p>
    <w:p>
      <w:pPr>
        <w:pStyle w:val="BodyText"/>
      </w:pPr>
      <w:r>
        <w:t xml:space="preserve">87%</w:t>
      </w:r>
      <w:r>
        <w:t xml:space="preserve"> </w:t>
      </w:r>
      <w:r>
        <w:t xml:space="preserve">Electrical safety</w:t>
      </w:r>
      <w:r>
        <w:t xml:space="preserve"> </w:t>
      </w:r>
      <w:r>
        <w:t xml:space="preserve">DGCCRF</w:t>
      </w:r>
      <w:r>
        <w:t xml:space="preserve"> </w:t>
      </w:r>
      <w:r>
        <w:t xml:space="preserve">(Direction</w:t>
      </w:r>
      <w:r>
        <w:t xml:space="preserve"> </w:t>
      </w:r>
      <w:r>
        <w:t xml:space="preserve">générale</w:t>
      </w:r>
      <w:r>
        <w:t xml:space="preserve"> </w:t>
      </w:r>
      <w:r>
        <w:t xml:space="preserve">de</w:t>
      </w:r>
      <w:r>
        <w:t xml:space="preserve"> </w:t>
      </w:r>
      <w:r>
        <w:t xml:space="preserve">la</w:t>
      </w:r>
      <w:r>
        <w:t xml:space="preserve"> </w:t>
      </w:r>
      <w:r>
        <w:t xml:space="preserve">Concurrence,</w:t>
      </w:r>
      <w:r>
        <w:t xml:space="preserve"> </w:t>
      </w:r>
      <w:r>
        <w:t xml:space="preserve">de</w:t>
      </w:r>
      <w:r>
        <w:t xml:space="preserve"> </w:t>
      </w:r>
      <w:r>
        <w:t xml:space="preserve">la</w:t>
      </w:r>
      <w:r>
        <w:t xml:space="preserve"> </w:t>
      </w:r>
      <w:r>
        <w:t xml:space="preserve">Consommation et de la</w:t>
      </w:r>
      <w:r>
        <w:t xml:space="preserve"> </w:t>
      </w:r>
      <w:r>
        <w:t xml:space="preserve">Répression des fraudes)</w:t>
      </w:r>
      <w:r>
        <w:t xml:space="preserve"> </w:t>
      </w:r>
      <w:r>
        <w:t xml:space="preserve">2020 survey</w:t>
      </w:r>
      <w:r>
        <w:t xml:space="preserve"> </w:t>
      </w:r>
      <w:r>
        <w:t xml:space="preserve">2020</w:t>
      </w:r>
      <w:r>
        <w:t xml:space="preserve"> </w:t>
      </w:r>
      <w:r>
        <w:t xml:space="preserve">Online</w:t>
      </w:r>
      <w:r>
        <w:t xml:space="preserve"> </w:t>
      </w:r>
      <w:r>
        <w:t xml:space="preserve">Motorcycle</w:t>
      </w:r>
      <w:r>
        <w:t xml:space="preserve"> </w:t>
      </w:r>
      <w:r>
        <w:t xml:space="preserve">helmets for children</w:t>
      </w:r>
      <w:r>
        <w:t xml:space="preserve"> </w:t>
      </w:r>
      <w:r>
        <w:t xml:space="preserve">3</w:t>
      </w:r>
      <w:r>
        <w:t xml:space="preserve"> </w:t>
      </w:r>
      <w:r>
        <w:t xml:space="preserve">2</w:t>
      </w:r>
      <w:r>
        <w:t xml:space="preserve"> </w:t>
      </w:r>
      <w:r>
        <w:t xml:space="preserve">67%</w:t>
      </w:r>
      <w:r>
        <w:t xml:space="preserve"> </w:t>
      </w:r>
      <w:r>
        <w:t xml:space="preserve">Safety standards</w:t>
      </w:r>
      <w:r>
        <w:t xml:space="preserve"> </w:t>
      </w:r>
      <w:r>
        <w:t xml:space="preserve">BEUC report</w:t>
      </w:r>
      <w:r>
        <w:t xml:space="preserve"> </w:t>
      </w:r>
      <w:r>
        <w:t xml:space="preserve">2021</w:t>
      </w:r>
      <w:r>
        <w:t xml:space="preserve"> </w:t>
      </w:r>
      <w:r>
        <w:t xml:space="preserve">Online</w:t>
      </w:r>
      <w:r>
        <w:t xml:space="preserve"> </w:t>
      </w:r>
      <w:r>
        <w:t xml:space="preserve">consumer</w:t>
      </w:r>
      <w:r>
        <w:t xml:space="preserve"> </w:t>
      </w:r>
      <w:r>
        <w:t xml:space="preserve">products 2018-19</w:t>
      </w:r>
      <w:r>
        <w:br/>
      </w:r>
      <w:r>
        <w:t xml:space="preserve">274</w:t>
      </w:r>
      <w:r>
        <w:t xml:space="preserve"> </w:t>
      </w:r>
      <w:r>
        <w:t xml:space="preserve">157</w:t>
      </w:r>
      <w:r>
        <w:t xml:space="preserve"> </w:t>
      </w:r>
      <w:r>
        <w:t xml:space="preserve">57%</w:t>
      </w:r>
      <w:r>
        <w:t xml:space="preserve"> </w:t>
      </w:r>
      <w:r>
        <w:t xml:space="preserve">No manufacturer</w:t>
      </w:r>
      <w:r>
        <w:br/>
      </w:r>
      <w:r>
        <w:t xml:space="preserve">General Product Safety</w:t>
      </w:r>
      <w:r>
        <w:t xml:space="preserve"> </w:t>
      </w:r>
      <w:r>
        <w:t xml:space="preserve">Directive IA_SWD2021</w:t>
      </w:r>
      <w:r>
        <w:t xml:space="preserve"> </w:t>
      </w:r>
      <w:r>
        <w:t xml:space="preserve">2019</w:t>
      </w:r>
    </w:p>
    <w:p>
      <w:pPr>
        <w:pStyle w:val="BodyText"/>
      </w:pPr>
      <w:r>
        <w:t xml:space="preserve">598</w:t>
      </w:r>
    </w:p>
    <w:p>
      <w:pPr>
        <w:pStyle w:val="BodyText"/>
      </w:pPr>
      <w:r>
        <w:t xml:space="preserve">Table 184: Collated information on online product non-compliance</w:t>
      </w:r>
      <w:r>
        <w:t xml:space="preserve"> </w:t>
      </w:r>
      <w:r>
        <w:t xml:space="preserve">Product</w:t>
      </w:r>
      <w:r>
        <w:t xml:space="preserve"> </w:t>
      </w:r>
      <w:r>
        <w:t xml:space="preserve">Reference</w:t>
      </w:r>
      <w:r>
        <w:t xml:space="preserve"> </w:t>
      </w:r>
      <w:r>
        <w:t xml:space="preserve">number/</w:t>
      </w:r>
      <w:r>
        <w:t xml:space="preserve"> </w:t>
      </w:r>
      <w:r>
        <w:t xml:space="preserve">Number</w:t>
      </w:r>
      <w:r>
        <w:t xml:space="preserve"> </w:t>
      </w:r>
      <w:r>
        <w:t xml:space="preserve">tested/assessed</w:t>
      </w:r>
      <w:r>
        <w:t xml:space="preserve"> </w:t>
      </w:r>
      <w:r>
        <w:t xml:space="preserve">Non-</w:t>
      </w:r>
      <w:r>
        <w:t xml:space="preserve"> </w:t>
      </w:r>
      <w:r>
        <w:t xml:space="preserve">compliant</w:t>
      </w:r>
      <w:r>
        <w:t xml:space="preserve"> </w:t>
      </w:r>
      <w:r>
        <w:t xml:space="preserve">Non-</w:t>
      </w:r>
      <w:r>
        <w:t xml:space="preserve"> </w:t>
      </w:r>
      <w:r>
        <w:t xml:space="preserve">compliant</w:t>
      </w:r>
      <w:r>
        <w:t xml:space="preserve"> </w:t>
      </w:r>
      <w:r>
        <w:t xml:space="preserve">(%)</w:t>
      </w:r>
      <w:r>
        <w:t xml:space="preserve"> </w:t>
      </w:r>
      <w:r>
        <w:t xml:space="preserve">Requirement/reason</w:t>
      </w:r>
      <w:r>
        <w:t xml:space="preserve"> </w:t>
      </w:r>
      <w:r>
        <w:t xml:space="preserve">Source</w:t>
      </w:r>
      <w:r>
        <w:t xml:space="preserve"> </w:t>
      </w:r>
      <w:r>
        <w:t xml:space="preserve">Year</w:t>
      </w:r>
      <w:r>
        <w:t xml:space="preserve"> </w:t>
      </w:r>
      <w:r>
        <w:t xml:space="preserve">Online</w:t>
      </w:r>
      <w:r>
        <w:t xml:space="preserve"> </w:t>
      </w:r>
      <w:r>
        <w:t xml:space="preserve">consumer</w:t>
      </w:r>
      <w:r>
        <w:t xml:space="preserve"> </w:t>
      </w:r>
      <w:r>
        <w:t xml:space="preserve">products 2018-19</w:t>
      </w:r>
      <w:r>
        <w:br/>
      </w:r>
      <w:r>
        <w:t xml:space="preserve">274</w:t>
      </w:r>
      <w:r>
        <w:t xml:space="preserve"> </w:t>
      </w:r>
      <w:r>
        <w:t xml:space="preserve">100</w:t>
      </w:r>
      <w:r>
        <w:t xml:space="preserve"> </w:t>
      </w:r>
      <w:r>
        <w:t xml:space="preserve">36%</w:t>
      </w:r>
      <w:r>
        <w:t xml:space="preserve"> </w:t>
      </w:r>
      <w:r>
        <w:t xml:space="preserve">No brand</w:t>
      </w:r>
      <w:r>
        <w:br/>
      </w:r>
      <w:r>
        <w:t xml:space="preserve">General Product Safety</w:t>
      </w:r>
      <w:r>
        <w:t xml:space="preserve"> </w:t>
      </w:r>
      <w:r>
        <w:t xml:space="preserve">Directive IA_SWD2021</w:t>
      </w:r>
      <w:r>
        <w:t xml:space="preserve"> </w:t>
      </w:r>
      <w:r>
        <w:t xml:space="preserve">2019</w:t>
      </w:r>
      <w:r>
        <w:t xml:space="preserve"> </w:t>
      </w:r>
      <w:r>
        <w:t xml:space="preserve">Online</w:t>
      </w:r>
      <w:r>
        <w:t xml:space="preserve"> </w:t>
      </w:r>
      <w:r>
        <w:t xml:space="preserve">consumer</w:t>
      </w:r>
      <w:r>
        <w:t xml:space="preserve"> </w:t>
      </w:r>
      <w:r>
        <w:t xml:space="preserve">products 2018-19</w:t>
      </w:r>
      <w:r>
        <w:br/>
      </w:r>
      <w:r>
        <w:t xml:space="preserve">274</w:t>
      </w:r>
      <w:r>
        <w:t xml:space="preserve"> </w:t>
      </w:r>
      <w:r>
        <w:t xml:space="preserve">80</w:t>
      </w:r>
      <w:r>
        <w:t xml:space="preserve"> </w:t>
      </w:r>
      <w:r>
        <w:t xml:space="preserve">29%</w:t>
      </w:r>
      <w:r>
        <w:t xml:space="preserve"> </w:t>
      </w:r>
      <w:r>
        <w:t xml:space="preserve">No type/model</w:t>
      </w:r>
      <w:r>
        <w:br/>
      </w:r>
      <w:r>
        <w:t xml:space="preserve">General Product Safety</w:t>
      </w:r>
      <w:r>
        <w:t xml:space="preserve"> </w:t>
      </w:r>
      <w:r>
        <w:t xml:space="preserve">Directive IA_SWD2021</w:t>
      </w:r>
      <w:r>
        <w:t xml:space="preserve"> </w:t>
      </w:r>
      <w:r>
        <w:t xml:space="preserve">2019</w:t>
      </w:r>
      <w:r>
        <w:t xml:space="preserve"> </w:t>
      </w:r>
      <w:r>
        <w:t xml:space="preserve">Online</w:t>
      </w:r>
      <w:r>
        <w:t xml:space="preserve"> </w:t>
      </w:r>
      <w:r>
        <w:t xml:space="preserve">consumer</w:t>
      </w:r>
      <w:r>
        <w:t xml:space="preserve"> </w:t>
      </w:r>
      <w:r>
        <w:t xml:space="preserve">products 2018-19</w:t>
      </w:r>
      <w:r>
        <w:br/>
      </w:r>
      <w:r>
        <w:t xml:space="preserve">274</w:t>
      </w:r>
      <w:r>
        <w:t xml:space="preserve"> </w:t>
      </w:r>
      <w:r>
        <w:t xml:space="preserve">138</w:t>
      </w:r>
      <w:r>
        <w:t xml:space="preserve"> </w:t>
      </w:r>
      <w:r>
        <w:t xml:space="preserve">50%</w:t>
      </w:r>
      <w:r>
        <w:t xml:space="preserve"> </w:t>
      </w:r>
      <w:r>
        <w:t xml:space="preserve">No batch number/barcode</w:t>
      </w:r>
      <w:r>
        <w:br/>
      </w:r>
      <w:r>
        <w:t xml:space="preserve">General Product Safety</w:t>
      </w:r>
      <w:r>
        <w:t xml:space="preserve"> </w:t>
      </w:r>
      <w:r>
        <w:t xml:space="preserve">Directive IA_SWD2021</w:t>
      </w:r>
      <w:r>
        <w:t xml:space="preserve"> </w:t>
      </w:r>
      <w:r>
        <w:t xml:space="preserve">2019</w:t>
      </w:r>
      <w:r>
        <w:t xml:space="preserve"> </w:t>
      </w:r>
      <w:r>
        <w:t xml:space="preserve">Online</w:t>
      </w:r>
      <w:r>
        <w:t xml:space="preserve"> </w:t>
      </w:r>
      <w:r>
        <w:t xml:space="preserve">consumer</w:t>
      </w:r>
      <w:r>
        <w:t xml:space="preserve"> </w:t>
      </w:r>
      <w:r>
        <w:t xml:space="preserve">products 2018-19</w:t>
      </w:r>
      <w:r>
        <w:br/>
      </w:r>
      <w:r>
        <w:t xml:space="preserve">274</w:t>
      </w:r>
      <w:r>
        <w:t xml:space="preserve"> </w:t>
      </w:r>
      <w:r>
        <w:t xml:space="preserve">35</w:t>
      </w:r>
      <w:r>
        <w:t xml:space="preserve"> </w:t>
      </w:r>
      <w:r>
        <w:t xml:space="preserve">13%</w:t>
      </w:r>
      <w:r>
        <w:t xml:space="preserve"> </w:t>
      </w:r>
      <w:r>
        <w:t xml:space="preserve">None of the four</w:t>
      </w:r>
      <w:r>
        <w:br/>
      </w:r>
      <w:r>
        <w:t xml:space="preserve">General Product Safety</w:t>
      </w:r>
      <w:r>
        <w:t xml:space="preserve"> </w:t>
      </w:r>
      <w:r>
        <w:t xml:space="preserve">Directive IA_SWD2021</w:t>
      </w:r>
      <w:r>
        <w:t xml:space="preserve"> </w:t>
      </w:r>
      <w:r>
        <w:t xml:space="preserve">2019</w:t>
      </w:r>
      <w:r>
        <w:t xml:space="preserve"> </w:t>
      </w:r>
      <w:r>
        <w:t xml:space="preserve">NOT online consumer</w:t>
      </w:r>
      <w:r>
        <w:t xml:space="preserve"> </w:t>
      </w:r>
      <w:r>
        <w:t xml:space="preserve">products 2018-19</w:t>
      </w:r>
      <w:r>
        <w:br/>
      </w:r>
      <w:r>
        <w:t xml:space="preserve">3,590</w:t>
      </w:r>
      <w:r>
        <w:t xml:space="preserve"> </w:t>
      </w:r>
      <w:r>
        <w:t xml:space="preserve">1,280</w:t>
      </w:r>
      <w:r>
        <w:t xml:space="preserve"> </w:t>
      </w:r>
      <w:r>
        <w:t xml:space="preserve">36%</w:t>
      </w:r>
      <w:r>
        <w:t xml:space="preserve"> </w:t>
      </w:r>
      <w:r>
        <w:t xml:space="preserve">No manufacturer</w:t>
      </w:r>
      <w:r>
        <w:br/>
      </w:r>
      <w:r>
        <w:t xml:space="preserve">General Product Safety</w:t>
      </w:r>
      <w:r>
        <w:t xml:space="preserve"> </w:t>
      </w:r>
      <w:r>
        <w:t xml:space="preserve">Directive IA_SWD2021</w:t>
      </w:r>
      <w:r>
        <w:t xml:space="preserve"> </w:t>
      </w:r>
      <w:r>
        <w:t xml:space="preserve">2019</w:t>
      </w:r>
      <w:r>
        <w:t xml:space="preserve"> </w:t>
      </w:r>
      <w:r>
        <w:t xml:space="preserve">NOT online consumer</w:t>
      </w:r>
      <w:r>
        <w:t xml:space="preserve"> </w:t>
      </w:r>
      <w:r>
        <w:t xml:space="preserve">products 2018-19</w:t>
      </w:r>
      <w:r>
        <w:br/>
      </w:r>
      <w:r>
        <w:t xml:space="preserve">3,590</w:t>
      </w:r>
      <w:r>
        <w:t xml:space="preserve"> </w:t>
      </w:r>
      <w:r>
        <w:t xml:space="preserve">700</w:t>
      </w:r>
      <w:r>
        <w:t xml:space="preserve"> </w:t>
      </w:r>
      <w:r>
        <w:t xml:space="preserve">19%</w:t>
      </w:r>
      <w:r>
        <w:t xml:space="preserve"> </w:t>
      </w:r>
      <w:r>
        <w:t xml:space="preserve">No brand</w:t>
      </w:r>
      <w:r>
        <w:br/>
      </w:r>
      <w:r>
        <w:t xml:space="preserve">General Product Safety</w:t>
      </w:r>
      <w:r>
        <w:t xml:space="preserve"> </w:t>
      </w:r>
      <w:r>
        <w:t xml:space="preserve">Directive IA_SWD2021</w:t>
      </w:r>
      <w:r>
        <w:t xml:space="preserve"> </w:t>
      </w:r>
      <w:r>
        <w:t xml:space="preserve">2019</w:t>
      </w:r>
      <w:r>
        <w:t xml:space="preserve"> </w:t>
      </w:r>
      <w:r>
        <w:t xml:space="preserve">NOT online consumer</w:t>
      </w:r>
      <w:r>
        <w:t xml:space="preserve"> </w:t>
      </w:r>
      <w:r>
        <w:t xml:space="preserve">products 2018-19</w:t>
      </w:r>
      <w:r>
        <w:br/>
      </w:r>
      <w:r>
        <w:t xml:space="preserve">3,590</w:t>
      </w:r>
      <w:r>
        <w:t xml:space="preserve"> </w:t>
      </w:r>
      <w:r>
        <w:t xml:space="preserve">451</w:t>
      </w:r>
      <w:r>
        <w:t xml:space="preserve"> </w:t>
      </w:r>
      <w:r>
        <w:t xml:space="preserve">13%</w:t>
      </w:r>
      <w:r>
        <w:t xml:space="preserve"> </w:t>
      </w:r>
      <w:r>
        <w:t xml:space="preserve">No type/model</w:t>
      </w:r>
      <w:r>
        <w:br/>
      </w:r>
      <w:r>
        <w:t xml:space="preserve">General Product Safety</w:t>
      </w:r>
      <w:r>
        <w:t xml:space="preserve"> </w:t>
      </w:r>
      <w:r>
        <w:t xml:space="preserve">Directive IA_SWD2021</w:t>
      </w:r>
      <w:r>
        <w:t xml:space="preserve"> </w:t>
      </w:r>
      <w:r>
        <w:t xml:space="preserve">2019</w:t>
      </w:r>
      <w:r>
        <w:t xml:space="preserve"> </w:t>
      </w:r>
      <w:r>
        <w:t xml:space="preserve">NOT online consumer</w:t>
      </w:r>
      <w:r>
        <w:t xml:space="preserve"> </w:t>
      </w:r>
      <w:r>
        <w:t xml:space="preserve">products 2018-19</w:t>
      </w:r>
      <w:r>
        <w:br/>
      </w:r>
      <w:r>
        <w:t xml:space="preserve">3,590</w:t>
      </w:r>
      <w:r>
        <w:t xml:space="preserve"> </w:t>
      </w:r>
      <w:r>
        <w:t xml:space="preserve">667</w:t>
      </w:r>
      <w:r>
        <w:t xml:space="preserve"> </w:t>
      </w:r>
      <w:r>
        <w:t xml:space="preserve">19%</w:t>
      </w:r>
      <w:r>
        <w:t xml:space="preserve"> </w:t>
      </w:r>
      <w:r>
        <w:t xml:space="preserve">No batch number/barcode</w:t>
      </w:r>
      <w:r>
        <w:br/>
      </w:r>
      <w:r>
        <w:t xml:space="preserve">General Product Safety</w:t>
      </w:r>
      <w:r>
        <w:t xml:space="preserve"> </w:t>
      </w:r>
      <w:r>
        <w:t xml:space="preserve">Directive IA_SWD2021</w:t>
      </w:r>
      <w:r>
        <w:t xml:space="preserve"> </w:t>
      </w:r>
      <w:r>
        <w:t xml:space="preserve">2019</w:t>
      </w:r>
      <w:r>
        <w:t xml:space="preserve"> </w:t>
      </w:r>
      <w:r>
        <w:t xml:space="preserve">NOT online consumer</w:t>
      </w:r>
      <w:r>
        <w:t xml:space="preserve"> </w:t>
      </w:r>
      <w:r>
        <w:t xml:space="preserve">products 2018-19</w:t>
      </w:r>
      <w:r>
        <w:br/>
      </w:r>
      <w:r>
        <w:t xml:space="preserve">3,590</w:t>
      </w:r>
      <w:r>
        <w:t xml:space="preserve"> </w:t>
      </w:r>
      <w:r>
        <w:t xml:space="preserve">17</w:t>
      </w:r>
      <w:r>
        <w:t xml:space="preserve"> </w:t>
      </w:r>
      <w:r>
        <w:t xml:space="preserve">0.5%</w:t>
      </w:r>
      <w:r>
        <w:t xml:space="preserve"> </w:t>
      </w:r>
      <w:r>
        <w:t xml:space="preserve">None of the four</w:t>
      </w:r>
      <w:r>
        <w:br/>
      </w:r>
      <w:r>
        <w:t xml:space="preserve">General Product Safety</w:t>
      </w:r>
      <w:r>
        <w:t xml:space="preserve"> </w:t>
      </w:r>
      <w:r>
        <w:t xml:space="preserve">Directive IA_SWD2021</w:t>
      </w:r>
      <w:r>
        <w:t xml:space="preserve"> </w:t>
      </w:r>
      <w:r>
        <w:t xml:space="preserve">2019</w:t>
      </w:r>
    </w:p>
    <w:p>
      <w:pPr>
        <w:pStyle w:val="BodyText"/>
      </w:pPr>
      <w:r>
        <w:t xml:space="preserve">599</w:t>
      </w:r>
    </w:p>
    <w:p>
      <w:pPr>
        <w:pStyle w:val="BodyText"/>
      </w:pPr>
      <w:r>
        <w:t xml:space="preserve">It is important to note that almost all of the surveillance information provided in Table</w:t>
      </w:r>
      <w:r>
        <w:t xml:space="preserve"> </w:t>
      </w:r>
      <w:r>
        <w:t xml:space="preserve">183: relates to products sold online generally and does not distinguish between points of</w:t>
      </w:r>
      <w:r>
        <w:t xml:space="preserve"> </w:t>
      </w:r>
      <w:r>
        <w:t xml:space="preserve">origin in the EU versus outside the EU. Some of the information data relates to specific</w:t>
      </w:r>
      <w:r>
        <w:t xml:space="preserve"> </w:t>
      </w:r>
      <w:r>
        <w:t xml:space="preserve">products or product types and some of the information is more general, relating to ‘online</w:t>
      </w:r>
      <w:r>
        <w:t xml:space="preserve"> </w:t>
      </w:r>
      <w:r>
        <w:t xml:space="preserve">products’ consisting of substances, mixtures or articles. Average values for percentage</w:t>
      </w:r>
      <w:r>
        <w:t xml:space="preserve"> </w:t>
      </w:r>
      <w:r>
        <w:t xml:space="preserve">non-compliance with REACH Restrictions and CLP for different products/types of</w:t>
      </w:r>
      <w:r>
        <w:t xml:space="preserve"> </w:t>
      </w:r>
      <w:r>
        <w:t xml:space="preserve">product have also been provided in Table 183: and these are summarised in Table 184.</w:t>
      </w:r>
      <w:r>
        <w:t xml:space="preserve"> </w:t>
      </w:r>
      <w:r>
        <w:t xml:space="preserve">Table 185: Average of surveillance data values for products (from Table 183: overleaf)</w:t>
      </w:r>
    </w:p>
    <w:p>
      <w:pPr>
        <w:pStyle w:val="BodyText"/>
      </w:pPr>
      <w:r>
        <w:t xml:space="preserve">CLP</w:t>
      </w:r>
      <w:r>
        <w:t xml:space="preserve"> </w:t>
      </w:r>
      <w:r>
        <w:t xml:space="preserve">non-</w:t>
      </w:r>
      <w:r>
        <w:t xml:space="preserve"> </w:t>
      </w:r>
      <w:r>
        <w:t xml:space="preserve">compliance</w:t>
      </w:r>
      <w:r>
        <w:t xml:space="preserve"> </w:t>
      </w:r>
      <w:r>
        <w:t xml:space="preserve">REACH</w:t>
      </w:r>
      <w:r>
        <w:t xml:space="preserve"> </w:t>
      </w:r>
      <w:r>
        <w:t xml:space="preserve">non-</w:t>
      </w:r>
      <w:r>
        <w:t xml:space="preserve"> </w:t>
      </w:r>
      <w:r>
        <w:t xml:space="preserve">compliance</w:t>
      </w:r>
      <w:r>
        <w:t xml:space="preserve"> </w:t>
      </w:r>
      <w:r>
        <w:t xml:space="preserve">(Restrictions)</w:t>
      </w:r>
      <w:r>
        <w:t xml:space="preserve"> </w:t>
      </w:r>
      <w:r>
        <w:t xml:space="preserve">COSMETICS - average</w:t>
      </w:r>
      <w:r>
        <w:t xml:space="preserve"> </w:t>
      </w:r>
      <w:r>
        <w:t xml:space="preserve">No</w:t>
      </w:r>
      <w:r>
        <w:t xml:space="preserve"> </w:t>
      </w:r>
      <w:r>
        <w:t xml:space="preserve">data/not</w:t>
      </w:r>
      <w:r>
        <w:t xml:space="preserve"> </w:t>
      </w:r>
      <w:r>
        <w:t xml:space="preserve">applicable</w:t>
      </w:r>
      <w:r>
        <w:t xml:space="preserve"> </w:t>
      </w:r>
      <w:r>
        <w:t xml:space="preserve">37.3%</w:t>
      </w:r>
      <w:r>
        <w:t xml:space="preserve"> </w:t>
      </w:r>
      <w:r>
        <w:t xml:space="preserve">TOYS AND CHILDCARE ITEMS -</w:t>
      </w:r>
      <w:r>
        <w:t xml:space="preserve"> </w:t>
      </w:r>
      <w:r>
        <w:t xml:space="preserve">average</w:t>
      </w:r>
      <w:r>
        <w:t xml:space="preserve"> </w:t>
      </w:r>
      <w:r>
        <w:t xml:space="preserve">No</w:t>
      </w:r>
      <w:r>
        <w:t xml:space="preserve"> </w:t>
      </w:r>
      <w:r>
        <w:t xml:space="preserve">data/not</w:t>
      </w:r>
      <w:r>
        <w:t xml:space="preserve"> </w:t>
      </w:r>
      <w:r>
        <w:t xml:space="preserve">applicable</w:t>
      </w:r>
      <w:r>
        <w:t xml:space="preserve"> </w:t>
      </w:r>
      <w:r>
        <w:t xml:space="preserve">20.4%</w:t>
      </w:r>
      <w:r>
        <w:t xml:space="preserve"> </w:t>
      </w:r>
      <w:r>
        <w:t xml:space="preserve">ELECTRICAL PRODUCTS - average</w:t>
      </w:r>
      <w:r>
        <w:t xml:space="preserve"> </w:t>
      </w:r>
      <w:r>
        <w:t xml:space="preserve">No</w:t>
      </w:r>
      <w:r>
        <w:t xml:space="preserve"> </w:t>
      </w:r>
      <w:r>
        <w:t xml:space="preserve">data/not</w:t>
      </w:r>
      <w:r>
        <w:t xml:space="preserve"> </w:t>
      </w:r>
      <w:r>
        <w:t xml:space="preserve">applicable</w:t>
      </w:r>
      <w:r>
        <w:t xml:space="preserve"> </w:t>
      </w:r>
      <w:r>
        <w:t xml:space="preserve">44.0%</w:t>
      </w:r>
      <w:r>
        <w:t xml:space="preserve"> </w:t>
      </w:r>
      <w:r>
        <w:t xml:space="preserve">JEWELERY - average</w:t>
      </w:r>
      <w:r>
        <w:t xml:space="preserve"> </w:t>
      </w:r>
      <w:r>
        <w:t xml:space="preserve">No</w:t>
      </w:r>
      <w:r>
        <w:t xml:space="preserve"> </w:t>
      </w:r>
      <w:r>
        <w:t xml:space="preserve">data/not</w:t>
      </w:r>
      <w:r>
        <w:t xml:space="preserve"> </w:t>
      </w:r>
      <w:r>
        <w:t xml:space="preserve">applicable</w:t>
      </w:r>
      <w:r>
        <w:t xml:space="preserve"> </w:t>
      </w:r>
      <w:r>
        <w:t xml:space="preserve">27.3%</w:t>
      </w:r>
      <w:r>
        <w:t xml:space="preserve"> </w:t>
      </w:r>
      <w:r>
        <w:t xml:space="preserve">LEATHER AND TEXTILES - average</w:t>
      </w:r>
      <w:r>
        <w:t xml:space="preserve"> </w:t>
      </w:r>
      <w:r>
        <w:t xml:space="preserve">No</w:t>
      </w:r>
      <w:r>
        <w:t xml:space="preserve"> </w:t>
      </w:r>
      <w:r>
        <w:t xml:space="preserve">data/not</w:t>
      </w:r>
      <w:r>
        <w:t xml:space="preserve"> </w:t>
      </w:r>
      <w:r>
        <w:t xml:space="preserve">applicable</w:t>
      </w:r>
      <w:r>
        <w:t xml:space="preserve"> </w:t>
      </w:r>
      <w:r>
        <w:t xml:space="preserve">2.6%</w:t>
      </w:r>
      <w:r>
        <w:t xml:space="preserve"> </w:t>
      </w:r>
      <w:r>
        <w:t xml:space="preserve">Online products (substances, mixtures,</w:t>
      </w:r>
      <w:r>
        <w:t xml:space="preserve"> </w:t>
      </w:r>
      <w:r>
        <w:t xml:space="preserve">articles)</w:t>
      </w:r>
      <w:r>
        <w:t xml:space="preserve"> </w:t>
      </w:r>
      <w:r>
        <w:t xml:space="preserve">69.7%</w:t>
      </w:r>
      <w:r>
        <w:t xml:space="preserve"> </w:t>
      </w:r>
      <w:r>
        <w:t xml:space="preserve">49.4%</w:t>
      </w:r>
    </w:p>
    <w:p>
      <w:pPr>
        <w:pStyle w:val="BodyText"/>
      </w:pPr>
      <w:r>
        <w:t xml:space="preserve">When reflecting on the averages derived from the surveillance data (Table 183: and</w:t>
      </w:r>
      <w:r>
        <w:t xml:space="preserve"> </w:t>
      </w:r>
      <w:r>
        <w:t xml:space="preserve">Table 184), it is worth noting that the approaches adopted in the surveillance are biased</w:t>
      </w:r>
      <w:r>
        <w:t xml:space="preserve"> </w:t>
      </w:r>
      <w:r>
        <w:t xml:space="preserve">towards specific products where the likelihood of non-compliance (or the risk) is likely to</w:t>
      </w:r>
      <w:r>
        <w:t xml:space="preserve"> </w:t>
      </w:r>
      <w:r>
        <w:t xml:space="preserve">be highest. As such, surveillance and enforcement does not adopt a representative</w:t>
      </w:r>
      <w:r>
        <w:t xml:space="preserve"> </w:t>
      </w:r>
      <w:r>
        <w:t xml:space="preserve">sampling approach of, for example, ‘toys’ but, rather, focuses on certain types (such as</w:t>
      </w:r>
      <w:r>
        <w:t xml:space="preserve"> </w:t>
      </w:r>
      <w:r>
        <w:t xml:space="preserve">‘soft plastic toys’) where non-compliance is most likely to be found and/or the</w:t>
      </w:r>
      <w:r>
        <w:t xml:space="preserve"> </w:t>
      </w:r>
      <w:r>
        <w:t xml:space="preserve">risk/exposure of the consumer/end user is highest. Regardless of this, these non-</w:t>
      </w:r>
      <w:r>
        <w:t xml:space="preserve"> </w:t>
      </w:r>
      <w:r>
        <w:t xml:space="preserve">compliance statistics provide the only basis from which to begin to attribute levels of</w:t>
      </w:r>
      <w:r>
        <w:t xml:space="preserve"> </w:t>
      </w:r>
      <w:r>
        <w:t xml:space="preserve">non-compliance to the various categories of products sold online.</w:t>
      </w:r>
      <w:r>
        <w:t xml:space="preserve"> </w:t>
      </w:r>
      <w:r>
        <w:t xml:space="preserve">Table 185 provides average non-compliance data from the surveillance reports (from</w:t>
      </w:r>
      <w:r>
        <w:t xml:space="preserve"> </w:t>
      </w:r>
      <w:r>
        <w:t xml:space="preserve">Table 183: and Table 184) mapped onto the most relevant product categories listed in in</w:t>
      </w:r>
      <w:r>
        <w:t xml:space="preserve"> </w:t>
      </w:r>
      <w:r>
        <w:t xml:space="preserve">the Eurostat e-commerce data. As can be seen from the table, there are no relevant</w:t>
      </w:r>
      <w:r>
        <w:t xml:space="preserve"> </w:t>
      </w:r>
      <w:r>
        <w:t xml:space="preserve">surveillance data that would apply to the categories ‘Furniture, home accessories or</w:t>
      </w:r>
      <w:r>
        <w:t xml:space="preserve"> </w:t>
      </w:r>
      <w:r>
        <w:t xml:space="preserve">gardening products’ and ‘Bicycles, mopeds, cars, or other vehicles or their spare parts’.</w:t>
      </w:r>
      <w:r>
        <w:t xml:space="preserve"> </w:t>
      </w:r>
      <w:r>
        <w:t xml:space="preserve">What values are available from the surveillance data are high for the reasons outlined</w:t>
      </w:r>
      <w:r>
        <w:t xml:space="preserve"> </w:t>
      </w:r>
      <w:r>
        <w:t xml:space="preserve">above (i.e. sampling approaches biased to high non-compliance risk products).</w:t>
      </w:r>
    </w:p>
    <w:p>
      <w:pPr>
        <w:pStyle w:val="BodyText"/>
      </w:pPr>
      <w:r>
        <w:t xml:space="preserve">600</w:t>
      </w:r>
    </w:p>
    <w:p>
      <w:pPr>
        <w:pStyle w:val="BodyText"/>
      </w:pPr>
      <w:r>
        <w:t xml:space="preserve">Table 186: Mapping of average surveillance data onto EUROSTAT e-commerce product categories</w:t>
      </w:r>
      <w:r>
        <w:t xml:space="preserve"> </w:t>
      </w:r>
      <w:r>
        <w:t xml:space="preserve">EUROSTAT</w:t>
      </w:r>
      <w:r>
        <w:t xml:space="preserve"> </w:t>
      </w:r>
      <w:r>
        <w:t xml:space="preserve">e-</w:t>
      </w:r>
      <w:r>
        <w:t xml:space="preserve"> </w:t>
      </w:r>
      <w:r>
        <w:t xml:space="preserve">commerce</w:t>
      </w:r>
      <w:r>
        <w:t xml:space="preserve"> </w:t>
      </w:r>
      <w:r>
        <w:t xml:space="preserve">data</w:t>
      </w:r>
      <w:r>
        <w:t xml:space="preserve"> </w:t>
      </w:r>
      <w:r>
        <w:t xml:space="preserve">category</w:t>
      </w:r>
      <w:r>
        <w:t xml:space="preserve"> </w:t>
      </w:r>
      <w:r>
        <w:t xml:space="preserve">Category</w:t>
      </w:r>
      <w:r>
        <w:t xml:space="preserve"> </w:t>
      </w:r>
      <w:r>
        <w:t xml:space="preserve">from</w:t>
      </w:r>
      <w:r>
        <w:t xml:space="preserve"> </w:t>
      </w:r>
      <w:r>
        <w:t xml:space="preserve">surveillance data</w:t>
      </w:r>
      <w:r>
        <w:t xml:space="preserve"> </w:t>
      </w:r>
      <w:r>
        <w:t xml:space="preserve">Relevant</w:t>
      </w:r>
      <w:r>
        <w:t xml:space="preserve"> </w:t>
      </w:r>
      <w:r>
        <w:t xml:space="preserve">average</w:t>
      </w:r>
      <w:r>
        <w:t xml:space="preserve"> </w:t>
      </w:r>
      <w:r>
        <w:t xml:space="preserve">non-</w:t>
      </w:r>
      <w:r>
        <w:t xml:space="preserve"> </w:t>
      </w:r>
      <w:r>
        <w:t xml:space="preserve">compliance</w:t>
      </w:r>
      <w:r>
        <w:t xml:space="preserve"> </w:t>
      </w:r>
      <w:r>
        <w:t xml:space="preserve">value</w:t>
      </w:r>
      <w:r>
        <w:t xml:space="preserve"> </w:t>
      </w:r>
      <w:r>
        <w:t xml:space="preserve">from</w:t>
      </w:r>
      <w:r>
        <w:t xml:space="preserve"> </w:t>
      </w:r>
      <w:r>
        <w:t xml:space="preserve">surveillance data</w:t>
      </w:r>
      <w:r>
        <w:t xml:space="preserve"> </w:t>
      </w:r>
      <w:r>
        <w:t xml:space="preserve">CLP</w:t>
      </w:r>
      <w:r>
        <w:t xml:space="preserve"> </w:t>
      </w:r>
      <w:r>
        <w:t xml:space="preserve">REACH</w:t>
      </w:r>
      <w:r>
        <w:t xml:space="preserve"> </w:t>
      </w:r>
      <w:r>
        <w:t xml:space="preserve">(RESTRICTION)</w:t>
      </w:r>
      <w:r>
        <w:t xml:space="preserve"> </w:t>
      </w:r>
      <w:r>
        <w:t xml:space="preserve">Clothes</w:t>
      </w:r>
      <w:r>
        <w:t xml:space="preserve"> </w:t>
      </w:r>
      <w:r>
        <w:t xml:space="preserve">(including</w:t>
      </w:r>
      <w:r>
        <w:t xml:space="preserve"> </w:t>
      </w:r>
      <w:r>
        <w:t xml:space="preserve">sport clothing), shoes</w:t>
      </w:r>
      <w:r>
        <w:t xml:space="preserve"> </w:t>
      </w:r>
      <w:r>
        <w:t xml:space="preserve">or accessories</w:t>
      </w:r>
      <w:r>
        <w:t xml:space="preserve"> </w:t>
      </w:r>
      <w:r>
        <w:t xml:space="preserve">LEATHER</w:t>
      </w:r>
      <w:r>
        <w:t xml:space="preserve"> </w:t>
      </w:r>
      <w:r>
        <w:t xml:space="preserve">AND</w:t>
      </w:r>
      <w:r>
        <w:t xml:space="preserve"> </w:t>
      </w:r>
      <w:r>
        <w:t xml:space="preserve">TEXTILES - average</w:t>
      </w:r>
      <w:r>
        <w:t xml:space="preserve"> </w:t>
      </w:r>
      <w:r>
        <w:t xml:space="preserve">No</w:t>
      </w:r>
      <w:r>
        <w:t xml:space="preserve"> </w:t>
      </w:r>
      <w:r>
        <w:t xml:space="preserve">data/not</w:t>
      </w:r>
      <w:r>
        <w:t xml:space="preserve"> </w:t>
      </w:r>
      <w:r>
        <w:t xml:space="preserve">applicable</w:t>
      </w:r>
      <w:r>
        <w:t xml:space="preserve"> </w:t>
      </w:r>
      <w:r>
        <w:t xml:space="preserve">3%</w:t>
      </w:r>
      <w:r>
        <w:t xml:space="preserve"> </w:t>
      </w:r>
      <w:r>
        <w:t xml:space="preserve">Children</w:t>
      </w:r>
      <w:r>
        <w:t xml:space="preserve"> </w:t>
      </w:r>
      <w:r>
        <w:t xml:space="preserve">toys</w:t>
      </w:r>
      <w:r>
        <w:t xml:space="preserve"> </w:t>
      </w:r>
      <w:r>
        <w:t xml:space="preserve">or</w:t>
      </w:r>
      <w:r>
        <w:t xml:space="preserve"> </w:t>
      </w:r>
      <w:r>
        <w:t xml:space="preserve">childcare items</w:t>
      </w:r>
      <w:r>
        <w:t xml:space="preserve"> </w:t>
      </w:r>
      <w:r>
        <w:t xml:space="preserve">TOYS</w:t>
      </w:r>
      <w:r>
        <w:t xml:space="preserve"> </w:t>
      </w:r>
      <w:r>
        <w:t xml:space="preserve">AND</w:t>
      </w:r>
      <w:r>
        <w:t xml:space="preserve"> </w:t>
      </w:r>
      <w:r>
        <w:t xml:space="preserve">CHILDCARE ITEMS -</w:t>
      </w:r>
      <w:r>
        <w:t xml:space="preserve"> </w:t>
      </w:r>
      <w:r>
        <w:t xml:space="preserve">average</w:t>
      </w:r>
      <w:r>
        <w:t xml:space="preserve"> </w:t>
      </w:r>
      <w:r>
        <w:t xml:space="preserve">No</w:t>
      </w:r>
      <w:r>
        <w:t xml:space="preserve"> </w:t>
      </w:r>
      <w:r>
        <w:t xml:space="preserve">data/not</w:t>
      </w:r>
      <w:r>
        <w:t xml:space="preserve"> </w:t>
      </w:r>
      <w:r>
        <w:t xml:space="preserve">applicable</w:t>
      </w:r>
      <w:r>
        <w:t xml:space="preserve"> </w:t>
      </w:r>
      <w:r>
        <w:t xml:space="preserve">20%</w:t>
      </w:r>
      <w:r>
        <w:t xml:space="preserve"> </w:t>
      </w:r>
      <w:r>
        <w:t xml:space="preserve">Furniture,</w:t>
      </w:r>
      <w:r>
        <w:t xml:space="preserve"> </w:t>
      </w:r>
      <w:r>
        <w:t xml:space="preserve">home</w:t>
      </w:r>
      <w:r>
        <w:t xml:space="preserve"> </w:t>
      </w:r>
      <w:r>
        <w:t xml:space="preserve">accessories</w:t>
      </w:r>
      <w:r>
        <w:t xml:space="preserve"> </w:t>
      </w:r>
      <w:r>
        <w:t xml:space="preserve">or</w:t>
      </w:r>
      <w:r>
        <w:t xml:space="preserve"> </w:t>
      </w:r>
      <w:r>
        <w:t xml:space="preserve">gardening products</w:t>
      </w:r>
      <w:r>
        <w:t xml:space="preserve"> </w:t>
      </w:r>
      <w:r>
        <w:t xml:space="preserve">No comparable category</w:t>
      </w:r>
      <w:r>
        <w:t xml:space="preserve"> </w:t>
      </w:r>
      <w:r>
        <w:t xml:space="preserve">in surveillance data</w:t>
      </w:r>
      <w:r>
        <w:t xml:space="preserve"> </w:t>
      </w:r>
      <w:r>
        <w:t xml:space="preserve">No data</w:t>
      </w:r>
      <w:r>
        <w:t xml:space="preserve"> </w:t>
      </w:r>
      <w:r>
        <w:t xml:space="preserve">No data</w:t>
      </w:r>
      <w:r>
        <w:t xml:space="preserve"> </w:t>
      </w:r>
      <w:r>
        <w:t xml:space="preserve">Computers,</w:t>
      </w:r>
      <w:r>
        <w:t xml:space="preserve"> </w:t>
      </w:r>
      <w:r>
        <w:t xml:space="preserve">tablets,</w:t>
      </w:r>
      <w:r>
        <w:t xml:space="preserve"> </w:t>
      </w:r>
      <w:r>
        <w:t xml:space="preserve">mobile</w:t>
      </w:r>
      <w:r>
        <w:t xml:space="preserve"> </w:t>
      </w:r>
      <w:r>
        <w:t xml:space="preserve">phones</w:t>
      </w:r>
      <w:r>
        <w:t xml:space="preserve"> </w:t>
      </w:r>
      <w:r>
        <w:t xml:space="preserve">or</w:t>
      </w:r>
      <w:r>
        <w:t xml:space="preserve"> </w:t>
      </w:r>
      <w:r>
        <w:t xml:space="preserve">accessories</w:t>
      </w:r>
      <w:r>
        <w:t xml:space="preserve"> </w:t>
      </w:r>
      <w:r>
        <w:t xml:space="preserve">ELECTRICAL</w:t>
      </w:r>
      <w:r>
        <w:t xml:space="preserve"> </w:t>
      </w:r>
      <w:r>
        <w:t xml:space="preserve">PRODUCTS - average</w:t>
      </w:r>
      <w:r>
        <w:t xml:space="preserve"> </w:t>
      </w:r>
      <w:r>
        <w:t xml:space="preserve">No</w:t>
      </w:r>
      <w:r>
        <w:t xml:space="preserve"> </w:t>
      </w:r>
      <w:r>
        <w:t xml:space="preserve">data/not</w:t>
      </w:r>
      <w:r>
        <w:t xml:space="preserve"> </w:t>
      </w:r>
      <w:r>
        <w:t xml:space="preserve">applicable</w:t>
      </w:r>
      <w:r>
        <w:t xml:space="preserve"> </w:t>
      </w:r>
      <w:r>
        <w:t xml:space="preserve">44%</w:t>
      </w:r>
      <w:r>
        <w:t xml:space="preserve"> </w:t>
      </w:r>
      <w:r>
        <w:t xml:space="preserve">Consumer electronics</w:t>
      </w:r>
      <w:r>
        <w:t xml:space="preserve"> </w:t>
      </w:r>
      <w:r>
        <w:t xml:space="preserve">or</w:t>
      </w:r>
      <w:r>
        <w:t xml:space="preserve"> </w:t>
      </w:r>
      <w:r>
        <w:t xml:space="preserve">household</w:t>
      </w:r>
      <w:r>
        <w:t xml:space="preserve"> </w:t>
      </w:r>
      <w:r>
        <w:t xml:space="preserve">appliances</w:t>
      </w:r>
      <w:r>
        <w:t xml:space="preserve"> </w:t>
      </w:r>
      <w:r>
        <w:t xml:space="preserve">ELECTRICAL</w:t>
      </w:r>
      <w:r>
        <w:t xml:space="preserve"> </w:t>
      </w:r>
      <w:r>
        <w:t xml:space="preserve">PRODUCTS - average</w:t>
      </w:r>
      <w:r>
        <w:t xml:space="preserve"> </w:t>
      </w:r>
      <w:r>
        <w:t xml:space="preserve">No</w:t>
      </w:r>
      <w:r>
        <w:t xml:space="preserve"> </w:t>
      </w:r>
      <w:r>
        <w:t xml:space="preserve">data/not</w:t>
      </w:r>
      <w:r>
        <w:t xml:space="preserve"> </w:t>
      </w:r>
      <w:r>
        <w:t xml:space="preserve">applicable</w:t>
      </w:r>
      <w:r>
        <w:t xml:space="preserve"> </w:t>
      </w:r>
      <w:r>
        <w:t xml:space="preserve">44%</w:t>
      </w:r>
      <w:r>
        <w:t xml:space="preserve"> </w:t>
      </w:r>
      <w:r>
        <w:t xml:space="preserve">Cosmetics, beauty or</w:t>
      </w:r>
      <w:r>
        <w:t xml:space="preserve"> </w:t>
      </w:r>
      <w:r>
        <w:t xml:space="preserve">wellness products</w:t>
      </w:r>
      <w:r>
        <w:t xml:space="preserve"> </w:t>
      </w:r>
      <w:r>
        <w:t xml:space="preserve">COSMETICS - average</w:t>
      </w:r>
      <w:r>
        <w:t xml:space="preserve"> </w:t>
      </w:r>
      <w:r>
        <w:t xml:space="preserve">No</w:t>
      </w:r>
      <w:r>
        <w:t xml:space="preserve"> </w:t>
      </w:r>
      <w:r>
        <w:t xml:space="preserve">data/not</w:t>
      </w:r>
      <w:r>
        <w:t xml:space="preserve"> </w:t>
      </w:r>
      <w:r>
        <w:t xml:space="preserve">applicable</w:t>
      </w:r>
      <w:r>
        <w:t xml:space="preserve"> </w:t>
      </w:r>
      <w:r>
        <w:t xml:space="preserve">37%</w:t>
      </w:r>
      <w:r>
        <w:t xml:space="preserve"> </w:t>
      </w:r>
      <w:r>
        <w:t xml:space="preserve">Cleaning products or</w:t>
      </w:r>
      <w:r>
        <w:t xml:space="preserve"> </w:t>
      </w:r>
      <w:r>
        <w:t xml:space="preserve">personal</w:t>
      </w:r>
      <w:r>
        <w:t xml:space="preserve"> </w:t>
      </w:r>
      <w:r>
        <w:t xml:space="preserve">hygiene</w:t>
      </w:r>
      <w:r>
        <w:t xml:space="preserve"> </w:t>
      </w:r>
      <w:r>
        <w:t xml:space="preserve">products</w:t>
      </w:r>
      <w:r>
        <w:t xml:space="preserve"> </w:t>
      </w:r>
      <w:r>
        <w:t xml:space="preserve">Online</w:t>
      </w:r>
      <w:r>
        <w:t xml:space="preserve"> </w:t>
      </w:r>
      <w:r>
        <w:t xml:space="preserve">products</w:t>
      </w:r>
      <w:r>
        <w:t xml:space="preserve"> </w:t>
      </w:r>
      <w:r>
        <w:t xml:space="preserve">(substances,</w:t>
      </w:r>
      <w:r>
        <w:t xml:space="preserve"> </w:t>
      </w:r>
      <w:r>
        <w:t xml:space="preserve">mixtures,</w:t>
      </w:r>
      <w:r>
        <w:t xml:space="preserve"> </w:t>
      </w:r>
      <w:r>
        <w:t xml:space="preserve">articles)</w:t>
      </w:r>
      <w:r>
        <w:t xml:space="preserve"> </w:t>
      </w:r>
      <w:r>
        <w:t xml:space="preserve">from</w:t>
      </w:r>
      <w:r>
        <w:t xml:space="preserve"> </w:t>
      </w:r>
      <w:r>
        <w:t xml:space="preserve">EU</w:t>
      </w:r>
      <w:r>
        <w:t xml:space="preserve"> </w:t>
      </w:r>
      <w:r>
        <w:t xml:space="preserve">marketplace</w:t>
      </w:r>
      <w:r>
        <w:t xml:space="preserve"> </w:t>
      </w:r>
      <w:r>
        <w:t xml:space="preserve">70%</w:t>
      </w:r>
      <w:r>
        <w:t xml:space="preserve"> </w:t>
      </w:r>
      <w:r>
        <w:t xml:space="preserve">49%</w:t>
      </w:r>
      <w:r>
        <w:t xml:space="preserve"> </w:t>
      </w:r>
      <w:r>
        <w:t xml:space="preserve">Bicycles, mopeds, cars,</w:t>
      </w:r>
      <w:r>
        <w:t xml:space="preserve"> </w:t>
      </w:r>
      <w:r>
        <w:t xml:space="preserve">or other vehicles or</w:t>
      </w:r>
      <w:r>
        <w:t xml:space="preserve"> </w:t>
      </w:r>
      <w:r>
        <w:t xml:space="preserve">their spare parts</w:t>
      </w:r>
      <w:r>
        <w:t xml:space="preserve"> </w:t>
      </w:r>
      <w:r>
        <w:t xml:space="preserve">No comparable category</w:t>
      </w:r>
      <w:r>
        <w:t xml:space="preserve"> </w:t>
      </w:r>
      <w:r>
        <w:t xml:space="preserve">in surveillance data</w:t>
      </w:r>
      <w:r>
        <w:t xml:space="preserve"> </w:t>
      </w:r>
      <w:r>
        <w:t xml:space="preserve">No data</w:t>
      </w:r>
      <w:r>
        <w:t xml:space="preserve"> </w:t>
      </w:r>
      <w:r>
        <w:t xml:space="preserve">No data</w:t>
      </w:r>
    </w:p>
    <w:p>
      <w:pPr>
        <w:pStyle w:val="BodyText"/>
      </w:pPr>
      <w:r>
        <w:t xml:space="preserve">Expanding on and being informed by the values from surveillance reports, Table 186:</w:t>
      </w:r>
      <w:r>
        <w:br/>
      </w:r>
      <w:r>
        <w:t xml:space="preserve">provides three baseline scenarios (Lower, Central and Upper) for percentage non-</w:t>
      </w:r>
      <w:r>
        <w:t xml:space="preserve"> </w:t>
      </w:r>
      <w:r>
        <w:t xml:space="preserve">compliance of online products sourced from sellers within the EU with CLP and REACH</w:t>
      </w:r>
      <w:r>
        <w:t xml:space="preserve"> </w:t>
      </w:r>
      <w:r>
        <w:t xml:space="preserve">requirements.</w:t>
      </w:r>
      <w:r>
        <w:t xml:space="preserve"> </w:t>
      </w:r>
      <w:r>
        <w:t xml:space="preserve">There is some evidence and some suspicion that products purchased directly from outside</w:t>
      </w:r>
      <w:r>
        <w:t xml:space="preserve"> </w:t>
      </w:r>
      <w:r>
        <w:t xml:space="preserve">the EU have higher levels of non-compliance than products purchased from within the</w:t>
      </w:r>
      <w:r>
        <w:t xml:space="preserve"> </w:t>
      </w:r>
      <w:r>
        <w:t xml:space="preserve">EU. Regarding CLP, the information from the Ref 8 report suggested 73% non-</w:t>
      </w:r>
      <w:r>
        <w:t xml:space="preserve"> </w:t>
      </w:r>
      <w:r>
        <w:t xml:space="preserve">compliance from products sourced from sellers within the EU compared with 100% non-</w:t>
      </w:r>
      <w:r>
        <w:t xml:space="preserve"> </w:t>
      </w:r>
      <w:r>
        <w:t xml:space="preserve">compliance for outside the EU. Thus, for CLP this would suggest levels of compliance</w:t>
      </w:r>
      <w:r>
        <w:t xml:space="preserve"> </w:t>
      </w:r>
      <w:r>
        <w:t xml:space="preserve">are 1.37 times higher than those within the EU (100/73).</w:t>
      </w:r>
    </w:p>
    <w:p>
      <w:pPr>
        <w:pStyle w:val="BodyText"/>
      </w:pPr>
      <w:r>
        <w:t xml:space="preserve">601</w:t>
      </w:r>
    </w:p>
    <w:p>
      <w:pPr>
        <w:pStyle w:val="BodyText"/>
      </w:pPr>
      <w:r>
        <w:t xml:space="preserve">Table 187: Mapping of average surveillance data onto Eurostat e-commerce product categories</w:t>
      </w:r>
      <w:r>
        <w:t xml:space="preserve"> </w:t>
      </w:r>
      <w:r>
        <w:t xml:space="preserve">EUROSTAT</w:t>
      </w:r>
      <w:r>
        <w:t xml:space="preserve"> </w:t>
      </w:r>
      <w:r>
        <w:t xml:space="preserve">e-</w:t>
      </w:r>
      <w:r>
        <w:t xml:space="preserve"> </w:t>
      </w:r>
      <w:r>
        <w:t xml:space="preserve">commerce</w:t>
      </w:r>
      <w:r>
        <w:t xml:space="preserve"> </w:t>
      </w:r>
      <w:r>
        <w:t xml:space="preserve">data</w:t>
      </w:r>
      <w:r>
        <w:t xml:space="preserve"> </w:t>
      </w:r>
      <w:r>
        <w:t xml:space="preserve">category</w:t>
      </w:r>
      <w:r>
        <w:t xml:space="preserve"> </w:t>
      </w:r>
      <w:r>
        <w:t xml:space="preserve">Category</w:t>
      </w:r>
      <w:r>
        <w:t xml:space="preserve"> </w:t>
      </w:r>
      <w:r>
        <w:t xml:space="preserve">from</w:t>
      </w:r>
      <w:r>
        <w:t xml:space="preserve"> </w:t>
      </w:r>
      <w:r>
        <w:t xml:space="preserve">surveillance data</w:t>
      </w:r>
      <w:r>
        <w:t xml:space="preserve"> </w:t>
      </w:r>
      <w:r>
        <w:t xml:space="preserve">CLP</w:t>
      </w:r>
      <w:r>
        <w:t xml:space="preserve"> </w:t>
      </w:r>
      <w:r>
        <w:t xml:space="preserve">REACH</w:t>
      </w:r>
      <w:r>
        <w:t xml:space="preserve"> </w:t>
      </w:r>
      <w:r>
        <w:t xml:space="preserve">(RESTRICTION)</w:t>
      </w:r>
      <w:r>
        <w:t xml:space="preserve"> </w:t>
      </w:r>
      <w:r>
        <w:t xml:space="preserve">Clothes</w:t>
      </w:r>
      <w:r>
        <w:t xml:space="preserve"> </w:t>
      </w:r>
      <w:r>
        <w:t xml:space="preserve">(including</w:t>
      </w:r>
      <w:r>
        <w:t xml:space="preserve"> </w:t>
      </w:r>
      <w:r>
        <w:t xml:space="preserve">sport clothing), shoes</w:t>
      </w:r>
      <w:r>
        <w:t xml:space="preserve"> </w:t>
      </w:r>
      <w:r>
        <w:t xml:space="preserve">or accessories</w:t>
      </w:r>
      <w:r>
        <w:t xml:space="preserve"> </w:t>
      </w:r>
      <w:r>
        <w:t xml:space="preserve">LEATHER</w:t>
      </w:r>
      <w:r>
        <w:t xml:space="preserve"> </w:t>
      </w:r>
      <w:r>
        <w:t xml:space="preserve">AND</w:t>
      </w:r>
      <w:r>
        <w:t xml:space="preserve"> </w:t>
      </w:r>
      <w:r>
        <w:t xml:space="preserve">TEXTILES - average</w:t>
      </w:r>
      <w:r>
        <w:t xml:space="preserve"> </w:t>
      </w:r>
      <w:r>
        <w:t xml:space="preserve">No</w:t>
      </w:r>
      <w:r>
        <w:t xml:space="preserve"> </w:t>
      </w:r>
      <w:r>
        <w:t xml:space="preserve">data/not</w:t>
      </w:r>
      <w:r>
        <w:t xml:space="preserve"> </w:t>
      </w:r>
      <w:r>
        <w:t xml:space="preserve">applicable</w:t>
      </w:r>
      <w:r>
        <w:t xml:space="preserve"> </w:t>
      </w:r>
      <w:r>
        <w:t xml:space="preserve">3%</w:t>
      </w:r>
      <w:r>
        <w:t xml:space="preserve"> </w:t>
      </w:r>
      <w:r>
        <w:t xml:space="preserve">Lower scenario</w:t>
      </w:r>
      <w:r>
        <w:t xml:space="preserve"> </w:t>
      </w:r>
      <w:r>
        <w:t xml:space="preserve">-</w:t>
      </w:r>
      <w:r>
        <w:t xml:space="preserve"> </w:t>
      </w:r>
      <w:r>
        <w:t xml:space="preserve">2%</w:t>
      </w:r>
      <w:r>
        <w:t xml:space="preserve"> </w:t>
      </w:r>
      <w:r>
        <w:t xml:space="preserve">Central scenario</w:t>
      </w:r>
      <w:r>
        <w:t xml:space="preserve"> </w:t>
      </w:r>
      <w:r>
        <w:t xml:space="preserve">-</w:t>
      </w:r>
      <w:r>
        <w:t xml:space="preserve"> </w:t>
      </w:r>
      <w:r>
        <w:t xml:space="preserve">3%</w:t>
      </w:r>
      <w:r>
        <w:t xml:space="preserve"> </w:t>
      </w:r>
      <w:r>
        <w:t xml:space="preserve">Upper scenario</w:t>
      </w:r>
      <w:r>
        <w:t xml:space="preserve"> </w:t>
      </w:r>
      <w:r>
        <w:t xml:space="preserve">-</w:t>
      </w:r>
      <w:r>
        <w:t xml:space="preserve"> </w:t>
      </w:r>
      <w:r>
        <w:t xml:space="preserve">5%</w:t>
      </w:r>
      <w:r>
        <w:t xml:space="preserve"> </w:t>
      </w:r>
      <w:r>
        <w:t xml:space="preserve">Children</w:t>
      </w:r>
      <w:r>
        <w:t xml:space="preserve"> </w:t>
      </w:r>
      <w:r>
        <w:t xml:space="preserve">toys</w:t>
      </w:r>
      <w:r>
        <w:t xml:space="preserve"> </w:t>
      </w:r>
      <w:r>
        <w:t xml:space="preserve">or</w:t>
      </w:r>
      <w:r>
        <w:t xml:space="preserve"> </w:t>
      </w:r>
      <w:r>
        <w:t xml:space="preserve">childcare items</w:t>
      </w:r>
      <w:r>
        <w:t xml:space="preserve"> </w:t>
      </w:r>
      <w:r>
        <w:t xml:space="preserve">TOYS</w:t>
      </w:r>
      <w:r>
        <w:t xml:space="preserve"> </w:t>
      </w:r>
      <w:r>
        <w:t xml:space="preserve">AND</w:t>
      </w:r>
      <w:r>
        <w:t xml:space="preserve"> </w:t>
      </w:r>
      <w:r>
        <w:t xml:space="preserve">CHILDCARE ITEMS -</w:t>
      </w:r>
      <w:r>
        <w:t xml:space="preserve"> </w:t>
      </w:r>
      <w:r>
        <w:t xml:space="preserve">average</w:t>
      </w:r>
      <w:r>
        <w:t xml:space="preserve"> </w:t>
      </w:r>
      <w:r>
        <w:t xml:space="preserve">No</w:t>
      </w:r>
      <w:r>
        <w:t xml:space="preserve"> </w:t>
      </w:r>
      <w:r>
        <w:t xml:space="preserve">data/not</w:t>
      </w:r>
      <w:r>
        <w:t xml:space="preserve"> </w:t>
      </w:r>
      <w:r>
        <w:t xml:space="preserve">applicable</w:t>
      </w:r>
      <w:r>
        <w:t xml:space="preserve"> </w:t>
      </w:r>
      <w:r>
        <w:t xml:space="preserve">20%</w:t>
      </w:r>
      <w:r>
        <w:t xml:space="preserve"> </w:t>
      </w:r>
      <w:r>
        <w:t xml:space="preserve">Lower scenario</w:t>
      </w:r>
      <w:r>
        <w:t xml:space="preserve"> </w:t>
      </w:r>
      <w:r>
        <w:t xml:space="preserve">-</w:t>
      </w:r>
      <w:r>
        <w:t xml:space="preserve"> </w:t>
      </w:r>
      <w:r>
        <w:t xml:space="preserve">3%</w:t>
      </w:r>
      <w:r>
        <w:t xml:space="preserve"> </w:t>
      </w:r>
      <w:r>
        <w:t xml:space="preserve">Central scenario</w:t>
      </w:r>
      <w:r>
        <w:t xml:space="preserve"> </w:t>
      </w:r>
      <w:r>
        <w:t xml:space="preserve">-</w:t>
      </w:r>
      <w:r>
        <w:t xml:space="preserve"> </w:t>
      </w:r>
      <w:r>
        <w:t xml:space="preserve">5%</w:t>
      </w:r>
      <w:r>
        <w:t xml:space="preserve"> </w:t>
      </w:r>
      <w:r>
        <w:t xml:space="preserve">Upper scenario</w:t>
      </w:r>
      <w:r>
        <w:t xml:space="preserve"> </w:t>
      </w:r>
      <w:r>
        <w:t xml:space="preserve">-</w:t>
      </w:r>
      <w:r>
        <w:t xml:space="preserve"> </w:t>
      </w:r>
      <w:r>
        <w:t xml:space="preserve">10%</w:t>
      </w:r>
      <w:r>
        <w:t xml:space="preserve"> </w:t>
      </w:r>
      <w:r>
        <w:t xml:space="preserve">Furniture,</w:t>
      </w:r>
      <w:r>
        <w:t xml:space="preserve"> </w:t>
      </w:r>
      <w:r>
        <w:t xml:space="preserve">home</w:t>
      </w:r>
      <w:r>
        <w:t xml:space="preserve"> </w:t>
      </w:r>
      <w:r>
        <w:t xml:space="preserve">accessories</w:t>
      </w:r>
      <w:r>
        <w:t xml:space="preserve"> </w:t>
      </w:r>
      <w:r>
        <w:t xml:space="preserve">or</w:t>
      </w:r>
      <w:r>
        <w:t xml:space="preserve"> </w:t>
      </w:r>
      <w:r>
        <w:t xml:space="preserve">gardening products</w:t>
      </w:r>
      <w:r>
        <w:t xml:space="preserve"> </w:t>
      </w:r>
      <w:r>
        <w:t xml:space="preserve">No comparable category</w:t>
      </w:r>
      <w:r>
        <w:t xml:space="preserve"> </w:t>
      </w:r>
      <w:r>
        <w:t xml:space="preserve">in surveillance data</w:t>
      </w:r>
      <w:r>
        <w:t xml:space="preserve"> </w:t>
      </w:r>
      <w:r>
        <w:t xml:space="preserve">No data</w:t>
      </w:r>
      <w:r>
        <w:t xml:space="preserve"> </w:t>
      </w:r>
      <w:r>
        <w:t xml:space="preserve">No data</w:t>
      </w:r>
      <w:r>
        <w:t xml:space="preserve"> </w:t>
      </w:r>
      <w:r>
        <w:t xml:space="preserve">Lower scenario</w:t>
      </w:r>
      <w:r>
        <w:t xml:space="preserve"> </w:t>
      </w:r>
      <w:r>
        <w:t xml:space="preserve">-</w:t>
      </w:r>
      <w:r>
        <w:t xml:space="preserve"> </w:t>
      </w:r>
      <w:r>
        <w:t xml:space="preserve">1%</w:t>
      </w:r>
      <w:r>
        <w:t xml:space="preserve"> </w:t>
      </w:r>
      <w:r>
        <w:t xml:space="preserve">Central scenario</w:t>
      </w:r>
      <w:r>
        <w:t xml:space="preserve"> </w:t>
      </w:r>
      <w:r>
        <w:t xml:space="preserve">-</w:t>
      </w:r>
      <w:r>
        <w:t xml:space="preserve"> </w:t>
      </w:r>
      <w:r>
        <w:t xml:space="preserve">2%</w:t>
      </w:r>
      <w:r>
        <w:t xml:space="preserve"> </w:t>
      </w:r>
      <w:r>
        <w:t xml:space="preserve">Upper scenario</w:t>
      </w:r>
      <w:r>
        <w:t xml:space="preserve"> </w:t>
      </w:r>
      <w:r>
        <w:t xml:space="preserve">-</w:t>
      </w:r>
      <w:r>
        <w:t xml:space="preserve"> </w:t>
      </w:r>
      <w:r>
        <w:t xml:space="preserve">3%</w:t>
      </w:r>
      <w:r>
        <w:t xml:space="preserve"> </w:t>
      </w:r>
      <w:r>
        <w:t xml:space="preserve">Computers,</w:t>
      </w:r>
      <w:r>
        <w:t xml:space="preserve"> </w:t>
      </w:r>
      <w:r>
        <w:t xml:space="preserve">tablets,</w:t>
      </w:r>
      <w:r>
        <w:t xml:space="preserve"> </w:t>
      </w:r>
      <w:r>
        <w:t xml:space="preserve">mobile</w:t>
      </w:r>
      <w:r>
        <w:t xml:space="preserve"> </w:t>
      </w:r>
      <w:r>
        <w:t xml:space="preserve">phones</w:t>
      </w:r>
      <w:r>
        <w:t xml:space="preserve"> </w:t>
      </w:r>
      <w:r>
        <w:t xml:space="preserve">or</w:t>
      </w:r>
      <w:r>
        <w:t xml:space="preserve"> </w:t>
      </w:r>
      <w:r>
        <w:t xml:space="preserve">accessories</w:t>
      </w:r>
      <w:r>
        <w:t xml:space="preserve"> </w:t>
      </w:r>
      <w:r>
        <w:t xml:space="preserve">ELECTRICAL</w:t>
      </w:r>
      <w:r>
        <w:t xml:space="preserve"> </w:t>
      </w:r>
      <w:r>
        <w:t xml:space="preserve">PRODUCTS - average</w:t>
      </w:r>
      <w:r>
        <w:t xml:space="preserve"> </w:t>
      </w:r>
      <w:r>
        <w:t xml:space="preserve">No</w:t>
      </w:r>
      <w:r>
        <w:t xml:space="preserve"> </w:t>
      </w:r>
      <w:r>
        <w:t xml:space="preserve">data/not</w:t>
      </w:r>
      <w:r>
        <w:t xml:space="preserve"> </w:t>
      </w:r>
      <w:r>
        <w:t xml:space="preserve">applicable</w:t>
      </w:r>
      <w:r>
        <w:t xml:space="preserve"> </w:t>
      </w:r>
      <w:r>
        <w:t xml:space="preserve">44%</w:t>
      </w:r>
      <w:r>
        <w:t xml:space="preserve"> </w:t>
      </w:r>
      <w:r>
        <w:t xml:space="preserve">Lower scenario</w:t>
      </w:r>
      <w:r>
        <w:t xml:space="preserve"> </w:t>
      </w:r>
      <w:r>
        <w:t xml:space="preserve">-</w:t>
      </w:r>
      <w:r>
        <w:t xml:space="preserve"> </w:t>
      </w:r>
      <w:r>
        <w:t xml:space="preserve">5%</w:t>
      </w:r>
      <w:r>
        <w:t xml:space="preserve"> </w:t>
      </w:r>
      <w:r>
        <w:t xml:space="preserve">Central scenario</w:t>
      </w:r>
      <w:r>
        <w:t xml:space="preserve"> </w:t>
      </w:r>
      <w:r>
        <w:t xml:space="preserve">-</w:t>
      </w:r>
      <w:r>
        <w:t xml:space="preserve"> </w:t>
      </w:r>
      <w:r>
        <w:t xml:space="preserve">8%</w:t>
      </w:r>
      <w:r>
        <w:t xml:space="preserve"> </w:t>
      </w:r>
      <w:r>
        <w:t xml:space="preserve">Upper scenario</w:t>
      </w:r>
      <w:r>
        <w:t xml:space="preserve"> </w:t>
      </w:r>
      <w:r>
        <w:t xml:space="preserve">-</w:t>
      </w:r>
      <w:r>
        <w:t xml:space="preserve"> </w:t>
      </w:r>
      <w:r>
        <w:t xml:space="preserve">10%</w:t>
      </w:r>
      <w:r>
        <w:t xml:space="preserve"> </w:t>
      </w:r>
      <w:r>
        <w:t xml:space="preserve">Consumer electronics</w:t>
      </w:r>
      <w:r>
        <w:t xml:space="preserve"> </w:t>
      </w:r>
      <w:r>
        <w:t xml:space="preserve">or</w:t>
      </w:r>
      <w:r>
        <w:t xml:space="preserve"> </w:t>
      </w:r>
      <w:r>
        <w:t xml:space="preserve">household</w:t>
      </w:r>
      <w:r>
        <w:t xml:space="preserve"> </w:t>
      </w:r>
      <w:r>
        <w:t xml:space="preserve">appliances</w:t>
      </w:r>
      <w:r>
        <w:t xml:space="preserve"> </w:t>
      </w:r>
      <w:r>
        <w:t xml:space="preserve">ELECTRICAL</w:t>
      </w:r>
      <w:r>
        <w:t xml:space="preserve"> </w:t>
      </w:r>
      <w:r>
        <w:t xml:space="preserve">PRODUCTS - average</w:t>
      </w:r>
      <w:r>
        <w:t xml:space="preserve"> </w:t>
      </w:r>
      <w:r>
        <w:t xml:space="preserve">No</w:t>
      </w:r>
      <w:r>
        <w:t xml:space="preserve"> </w:t>
      </w:r>
      <w:r>
        <w:t xml:space="preserve">data/not</w:t>
      </w:r>
      <w:r>
        <w:t xml:space="preserve"> </w:t>
      </w:r>
      <w:r>
        <w:t xml:space="preserve">applicable</w:t>
      </w:r>
      <w:r>
        <w:t xml:space="preserve"> </w:t>
      </w:r>
      <w:r>
        <w:t xml:space="preserve">44%</w:t>
      </w:r>
      <w:r>
        <w:t xml:space="preserve"> </w:t>
      </w:r>
      <w:r>
        <w:t xml:space="preserve">Lower scenario</w:t>
      </w:r>
      <w:r>
        <w:t xml:space="preserve"> </w:t>
      </w:r>
      <w:r>
        <w:t xml:space="preserve">-</w:t>
      </w:r>
      <w:r>
        <w:t xml:space="preserve"> </w:t>
      </w:r>
      <w:r>
        <w:t xml:space="preserve">5%</w:t>
      </w:r>
      <w:r>
        <w:t xml:space="preserve"> </w:t>
      </w:r>
      <w:r>
        <w:t xml:space="preserve">Central scenario</w:t>
      </w:r>
      <w:r>
        <w:t xml:space="preserve"> </w:t>
      </w:r>
      <w:r>
        <w:t xml:space="preserve">-</w:t>
      </w:r>
      <w:r>
        <w:t xml:space="preserve"> </w:t>
      </w:r>
      <w:r>
        <w:t xml:space="preserve">8%</w:t>
      </w:r>
      <w:r>
        <w:t xml:space="preserve"> </w:t>
      </w:r>
      <w:r>
        <w:t xml:space="preserve">Upper scenario</w:t>
      </w:r>
      <w:r>
        <w:t xml:space="preserve"> </w:t>
      </w:r>
      <w:r>
        <w:t xml:space="preserve">-</w:t>
      </w:r>
      <w:r>
        <w:t xml:space="preserve"> </w:t>
      </w:r>
      <w:r>
        <w:t xml:space="preserve">10%</w:t>
      </w:r>
      <w:r>
        <w:t xml:space="preserve"> </w:t>
      </w:r>
      <w:r>
        <w:t xml:space="preserve">Cosmetics, beauty or</w:t>
      </w:r>
      <w:r>
        <w:t xml:space="preserve"> </w:t>
      </w:r>
      <w:r>
        <w:t xml:space="preserve">wellness products</w:t>
      </w:r>
      <w:r>
        <w:t xml:space="preserve"> </w:t>
      </w:r>
      <w:r>
        <w:t xml:space="preserve">COSMETICS - average</w:t>
      </w:r>
      <w:r>
        <w:t xml:space="preserve"> </w:t>
      </w:r>
      <w:r>
        <w:t xml:space="preserve">No</w:t>
      </w:r>
      <w:r>
        <w:t xml:space="preserve"> </w:t>
      </w:r>
      <w:r>
        <w:t xml:space="preserve">data/not</w:t>
      </w:r>
      <w:r>
        <w:t xml:space="preserve"> </w:t>
      </w:r>
      <w:r>
        <w:t xml:space="preserve">applicable</w:t>
      </w:r>
      <w:r>
        <w:t xml:space="preserve"> </w:t>
      </w:r>
      <w:r>
        <w:t xml:space="preserve">37%</w:t>
      </w:r>
      <w:r>
        <w:t xml:space="preserve"> </w:t>
      </w:r>
      <w:r>
        <w:t xml:space="preserve">Lower scenario</w:t>
      </w:r>
      <w:r>
        <w:t xml:space="preserve"> </w:t>
      </w:r>
      <w:r>
        <w:t xml:space="preserve">-</w:t>
      </w:r>
      <w:r>
        <w:t xml:space="preserve"> </w:t>
      </w:r>
      <w:r>
        <w:t xml:space="preserve">3%</w:t>
      </w:r>
      <w:r>
        <w:t xml:space="preserve"> </w:t>
      </w:r>
      <w:r>
        <w:t xml:space="preserve">Central scenario</w:t>
      </w:r>
      <w:r>
        <w:t xml:space="preserve"> </w:t>
      </w:r>
      <w:r>
        <w:t xml:space="preserve">-</w:t>
      </w:r>
      <w:r>
        <w:t xml:space="preserve"> </w:t>
      </w:r>
      <w:r>
        <w:t xml:space="preserve">5%</w:t>
      </w:r>
      <w:r>
        <w:t xml:space="preserve"> </w:t>
      </w:r>
      <w:r>
        <w:t xml:space="preserve">Upper scenario</w:t>
      </w:r>
      <w:r>
        <w:t xml:space="preserve"> </w:t>
      </w:r>
      <w:r>
        <w:t xml:space="preserve">-</w:t>
      </w:r>
      <w:r>
        <w:t xml:space="preserve"> </w:t>
      </w:r>
      <w:r>
        <w:t xml:space="preserve">8%</w:t>
      </w:r>
      <w:r>
        <w:t xml:space="preserve"> </w:t>
      </w:r>
      <w:r>
        <w:t xml:space="preserve">Cleaning products or</w:t>
      </w:r>
      <w:r>
        <w:t xml:space="preserve"> </w:t>
      </w:r>
      <w:r>
        <w:t xml:space="preserve">personal</w:t>
      </w:r>
      <w:r>
        <w:t xml:space="preserve"> </w:t>
      </w:r>
      <w:r>
        <w:t xml:space="preserve">hygiene</w:t>
      </w:r>
      <w:r>
        <w:t xml:space="preserve"> </w:t>
      </w:r>
      <w:r>
        <w:t xml:space="preserve">products</w:t>
      </w:r>
      <w:r>
        <w:t xml:space="preserve"> </w:t>
      </w:r>
      <w:r>
        <w:t xml:space="preserve">Online</w:t>
      </w:r>
      <w:r>
        <w:t xml:space="preserve"> </w:t>
      </w:r>
      <w:r>
        <w:t xml:space="preserve">products</w:t>
      </w:r>
      <w:r>
        <w:t xml:space="preserve"> </w:t>
      </w:r>
      <w:r>
        <w:t xml:space="preserve">(substances,</w:t>
      </w:r>
      <w:r>
        <w:t xml:space="preserve"> </w:t>
      </w:r>
      <w:r>
        <w:t xml:space="preserve">mixtures,</w:t>
      </w:r>
      <w:r>
        <w:t xml:space="preserve"> </w:t>
      </w:r>
      <w:r>
        <w:t xml:space="preserve">articles)</w:t>
      </w:r>
      <w:r>
        <w:t xml:space="preserve"> </w:t>
      </w:r>
      <w:r>
        <w:t xml:space="preserve">from</w:t>
      </w:r>
      <w:r>
        <w:t xml:space="preserve"> </w:t>
      </w:r>
      <w:r>
        <w:t xml:space="preserve">EU</w:t>
      </w:r>
      <w:r>
        <w:t xml:space="preserve"> </w:t>
      </w:r>
      <w:r>
        <w:t xml:space="preserve">marketplace</w:t>
      </w:r>
      <w:r>
        <w:t xml:space="preserve"> </w:t>
      </w:r>
      <w:r>
        <w:t xml:space="preserve">70%</w:t>
      </w:r>
      <w:r>
        <w:t xml:space="preserve"> </w:t>
      </w:r>
      <w:r>
        <w:t xml:space="preserve">49%</w:t>
      </w:r>
      <w:r>
        <w:t xml:space="preserve"> </w:t>
      </w:r>
      <w:r>
        <w:t xml:space="preserve">Lower scenario</w:t>
      </w:r>
      <w:r>
        <w:t xml:space="preserve"> </w:t>
      </w:r>
      <w:r>
        <w:t xml:space="preserve">10%</w:t>
      </w:r>
      <w:r>
        <w:t xml:space="preserve"> </w:t>
      </w:r>
      <w:r>
        <w:t xml:space="preserve">2%</w:t>
      </w:r>
      <w:r>
        <w:t xml:space="preserve"> </w:t>
      </w:r>
      <w:r>
        <w:t xml:space="preserve">Central scenario</w:t>
      </w:r>
      <w:r>
        <w:t xml:space="preserve"> </w:t>
      </w:r>
      <w:r>
        <w:t xml:space="preserve">15%</w:t>
      </w:r>
      <w:r>
        <w:t xml:space="preserve"> </w:t>
      </w:r>
      <w:r>
        <w:t xml:space="preserve">5%</w:t>
      </w:r>
      <w:r>
        <w:t xml:space="preserve"> </w:t>
      </w:r>
      <w:r>
        <w:t xml:space="preserve">Upper scenario</w:t>
      </w:r>
      <w:r>
        <w:t xml:space="preserve"> </w:t>
      </w:r>
      <w:r>
        <w:t xml:space="preserve">30%</w:t>
      </w:r>
      <w:r>
        <w:t xml:space="preserve"> </w:t>
      </w:r>
      <w:r>
        <w:t xml:space="preserve">10%</w:t>
      </w:r>
      <w:r>
        <w:t xml:space="preserve"> </w:t>
      </w:r>
      <w:r>
        <w:t xml:space="preserve">Bicycles,</w:t>
      </w:r>
      <w:r>
        <w:t xml:space="preserve"> </w:t>
      </w:r>
      <w:r>
        <w:t xml:space="preserve">mopeds,</w:t>
      </w:r>
      <w:r>
        <w:t xml:space="preserve"> </w:t>
      </w:r>
      <w:r>
        <w:t xml:space="preserve">cars, or other vehicles</w:t>
      </w:r>
      <w:r>
        <w:t xml:space="preserve"> </w:t>
      </w:r>
      <w:r>
        <w:t xml:space="preserve">or their spare parts</w:t>
      </w:r>
      <w:r>
        <w:t xml:space="preserve"> </w:t>
      </w:r>
      <w:r>
        <w:t xml:space="preserve">No comparable category</w:t>
      </w:r>
      <w:r>
        <w:t xml:space="preserve"> </w:t>
      </w:r>
      <w:r>
        <w:t xml:space="preserve">in surveillance data</w:t>
      </w:r>
      <w:r>
        <w:t xml:space="preserve"> </w:t>
      </w:r>
      <w:r>
        <w:t xml:space="preserve">No data</w:t>
      </w:r>
      <w:r>
        <w:t xml:space="preserve"> </w:t>
      </w:r>
      <w:r>
        <w:t xml:space="preserve">No data</w:t>
      </w:r>
      <w:r>
        <w:t xml:space="preserve"> </w:t>
      </w:r>
      <w:r>
        <w:t xml:space="preserve">Lower scenario</w:t>
      </w:r>
      <w:r>
        <w:t xml:space="preserve"> </w:t>
      </w:r>
      <w:r>
        <w:t xml:space="preserve">-</w:t>
      </w:r>
      <w:r>
        <w:t xml:space="preserve"> </w:t>
      </w:r>
      <w:r>
        <w:t xml:space="preserve">1%</w:t>
      </w:r>
      <w:r>
        <w:t xml:space="preserve"> </w:t>
      </w:r>
      <w:r>
        <w:t xml:space="preserve">Central scenario</w:t>
      </w:r>
      <w:r>
        <w:t xml:space="preserve"> </w:t>
      </w:r>
      <w:r>
        <w:t xml:space="preserve">-</w:t>
      </w:r>
      <w:r>
        <w:t xml:space="preserve"> </w:t>
      </w:r>
      <w:r>
        <w:t xml:space="preserve">2%</w:t>
      </w:r>
      <w:r>
        <w:t xml:space="preserve"> </w:t>
      </w:r>
      <w:r>
        <w:t xml:space="preserve">Upper scenario</w:t>
      </w:r>
      <w:r>
        <w:t xml:space="preserve"> </w:t>
      </w:r>
      <w:r>
        <w:t xml:space="preserve">-</w:t>
      </w:r>
      <w:r>
        <w:t xml:space="preserve"> </w:t>
      </w:r>
      <w:r>
        <w:t xml:space="preserve">3%</w:t>
      </w:r>
    </w:p>
    <w:p>
      <w:pPr>
        <w:pStyle w:val="BodyText"/>
      </w:pPr>
      <w:r>
        <w:t xml:space="preserve">For REACH compliance the available evidence is conflicting. One of the data points in</w:t>
      </w:r>
      <w:r>
        <w:t xml:space="preserve"> </w:t>
      </w:r>
      <w:r>
        <w:t xml:space="preserve">Table 183: from the Ref 8 report suggests 98% non-compliance for ‘online products’</w:t>
      </w:r>
      <w:r>
        <w:t xml:space="preserve"> </w:t>
      </w:r>
      <w:r>
        <w:t xml:space="preserve">sourced from sellers within the EU compared with 84% non-compliance for outside the</w:t>
      </w:r>
    </w:p>
    <w:p>
      <w:pPr>
        <w:pStyle w:val="BodyText"/>
      </w:pPr>
      <w:r>
        <w:t xml:space="preserve">602</w:t>
      </w:r>
    </w:p>
    <w:p>
      <w:pPr>
        <w:pStyle w:val="BodyText"/>
      </w:pPr>
      <w:r>
        <w:t xml:space="preserve">EU. In contrast, the only other data point (for lead in solder, also from the Ref 8 report)</w:t>
      </w:r>
      <w:r>
        <w:t xml:space="preserve"> </w:t>
      </w:r>
      <w:r>
        <w:t xml:space="preserve">suggests 40% non-compliance for the EU compared with 60% non-compliance for</w:t>
      </w:r>
      <w:r>
        <w:t xml:space="preserve"> </w:t>
      </w:r>
      <w:r>
        <w:t xml:space="preserve">outside the EU (i.e. 1.5x).</w:t>
      </w:r>
      <w:r>
        <w:t xml:space="preserve"> </w:t>
      </w:r>
      <w:r>
        <w:t xml:space="preserve">Considering thee values, lower, central and higher scenario assumptions for increased</w:t>
      </w:r>
      <w:r>
        <w:t xml:space="preserve"> </w:t>
      </w:r>
      <w:r>
        <w:t xml:space="preserve">levels of non-compliance with CLP and REACH are applied in the analysis. The</w:t>
      </w:r>
      <w:r>
        <w:t xml:space="preserve"> </w:t>
      </w:r>
      <w:r>
        <w:t xml:space="preserve">multipliers applied are provided in Table 187 and the resulting percentage non-</w:t>
      </w:r>
      <w:r>
        <w:t xml:space="preserve"> </w:t>
      </w:r>
      <w:r>
        <w:t xml:space="preserve">compliance in the scenarios by application of these to the scenarios in Table 186 are</w:t>
      </w:r>
      <w:r>
        <w:t xml:space="preserve"> </w:t>
      </w:r>
      <w:r>
        <w:t xml:space="preserve">provided in Table 188.</w:t>
      </w:r>
      <w:r>
        <w:t xml:space="preserve"> </w:t>
      </w:r>
      <w:r>
        <w:t xml:space="preserve">Table 188: Non-compliance of products sources from sellers outside the EU relative to sellers within</w:t>
      </w:r>
      <w:r>
        <w:t xml:space="preserve"> </w:t>
      </w:r>
      <w:r>
        <w:t xml:space="preserve">(multipliers)</w:t>
      </w:r>
    </w:p>
    <w:p>
      <w:pPr>
        <w:pStyle w:val="BodyText"/>
      </w:pPr>
      <w:r>
        <w:t xml:space="preserve">CLP</w:t>
      </w:r>
      <w:r>
        <w:t xml:space="preserve"> </w:t>
      </w:r>
      <w:r>
        <w:t xml:space="preserve">REACH (RESTRICTION)</w:t>
      </w:r>
      <w:r>
        <w:t xml:space="preserve"> </w:t>
      </w:r>
      <w:r>
        <w:t xml:space="preserve">Lower scenario</w:t>
      </w:r>
      <w:r>
        <w:t xml:space="preserve"> </w:t>
      </w:r>
      <w:r>
        <w:t xml:space="preserve">1.37</w:t>
      </w:r>
      <w:r>
        <w:t xml:space="preserve"> </w:t>
      </w:r>
      <w:r>
        <w:t xml:space="preserve">1.37</w:t>
      </w:r>
      <w:r>
        <w:t xml:space="preserve"> </w:t>
      </w:r>
      <w:r>
        <w:t xml:space="preserve">Central scenario</w:t>
      </w:r>
      <w:r>
        <w:t xml:space="preserve"> </w:t>
      </w:r>
      <w:r>
        <w:t xml:space="preserve">1.5</w:t>
      </w:r>
      <w:r>
        <w:t xml:space="preserve"> </w:t>
      </w:r>
      <w:r>
        <w:t xml:space="preserve">1.5</w:t>
      </w:r>
      <w:r>
        <w:t xml:space="preserve"> </w:t>
      </w:r>
      <w:r>
        <w:t xml:space="preserve">Upper scenario</w:t>
      </w:r>
      <w:r>
        <w:t xml:space="preserve"> </w:t>
      </w:r>
      <w:r>
        <w:t xml:space="preserve">2</w:t>
      </w:r>
      <w:r>
        <w:t xml:space="preserve"> </w:t>
      </w:r>
      <w:r>
        <w:t xml:space="preserve">2</w:t>
      </w:r>
    </w:p>
    <w:p>
      <w:pPr>
        <w:pStyle w:val="BodyText"/>
      </w:pPr>
      <w:r>
        <w:t xml:space="preserve">603</w:t>
      </w:r>
    </w:p>
    <w:p>
      <w:pPr>
        <w:pStyle w:val="BodyText"/>
      </w:pPr>
      <w:r>
        <w:t xml:space="preserve">Table 189: Resulting scenarios for levels of non-compliance of online products for the assessment</w:t>
      </w:r>
      <w:r>
        <w:t xml:space="preserve"> </w:t>
      </w:r>
      <w:r>
        <w:t xml:space="preserve">Within EU</w:t>
      </w:r>
      <w:r>
        <w:t xml:space="preserve"> </w:t>
      </w:r>
      <w:r>
        <w:t xml:space="preserve">Outside EU</w:t>
      </w:r>
    </w:p>
    <w:p>
      <w:pPr>
        <w:pStyle w:val="BodyText"/>
      </w:pPr>
      <w:r>
        <w:t xml:space="preserve">CLP</w:t>
      </w:r>
      <w:r>
        <w:t xml:space="preserve"> </w:t>
      </w:r>
      <w:r>
        <w:t xml:space="preserve">REACH</w:t>
      </w:r>
      <w:r>
        <w:t xml:space="preserve"> </w:t>
      </w:r>
      <w:r>
        <w:t xml:space="preserve">(RESTRIC</w:t>
      </w:r>
      <w:r>
        <w:t xml:space="preserve"> </w:t>
      </w:r>
      <w:r>
        <w:t xml:space="preserve">TION)</w:t>
      </w:r>
      <w:r>
        <w:t xml:space="preserve"> </w:t>
      </w:r>
      <w:r>
        <w:t xml:space="preserve">CLP</w:t>
      </w:r>
      <w:r>
        <w:t xml:space="preserve"> </w:t>
      </w:r>
      <w:r>
        <w:t xml:space="preserve">REACH</w:t>
      </w:r>
      <w:r>
        <w:t xml:space="preserve"> </w:t>
      </w:r>
      <w:r>
        <w:t xml:space="preserve">(RESTRIC</w:t>
      </w:r>
      <w:r>
        <w:t xml:space="preserve"> </w:t>
      </w:r>
      <w:r>
        <w:t xml:space="preserve">TION)</w:t>
      </w:r>
      <w:r>
        <w:t xml:space="preserve"> </w:t>
      </w:r>
      <w:r>
        <w:t xml:space="preserve">Clothes</w:t>
      </w:r>
      <w:r>
        <w:t xml:space="preserve"> </w:t>
      </w:r>
      <w:r>
        <w:t xml:space="preserve">(including</w:t>
      </w:r>
      <w:r>
        <w:t xml:space="preserve"> </w:t>
      </w:r>
      <w:r>
        <w:t xml:space="preserve">sport clothing), shoes</w:t>
      </w:r>
      <w:r>
        <w:t xml:space="preserve"> </w:t>
      </w:r>
      <w:r>
        <w:t xml:space="preserve">or accessories</w:t>
      </w:r>
      <w:r>
        <w:t xml:space="preserve"> </w:t>
      </w:r>
      <w:r>
        <w:t xml:space="preserve">Lower scenario</w:t>
      </w:r>
      <w:r>
        <w:t xml:space="preserve"> </w:t>
      </w:r>
      <w:r>
        <w:t xml:space="preserve">-</w:t>
      </w:r>
      <w:r>
        <w:t xml:space="preserve"> </w:t>
      </w:r>
      <w:r>
        <w:t xml:space="preserve">2%</w:t>
      </w:r>
      <w:r>
        <w:t xml:space="preserve"> </w:t>
      </w:r>
      <w:r>
        <w:t xml:space="preserve">-</w:t>
      </w:r>
      <w:r>
        <w:t xml:space="preserve"> </w:t>
      </w:r>
      <w:r>
        <w:t xml:space="preserve">3%</w:t>
      </w:r>
      <w:r>
        <w:t xml:space="preserve"> </w:t>
      </w:r>
      <w:r>
        <w:t xml:space="preserve">Central</w:t>
      </w:r>
      <w:r>
        <w:t xml:space="preserve"> </w:t>
      </w:r>
      <w:r>
        <w:t xml:space="preserve">scenario</w:t>
      </w:r>
      <w:r>
        <w:t xml:space="preserve"> </w:t>
      </w:r>
      <w:r>
        <w:t xml:space="preserve">-</w:t>
      </w:r>
      <w:r>
        <w:t xml:space="preserve"> </w:t>
      </w:r>
      <w:r>
        <w:t xml:space="preserve">3%</w:t>
      </w:r>
      <w:r>
        <w:t xml:space="preserve"> </w:t>
      </w:r>
      <w:r>
        <w:t xml:space="preserve">-</w:t>
      </w:r>
      <w:r>
        <w:t xml:space="preserve"> </w:t>
      </w:r>
      <w:r>
        <w:t xml:space="preserve">5%</w:t>
      </w:r>
      <w:r>
        <w:t xml:space="preserve"> </w:t>
      </w:r>
      <w:r>
        <w:t xml:space="preserve">Upper scenario</w:t>
      </w:r>
      <w:r>
        <w:t xml:space="preserve"> </w:t>
      </w:r>
      <w:r>
        <w:t xml:space="preserve">-</w:t>
      </w:r>
      <w:r>
        <w:t xml:space="preserve"> </w:t>
      </w:r>
      <w:r>
        <w:t xml:space="preserve">5%</w:t>
      </w:r>
      <w:r>
        <w:t xml:space="preserve"> </w:t>
      </w:r>
      <w:r>
        <w:t xml:space="preserve">-</w:t>
      </w:r>
      <w:r>
        <w:t xml:space="preserve"> </w:t>
      </w:r>
      <w:r>
        <w:t xml:space="preserve">10%</w:t>
      </w:r>
      <w:r>
        <w:t xml:space="preserve"> </w:t>
      </w:r>
      <w:r>
        <w:t xml:space="preserve">Children</w:t>
      </w:r>
      <w:r>
        <w:t xml:space="preserve"> </w:t>
      </w:r>
      <w:r>
        <w:t xml:space="preserve">toys</w:t>
      </w:r>
      <w:r>
        <w:t xml:space="preserve"> </w:t>
      </w:r>
      <w:r>
        <w:t xml:space="preserve">or</w:t>
      </w:r>
      <w:r>
        <w:t xml:space="preserve"> </w:t>
      </w:r>
      <w:r>
        <w:t xml:space="preserve">childcare items</w:t>
      </w:r>
      <w:r>
        <w:t xml:space="preserve"> </w:t>
      </w:r>
      <w:r>
        <w:t xml:space="preserve">Lower scenario</w:t>
      </w:r>
      <w:r>
        <w:t xml:space="preserve"> </w:t>
      </w:r>
      <w:r>
        <w:t xml:space="preserve">-</w:t>
      </w:r>
      <w:r>
        <w:t xml:space="preserve"> </w:t>
      </w:r>
      <w:r>
        <w:t xml:space="preserve">3%</w:t>
      </w:r>
      <w:r>
        <w:t xml:space="preserve"> </w:t>
      </w:r>
      <w:r>
        <w:t xml:space="preserve">-</w:t>
      </w:r>
      <w:r>
        <w:t xml:space="preserve"> </w:t>
      </w:r>
      <w:r>
        <w:t xml:space="preserve">4%</w:t>
      </w:r>
      <w:r>
        <w:t xml:space="preserve"> </w:t>
      </w:r>
      <w:r>
        <w:t xml:space="preserve">Central</w:t>
      </w:r>
      <w:r>
        <w:t xml:space="preserve"> </w:t>
      </w:r>
      <w:r>
        <w:t xml:space="preserve">scenario</w:t>
      </w:r>
      <w:r>
        <w:t xml:space="preserve"> </w:t>
      </w:r>
      <w:r>
        <w:t xml:space="preserve">-</w:t>
      </w:r>
      <w:r>
        <w:t xml:space="preserve"> </w:t>
      </w:r>
      <w:r>
        <w:t xml:space="preserve">5%</w:t>
      </w:r>
      <w:r>
        <w:t xml:space="preserve"> </w:t>
      </w:r>
      <w:r>
        <w:t xml:space="preserve">-</w:t>
      </w:r>
      <w:r>
        <w:t xml:space="preserve"> </w:t>
      </w:r>
      <w:r>
        <w:t xml:space="preserve">8%</w:t>
      </w:r>
      <w:r>
        <w:t xml:space="preserve"> </w:t>
      </w:r>
      <w:r>
        <w:t xml:space="preserve">Upper scenario</w:t>
      </w:r>
      <w:r>
        <w:t xml:space="preserve"> </w:t>
      </w:r>
      <w:r>
        <w:t xml:space="preserve">-</w:t>
      </w:r>
      <w:r>
        <w:t xml:space="preserve"> </w:t>
      </w:r>
      <w:r>
        <w:t xml:space="preserve">10%</w:t>
      </w:r>
      <w:r>
        <w:t xml:space="preserve"> </w:t>
      </w:r>
      <w:r>
        <w:t xml:space="preserve">-</w:t>
      </w:r>
      <w:r>
        <w:t xml:space="preserve"> </w:t>
      </w:r>
      <w:r>
        <w:t xml:space="preserve">20%</w:t>
      </w:r>
      <w:r>
        <w:t xml:space="preserve"> </w:t>
      </w:r>
      <w:r>
        <w:t xml:space="preserve">Furniture,</w:t>
      </w:r>
      <w:r>
        <w:t xml:space="preserve"> </w:t>
      </w:r>
      <w:r>
        <w:t xml:space="preserve">home</w:t>
      </w:r>
      <w:r>
        <w:t xml:space="preserve"> </w:t>
      </w:r>
      <w:r>
        <w:t xml:space="preserve">accessories</w:t>
      </w:r>
      <w:r>
        <w:t xml:space="preserve"> </w:t>
      </w:r>
      <w:r>
        <w:t xml:space="preserve">or</w:t>
      </w:r>
      <w:r>
        <w:t xml:space="preserve"> </w:t>
      </w:r>
      <w:r>
        <w:t xml:space="preserve">gardening products</w:t>
      </w:r>
      <w:r>
        <w:t xml:space="preserve"> </w:t>
      </w:r>
      <w:r>
        <w:t xml:space="preserve">Lower scenario</w:t>
      </w:r>
      <w:r>
        <w:t xml:space="preserve"> </w:t>
      </w:r>
      <w:r>
        <w:t xml:space="preserve">-</w:t>
      </w:r>
      <w:r>
        <w:t xml:space="preserve"> </w:t>
      </w:r>
      <w:r>
        <w:t xml:space="preserve">1%</w:t>
      </w:r>
      <w:r>
        <w:t xml:space="preserve"> </w:t>
      </w:r>
      <w:r>
        <w:t xml:space="preserve">-</w:t>
      </w:r>
      <w:r>
        <w:t xml:space="preserve"> </w:t>
      </w:r>
      <w:r>
        <w:t xml:space="preserve">1%</w:t>
      </w:r>
      <w:r>
        <w:t xml:space="preserve"> </w:t>
      </w:r>
      <w:r>
        <w:t xml:space="preserve">Central</w:t>
      </w:r>
      <w:r>
        <w:t xml:space="preserve"> </w:t>
      </w:r>
      <w:r>
        <w:t xml:space="preserve">scenario</w:t>
      </w:r>
      <w:r>
        <w:t xml:space="preserve"> </w:t>
      </w:r>
      <w:r>
        <w:t xml:space="preserve">-</w:t>
      </w:r>
      <w:r>
        <w:t xml:space="preserve"> </w:t>
      </w:r>
      <w:r>
        <w:t xml:space="preserve">2%</w:t>
      </w:r>
      <w:r>
        <w:t xml:space="preserve"> </w:t>
      </w:r>
      <w:r>
        <w:t xml:space="preserve">-</w:t>
      </w:r>
      <w:r>
        <w:t xml:space="preserve"> </w:t>
      </w:r>
      <w:r>
        <w:t xml:space="preserve">3%</w:t>
      </w:r>
      <w:r>
        <w:t xml:space="preserve"> </w:t>
      </w:r>
      <w:r>
        <w:t xml:space="preserve">Upper scenario</w:t>
      </w:r>
      <w:r>
        <w:t xml:space="preserve"> </w:t>
      </w:r>
      <w:r>
        <w:t xml:space="preserve">-</w:t>
      </w:r>
      <w:r>
        <w:t xml:space="preserve"> </w:t>
      </w:r>
      <w:r>
        <w:t xml:space="preserve">3%</w:t>
      </w:r>
      <w:r>
        <w:t xml:space="preserve"> </w:t>
      </w:r>
      <w:r>
        <w:t xml:space="preserve">-</w:t>
      </w:r>
      <w:r>
        <w:t xml:space="preserve"> </w:t>
      </w:r>
      <w:r>
        <w:t xml:space="preserve">6%</w:t>
      </w:r>
      <w:r>
        <w:t xml:space="preserve"> </w:t>
      </w:r>
      <w:r>
        <w:t xml:space="preserve">Computers,</w:t>
      </w:r>
      <w:r>
        <w:t xml:space="preserve"> </w:t>
      </w:r>
      <w:r>
        <w:t xml:space="preserve">tablets,</w:t>
      </w:r>
      <w:r>
        <w:t xml:space="preserve"> </w:t>
      </w:r>
      <w:r>
        <w:t xml:space="preserve">mobile</w:t>
      </w:r>
      <w:r>
        <w:t xml:space="preserve"> </w:t>
      </w:r>
      <w:r>
        <w:t xml:space="preserve">phones</w:t>
      </w:r>
      <w:r>
        <w:t xml:space="preserve"> </w:t>
      </w:r>
      <w:r>
        <w:t xml:space="preserve">or</w:t>
      </w:r>
      <w:r>
        <w:t xml:space="preserve"> </w:t>
      </w:r>
      <w:r>
        <w:t xml:space="preserve">accessories</w:t>
      </w:r>
      <w:r>
        <w:t xml:space="preserve"> </w:t>
      </w:r>
      <w:r>
        <w:t xml:space="preserve">Lower scenario</w:t>
      </w:r>
      <w:r>
        <w:t xml:space="preserve"> </w:t>
      </w:r>
      <w:r>
        <w:t xml:space="preserve">-</w:t>
      </w:r>
      <w:r>
        <w:t xml:space="preserve"> </w:t>
      </w:r>
      <w:r>
        <w:t xml:space="preserve">5%</w:t>
      </w:r>
      <w:r>
        <w:t xml:space="preserve"> </w:t>
      </w:r>
      <w:r>
        <w:t xml:space="preserve">-</w:t>
      </w:r>
      <w:r>
        <w:t xml:space="preserve"> </w:t>
      </w:r>
      <w:r>
        <w:t xml:space="preserve">7%</w:t>
      </w:r>
      <w:r>
        <w:t xml:space="preserve"> </w:t>
      </w:r>
      <w:r>
        <w:t xml:space="preserve">Central</w:t>
      </w:r>
      <w:r>
        <w:t xml:space="preserve"> </w:t>
      </w:r>
      <w:r>
        <w:t xml:space="preserve">scenario</w:t>
      </w:r>
      <w:r>
        <w:t xml:space="preserve"> </w:t>
      </w:r>
      <w:r>
        <w:t xml:space="preserve">-</w:t>
      </w:r>
      <w:r>
        <w:t xml:space="preserve"> </w:t>
      </w:r>
      <w:r>
        <w:t xml:space="preserve">8%</w:t>
      </w:r>
      <w:r>
        <w:t xml:space="preserve"> </w:t>
      </w:r>
      <w:r>
        <w:t xml:space="preserve">-</w:t>
      </w:r>
      <w:r>
        <w:t xml:space="preserve"> </w:t>
      </w:r>
      <w:r>
        <w:t xml:space="preserve">12%</w:t>
      </w:r>
      <w:r>
        <w:t xml:space="preserve"> </w:t>
      </w:r>
      <w:r>
        <w:t xml:space="preserve">Upper scenario</w:t>
      </w:r>
      <w:r>
        <w:t xml:space="preserve"> </w:t>
      </w:r>
      <w:r>
        <w:t xml:space="preserve">-</w:t>
      </w:r>
      <w:r>
        <w:t xml:space="preserve"> </w:t>
      </w:r>
      <w:r>
        <w:t xml:space="preserve">10%</w:t>
      </w:r>
      <w:r>
        <w:t xml:space="preserve"> </w:t>
      </w:r>
      <w:r>
        <w:t xml:space="preserve">-</w:t>
      </w:r>
      <w:r>
        <w:t xml:space="preserve"> </w:t>
      </w:r>
      <w:r>
        <w:t xml:space="preserve">20%</w:t>
      </w:r>
      <w:r>
        <w:t xml:space="preserve"> </w:t>
      </w:r>
      <w:r>
        <w:t xml:space="preserve">Consumer</w:t>
      </w:r>
      <w:r>
        <w:t xml:space="preserve"> </w:t>
      </w:r>
      <w:r>
        <w:t xml:space="preserve">electronics</w:t>
      </w:r>
      <w:r>
        <w:t xml:space="preserve"> </w:t>
      </w:r>
      <w:r>
        <w:t xml:space="preserve">or</w:t>
      </w:r>
      <w:r>
        <w:t xml:space="preserve"> </w:t>
      </w:r>
      <w:r>
        <w:t xml:space="preserve">household</w:t>
      </w:r>
      <w:r>
        <w:t xml:space="preserve"> </w:t>
      </w:r>
      <w:r>
        <w:t xml:space="preserve">appliances</w:t>
      </w:r>
      <w:r>
        <w:t xml:space="preserve"> </w:t>
      </w:r>
      <w:r>
        <w:t xml:space="preserve">Lower scenario</w:t>
      </w:r>
      <w:r>
        <w:t xml:space="preserve"> </w:t>
      </w:r>
      <w:r>
        <w:t xml:space="preserve">-</w:t>
      </w:r>
      <w:r>
        <w:t xml:space="preserve"> </w:t>
      </w:r>
      <w:r>
        <w:t xml:space="preserve">5%</w:t>
      </w:r>
      <w:r>
        <w:t xml:space="preserve"> </w:t>
      </w:r>
      <w:r>
        <w:t xml:space="preserve">-</w:t>
      </w:r>
      <w:r>
        <w:t xml:space="preserve"> </w:t>
      </w:r>
      <w:r>
        <w:t xml:space="preserve">7%</w:t>
      </w:r>
      <w:r>
        <w:t xml:space="preserve"> </w:t>
      </w:r>
      <w:r>
        <w:t xml:space="preserve">Central</w:t>
      </w:r>
      <w:r>
        <w:t xml:space="preserve"> </w:t>
      </w:r>
      <w:r>
        <w:t xml:space="preserve">scenario</w:t>
      </w:r>
      <w:r>
        <w:t xml:space="preserve"> </w:t>
      </w:r>
      <w:r>
        <w:t xml:space="preserve">-</w:t>
      </w:r>
      <w:r>
        <w:t xml:space="preserve"> </w:t>
      </w:r>
      <w:r>
        <w:t xml:space="preserve">8%</w:t>
      </w:r>
      <w:r>
        <w:t xml:space="preserve"> </w:t>
      </w:r>
      <w:r>
        <w:t xml:space="preserve">-</w:t>
      </w:r>
      <w:r>
        <w:t xml:space="preserve"> </w:t>
      </w:r>
      <w:r>
        <w:t xml:space="preserve">12%</w:t>
      </w:r>
      <w:r>
        <w:t xml:space="preserve"> </w:t>
      </w:r>
      <w:r>
        <w:t xml:space="preserve">Upper scenario</w:t>
      </w:r>
      <w:r>
        <w:t xml:space="preserve"> </w:t>
      </w:r>
      <w:r>
        <w:t xml:space="preserve">-</w:t>
      </w:r>
      <w:r>
        <w:t xml:space="preserve"> </w:t>
      </w:r>
      <w:r>
        <w:t xml:space="preserve">10%</w:t>
      </w:r>
      <w:r>
        <w:t xml:space="preserve"> </w:t>
      </w:r>
      <w:r>
        <w:t xml:space="preserve">-</w:t>
      </w:r>
      <w:r>
        <w:t xml:space="preserve"> </w:t>
      </w:r>
      <w:r>
        <w:t xml:space="preserve">20%</w:t>
      </w:r>
      <w:r>
        <w:t xml:space="preserve"> </w:t>
      </w:r>
      <w:r>
        <w:t xml:space="preserve">Cosmetics, beauty or</w:t>
      </w:r>
      <w:r>
        <w:t xml:space="preserve"> </w:t>
      </w:r>
      <w:r>
        <w:t xml:space="preserve">wellness products</w:t>
      </w:r>
      <w:r>
        <w:t xml:space="preserve"> </w:t>
      </w:r>
      <w:r>
        <w:t xml:space="preserve">Lower scenario</w:t>
      </w:r>
      <w:r>
        <w:t xml:space="preserve"> </w:t>
      </w:r>
      <w:r>
        <w:t xml:space="preserve">-</w:t>
      </w:r>
      <w:r>
        <w:t xml:space="preserve"> </w:t>
      </w:r>
      <w:r>
        <w:t xml:space="preserve">3%</w:t>
      </w:r>
      <w:r>
        <w:t xml:space="preserve"> </w:t>
      </w:r>
      <w:r>
        <w:t xml:space="preserve">-</w:t>
      </w:r>
      <w:r>
        <w:t xml:space="preserve"> </w:t>
      </w:r>
      <w:r>
        <w:t xml:space="preserve">4%</w:t>
      </w:r>
      <w:r>
        <w:t xml:space="preserve"> </w:t>
      </w:r>
      <w:r>
        <w:t xml:space="preserve">Central</w:t>
      </w:r>
      <w:r>
        <w:t xml:space="preserve"> </w:t>
      </w:r>
      <w:r>
        <w:t xml:space="preserve">scenario</w:t>
      </w:r>
      <w:r>
        <w:t xml:space="preserve"> </w:t>
      </w:r>
      <w:r>
        <w:t xml:space="preserve">-</w:t>
      </w:r>
      <w:r>
        <w:t xml:space="preserve"> </w:t>
      </w:r>
      <w:r>
        <w:t xml:space="preserve">5%</w:t>
      </w:r>
      <w:r>
        <w:t xml:space="preserve"> </w:t>
      </w:r>
      <w:r>
        <w:t xml:space="preserve">-</w:t>
      </w:r>
      <w:r>
        <w:t xml:space="preserve"> </w:t>
      </w:r>
      <w:r>
        <w:t xml:space="preserve">8%</w:t>
      </w:r>
      <w:r>
        <w:t xml:space="preserve"> </w:t>
      </w:r>
      <w:r>
        <w:t xml:space="preserve">Upper scenario</w:t>
      </w:r>
      <w:r>
        <w:t xml:space="preserve"> </w:t>
      </w:r>
      <w:r>
        <w:t xml:space="preserve">-</w:t>
      </w:r>
      <w:r>
        <w:t xml:space="preserve"> </w:t>
      </w:r>
      <w:r>
        <w:t xml:space="preserve">8%</w:t>
      </w:r>
      <w:r>
        <w:t xml:space="preserve"> </w:t>
      </w:r>
      <w:r>
        <w:t xml:space="preserve">-</w:t>
      </w:r>
      <w:r>
        <w:t xml:space="preserve"> </w:t>
      </w:r>
      <w:r>
        <w:t xml:space="preserve">16%</w:t>
      </w:r>
      <w:r>
        <w:t xml:space="preserve"> </w:t>
      </w:r>
      <w:r>
        <w:t xml:space="preserve">Cleaning products or</w:t>
      </w:r>
      <w:r>
        <w:t xml:space="preserve"> </w:t>
      </w:r>
      <w:r>
        <w:t xml:space="preserve">personal</w:t>
      </w:r>
      <w:r>
        <w:t xml:space="preserve"> </w:t>
      </w:r>
      <w:r>
        <w:t xml:space="preserve">hygiene</w:t>
      </w:r>
      <w:r>
        <w:t xml:space="preserve"> </w:t>
      </w:r>
      <w:r>
        <w:t xml:space="preserve">products</w:t>
      </w:r>
      <w:r>
        <w:t xml:space="preserve"> </w:t>
      </w:r>
      <w:r>
        <w:t xml:space="preserve">Lower scenario</w:t>
      </w:r>
      <w:r>
        <w:t xml:space="preserve"> </w:t>
      </w:r>
      <w:r>
        <w:t xml:space="preserve">10%</w:t>
      </w:r>
      <w:r>
        <w:t xml:space="preserve"> </w:t>
      </w:r>
      <w:r>
        <w:t xml:space="preserve">2%</w:t>
      </w:r>
      <w:r>
        <w:t xml:space="preserve"> </w:t>
      </w:r>
      <w:r>
        <w:t xml:space="preserve">14%</w:t>
      </w:r>
      <w:r>
        <w:t xml:space="preserve"> </w:t>
      </w:r>
      <w:r>
        <w:t xml:space="preserve">3%</w:t>
      </w:r>
      <w:r>
        <w:t xml:space="preserve"> </w:t>
      </w:r>
      <w:r>
        <w:t xml:space="preserve">Central</w:t>
      </w:r>
      <w:r>
        <w:t xml:space="preserve"> </w:t>
      </w:r>
      <w:r>
        <w:t xml:space="preserve">scenario</w:t>
      </w:r>
      <w:r>
        <w:t xml:space="preserve"> </w:t>
      </w:r>
      <w:r>
        <w:t xml:space="preserve">15%</w:t>
      </w:r>
      <w:r>
        <w:t xml:space="preserve"> </w:t>
      </w:r>
      <w:r>
        <w:t xml:space="preserve">5%</w:t>
      </w:r>
      <w:r>
        <w:t xml:space="preserve"> </w:t>
      </w:r>
      <w:r>
        <w:t xml:space="preserve">23%</w:t>
      </w:r>
      <w:r>
        <w:t xml:space="preserve"> </w:t>
      </w:r>
      <w:r>
        <w:t xml:space="preserve">8%</w:t>
      </w:r>
      <w:r>
        <w:t xml:space="preserve"> </w:t>
      </w:r>
      <w:r>
        <w:t xml:space="preserve">Upper scenario</w:t>
      </w:r>
      <w:r>
        <w:t xml:space="preserve"> </w:t>
      </w:r>
      <w:r>
        <w:t xml:space="preserve">30%</w:t>
      </w:r>
      <w:r>
        <w:t xml:space="preserve"> </w:t>
      </w:r>
      <w:r>
        <w:t xml:space="preserve">10%</w:t>
      </w:r>
      <w:r>
        <w:t xml:space="preserve"> </w:t>
      </w:r>
      <w:r>
        <w:t xml:space="preserve">60%</w:t>
      </w:r>
      <w:r>
        <w:t xml:space="preserve"> </w:t>
      </w:r>
      <w:r>
        <w:t xml:space="preserve">20%</w:t>
      </w:r>
      <w:r>
        <w:t xml:space="preserve"> </w:t>
      </w:r>
      <w:r>
        <w:t xml:space="preserve">Bicycles, mopeds, cars,</w:t>
      </w:r>
      <w:r>
        <w:t xml:space="preserve"> </w:t>
      </w:r>
      <w:r>
        <w:t xml:space="preserve">or other vehicles or</w:t>
      </w:r>
      <w:r>
        <w:t xml:space="preserve"> </w:t>
      </w:r>
      <w:r>
        <w:t xml:space="preserve">their spare parts</w:t>
      </w:r>
      <w:r>
        <w:t xml:space="preserve"> </w:t>
      </w:r>
      <w:r>
        <w:t xml:space="preserve">Lower scenario</w:t>
      </w:r>
      <w:r>
        <w:t xml:space="preserve"> </w:t>
      </w:r>
      <w:r>
        <w:t xml:space="preserve">-</w:t>
      </w:r>
      <w:r>
        <w:t xml:space="preserve"> </w:t>
      </w:r>
      <w:r>
        <w:t xml:space="preserve">1%</w:t>
      </w:r>
      <w:r>
        <w:t xml:space="preserve"> </w:t>
      </w:r>
      <w:r>
        <w:t xml:space="preserve">-</w:t>
      </w:r>
      <w:r>
        <w:t xml:space="preserve"> </w:t>
      </w:r>
      <w:r>
        <w:t xml:space="preserve">1%</w:t>
      </w:r>
      <w:r>
        <w:t xml:space="preserve"> </w:t>
      </w:r>
      <w:r>
        <w:t xml:space="preserve">Central</w:t>
      </w:r>
      <w:r>
        <w:t xml:space="preserve"> </w:t>
      </w:r>
      <w:r>
        <w:t xml:space="preserve">scenario</w:t>
      </w:r>
      <w:r>
        <w:t xml:space="preserve"> </w:t>
      </w:r>
      <w:r>
        <w:t xml:space="preserve">-</w:t>
      </w:r>
      <w:r>
        <w:t xml:space="preserve"> </w:t>
      </w:r>
      <w:r>
        <w:t xml:space="preserve">2%</w:t>
      </w:r>
      <w:r>
        <w:t xml:space="preserve"> </w:t>
      </w:r>
      <w:r>
        <w:t xml:space="preserve">-</w:t>
      </w:r>
      <w:r>
        <w:t xml:space="preserve"> </w:t>
      </w:r>
      <w:r>
        <w:t xml:space="preserve">3%</w:t>
      </w:r>
      <w:r>
        <w:t xml:space="preserve"> </w:t>
      </w:r>
      <w:r>
        <w:t xml:space="preserve">Upper scenario</w:t>
      </w:r>
      <w:r>
        <w:t xml:space="preserve"> </w:t>
      </w:r>
      <w:r>
        <w:t xml:space="preserve">-</w:t>
      </w:r>
      <w:r>
        <w:t xml:space="preserve"> </w:t>
      </w:r>
      <w:r>
        <w:t xml:space="preserve">3%</w:t>
      </w:r>
      <w:r>
        <w:t xml:space="preserve"> </w:t>
      </w:r>
      <w:r>
        <w:t xml:space="preserve">-</w:t>
      </w:r>
      <w:r>
        <w:t xml:space="preserve"> </w:t>
      </w:r>
      <w:r>
        <w:t xml:space="preserve">6%</w:t>
      </w:r>
    </w:p>
    <w:p>
      <w:pPr>
        <w:pStyle w:val="BodyText"/>
      </w:pPr>
      <w:r>
        <w:t xml:space="preserve">Resulting numbers of non-compliant online products</w:t>
      </w:r>
      <w:r>
        <w:t xml:space="preserve"> </w:t>
      </w:r>
      <w:r>
        <w:t xml:space="preserve">The resulting total numbers of online products purchased and the number of CLP and</w:t>
      </w:r>
      <w:r>
        <w:t xml:space="preserve"> </w:t>
      </w:r>
      <w:r>
        <w:t xml:space="preserve">REACH non-compliant products for 2021 and 2022 and all of the three scenarios are</w:t>
      </w:r>
      <w:r>
        <w:t xml:space="preserve"> </w:t>
      </w:r>
      <w:r>
        <w:t xml:space="preserve">provided in Table 189. A breakdown of these numbers by product type for the year 2021</w:t>
      </w:r>
      <w:r>
        <w:t xml:space="preserve"> </w:t>
      </w:r>
      <w:r>
        <w:t xml:space="preserve">is provided for the central scenario in Table 190.</w:t>
      </w:r>
    </w:p>
    <w:p>
      <w:pPr>
        <w:pStyle w:val="BodyText"/>
      </w:pPr>
      <w:r>
        <w:t xml:space="preserve">604</w:t>
      </w:r>
    </w:p>
    <w:p>
      <w:pPr>
        <w:pStyle w:val="BodyText"/>
      </w:pPr>
      <w:r>
        <w:t xml:space="preserve">Table 190: Total number of online products purchased and number of CLP and REACH non-compliant</w:t>
      </w:r>
      <w:r>
        <w:t xml:space="preserve"> </w:t>
      </w:r>
      <w:r>
        <w:t xml:space="preserve">products purchased (millions of products) under each scenario</w:t>
      </w:r>
      <w:r>
        <w:t xml:space="preserve"> </w:t>
      </w:r>
      <w:r>
        <w:t xml:space="preserve">Location of</w:t>
      </w:r>
      <w:r>
        <w:t xml:space="preserve"> </w:t>
      </w:r>
      <w:r>
        <w:t xml:space="preserve">seller</w:t>
      </w:r>
      <w:r>
        <w:t xml:space="preserve"> </w:t>
      </w:r>
      <w:r>
        <w:t xml:space="preserve">Year</w:t>
      </w:r>
      <w:r>
        <w:t xml:space="preserve"> </w:t>
      </w:r>
      <w:r>
        <w:t xml:space="preserve">Total</w:t>
      </w:r>
      <w:r>
        <w:t xml:space="preserve"> </w:t>
      </w:r>
      <w:r>
        <w:t xml:space="preserve">purchases</w:t>
      </w:r>
      <w:r>
        <w:t xml:space="preserve"> </w:t>
      </w:r>
      <w:r>
        <w:t xml:space="preserve">(million)</w:t>
      </w:r>
      <w:r>
        <w:t xml:space="preserve"> </w:t>
      </w:r>
      <w:r>
        <w:t xml:space="preserve">Total</w:t>
      </w:r>
      <w:r>
        <w:t xml:space="preserve"> </w:t>
      </w:r>
      <w:r>
        <w:t xml:space="preserve">number</w:t>
      </w:r>
      <w:r>
        <w:t xml:space="preserve"> </w:t>
      </w:r>
      <w:r>
        <w:t xml:space="preserve">of</w:t>
      </w:r>
      <w:r>
        <w:t xml:space="preserve"> </w:t>
      </w:r>
      <w:r>
        <w:t xml:space="preserve">consumers</w:t>
      </w:r>
      <w:r>
        <w:t xml:space="preserve"> </w:t>
      </w:r>
      <w:r>
        <w:t xml:space="preserve">(million)</w:t>
      </w:r>
      <w:r>
        <w:t xml:space="preserve"> </w:t>
      </w:r>
      <w:r>
        <w:t xml:space="preserve">CLP</w:t>
      </w:r>
      <w:r>
        <w:t xml:space="preserve"> </w:t>
      </w:r>
      <w:r>
        <w:t xml:space="preserve">non-</w:t>
      </w:r>
      <w:r>
        <w:t xml:space="preserve"> </w:t>
      </w:r>
      <w:r>
        <w:t xml:space="preserve">compliant</w:t>
      </w:r>
      <w:r>
        <w:t xml:space="preserve"> </w:t>
      </w:r>
      <w:r>
        <w:t xml:space="preserve">(millions)</w:t>
      </w:r>
      <w:r>
        <w:t xml:space="preserve"> </w:t>
      </w:r>
      <w:r>
        <w:t xml:space="preserve">REACH</w:t>
      </w:r>
      <w:r>
        <w:t xml:space="preserve"> </w:t>
      </w:r>
      <w:r>
        <w:t xml:space="preserve">Restriction</w:t>
      </w:r>
      <w:r>
        <w:t xml:space="preserve"> </w:t>
      </w:r>
      <w:r>
        <w:t xml:space="preserve">non-</w:t>
      </w:r>
      <w:r>
        <w:t xml:space="preserve"> </w:t>
      </w:r>
      <w:r>
        <w:t xml:space="preserve">compliant</w:t>
      </w:r>
      <w:r>
        <w:t xml:space="preserve"> </w:t>
      </w:r>
      <w:r>
        <w:t xml:space="preserve">(million)</w:t>
      </w:r>
      <w:r>
        <w:t xml:space="preserve"> </w:t>
      </w:r>
      <w:r>
        <w:t xml:space="preserve">Lower scenario</w:t>
      </w:r>
      <w:r>
        <w:t xml:space="preserve"> </w:t>
      </w:r>
      <w:r>
        <w:t xml:space="preserve">Within EU</w:t>
      </w:r>
      <w:r>
        <w:t xml:space="preserve"> </w:t>
      </w:r>
      <w:r>
        <w:t xml:space="preserve">2020</w:t>
      </w:r>
      <w:r>
        <w:t xml:space="preserve"> </w:t>
      </w:r>
      <w:r>
        <w:t xml:space="preserve">1,545.9</w:t>
      </w:r>
      <w:r>
        <w:t xml:space="preserve"> </w:t>
      </w:r>
      <w:r>
        <w:t xml:space="preserve">248.3</w:t>
      </w:r>
      <w:r>
        <w:t xml:space="preserve"> </w:t>
      </w:r>
      <w:r>
        <w:t xml:space="preserve">11.5</w:t>
      </w:r>
      <w:r>
        <w:t xml:space="preserve"> </w:t>
      </w:r>
      <w:r>
        <w:t xml:space="preserve">41.7</w:t>
      </w:r>
      <w:r>
        <w:t xml:space="preserve"> </w:t>
      </w:r>
      <w:r>
        <w:t xml:space="preserve">Outside EU</w:t>
      </w:r>
      <w:r>
        <w:t xml:space="preserve"> </w:t>
      </w:r>
      <w:r>
        <w:t xml:space="preserve">2020</w:t>
      </w:r>
      <w:r>
        <w:t xml:space="preserve"> </w:t>
      </w:r>
      <w:r>
        <w:t xml:space="preserve">386.5</w:t>
      </w:r>
      <w:r>
        <w:t xml:space="preserve"> </w:t>
      </w:r>
      <w:r>
        <w:t xml:space="preserve">62.6</w:t>
      </w:r>
      <w:r>
        <w:t xml:space="preserve"> </w:t>
      </w:r>
      <w:r>
        <w:t xml:space="preserve">3.9</w:t>
      </w:r>
      <w:r>
        <w:t xml:space="preserve"> </w:t>
      </w:r>
      <w:r>
        <w:t xml:space="preserve">14.3</w:t>
      </w:r>
      <w:r>
        <w:t xml:space="preserve"> </w:t>
      </w:r>
      <w:r>
        <w:t xml:space="preserve">Within EU</w:t>
      </w:r>
      <w:r>
        <w:t xml:space="preserve"> </w:t>
      </w:r>
      <w:r>
        <w:t xml:space="preserve">2021</w:t>
      </w:r>
      <w:r>
        <w:t xml:space="preserve"> </w:t>
      </w:r>
      <w:r>
        <w:t xml:space="preserve">1,609.2</w:t>
      </w:r>
      <w:r>
        <w:t xml:space="preserve"> </w:t>
      </w:r>
      <w:r>
        <w:t xml:space="preserve">251.0</w:t>
      </w:r>
      <w:r>
        <w:t xml:space="preserve"> </w:t>
      </w:r>
      <w:r>
        <w:t xml:space="preserve">11.1</w:t>
      </w:r>
      <w:r>
        <w:t xml:space="preserve"> </w:t>
      </w:r>
      <w:r>
        <w:t xml:space="preserve">42.5</w:t>
      </w:r>
      <w:r>
        <w:t xml:space="preserve"> </w:t>
      </w:r>
      <w:r>
        <w:t xml:space="preserve">Outside EU</w:t>
      </w:r>
      <w:r>
        <w:t xml:space="preserve"> </w:t>
      </w:r>
      <w:r>
        <w:t xml:space="preserve">2021</w:t>
      </w:r>
      <w:r>
        <w:t xml:space="preserve"> </w:t>
      </w:r>
      <w:r>
        <w:t xml:space="preserve">470.4</w:t>
      </w:r>
      <w:r>
        <w:t xml:space="preserve"> </w:t>
      </w:r>
      <w:r>
        <w:t xml:space="preserve">69.5</w:t>
      </w:r>
      <w:r>
        <w:t xml:space="preserve"> </w:t>
      </w:r>
      <w:r>
        <w:t xml:space="preserve">4.4</w:t>
      </w:r>
      <w:r>
        <w:t xml:space="preserve"> </w:t>
      </w:r>
      <w:r>
        <w:t xml:space="preserve">17.0</w:t>
      </w:r>
      <w:r>
        <w:t xml:space="preserve"> </w:t>
      </w:r>
      <w:r>
        <w:t xml:space="preserve">Central scenario</w:t>
      </w:r>
      <w:r>
        <w:t xml:space="preserve"> </w:t>
      </w:r>
      <w:r>
        <w:t xml:space="preserve">Within EU</w:t>
      </w:r>
      <w:r>
        <w:t xml:space="preserve"> </w:t>
      </w:r>
      <w:r>
        <w:t xml:space="preserve">2020</w:t>
      </w:r>
      <w:r>
        <w:t xml:space="preserve"> </w:t>
      </w:r>
      <w:r>
        <w:t xml:space="preserve">1,545.9</w:t>
      </w:r>
      <w:r>
        <w:t xml:space="preserve"> </w:t>
      </w:r>
      <w:r>
        <w:t xml:space="preserve">248.3</w:t>
      </w:r>
      <w:r>
        <w:t xml:space="preserve"> </w:t>
      </w:r>
      <w:r>
        <w:t xml:space="preserve">17.2</w:t>
      </w:r>
      <w:r>
        <w:t xml:space="preserve"> </w:t>
      </w:r>
      <w:r>
        <w:t xml:space="preserve">69.6</w:t>
      </w:r>
      <w:r>
        <w:t xml:space="preserve"> </w:t>
      </w:r>
      <w:r>
        <w:t xml:space="preserve">Outside EU</w:t>
      </w:r>
      <w:r>
        <w:t xml:space="preserve"> </w:t>
      </w:r>
      <w:r>
        <w:t xml:space="preserve">2020</w:t>
      </w:r>
      <w:r>
        <w:t xml:space="preserve"> </w:t>
      </w:r>
      <w:r>
        <w:t xml:space="preserve">386.5</w:t>
      </w:r>
      <w:r>
        <w:t xml:space="preserve"> </w:t>
      </w:r>
      <w:r>
        <w:t xml:space="preserve">62.6</w:t>
      </w:r>
      <w:r>
        <w:t xml:space="preserve"> </w:t>
      </w:r>
      <w:r>
        <w:t xml:space="preserve">6.4</w:t>
      </w:r>
      <w:r>
        <w:t xml:space="preserve"> </w:t>
      </w:r>
      <w:r>
        <w:t xml:space="preserve">26.1</w:t>
      </w:r>
      <w:r>
        <w:t xml:space="preserve"> </w:t>
      </w:r>
      <w:r>
        <w:t xml:space="preserve">Within EU</w:t>
      </w:r>
      <w:r>
        <w:t xml:space="preserve"> </w:t>
      </w:r>
      <w:r>
        <w:t xml:space="preserve">2021</w:t>
      </w:r>
      <w:r>
        <w:t xml:space="preserve"> </w:t>
      </w:r>
      <w:r>
        <w:t xml:space="preserve">1,609.2</w:t>
      </w:r>
      <w:r>
        <w:t xml:space="preserve"> </w:t>
      </w:r>
      <w:r>
        <w:t xml:space="preserve">251.0</w:t>
      </w:r>
      <w:r>
        <w:t xml:space="preserve"> </w:t>
      </w:r>
      <w:r>
        <w:t xml:space="preserve">16.6</w:t>
      </w:r>
      <w:r>
        <w:t xml:space="preserve"> </w:t>
      </w:r>
      <w:r>
        <w:t xml:space="preserve">70.8</w:t>
      </w:r>
      <w:r>
        <w:t xml:space="preserve"> </w:t>
      </w:r>
      <w:r>
        <w:t xml:space="preserve">Outside EU</w:t>
      </w:r>
      <w:r>
        <w:t xml:space="preserve"> </w:t>
      </w:r>
      <w:r>
        <w:t xml:space="preserve">2021</w:t>
      </w:r>
      <w:r>
        <w:t xml:space="preserve"> </w:t>
      </w:r>
      <w:r>
        <w:t xml:space="preserve">470.4</w:t>
      </w:r>
      <w:r>
        <w:t xml:space="preserve"> </w:t>
      </w:r>
      <w:r>
        <w:t xml:space="preserve">69.5</w:t>
      </w:r>
      <w:r>
        <w:t xml:space="preserve"> </w:t>
      </w:r>
      <w:r>
        <w:t xml:space="preserve">7.3</w:t>
      </w:r>
      <w:r>
        <w:t xml:space="preserve"> </w:t>
      </w:r>
      <w:r>
        <w:t xml:space="preserve">31.0</w:t>
      </w:r>
      <w:r>
        <w:t xml:space="preserve"> </w:t>
      </w:r>
      <w:r>
        <w:t xml:space="preserve">Upper scenario</w:t>
      </w:r>
      <w:r>
        <w:t xml:space="preserve"> </w:t>
      </w:r>
      <w:r>
        <w:t xml:space="preserve">Within EU</w:t>
      </w:r>
      <w:r>
        <w:t xml:space="preserve"> </w:t>
      </w:r>
      <w:r>
        <w:t xml:space="preserve">2020</w:t>
      </w:r>
      <w:r>
        <w:t xml:space="preserve"> </w:t>
      </w:r>
      <w:r>
        <w:t xml:space="preserve">1,545.9</w:t>
      </w:r>
      <w:r>
        <w:t xml:space="preserve"> </w:t>
      </w:r>
      <w:r>
        <w:t xml:space="preserve">248.3</w:t>
      </w:r>
      <w:r>
        <w:t xml:space="preserve"> </w:t>
      </w:r>
      <w:r>
        <w:t xml:space="preserve">34.4</w:t>
      </w:r>
      <w:r>
        <w:t xml:space="preserve"> </w:t>
      </w:r>
      <w:r>
        <w:t xml:space="preserve">106.9</w:t>
      </w:r>
      <w:r>
        <w:t xml:space="preserve"> </w:t>
      </w:r>
      <w:r>
        <w:t xml:space="preserve">Outside EU</w:t>
      </w:r>
      <w:r>
        <w:t xml:space="preserve"> </w:t>
      </w:r>
      <w:r>
        <w:t xml:space="preserve">2020</w:t>
      </w:r>
      <w:r>
        <w:t xml:space="preserve"> </w:t>
      </w:r>
      <w:r>
        <w:t xml:space="preserve">386.5</w:t>
      </w:r>
      <w:r>
        <w:t xml:space="preserve"> </w:t>
      </w:r>
      <w:r>
        <w:t xml:space="preserve">62.6</w:t>
      </w:r>
      <w:r>
        <w:t xml:space="preserve"> </w:t>
      </w:r>
      <w:r>
        <w:t xml:space="preserve">17.2</w:t>
      </w:r>
      <w:r>
        <w:t xml:space="preserve"> </w:t>
      </w:r>
      <w:r>
        <w:t xml:space="preserve">53.5</w:t>
      </w:r>
      <w:r>
        <w:t xml:space="preserve"> </w:t>
      </w:r>
      <w:r>
        <w:t xml:space="preserve">Within EU</w:t>
      </w:r>
      <w:r>
        <w:t xml:space="preserve"> </w:t>
      </w:r>
      <w:r>
        <w:t xml:space="preserve">2021</w:t>
      </w:r>
      <w:r>
        <w:t xml:space="preserve"> </w:t>
      </w:r>
      <w:r>
        <w:t xml:space="preserve">1,609.2</w:t>
      </w:r>
      <w:r>
        <w:t xml:space="preserve"> </w:t>
      </w:r>
      <w:r>
        <w:t xml:space="preserve">251.0</w:t>
      </w:r>
      <w:r>
        <w:t xml:space="preserve"> </w:t>
      </w:r>
      <w:r>
        <w:t xml:space="preserve">33.3</w:t>
      </w:r>
      <w:r>
        <w:t xml:space="preserve"> </w:t>
      </w:r>
      <w:r>
        <w:t xml:space="preserve">110.0</w:t>
      </w:r>
      <w:r>
        <w:t xml:space="preserve"> </w:t>
      </w:r>
      <w:r>
        <w:t xml:space="preserve">Outside EU</w:t>
      </w:r>
      <w:r>
        <w:t xml:space="preserve"> </w:t>
      </w:r>
      <w:r>
        <w:t xml:space="preserve">2021</w:t>
      </w:r>
      <w:r>
        <w:t xml:space="preserve"> </w:t>
      </w:r>
      <w:r>
        <w:t xml:space="preserve">470.4</w:t>
      </w:r>
      <w:r>
        <w:t xml:space="preserve"> </w:t>
      </w:r>
      <w:r>
        <w:t xml:space="preserve">69.5</w:t>
      </w:r>
      <w:r>
        <w:t xml:space="preserve"> </w:t>
      </w:r>
      <w:r>
        <w:t xml:space="preserve">19.5</w:t>
      </w:r>
      <w:r>
        <w:t xml:space="preserve"> </w:t>
      </w:r>
      <w:r>
        <w:t xml:space="preserve">64.3</w:t>
      </w:r>
    </w:p>
    <w:p>
      <w:pPr>
        <w:pStyle w:val="BodyText"/>
      </w:pPr>
      <w:r>
        <w:t xml:space="preserve">605</w:t>
      </w:r>
    </w:p>
    <w:p>
      <w:pPr>
        <w:pStyle w:val="BodyText"/>
      </w:pPr>
      <w:r>
        <w:t xml:space="preserve">Table 191: Breakdown of the online products purchased in 2021 for the Central Scenario</w:t>
      </w:r>
    </w:p>
    <w:p>
      <w:pPr>
        <w:pStyle w:val="BodyText"/>
      </w:pPr>
      <w:r>
        <w:t xml:space="preserve">Total</w:t>
      </w:r>
      <w:r>
        <w:t xml:space="preserve"> </w:t>
      </w:r>
      <w:r>
        <w:t xml:space="preserve">purchases</w:t>
      </w:r>
      <w:r>
        <w:t xml:space="preserve"> </w:t>
      </w:r>
      <w:r>
        <w:t xml:space="preserve">(million)</w:t>
      </w:r>
      <w:r>
        <w:t xml:space="preserve"> </w:t>
      </w:r>
      <w:r>
        <w:t xml:space="preserve">CLP non-</w:t>
      </w:r>
      <w:r>
        <w:t xml:space="preserve"> </w:t>
      </w:r>
      <w:r>
        <w:t xml:space="preserve">compliant</w:t>
      </w:r>
      <w:r>
        <w:t xml:space="preserve"> </w:t>
      </w:r>
      <w:r>
        <w:t xml:space="preserve">(millions)</w:t>
      </w:r>
      <w:r>
        <w:t xml:space="preserve"> </w:t>
      </w:r>
      <w:r>
        <w:t xml:space="preserve">REACH</w:t>
      </w:r>
      <w:r>
        <w:t xml:space="preserve"> </w:t>
      </w:r>
      <w:r>
        <w:t xml:space="preserve">Restriction</w:t>
      </w:r>
      <w:r>
        <w:t xml:space="preserve"> </w:t>
      </w:r>
      <w:r>
        <w:t xml:space="preserve">non-compliant</w:t>
      </w:r>
      <w:r>
        <w:t xml:space="preserve"> </w:t>
      </w:r>
      <w:r>
        <w:t xml:space="preserve">(million)</w:t>
      </w:r>
      <w:r>
        <w:t xml:space="preserve"> </w:t>
      </w:r>
      <w:r>
        <w:t xml:space="preserve">Within EU - 2021</w:t>
      </w:r>
      <w:r>
        <w:t xml:space="preserve"> </w:t>
      </w:r>
      <w:r>
        <w:t xml:space="preserve">Clothes (including sport clothing), shoes or</w:t>
      </w:r>
      <w:r>
        <w:t xml:space="preserve"> </w:t>
      </w:r>
      <w:r>
        <w:t xml:space="preserve">accessories</w:t>
      </w:r>
      <w:r>
        <w:t xml:space="preserve"> </w:t>
      </w:r>
      <w:r>
        <w:t xml:space="preserve">527.2</w:t>
      </w:r>
      <w:r>
        <w:t xml:space="preserve"> </w:t>
      </w:r>
      <w:r>
        <w:t xml:space="preserve">0.0</w:t>
      </w:r>
      <w:r>
        <w:t xml:space="preserve"> </w:t>
      </w:r>
      <w:r>
        <w:t xml:space="preserve">15.8</w:t>
      </w:r>
      <w:r>
        <w:t xml:space="preserve"> </w:t>
      </w:r>
      <w:r>
        <w:t xml:space="preserve">Children toys or childcare items</w:t>
      </w:r>
      <w:r>
        <w:t xml:space="preserve"> </w:t>
      </w:r>
      <w:r>
        <w:t xml:space="preserve">152.6</w:t>
      </w:r>
      <w:r>
        <w:t xml:space="preserve"> </w:t>
      </w:r>
      <w:r>
        <w:t xml:space="preserve">0.0</w:t>
      </w:r>
      <w:r>
        <w:t xml:space="preserve"> </w:t>
      </w:r>
      <w:r>
        <w:t xml:space="preserve">7.6</w:t>
      </w:r>
      <w:r>
        <w:t xml:space="preserve"> </w:t>
      </w:r>
      <w:r>
        <w:t xml:space="preserve">Furniture, home accessories or gardening</w:t>
      </w:r>
      <w:r>
        <w:t xml:space="preserve"> </w:t>
      </w:r>
      <w:r>
        <w:t xml:space="preserve">products</w:t>
      </w:r>
      <w:r>
        <w:t xml:space="preserve"> </w:t>
      </w:r>
      <w:r>
        <w:t xml:space="preserve">222.0</w:t>
      </w:r>
      <w:r>
        <w:t xml:space="preserve"> </w:t>
      </w:r>
      <w:r>
        <w:t xml:space="preserve">0.0</w:t>
      </w:r>
      <w:r>
        <w:t xml:space="preserve"> </w:t>
      </w:r>
      <w:r>
        <w:t xml:space="preserve">4.4</w:t>
      </w:r>
      <w:r>
        <w:t xml:space="preserve"> </w:t>
      </w:r>
      <w:r>
        <w:t xml:space="preserve">Computers, tablets, mobile phones or</w:t>
      </w:r>
      <w:r>
        <w:t xml:space="preserve"> </w:t>
      </w:r>
      <w:r>
        <w:t xml:space="preserve">accessories</w:t>
      </w:r>
      <w:r>
        <w:t xml:space="preserve"> </w:t>
      </w:r>
      <w:r>
        <w:t xml:space="preserve">180.3</w:t>
      </w:r>
      <w:r>
        <w:t xml:space="preserve"> </w:t>
      </w:r>
      <w:r>
        <w:t xml:space="preserve">0.0</w:t>
      </w:r>
      <w:r>
        <w:t xml:space="preserve"> </w:t>
      </w:r>
      <w:r>
        <w:t xml:space="preserve">14.4</w:t>
      </w:r>
      <w:r>
        <w:t xml:space="preserve"> </w:t>
      </w:r>
      <w:r>
        <w:t xml:space="preserve">Consumer</w:t>
      </w:r>
      <w:r>
        <w:t xml:space="preserve"> </w:t>
      </w:r>
      <w:r>
        <w:t xml:space="preserve">electronics</w:t>
      </w:r>
      <w:r>
        <w:t xml:space="preserve"> </w:t>
      </w:r>
      <w:r>
        <w:t xml:space="preserve">or</w:t>
      </w:r>
      <w:r>
        <w:t xml:space="preserve"> </w:t>
      </w:r>
      <w:r>
        <w:t xml:space="preserve">household</w:t>
      </w:r>
      <w:r>
        <w:t xml:space="preserve"> </w:t>
      </w:r>
      <w:r>
        <w:t xml:space="preserve">appliances</w:t>
      </w:r>
      <w:r>
        <w:t xml:space="preserve"> </w:t>
      </w:r>
      <w:r>
        <w:t xml:space="preserve">138.7</w:t>
      </w:r>
      <w:r>
        <w:t xml:space="preserve"> </w:t>
      </w:r>
      <w:r>
        <w:t xml:space="preserve">0.0</w:t>
      </w:r>
      <w:r>
        <w:t xml:space="preserve"> </w:t>
      </w:r>
      <w:r>
        <w:t xml:space="preserve">11.1</w:t>
      </w:r>
      <w:r>
        <w:t xml:space="preserve"> </w:t>
      </w:r>
      <w:r>
        <w:t xml:space="preserve">Cosmetics, beauty or wellness products</w:t>
      </w:r>
      <w:r>
        <w:t xml:space="preserve"> </w:t>
      </w:r>
      <w:r>
        <w:t xml:space="preserve">208.1</w:t>
      </w:r>
      <w:r>
        <w:t xml:space="preserve"> </w:t>
      </w:r>
      <w:r>
        <w:t xml:space="preserve">0.0</w:t>
      </w:r>
      <w:r>
        <w:t xml:space="preserve"> </w:t>
      </w:r>
      <w:r>
        <w:t xml:space="preserve">10.4</w:t>
      </w:r>
      <w:r>
        <w:t xml:space="preserve"> </w:t>
      </w:r>
      <w:r>
        <w:t xml:space="preserve">Cleaning products or personal hygiene</w:t>
      </w:r>
      <w:r>
        <w:t xml:space="preserve"> </w:t>
      </w:r>
      <w:r>
        <w:t xml:space="preserve">products</w:t>
      </w:r>
      <w:r>
        <w:t xml:space="preserve"> </w:t>
      </w:r>
      <w:r>
        <w:t xml:space="preserve">111.0</w:t>
      </w:r>
      <w:r>
        <w:t xml:space="preserve"> </w:t>
      </w:r>
      <w:r>
        <w:t xml:space="preserve">16.6</w:t>
      </w:r>
      <w:r>
        <w:t xml:space="preserve"> </w:t>
      </w:r>
      <w:r>
        <w:t xml:space="preserve">5.5</w:t>
      </w:r>
      <w:r>
        <w:t xml:space="preserve"> </w:t>
      </w:r>
      <w:r>
        <w:t xml:space="preserve">Bicycles, mopeds, cars, or other vehicles or</w:t>
      </w:r>
      <w:r>
        <w:t xml:space="preserve"> </w:t>
      </w:r>
      <w:r>
        <w:t xml:space="preserve">their spare parts</w:t>
      </w:r>
      <w:r>
        <w:t xml:space="preserve"> </w:t>
      </w:r>
      <w:r>
        <w:t xml:space="preserve">69.4</w:t>
      </w:r>
      <w:r>
        <w:t xml:space="preserve"> </w:t>
      </w:r>
      <w:r>
        <w:t xml:space="preserve">0.0</w:t>
      </w:r>
      <w:r>
        <w:t xml:space="preserve"> </w:t>
      </w:r>
      <w:r>
        <w:t xml:space="preserve">1.4</w:t>
      </w:r>
      <w:r>
        <w:t xml:space="preserve"> </w:t>
      </w:r>
      <w:r>
        <w:t xml:space="preserve">Total (million)</w:t>
      </w:r>
      <w:r>
        <w:t xml:space="preserve"> </w:t>
      </w:r>
      <w:r>
        <w:t xml:space="preserve">1,609.2</w:t>
      </w:r>
      <w:r>
        <w:t xml:space="preserve"> </w:t>
      </w:r>
      <w:r>
        <w:t xml:space="preserve">16.6</w:t>
      </w:r>
      <w:r>
        <w:t xml:space="preserve"> </w:t>
      </w:r>
      <w:r>
        <w:t xml:space="preserve">70.8</w:t>
      </w:r>
      <w:r>
        <w:t xml:space="preserve"> </w:t>
      </w:r>
      <w:r>
        <w:t xml:space="preserve">Total number of consumers (million)</w:t>
      </w:r>
      <w:r>
        <w:t xml:space="preserve"> </w:t>
      </w:r>
      <w:r>
        <w:t xml:space="preserve">251.0</w:t>
      </w:r>
      <w:r>
        <w:t xml:space="preserve"> </w:t>
      </w:r>
      <w:r>
        <w:t xml:space="preserve">Average purchases per consumer per</w:t>
      </w:r>
      <w:r>
        <w:t xml:space="preserve"> </w:t>
      </w:r>
      <w:r>
        <w:t xml:space="preserve">year</w:t>
      </w:r>
      <w:r>
        <w:t xml:space="preserve"> </w:t>
      </w:r>
      <w:r>
        <w:t xml:space="preserve">6.4</w:t>
      </w:r>
    </w:p>
    <w:p>
      <w:pPr>
        <w:pStyle w:val="BodyText"/>
      </w:pPr>
      <w:r>
        <w:t xml:space="preserve">Outside EU - 2021</w:t>
      </w:r>
      <w:r>
        <w:t xml:space="preserve"> </w:t>
      </w:r>
      <w:r>
        <w:t xml:space="preserve">Clothes (including sport clothing), shoes or</w:t>
      </w:r>
      <w:r>
        <w:t xml:space="preserve"> </w:t>
      </w:r>
      <w:r>
        <w:t xml:space="preserve">accessories</w:t>
      </w:r>
      <w:r>
        <w:t xml:space="preserve"> </w:t>
      </w:r>
      <w:r>
        <w:t xml:space="preserve">154.1</w:t>
      </w:r>
    </w:p>
    <w:p>
      <w:pPr>
        <w:pStyle w:val="BodyText"/>
      </w:pPr>
      <w:r>
        <w:t xml:space="preserve">6.9</w:t>
      </w:r>
      <w:r>
        <w:t xml:space="preserve"> </w:t>
      </w:r>
      <w:r>
        <w:t xml:space="preserve">Children toys or childcare items</w:t>
      </w:r>
      <w:r>
        <w:t xml:space="preserve"> </w:t>
      </w:r>
      <w:r>
        <w:t xml:space="preserve">44.6</w:t>
      </w:r>
      <w:r>
        <w:t xml:space="preserve"> </w:t>
      </w:r>
      <w:r>
        <w:t xml:space="preserve">0.0</w:t>
      </w:r>
      <w:r>
        <w:t xml:space="preserve"> </w:t>
      </w:r>
      <w:r>
        <w:t xml:space="preserve">3.3</w:t>
      </w:r>
      <w:r>
        <w:t xml:space="preserve"> </w:t>
      </w:r>
      <w:r>
        <w:t xml:space="preserve">Furniture, home accessories or gardening</w:t>
      </w:r>
      <w:r>
        <w:t xml:space="preserve"> </w:t>
      </w:r>
      <w:r>
        <w:t xml:space="preserve">products</w:t>
      </w:r>
      <w:r>
        <w:t xml:space="preserve"> </w:t>
      </w:r>
      <w:r>
        <w:t xml:space="preserve">64.9</w:t>
      </w:r>
      <w:r>
        <w:t xml:space="preserve"> </w:t>
      </w:r>
      <w:r>
        <w:t xml:space="preserve">0.0</w:t>
      </w:r>
      <w:r>
        <w:t xml:space="preserve"> </w:t>
      </w:r>
      <w:r>
        <w:t xml:space="preserve">1.9</w:t>
      </w:r>
      <w:r>
        <w:t xml:space="preserve"> </w:t>
      </w:r>
      <w:r>
        <w:t xml:space="preserve">Computers, tablets, mobile phones or</w:t>
      </w:r>
      <w:r>
        <w:t xml:space="preserve"> </w:t>
      </w:r>
      <w:r>
        <w:t xml:space="preserve">accessories</w:t>
      </w:r>
      <w:r>
        <w:t xml:space="preserve"> </w:t>
      </w:r>
      <w:r>
        <w:t xml:space="preserve">52.7</w:t>
      </w:r>
      <w:r>
        <w:t xml:space="preserve"> </w:t>
      </w:r>
      <w:r>
        <w:t xml:space="preserve">0.0</w:t>
      </w:r>
      <w:r>
        <w:t xml:space="preserve"> </w:t>
      </w:r>
      <w:r>
        <w:t xml:space="preserve">6.3</w:t>
      </w:r>
      <w:r>
        <w:t xml:space="preserve"> </w:t>
      </w:r>
      <w:r>
        <w:t xml:space="preserve">Consumer</w:t>
      </w:r>
      <w:r>
        <w:t xml:space="preserve"> </w:t>
      </w:r>
      <w:r>
        <w:t xml:space="preserve">electronics</w:t>
      </w:r>
      <w:r>
        <w:t xml:space="preserve"> </w:t>
      </w:r>
      <w:r>
        <w:t xml:space="preserve">or</w:t>
      </w:r>
      <w:r>
        <w:t xml:space="preserve"> </w:t>
      </w:r>
      <w:r>
        <w:t xml:space="preserve">household</w:t>
      </w:r>
      <w:r>
        <w:t xml:space="preserve"> </w:t>
      </w:r>
      <w:r>
        <w:t xml:space="preserve">appliances</w:t>
      </w:r>
      <w:r>
        <w:t xml:space="preserve"> </w:t>
      </w:r>
      <w:r>
        <w:t xml:space="preserve">40.6</w:t>
      </w:r>
      <w:r>
        <w:t xml:space="preserve"> </w:t>
      </w:r>
      <w:r>
        <w:t xml:space="preserve">0.0</w:t>
      </w:r>
      <w:r>
        <w:t xml:space="preserve"> </w:t>
      </w:r>
      <w:r>
        <w:t xml:space="preserve">4.9</w:t>
      </w:r>
      <w:r>
        <w:t xml:space="preserve"> </w:t>
      </w:r>
      <w:r>
        <w:t xml:space="preserve">Cosmetics, beauty or wellness products</w:t>
      </w:r>
      <w:r>
        <w:t xml:space="preserve"> </w:t>
      </w:r>
      <w:r>
        <w:t xml:space="preserve">60.8</w:t>
      </w:r>
      <w:r>
        <w:t xml:space="preserve"> </w:t>
      </w:r>
      <w:r>
        <w:t xml:space="preserve">0.0</w:t>
      </w:r>
      <w:r>
        <w:t xml:space="preserve"> </w:t>
      </w:r>
      <w:r>
        <w:t xml:space="preserve">4.6</w:t>
      </w:r>
      <w:r>
        <w:t xml:space="preserve"> </w:t>
      </w:r>
      <w:r>
        <w:t xml:space="preserve">Cleaning products or personal hygiene</w:t>
      </w:r>
      <w:r>
        <w:t xml:space="preserve"> </w:t>
      </w:r>
      <w:r>
        <w:t xml:space="preserve">products</w:t>
      </w:r>
      <w:r>
        <w:t xml:space="preserve"> </w:t>
      </w:r>
      <w:r>
        <w:t xml:space="preserve">32.4</w:t>
      </w:r>
      <w:r>
        <w:t xml:space="preserve"> </w:t>
      </w:r>
      <w:r>
        <w:t xml:space="preserve">7.3</w:t>
      </w:r>
      <w:r>
        <w:t xml:space="preserve"> </w:t>
      </w:r>
      <w:r>
        <w:t xml:space="preserve">2.4</w:t>
      </w:r>
      <w:r>
        <w:t xml:space="preserve"> </w:t>
      </w:r>
      <w:r>
        <w:t xml:space="preserve">Bicycles, mopeds, cars, or other vehicles or</w:t>
      </w:r>
      <w:r>
        <w:t xml:space="preserve"> </w:t>
      </w:r>
      <w:r>
        <w:t xml:space="preserve">their spare parts</w:t>
      </w:r>
      <w:r>
        <w:t xml:space="preserve"> </w:t>
      </w:r>
      <w:r>
        <w:t xml:space="preserve">20.3</w:t>
      </w:r>
      <w:r>
        <w:t xml:space="preserve"> </w:t>
      </w:r>
      <w:r>
        <w:t xml:space="preserve">0.0</w:t>
      </w:r>
      <w:r>
        <w:t xml:space="preserve"> </w:t>
      </w:r>
      <w:r>
        <w:t xml:space="preserve">0.6</w:t>
      </w:r>
      <w:r>
        <w:t xml:space="preserve"> </w:t>
      </w:r>
      <w:r>
        <w:t xml:space="preserve">Total (million)</w:t>
      </w:r>
      <w:r>
        <w:t xml:space="preserve"> </w:t>
      </w:r>
      <w:r>
        <w:t xml:space="preserve">470.4</w:t>
      </w:r>
      <w:r>
        <w:t xml:space="preserve"> </w:t>
      </w:r>
      <w:r>
        <w:t xml:space="preserve">7.3</w:t>
      </w:r>
      <w:r>
        <w:t xml:space="preserve"> </w:t>
      </w:r>
      <w:r>
        <w:t xml:space="preserve">31.0</w:t>
      </w:r>
      <w:r>
        <w:t xml:space="preserve"> </w:t>
      </w:r>
      <w:r>
        <w:t xml:space="preserve">Total number of consumers (million)</w:t>
      </w:r>
      <w:r>
        <w:t xml:space="preserve"> </w:t>
      </w:r>
      <w:r>
        <w:t xml:space="preserve">69.5</w:t>
      </w:r>
      <w:r>
        <w:t xml:space="preserve"> </w:t>
      </w:r>
      <w:r>
        <w:t xml:space="preserve">Average purchases per consumer per</w:t>
      </w:r>
      <w:r>
        <w:t xml:space="preserve"> </w:t>
      </w:r>
      <w:r>
        <w:t xml:space="preserve">year</w:t>
      </w:r>
      <w:r>
        <w:t xml:space="preserve"> </w:t>
      </w:r>
      <w:r>
        <w:t xml:space="preserve">6.8</w:t>
      </w:r>
    </w:p>
    <w:p>
      <w:pPr>
        <w:pStyle w:val="BodyText"/>
      </w:pPr>
      <w:r>
        <w:t xml:space="preserve">Interpretation and conclusions on the situation in 2021</w:t>
      </w:r>
      <w:r>
        <w:t xml:space="preserve"> </w:t>
      </w:r>
      <w:r>
        <w:t xml:space="preserve">The discussion in the following text focusses on the estimates for 2021 under the central</w:t>
      </w:r>
      <w:r>
        <w:t xml:space="preserve"> </w:t>
      </w:r>
      <w:r>
        <w:t xml:space="preserve">scenario. Here, the estimates in Table 189 and Table 190 would suggest the following:</w:t>
      </w:r>
      <w:r>
        <w:t xml:space="preserve"> </w:t>
      </w:r>
      <w:r>
        <w:t xml:space="preserve"> With respect to REACH restriction non-compliant items from sellers within the</w:t>
      </w:r>
      <w:r>
        <w:t xml:space="preserve"> </w:t>
      </w:r>
      <w:r>
        <w:t xml:space="preserve">EU:</w:t>
      </w:r>
    </w:p>
    <w:p>
      <w:pPr>
        <w:pStyle w:val="BodyText"/>
      </w:pPr>
      <w:r>
        <w:t xml:space="preserve">606</w:t>
      </w:r>
    </w:p>
    <w:p>
      <w:pPr>
        <w:pStyle w:val="BodyText"/>
      </w:pPr>
      <w:r>
        <w:t xml:space="preserve">In 2021 there were some 251 million consumers in the EU who purchased</w:t>
      </w:r>
      <w:r>
        <w:t xml:space="preserve"> </w:t>
      </w:r>
      <w:r>
        <w:t xml:space="preserve">goods online from sellers within the EU.</w:t>
      </w:r>
    </w:p>
    <w:p>
      <w:pPr>
        <w:pStyle w:val="BodyText"/>
      </w:pPr>
      <w:r>
        <w:t xml:space="preserve">From sellers within the EU, these consumers purchased 1 609.2 million items</w:t>
      </w:r>
      <w:r>
        <w:t xml:space="preserve"> </w:t>
      </w:r>
      <w:r>
        <w:t xml:space="preserve">from categories of goods for which REACH restrictions are relevant for some</w:t>
      </w:r>
      <w:r>
        <w:t xml:space="preserve"> </w:t>
      </w:r>
      <w:r>
        <w:t xml:space="preserve">of the goods. This equates to an average of 6.4 products for each of the 251</w:t>
      </w:r>
      <w:r>
        <w:t xml:space="preserve"> </w:t>
      </w:r>
      <w:r>
        <w:t xml:space="preserve">million consumers.</w:t>
      </w:r>
    </w:p>
    <w:p>
      <w:pPr>
        <w:pStyle w:val="BodyText"/>
      </w:pPr>
      <w:r>
        <w:t xml:space="preserve">70.8 million of the 1 609.2 million items purchased by these consumers from</w:t>
      </w:r>
      <w:r>
        <w:t xml:space="preserve"> </w:t>
      </w:r>
      <w:r>
        <w:t xml:space="preserve">sellers within the EU were not compliant with REACH restrictions.</w:t>
      </w:r>
    </w:p>
    <w:p>
      <w:pPr>
        <w:pStyle w:val="BodyText"/>
      </w:pPr>
      <w:r>
        <w:t xml:space="preserve">This equates to an absolute maximum number of 70.8 million consumers</w:t>
      </w:r>
      <w:r>
        <w:t xml:space="preserve"> </w:t>
      </w:r>
      <w:r>
        <w:t xml:space="preserve">purchasing REACH non-compliant items from EU sellers (assuming one non-</w:t>
      </w:r>
      <w:r>
        <w:t xml:space="preserve"> </w:t>
      </w:r>
      <w:r>
        <w:t xml:space="preserve">compliant item per consumer) and an absolute minimum of 11 million</w:t>
      </w:r>
      <w:r>
        <w:t xml:space="preserve"> </w:t>
      </w:r>
      <w:r>
        <w:t xml:space="preserve">consumers purchasing REACH non-compliant items from EU sellers</w:t>
      </w:r>
      <w:r>
        <w:t xml:space="preserve"> </w:t>
      </w:r>
      <w:r>
        <w:t xml:space="preserve">(assuming that all 6.4 items on average purchased by these 11 million</w:t>
      </w:r>
      <w:r>
        <w:t xml:space="preserve"> </w:t>
      </w:r>
      <w:r>
        <w:t xml:space="preserve">consumers are REACH non-compliant products).</w:t>
      </w:r>
    </w:p>
    <w:p>
      <w:pPr>
        <w:pStyle w:val="BodyText"/>
      </w:pPr>
      <w:r>
        <w:t xml:space="preserve">The average of these two estimates of consumers (70.8 million and 11 million)</w:t>
      </w:r>
      <w:r>
        <w:t xml:space="preserve"> </w:t>
      </w:r>
      <w:r>
        <w:t xml:space="preserve">would suggest 40.9 million consumers purchase an average of 1.7 REACH</w:t>
      </w:r>
      <w:r>
        <w:t xml:space="preserve"> </w:t>
      </w:r>
      <w:r>
        <w:t xml:space="preserve">non-compliant items per year from sellers within the EU. This is equivalent to</w:t>
      </w:r>
      <w:r>
        <w:t xml:space="preserve"> </w:t>
      </w:r>
      <w:r>
        <w:t xml:space="preserve">the following conclusion:</w:t>
      </w:r>
    </w:p>
    <w:p>
      <w:pPr>
        <w:pStyle w:val="BodyText"/>
      </w:pPr>
      <w:r>
        <w:t xml:space="preserve">In 2021 40.9 million consumers purchased one REACH non-compliant item</w:t>
      </w:r>
      <w:r>
        <w:t xml:space="preserve"> </w:t>
      </w:r>
      <w:r>
        <w:t xml:space="preserve">from sellers within the EU and a further 14.9 million consumers purchased two</w:t>
      </w:r>
      <w:r>
        <w:t xml:space="preserve"> </w:t>
      </w:r>
      <w:r>
        <w:t xml:space="preserve">REACH non-compliant products from sellers within the EU – making a total</w:t>
      </w:r>
      <w:r>
        <w:t xml:space="preserve"> </w:t>
      </w:r>
      <w:r>
        <w:t xml:space="preserve">of 70.8 million REACH non-compliant items purchased from sellers within the</w:t>
      </w:r>
      <w:r>
        <w:t xml:space="preserve"> </w:t>
      </w:r>
      <w:r>
        <w:t xml:space="preserve">EU.</w:t>
      </w:r>
      <w:r>
        <w:t xml:space="preserve"> </w:t>
      </w:r>
      <w:r>
        <w:t xml:space="preserve"> With respect to REACH restriction non-compliant items from sellers outside the</w:t>
      </w:r>
      <w:r>
        <w:t xml:space="preserve"> </w:t>
      </w:r>
      <w:r>
        <w:t xml:space="preserve">EU:</w:t>
      </w:r>
    </w:p>
    <w:p>
      <w:pPr>
        <w:pStyle w:val="BodyText"/>
      </w:pPr>
      <w:r>
        <w:t xml:space="preserve">In 2021 there were some 69.5 million consumers in the EU who purchased</w:t>
      </w:r>
      <w:r>
        <w:t xml:space="preserve"> </w:t>
      </w:r>
      <w:r>
        <w:t xml:space="preserve">goods online from sellers outside the EU. These consumers purchased 470.4</w:t>
      </w:r>
      <w:r>
        <w:t xml:space="preserve"> </w:t>
      </w:r>
      <w:r>
        <w:t xml:space="preserve">million items from categories of goods for which REACH restrictions are</w:t>
      </w:r>
      <w:r>
        <w:t xml:space="preserve"> </w:t>
      </w:r>
      <w:r>
        <w:t xml:space="preserve">relevant for some of the goods.</w:t>
      </w:r>
    </w:p>
    <w:p>
      <w:pPr>
        <w:pStyle w:val="BodyText"/>
      </w:pPr>
      <w:r>
        <w:t xml:space="preserve">31 million of the 470.4 million items purchased by these consumers from</w:t>
      </w:r>
      <w:r>
        <w:t xml:space="preserve"> </w:t>
      </w:r>
      <w:r>
        <w:t xml:space="preserve">sellers outside the EU were not compliant with REACH restrictions.</w:t>
      </w:r>
    </w:p>
    <w:p>
      <w:pPr>
        <w:pStyle w:val="BodyText"/>
      </w:pPr>
      <w:r>
        <w:t xml:space="preserve">Following the same logic as above, in 2021, 17.8 million consumers purchased</w:t>
      </w:r>
      <w:r>
        <w:t xml:space="preserve"> </w:t>
      </w:r>
      <w:r>
        <w:t xml:space="preserve">one REACH non-compliant item from sellers outside the EU and a further 6.6</w:t>
      </w:r>
      <w:r>
        <w:t xml:space="preserve"> </w:t>
      </w:r>
      <w:r>
        <w:t xml:space="preserve">million consumers purchased two REACH non-compliant products from</w:t>
      </w:r>
      <w:r>
        <w:t xml:space="preserve"> </w:t>
      </w:r>
      <w:r>
        <w:t xml:space="preserve">sellers outside the EU – making a total of 31 million REACH non-compliant</w:t>
      </w:r>
      <w:r>
        <w:t xml:space="preserve"> </w:t>
      </w:r>
      <w:r>
        <w:t xml:space="preserve">items purchased from sellers outside the EU.</w:t>
      </w:r>
      <w:r>
        <w:t xml:space="preserve"> </w:t>
      </w:r>
      <w:r>
        <w:t xml:space="preserve"> With respect to CLP non-compliant items from sellers within the EU:</w:t>
      </w:r>
      <w:r>
        <w:t xml:space="preserve"> </w:t>
      </w:r>
      <w:r>
        <w:t xml:space="preserve">o In 2021 there were some 251 million consumers in the EU who purchased</w:t>
      </w:r>
      <w:r>
        <w:t xml:space="preserve"> </w:t>
      </w:r>
      <w:r>
        <w:t xml:space="preserve">goods online from sellers within the EU. These consumers purchased 111</w:t>
      </w:r>
      <w:r>
        <w:t xml:space="preserve"> </w:t>
      </w:r>
      <w:r>
        <w:t xml:space="preserve">million items from categories of goods for which CLP requirements are</w:t>
      </w:r>
      <w:r>
        <w:t xml:space="preserve"> </w:t>
      </w:r>
      <w:r>
        <w:t xml:space="preserve">relevant for some of the goods.</w:t>
      </w:r>
      <w:r>
        <w:br/>
      </w:r>
      <w:r>
        <w:t xml:space="preserve">o 16.6 million of the 111 million items purchased by these consumers from</w:t>
      </w:r>
      <w:r>
        <w:t xml:space="preserve"> </w:t>
      </w:r>
      <w:r>
        <w:t xml:space="preserve">sellers within the EU were not compliant with CLP requirements.</w:t>
      </w:r>
      <w:r>
        <w:t xml:space="preserve"> </w:t>
      </w:r>
      <w:r>
        <w:t xml:space="preserve">o Following the same logic as before, in 2021, 9.6 million consumers</w:t>
      </w:r>
      <w:r>
        <w:t xml:space="preserve"> </w:t>
      </w:r>
      <w:r>
        <w:t xml:space="preserve">purchased one CLP non-compliant item from sellers within the EU and a</w:t>
      </w:r>
      <w:r>
        <w:t xml:space="preserve"> </w:t>
      </w:r>
      <w:r>
        <w:t xml:space="preserve">further 3.5 million consumers purchased two CLP non-compliant products</w:t>
      </w:r>
      <w:r>
        <w:t xml:space="preserve"> </w:t>
      </w:r>
      <w:r>
        <w:t xml:space="preserve">from sellers within the EU – making a total of 16.6 million CLP non-</w:t>
      </w:r>
      <w:r>
        <w:t xml:space="preserve"> </w:t>
      </w:r>
      <w:r>
        <w:t xml:space="preserve">compliant items purchased from sellers within the EU.</w:t>
      </w:r>
    </w:p>
    <w:p>
      <w:pPr>
        <w:pStyle w:val="BodyText"/>
      </w:pPr>
      <w:r>
        <w:t xml:space="preserve">607</w:t>
      </w:r>
    </w:p>
    <w:p>
      <w:pPr>
        <w:pStyle w:val="BodyText"/>
      </w:pPr>
      <w:r>
        <w:t xml:space="preserve"> With respect to CLP non-compliant items from sellers outside the EU:</w:t>
      </w:r>
    </w:p>
    <w:p>
      <w:pPr>
        <w:pStyle w:val="BodyText"/>
      </w:pPr>
      <w:r>
        <w:t xml:space="preserve">In 2021 there were some 69.5 million consumers in the EU who purchased</w:t>
      </w:r>
      <w:r>
        <w:t xml:space="preserve"> </w:t>
      </w:r>
      <w:r>
        <w:t xml:space="preserve">goods online from sellers outside the EU. These consumers purchased 32.4</w:t>
      </w:r>
      <w:r>
        <w:t xml:space="preserve"> </w:t>
      </w:r>
      <w:r>
        <w:t xml:space="preserve">million items from categories of goods for which CLP requirements are</w:t>
      </w:r>
      <w:r>
        <w:t xml:space="preserve"> </w:t>
      </w:r>
      <w:r>
        <w:t xml:space="preserve">relevant for some of the goods.</w:t>
      </w:r>
    </w:p>
    <w:p>
      <w:pPr>
        <w:pStyle w:val="BodyText"/>
      </w:pPr>
      <w:r>
        <w:t xml:space="preserve">7.3 million of the 32.4 million items purchased by these consumers from</w:t>
      </w:r>
      <w:r>
        <w:t xml:space="preserve"> </w:t>
      </w:r>
      <w:r>
        <w:t xml:space="preserve">sellers outside the EU were not compliant with CLP requirements.</w:t>
      </w:r>
    </w:p>
    <w:p>
      <w:pPr>
        <w:pStyle w:val="BodyText"/>
      </w:pPr>
      <w:r>
        <w:t xml:space="preserve">Following the same logic as before, in 2021, 4.2 million consumers purchased</w:t>
      </w:r>
      <w:r>
        <w:t xml:space="preserve"> </w:t>
      </w:r>
      <w:r>
        <w:t xml:space="preserve">one CLP non-compliant item from sellers outside the EU and a further 1.6</w:t>
      </w:r>
      <w:r>
        <w:t xml:space="preserve"> </w:t>
      </w:r>
      <w:r>
        <w:t xml:space="preserve">million consumers purchased two CLP non-compliant products from sellers</w:t>
      </w:r>
      <w:r>
        <w:t xml:space="preserve"> </w:t>
      </w:r>
      <w:r>
        <w:t xml:space="preserve">outside the EU – making a total of 7.3 million CLP non-compliant items</w:t>
      </w:r>
      <w:r>
        <w:t xml:space="preserve"> </w:t>
      </w:r>
      <w:r>
        <w:t xml:space="preserve">purchased from sellers outside the EU.</w:t>
      </w:r>
      <w:r>
        <w:t xml:space="preserve"> </w:t>
      </w:r>
      <w:r>
        <w:t xml:space="preserve">The number of non-compliant items and consumers of those items is summarised in</w:t>
      </w:r>
      <w:r>
        <w:t xml:space="preserve"> </w:t>
      </w:r>
      <w:r>
        <w:t xml:space="preserve">Table 191 for all three scenarios (lower, central and upper).</w:t>
      </w:r>
      <w:r>
        <w:t xml:space="preserve"> </w:t>
      </w:r>
      <w:r>
        <w:t xml:space="preserve">Table 192: Number of non-compliant items and consumers of those items</w:t>
      </w:r>
      <w:r>
        <w:t xml:space="preserve"> </w:t>
      </w:r>
      <w:r>
        <w:t xml:space="preserve">Non-compliance</w:t>
      </w:r>
      <w:r>
        <w:t xml:space="preserve"> </w:t>
      </w:r>
      <w:r>
        <w:t xml:space="preserve">issue</w:t>
      </w:r>
      <w:r>
        <w:t xml:space="preserve"> </w:t>
      </w:r>
      <w:r>
        <w:t xml:space="preserve">Location</w:t>
      </w:r>
      <w:r>
        <w:t xml:space="preserve"> </w:t>
      </w:r>
      <w:r>
        <w:t xml:space="preserve">of</w:t>
      </w:r>
      <w:r>
        <w:t xml:space="preserve"> </w:t>
      </w:r>
      <w:r>
        <w:t xml:space="preserve">seller</w:t>
      </w:r>
      <w:r>
        <w:t xml:space="preserve"> </w:t>
      </w:r>
      <w:r>
        <w:t xml:space="preserve">Number</w:t>
      </w:r>
      <w:r>
        <w:t xml:space="preserve"> </w:t>
      </w:r>
      <w:r>
        <w:t xml:space="preserve">of</w:t>
      </w:r>
      <w:r>
        <w:t xml:space="preserve"> </w:t>
      </w:r>
      <w:r>
        <w:t xml:space="preserve">non-</w:t>
      </w:r>
      <w:r>
        <w:t xml:space="preserve"> </w:t>
      </w:r>
      <w:r>
        <w:t xml:space="preserve">compliant</w:t>
      </w:r>
      <w:r>
        <w:t xml:space="preserve"> </w:t>
      </w:r>
      <w:r>
        <w:t xml:space="preserve">items</w:t>
      </w:r>
      <w:r>
        <w:t xml:space="preserve"> </w:t>
      </w:r>
      <w:r>
        <w:t xml:space="preserve">purchased per</w:t>
      </w:r>
      <w:r>
        <w:t xml:space="preserve"> </w:t>
      </w:r>
      <w:r>
        <w:t xml:space="preserve">year (million)</w:t>
      </w:r>
      <w:r>
        <w:t xml:space="preserve"> </w:t>
      </w:r>
      <w:r>
        <w:t xml:space="preserve">Number</w:t>
      </w:r>
      <w:r>
        <w:t xml:space="preserve"> </w:t>
      </w:r>
      <w:r>
        <w:t xml:space="preserve">of</w:t>
      </w:r>
      <w:r>
        <w:t xml:space="preserve"> </w:t>
      </w:r>
      <w:r>
        <w:t xml:space="preserve">consumers</w:t>
      </w:r>
      <w:r>
        <w:t xml:space="preserve"> </w:t>
      </w:r>
      <w:r>
        <w:t xml:space="preserve">purchasing</w:t>
      </w:r>
      <w:r>
        <w:t xml:space="preserve"> </w:t>
      </w:r>
      <w:r>
        <w:t xml:space="preserve">one</w:t>
      </w:r>
      <w:r>
        <w:t xml:space="preserve"> </w:t>
      </w:r>
      <w:r>
        <w:t xml:space="preserve">non-</w:t>
      </w:r>
      <w:r>
        <w:t xml:space="preserve"> </w:t>
      </w:r>
      <w:r>
        <w:t xml:space="preserve">compliant</w:t>
      </w:r>
      <w:r>
        <w:t xml:space="preserve"> </w:t>
      </w:r>
      <w:r>
        <w:t xml:space="preserve">item per year</w:t>
      </w:r>
      <w:r>
        <w:t xml:space="preserve"> </w:t>
      </w:r>
      <w:r>
        <w:t xml:space="preserve">(million)</w:t>
      </w:r>
      <w:r>
        <w:t xml:space="preserve"> </w:t>
      </w:r>
      <w:r>
        <w:t xml:space="preserve">two</w:t>
      </w:r>
      <w:r>
        <w:t xml:space="preserve"> </w:t>
      </w:r>
      <w:r>
        <w:t xml:space="preserve">non-</w:t>
      </w:r>
      <w:r>
        <w:t xml:space="preserve"> </w:t>
      </w:r>
      <w:r>
        <w:t xml:space="preserve">compliant items</w:t>
      </w:r>
      <w:r>
        <w:t xml:space="preserve"> </w:t>
      </w:r>
      <w:r>
        <w:t xml:space="preserve">per</w:t>
      </w:r>
      <w:r>
        <w:t xml:space="preserve"> </w:t>
      </w:r>
      <w:r>
        <w:t xml:space="preserve">year</w:t>
      </w:r>
      <w:r>
        <w:t xml:space="preserve"> </w:t>
      </w:r>
      <w:r>
        <w:t xml:space="preserve">(million)</w:t>
      </w:r>
      <w:r>
        <w:t xml:space="preserve"> </w:t>
      </w:r>
      <w:r>
        <w:t xml:space="preserve">Lower scenario</w:t>
      </w:r>
      <w:r>
        <w:t xml:space="preserve"> </w:t>
      </w:r>
      <w:r>
        <w:t xml:space="preserve">REACH</w:t>
      </w:r>
      <w:r>
        <w:t xml:space="preserve"> </w:t>
      </w:r>
      <w:r>
        <w:t xml:space="preserve">restriction</w:t>
      </w:r>
      <w:r>
        <w:t xml:space="preserve"> </w:t>
      </w:r>
      <w:r>
        <w:t xml:space="preserve">non-</w:t>
      </w:r>
      <w:r>
        <w:t xml:space="preserve"> </w:t>
      </w:r>
      <w:r>
        <w:t xml:space="preserve">compliant items</w:t>
      </w:r>
      <w:r>
        <w:br/>
      </w:r>
      <w:r>
        <w:t xml:space="preserve">within EU</w:t>
      </w:r>
      <w:r>
        <w:t xml:space="preserve"> </w:t>
      </w:r>
      <w:r>
        <w:t xml:space="preserve">42.5</w:t>
      </w:r>
      <w:r>
        <w:t xml:space="preserve"> </w:t>
      </w:r>
      <w:r>
        <w:t xml:space="preserve">24.5</w:t>
      </w:r>
      <w:r>
        <w:t xml:space="preserve"> </w:t>
      </w:r>
      <w:r>
        <w:t xml:space="preserve">9.0</w:t>
      </w:r>
      <w:r>
        <w:t xml:space="preserve"> </w:t>
      </w:r>
      <w:r>
        <w:t xml:space="preserve">outside EU</w:t>
      </w:r>
      <w:r>
        <w:t xml:space="preserve"> </w:t>
      </w:r>
      <w:r>
        <w:t xml:space="preserve">17.0</w:t>
      </w:r>
      <w:r>
        <w:t xml:space="preserve"> </w:t>
      </w:r>
      <w:r>
        <w:t xml:space="preserve">9.8</w:t>
      </w:r>
      <w:r>
        <w:t xml:space="preserve"> </w:t>
      </w:r>
      <w:r>
        <w:t xml:space="preserve">3.6</w:t>
      </w:r>
      <w:r>
        <w:t xml:space="preserve"> </w:t>
      </w:r>
      <w:r>
        <w:t xml:space="preserve">CLP</w:t>
      </w:r>
      <w:r>
        <w:t xml:space="preserve"> </w:t>
      </w:r>
      <w:r>
        <w:t xml:space="preserve">non-</w:t>
      </w:r>
      <w:r>
        <w:t xml:space="preserve"> </w:t>
      </w:r>
      <w:r>
        <w:t xml:space="preserve">compliant items</w:t>
      </w:r>
      <w:r>
        <w:t xml:space="preserve"> </w:t>
      </w:r>
      <w:r>
        <w:t xml:space="preserve">within EU</w:t>
      </w:r>
      <w:r>
        <w:t xml:space="preserve"> </w:t>
      </w:r>
      <w:r>
        <w:t xml:space="preserve">11.1</w:t>
      </w:r>
      <w:r>
        <w:t xml:space="preserve"> </w:t>
      </w:r>
      <w:r>
        <w:t xml:space="preserve">6.4</w:t>
      </w:r>
      <w:r>
        <w:t xml:space="preserve"> </w:t>
      </w:r>
      <w:r>
        <w:t xml:space="preserve">2.3</w:t>
      </w:r>
      <w:r>
        <w:t xml:space="preserve"> </w:t>
      </w:r>
      <w:r>
        <w:t xml:space="preserve">outside EU</w:t>
      </w:r>
      <w:r>
        <w:t xml:space="preserve"> </w:t>
      </w:r>
      <w:r>
        <w:t xml:space="preserve">4.4</w:t>
      </w:r>
      <w:r>
        <w:t xml:space="preserve"> </w:t>
      </w:r>
      <w:r>
        <w:t xml:space="preserve">2.6</w:t>
      </w:r>
      <w:r>
        <w:t xml:space="preserve"> </w:t>
      </w:r>
      <w:r>
        <w:t xml:space="preserve">0.9</w:t>
      </w:r>
      <w:r>
        <w:t xml:space="preserve"> </w:t>
      </w:r>
      <w:r>
        <w:t xml:space="preserve">Central scenario</w:t>
      </w:r>
      <w:r>
        <w:t xml:space="preserve"> </w:t>
      </w:r>
      <w:r>
        <w:t xml:space="preserve">REACH</w:t>
      </w:r>
      <w:r>
        <w:t xml:space="preserve"> </w:t>
      </w:r>
      <w:r>
        <w:t xml:space="preserve">restriction</w:t>
      </w:r>
      <w:r>
        <w:t xml:space="preserve"> </w:t>
      </w:r>
      <w:r>
        <w:t xml:space="preserve">non-</w:t>
      </w:r>
      <w:r>
        <w:t xml:space="preserve"> </w:t>
      </w:r>
      <w:r>
        <w:t xml:space="preserve">compliant items</w:t>
      </w:r>
      <w:r>
        <w:br/>
      </w:r>
      <w:r>
        <w:t xml:space="preserve">within EU</w:t>
      </w:r>
      <w:r>
        <w:t xml:space="preserve"> </w:t>
      </w:r>
      <w:r>
        <w:t xml:space="preserve">70.8</w:t>
      </w:r>
      <w:r>
        <w:t xml:space="preserve"> </w:t>
      </w:r>
      <w:r>
        <w:t xml:space="preserve">40.9</w:t>
      </w:r>
      <w:r>
        <w:t xml:space="preserve"> </w:t>
      </w:r>
      <w:r>
        <w:t xml:space="preserve">14.9</w:t>
      </w:r>
      <w:r>
        <w:t xml:space="preserve"> </w:t>
      </w:r>
      <w:r>
        <w:t xml:space="preserve">outside EU</w:t>
      </w:r>
      <w:r>
        <w:t xml:space="preserve"> </w:t>
      </w:r>
      <w:r>
        <w:t xml:space="preserve">31.0</w:t>
      </w:r>
      <w:r>
        <w:t xml:space="preserve"> </w:t>
      </w:r>
      <w:r>
        <w:t xml:space="preserve">17.8</w:t>
      </w:r>
      <w:r>
        <w:t xml:space="preserve"> </w:t>
      </w:r>
      <w:r>
        <w:t xml:space="preserve">6.6</w:t>
      </w:r>
      <w:r>
        <w:t xml:space="preserve"> </w:t>
      </w:r>
      <w:r>
        <w:t xml:space="preserve">CLP</w:t>
      </w:r>
      <w:r>
        <w:t xml:space="preserve"> </w:t>
      </w:r>
      <w:r>
        <w:t xml:space="preserve">non-</w:t>
      </w:r>
      <w:r>
        <w:t xml:space="preserve"> </w:t>
      </w:r>
      <w:r>
        <w:t xml:space="preserve">compliant items</w:t>
      </w:r>
      <w:r>
        <w:t xml:space="preserve"> </w:t>
      </w:r>
      <w:r>
        <w:t xml:space="preserve">within EU</w:t>
      </w:r>
      <w:r>
        <w:t xml:space="preserve"> </w:t>
      </w:r>
      <w:r>
        <w:t xml:space="preserve">16.6</w:t>
      </w:r>
      <w:r>
        <w:t xml:space="preserve"> </w:t>
      </w:r>
      <w:r>
        <w:t xml:space="preserve">9.6</w:t>
      </w:r>
      <w:r>
        <w:t xml:space="preserve"> </w:t>
      </w:r>
      <w:r>
        <w:t xml:space="preserve">3.5</w:t>
      </w:r>
      <w:r>
        <w:t xml:space="preserve"> </w:t>
      </w:r>
      <w:r>
        <w:t xml:space="preserve">outside EU</w:t>
      </w:r>
      <w:r>
        <w:t xml:space="preserve"> </w:t>
      </w:r>
      <w:r>
        <w:t xml:space="preserve">7.3</w:t>
      </w:r>
      <w:r>
        <w:t xml:space="preserve"> </w:t>
      </w:r>
      <w:r>
        <w:t xml:space="preserve">4.2</w:t>
      </w:r>
      <w:r>
        <w:t xml:space="preserve"> </w:t>
      </w:r>
      <w:r>
        <w:t xml:space="preserve">1.6</w:t>
      </w:r>
      <w:r>
        <w:t xml:space="preserve"> </w:t>
      </w:r>
      <w:r>
        <w:t xml:space="preserve">Upper scenario</w:t>
      </w:r>
      <w:r>
        <w:t xml:space="preserve"> </w:t>
      </w:r>
      <w:r>
        <w:t xml:space="preserve">REACH</w:t>
      </w:r>
      <w:r>
        <w:t xml:space="preserve"> </w:t>
      </w:r>
      <w:r>
        <w:t xml:space="preserve">restriction</w:t>
      </w:r>
      <w:r>
        <w:t xml:space="preserve"> </w:t>
      </w:r>
      <w:r>
        <w:t xml:space="preserve">non-</w:t>
      </w:r>
      <w:r>
        <w:t xml:space="preserve"> </w:t>
      </w:r>
      <w:r>
        <w:t xml:space="preserve">compliant items</w:t>
      </w:r>
      <w:r>
        <w:br/>
      </w:r>
      <w:r>
        <w:t xml:space="preserve">within EU</w:t>
      </w:r>
      <w:r>
        <w:t xml:space="preserve"> </w:t>
      </w:r>
      <w:r>
        <w:t xml:space="preserve">110.0</w:t>
      </w:r>
      <w:r>
        <w:t xml:space="preserve"> </w:t>
      </w:r>
      <w:r>
        <w:t xml:space="preserve">63.6</w:t>
      </w:r>
      <w:r>
        <w:t xml:space="preserve"> </w:t>
      </w:r>
      <w:r>
        <w:t xml:space="preserve">23.2</w:t>
      </w:r>
      <w:r>
        <w:t xml:space="preserve"> </w:t>
      </w:r>
      <w:r>
        <w:t xml:space="preserve">outside EU</w:t>
      </w:r>
      <w:r>
        <w:t xml:space="preserve"> </w:t>
      </w:r>
      <w:r>
        <w:t xml:space="preserve">64.3</w:t>
      </w:r>
      <w:r>
        <w:t xml:space="preserve"> </w:t>
      </w:r>
      <w:r>
        <w:t xml:space="preserve">36.9</w:t>
      </w:r>
      <w:r>
        <w:t xml:space="preserve"> </w:t>
      </w:r>
      <w:r>
        <w:t xml:space="preserve">13.7</w:t>
      </w:r>
      <w:r>
        <w:t xml:space="preserve"> </w:t>
      </w:r>
      <w:r>
        <w:t xml:space="preserve">CLP</w:t>
      </w:r>
      <w:r>
        <w:t xml:space="preserve"> </w:t>
      </w:r>
      <w:r>
        <w:t xml:space="preserve">non-</w:t>
      </w:r>
      <w:r>
        <w:t xml:space="preserve"> </w:t>
      </w:r>
      <w:r>
        <w:t xml:space="preserve">compliant items</w:t>
      </w:r>
      <w:r>
        <w:t xml:space="preserve"> </w:t>
      </w:r>
      <w:r>
        <w:t xml:space="preserve">within EU</w:t>
      </w:r>
      <w:r>
        <w:t xml:space="preserve"> </w:t>
      </w:r>
      <w:r>
        <w:t xml:space="preserve">33.3</w:t>
      </w:r>
      <w:r>
        <w:t xml:space="preserve"> </w:t>
      </w:r>
      <w:r>
        <w:t xml:space="preserve">19.2</w:t>
      </w:r>
      <w:r>
        <w:t xml:space="preserve"> </w:t>
      </w:r>
      <w:r>
        <w:t xml:space="preserve">7.0</w:t>
      </w:r>
      <w:r>
        <w:t xml:space="preserve"> </w:t>
      </w:r>
      <w:r>
        <w:t xml:space="preserve">outside EU</w:t>
      </w:r>
      <w:r>
        <w:t xml:space="preserve"> </w:t>
      </w:r>
      <w:r>
        <w:t xml:space="preserve">19.5</w:t>
      </w:r>
      <w:r>
        <w:t xml:space="preserve"> </w:t>
      </w:r>
      <w:r>
        <w:t xml:space="preserve">11.2</w:t>
      </w:r>
      <w:r>
        <w:t xml:space="preserve"> </w:t>
      </w:r>
      <w:r>
        <w:t xml:space="preserve">4.1</w:t>
      </w:r>
    </w:p>
    <w:p>
      <w:pPr>
        <w:pStyle w:val="BodyText"/>
      </w:pPr>
      <w:r>
        <w:t xml:space="preserve">608</w:t>
      </w:r>
    </w:p>
    <w:p>
      <w:pPr>
        <w:pStyle w:val="BodyText"/>
      </w:pPr>
      <w:r>
        <w:t xml:space="preserve">Annex 16 – Information Gaps for Poison Centres</w:t>
      </w:r>
    </w:p>
    <w:p>
      <w:pPr>
        <w:pStyle w:val="BodyText"/>
      </w:pPr>
      <w:r>
        <w:t xml:space="preserve">CONTEXT</w:t>
      </w:r>
      <w:r>
        <w:br/>
      </w:r>
      <w:r>
        <w:t xml:space="preserve">Appointed bodies responsible for receiving information relating to emergency health</w:t>
      </w:r>
      <w:r>
        <w:t xml:space="preserve"> </w:t>
      </w:r>
      <w:r>
        <w:t xml:space="preserve">response, colloquially known as “poison centres”, can provide only sub-optimal</w:t>
      </w:r>
      <w:r>
        <w:t xml:space="preserve"> </w:t>
      </w:r>
      <w:r>
        <w:t xml:space="preserve">emergency health response because they do (possibly) not have all available information</w:t>
      </w:r>
      <w:r>
        <w:t xml:space="preserve"> </w:t>
      </w:r>
      <w:r>
        <w:t xml:space="preserve">on mixtures in case of (i) cross-border distribution and/or (ii) re-branding/re-labelling.</w:t>
      </w:r>
      <w:r>
        <w:br/>
      </w:r>
      <w:r>
        <w:t xml:space="preserve">This matter does not originate from the CSS or the Fitness Check. By implementing</w:t>
      </w:r>
      <w:r>
        <w:t xml:space="preserve"> </w:t>
      </w:r>
      <w:r>
        <w:t xml:space="preserve">Annex VIII to CLP regarding harmonised information to poison centres213, it was</w:t>
      </w:r>
      <w:r>
        <w:t xml:space="preserve"> </w:t>
      </w:r>
      <w:r>
        <w:t xml:space="preserve">observed and discussed that certain relevant information is lacking and/or that there is</w:t>
      </w:r>
      <w:r>
        <w:t xml:space="preserve"> </w:t>
      </w:r>
      <w:r>
        <w:t xml:space="preserve">ambiguity on how to correctly implement Annex VIII.</w:t>
      </w:r>
    </w:p>
    <w:p>
      <w:pPr>
        <w:pStyle w:val="BodyText"/>
      </w:pPr>
      <w:r>
        <w:t xml:space="preserve">PROBLEM</w:t>
      </w:r>
      <w:r>
        <w:t xml:space="preserve"> </w:t>
      </w:r>
      <w:r>
        <w:t xml:space="preserve">What is/are the problems?</w:t>
      </w:r>
      <w:r>
        <w:t xml:space="preserve"> </w:t>
      </w:r>
      <w:r>
        <w:t xml:space="preserve">Available information to poison centres in case of cross-border distribution and re-</w:t>
      </w:r>
      <w:r>
        <w:t xml:space="preserve"> </w:t>
      </w:r>
      <w:r>
        <w:t xml:space="preserve">branding/re-labelling</w:t>
      </w:r>
      <w:r>
        <w:t xml:space="preserve"> </w:t>
      </w:r>
      <w:r>
        <w:t xml:space="preserve">Article 45 of the CLP Regulation provides the obligation for downstream users and</w:t>
      </w:r>
      <w:r>
        <w:t xml:space="preserve"> </w:t>
      </w:r>
      <w:r>
        <w:t xml:space="preserve">importers to submit relevant information for emergency health response – but not for</w:t>
      </w:r>
      <w:r>
        <w:t xml:space="preserve"> </w:t>
      </w:r>
      <w:r>
        <w:t xml:space="preserve">distributors or any other type of supplier – in those Member States where they place</w:t>
      </w:r>
      <w:r>
        <w:t xml:space="preserve"> </w:t>
      </w:r>
      <w:r>
        <w:t xml:space="preserve">mixtures on the market. This legal structure, which excludes some actors in the supply</w:t>
      </w:r>
      <w:r>
        <w:t xml:space="preserve"> </w:t>
      </w:r>
      <w:r>
        <w:t xml:space="preserve">chain, could bring information loss for poison centres in the following cases:</w:t>
      </w:r>
      <w:r>
        <w:br/>
      </w:r>
      <w:r>
        <w:t xml:space="preserve">Cross-border distribution: A distributor purchases a product in one Member State and</w:t>
      </w:r>
      <w:r>
        <w:t xml:space="preserve"> </w:t>
      </w:r>
      <w:r>
        <w:t xml:space="preserve">places it on the market in another one. In the original Member State information to the</w:t>
      </w:r>
      <w:r>
        <w:t xml:space="preserve"> </w:t>
      </w:r>
      <w:r>
        <w:t xml:space="preserve">national poison centre would have been submitted by the duty holder further up in the</w:t>
      </w:r>
      <w:r>
        <w:t xml:space="preserve"> </w:t>
      </w:r>
      <w:r>
        <w:t xml:space="preserve">supply chain. However, as it is not sufficiently clear from the current CLP text whether</w:t>
      </w:r>
      <w:r>
        <w:t xml:space="preserve"> </w:t>
      </w:r>
      <w:r>
        <w:t xml:space="preserve">distributers have the obligation to notify, no information would be available in the</w:t>
      </w:r>
      <w:r>
        <w:t xml:space="preserve"> </w:t>
      </w:r>
      <w:r>
        <w:t xml:space="preserve">receiving Member State.</w:t>
      </w:r>
      <w:r>
        <w:br/>
      </w:r>
      <w:r>
        <w:t xml:space="preserve">Re-branding/re-labelling: The original supplier or a downstream supplier places the</w:t>
      </w:r>
      <w:r>
        <w:t xml:space="preserve"> </w:t>
      </w:r>
      <w:r>
        <w:t xml:space="preserve">mixture on the market in the same Member State but they just re-brand or re-label it</w:t>
      </w:r>
      <w:r>
        <w:t xml:space="preserve"> </w:t>
      </w:r>
      <w:r>
        <w:t xml:space="preserve">(without changing the composition or packaging). In such case, the mixture could only be</w:t>
      </w:r>
      <w:r>
        <w:t xml:space="preserve"> </w:t>
      </w:r>
      <w:r>
        <w:t xml:space="preserve">identified via the UFI and not via the brand name/label whereas the latter would be the</w:t>
      </w:r>
      <w:r>
        <w:t xml:space="preserve"> </w:t>
      </w:r>
      <w:r>
        <w:t xml:space="preserve">most obvious reference for consumers in case of an emergency. Explaining and looking</w:t>
      </w:r>
      <w:r>
        <w:t xml:space="preserve"> </w:t>
      </w:r>
      <w:r>
        <w:t xml:space="preserve">for the UFI on the label in a stressful situation may cost valuable time and is only</w:t>
      </w:r>
      <w:r>
        <w:t xml:space="preserve"> </w:t>
      </w:r>
      <w:r>
        <w:t xml:space="preserve">possible if the packaging is actually at hand.</w:t>
      </w:r>
      <w:r>
        <w:t xml:space="preserve"> </w:t>
      </w:r>
      <w:r>
        <w:t xml:space="preserve">Poison Centres across the European Union answer over half a million calls for support</w:t>
      </w:r>
      <w:r>
        <w:t xml:space="preserve"> </w:t>
      </w:r>
      <w:r>
        <w:t xml:space="preserve">per year, and approximately half of the cases are related to accidental exposures</w:t>
      </w:r>
      <w:r>
        <w:t xml:space="preserve"> </w:t>
      </w:r>
      <w:r>
        <w:t xml:space="preserve">involving children.214 Information loss for poison centres means having incomplete</w:t>
      </w:r>
      <w:r>
        <w:t xml:space="preserve"> </w:t>
      </w:r>
      <w:r>
        <w:t xml:space="preserve">emergency health response databases at national level, which results in not being able to</w:t>
      </w:r>
      <w:r>
        <w:t xml:space="preserve"> </w:t>
      </w:r>
      <w:r>
        <w:t xml:space="preserve">or provide incorrect/incomplete responses, leading to patients’ overtreatment or sending</w:t>
      </w:r>
      <w:r>
        <w:t xml:space="preserve"> </w:t>
      </w:r>
      <w:r>
        <w:t xml:space="preserve">them to the hospital/first aid.</w:t>
      </w:r>
    </w:p>
    <w:p>
      <w:pPr>
        <w:pStyle w:val="BodyText"/>
      </w:pPr>
      <w:r>
        <w:t xml:space="preserve">213 Commission Delegated Regulations 2020/1676, 2020/1677, OJ L 379, p. 1 and 3.</w:t>
      </w:r>
      <w:r>
        <w:br/>
      </w:r>
      <w:r>
        <w:t xml:space="preserve">214 https://ec.europa.eu/growth/sectors/chemicals/poison-centres_en</w:t>
      </w:r>
    </w:p>
    <w:p>
      <w:pPr>
        <w:pStyle w:val="BodyText"/>
      </w:pPr>
      <w:r>
        <w:t xml:space="preserve">609</w:t>
      </w:r>
    </w:p>
    <w:p>
      <w:pPr>
        <w:pStyle w:val="BodyText"/>
      </w:pPr>
      <w:r>
        <w:t xml:space="preserve">Following a Commission’s interpretation proposed in ECHA guidance, distributors and</w:t>
      </w:r>
      <w:r>
        <w:t xml:space="preserve"> </w:t>
      </w:r>
      <w:r>
        <w:t xml:space="preserve">any other types of supplier) are already bound to submit relevant information for medical</w:t>
      </w:r>
      <w:r>
        <w:t xml:space="preserve"> </w:t>
      </w:r>
      <w:r>
        <w:t xml:space="preserve">response in those cases where poison centres would otherwise be pre-empted from</w:t>
      </w:r>
      <w:r>
        <w:t xml:space="preserve"> </w:t>
      </w:r>
      <w:r>
        <w:t xml:space="preserve">carrying out their tasks by virtue of Article 4(10) providing for a general obligation to</w:t>
      </w:r>
      <w:r>
        <w:t xml:space="preserve"> </w:t>
      </w:r>
      <w:r>
        <w:t xml:space="preserve">comply with the CLP Regulation. Based on that interpretation certain distributors may</w:t>
      </w:r>
      <w:r>
        <w:t xml:space="preserve"> </w:t>
      </w:r>
      <w:r>
        <w:t xml:space="preserve">notify already (by following Art. 4(10)), hence reducing the scale of the problem from</w:t>
      </w:r>
      <w:r>
        <w:t xml:space="preserve"> </w:t>
      </w:r>
      <w:r>
        <w:t xml:space="preserve">significant to relatively significant.</w:t>
      </w:r>
      <w:r>
        <w:br/>
      </w:r>
      <w:r>
        <w:t xml:space="preserve">Available information to poison centres on substances</w:t>
      </w:r>
      <w:r>
        <w:br/>
      </w:r>
      <w:r>
        <w:t xml:space="preserve">Article 45 of the CLP Regulation does not provide for the obligation to submit</w:t>
      </w:r>
      <w:r>
        <w:t xml:space="preserve"> </w:t>
      </w:r>
      <w:r>
        <w:t xml:space="preserve">information on substances to appointed bodies (poison centres). Information to provide</w:t>
      </w:r>
      <w:r>
        <w:t xml:space="preserve"> </w:t>
      </w:r>
      <w:r>
        <w:t xml:space="preserve">emergency health response could be needed for substances too since not having that</w:t>
      </w:r>
      <w:r>
        <w:t xml:space="preserve"> </w:t>
      </w:r>
      <w:r>
        <w:t xml:space="preserve">information leads to the same consequences as outlined above.</w:t>
      </w:r>
      <w:r>
        <w:br/>
      </w:r>
      <w:r>
        <w:t xml:space="preserve">Based on the consultations carried out, not submitting information on substances is</w:t>
      </w:r>
      <w:r>
        <w:t xml:space="preserve"> </w:t>
      </w:r>
      <w:r>
        <w:t xml:space="preserve">actually not a problem because poison centres retrieve data on substances from other</w:t>
      </w:r>
      <w:r>
        <w:t xml:space="preserve"> </w:t>
      </w:r>
      <w:r>
        <w:t xml:space="preserve">sources (e.g. data is available through the registered substance database, the classification</w:t>
      </w:r>
      <w:r>
        <w:t xml:space="preserve"> </w:t>
      </w:r>
      <w:r>
        <w:t xml:space="preserve">and labelling inventory, the product label), and cases where substances are the origin of a</w:t>
      </w:r>
      <w:r>
        <w:t xml:space="preserve"> </w:t>
      </w:r>
      <w:r>
        <w:t xml:space="preserve">poisoning incident are significantly less frequent. E.g., the German poison centre</w:t>
      </w:r>
      <w:r>
        <w:t xml:space="preserve"> </w:t>
      </w:r>
      <w:r>
        <w:t xml:space="preserve">indicated that between 2-4% of its 200 daily calls are estimated to be related to</w:t>
      </w:r>
      <w:r>
        <w:t xml:space="preserve"> </w:t>
      </w:r>
      <w:r>
        <w:t xml:space="preserve">substances, whereas data from the German Federal Institute for Risk Assessment (BfR),</w:t>
      </w:r>
      <w:r>
        <w:t xml:space="preserve"> </w:t>
      </w:r>
      <w:r>
        <w:t xml:space="preserve">who are collecting information on around 8 000 poisoning incidents at workplaces each</w:t>
      </w:r>
      <w:r>
        <w:t xml:space="preserve"> </w:t>
      </w:r>
      <w:r>
        <w:t xml:space="preserve">year, found that in 2020, for 23% of cases it was documented that a substance was the</w:t>
      </w:r>
      <w:r>
        <w:t xml:space="preserve"> </w:t>
      </w:r>
      <w:r>
        <w:t xml:space="preserve">causative agent. For this relatively high figure of 23%, additional factors which might</w:t>
      </w:r>
      <w:r>
        <w:t xml:space="preserve"> </w:t>
      </w:r>
      <w:r>
        <w:t xml:space="preserve">alleviate any concerns should be taken into account. In workplace situations typically</w:t>
      </w:r>
      <w:r>
        <w:t xml:space="preserve"> </w:t>
      </w:r>
      <w:r>
        <w:t xml:space="preserve">more information on response is available from the safety data sheet (SDS), hence there</w:t>
      </w:r>
      <w:r>
        <w:t xml:space="preserve"> </w:t>
      </w:r>
      <w:r>
        <w:t xml:space="preserve">is less need of information on substances. Also, the 23% figure refers to all incidents and</w:t>
      </w:r>
      <w:r>
        <w:t xml:space="preserve"> </w:t>
      </w:r>
      <w:r>
        <w:t xml:space="preserve">not only those where a poison centre was needed. Belgium reported that 350 out of</w:t>
      </w:r>
      <w:r>
        <w:t xml:space="preserve"> </w:t>
      </w:r>
      <w:r>
        <w:t xml:space="preserve">13,000 calls relate to substances and that for those cases poison centres do not have</w:t>
      </w:r>
      <w:r>
        <w:t xml:space="preserve"> </w:t>
      </w:r>
      <w:r>
        <w:t xml:space="preserve">difficulties to identify the substances. During the consultation of the expert group</w:t>
      </w:r>
      <w:r>
        <w:t xml:space="preserve"> </w:t>
      </w:r>
      <w:r>
        <w:t xml:space="preserve">CARACAL, experts of the competent authorities raised the issue that data additionally</w:t>
      </w:r>
      <w:r>
        <w:t xml:space="preserve"> </w:t>
      </w:r>
      <w:r>
        <w:t xml:space="preserve">submitted data on substances would overload their systems, which might already contain</w:t>
      </w:r>
      <w:r>
        <w:t xml:space="preserve"> </w:t>
      </w:r>
      <w:r>
        <w:t xml:space="preserve">substance-related information and make relevant information more difficult to retrieve.</w:t>
      </w:r>
      <w:r>
        <w:br/>
      </w:r>
      <w:r>
        <w:t xml:space="preserve">What are the problem drivers?</w:t>
      </w:r>
      <w:r>
        <w:t xml:space="preserve"> </w:t>
      </w:r>
      <w:r>
        <w:t xml:space="preserve">Hazard communication across the supply chain is insufficient, therefore, many</w:t>
      </w:r>
      <w:r>
        <w:t xml:space="preserve"> </w:t>
      </w:r>
      <w:r>
        <w:t xml:space="preserve">downstream suppliers who do not have all available information on hazardous mixtures</w:t>
      </w:r>
      <w:r>
        <w:t xml:space="preserve"> </w:t>
      </w:r>
      <w:r>
        <w:t xml:space="preserve">are not able to notify the full set of information to poison centres (regulatory failure).</w:t>
      </w:r>
      <w:r>
        <w:br/>
      </w:r>
      <w:r>
        <w:t xml:space="preserve">Article 45 and Annex VIII of the CLP Regulation do not specifically cater for the cases</w:t>
      </w:r>
      <w:r>
        <w:t xml:space="preserve"> </w:t>
      </w:r>
      <w:r>
        <w:t xml:space="preserve">of information loss mentioned above, whereas the obligation under Article 4(10) is very</w:t>
      </w:r>
      <w:r>
        <w:t xml:space="preserve"> </w:t>
      </w:r>
      <w:r>
        <w:t xml:space="preserve">generic. ECHA guidance provides clarification to the generic obligation under</w:t>
      </w:r>
      <w:r>
        <w:t xml:space="preserve"> </w:t>
      </w:r>
      <w:r>
        <w:t xml:space="preserve">Article 4(10) to comply with CLP and for distributors to submit in certain cases.</w:t>
      </w:r>
      <w:r>
        <w:t xml:space="preserve"> </w:t>
      </w:r>
      <w:r>
        <w:t xml:space="preserve">However, ECHA guidance is not legally binding and thus distributors might not consider</w:t>
      </w:r>
      <w:r>
        <w:t xml:space="preserve"> </w:t>
      </w:r>
      <w:r>
        <w:t xml:space="preserve">the obligations under Article 4(10), read in combination with ECHA’s guidance, binding.</w:t>
      </w:r>
      <w:r>
        <w:t xml:space="preserve"> </w:t>
      </w:r>
      <w:r>
        <w:t xml:space="preserve">Therefore, due to some ambiguity in the legislation, outcomes are sub-optimal. Either</w:t>
      </w:r>
      <w:r>
        <w:t xml:space="preserve"> </w:t>
      </w:r>
      <w:r>
        <w:t xml:space="preserve">mixture distributors might be aware of the applicable provisions but do not consider them</w:t>
      </w:r>
      <w:r>
        <w:t xml:space="preserve"> </w:t>
      </w:r>
      <w:r>
        <w:t xml:space="preserve">stringent/clear enough to comply with, or they might not even be aware of them (results</w:t>
      </w:r>
      <w:r>
        <w:t xml:space="preserve"> </w:t>
      </w:r>
      <w:r>
        <w:t xml:space="preserve">in insufficient supply chain communication). Legal clarity is needed for distributors to</w:t>
      </w:r>
      <w:r>
        <w:t xml:space="preserve"> </w:t>
      </w:r>
      <w:r>
        <w:t xml:space="preserve">comply with the applicable rules and to assure that all distributors obey to the same</w:t>
      </w:r>
      <w:r>
        <w:t xml:space="preserve"> </w:t>
      </w:r>
      <w:r>
        <w:t xml:space="preserve">obligations in order to create a level-playing field in the EU.</w:t>
      </w:r>
    </w:p>
    <w:p>
      <w:pPr>
        <w:pStyle w:val="BodyText"/>
      </w:pPr>
      <w:r>
        <w:t xml:space="preserve">610</w:t>
      </w:r>
    </w:p>
    <w:p>
      <w:pPr>
        <w:pStyle w:val="BodyText"/>
      </w:pPr>
      <w:r>
        <w:t xml:space="preserve">How likely is the problem to persist?</w:t>
      </w:r>
      <w:r>
        <w:t xml:space="preserve"> </w:t>
      </w:r>
      <w:r>
        <w:t xml:space="preserve">The problem is likely to persist since distributors will continue placing on the market</w:t>
      </w:r>
      <w:r>
        <w:t xml:space="preserve"> </w:t>
      </w:r>
      <w:r>
        <w:t xml:space="preserve">mixtures with a cross-border dimension and/or re-branding/re-labelling them. Data from</w:t>
      </w:r>
      <w:r>
        <w:t xml:space="preserve"> </w:t>
      </w:r>
      <w:r>
        <w:t xml:space="preserve">Eurostat215 shows that in 2020 intra-EU sales of chemicals accounted for EUR 496 billion</w:t>
      </w:r>
      <w:r>
        <w:t xml:space="preserve"> </w:t>
      </w:r>
      <w:r>
        <w:t xml:space="preserve">in 2020 (up from EUR 207 billion in 2002), which made up 17% of all intra-EU sales.</w:t>
      </w:r>
      <w:r>
        <w:t xml:space="preserve"> </w:t>
      </w:r>
      <w:r>
        <w:t xml:space="preserve">Without EU intervention, the scale of the problem may increase over time, mainly driven</w:t>
      </w:r>
      <w:r>
        <w:t xml:space="preserve"> </w:t>
      </w:r>
      <w:r>
        <w:t xml:space="preserve">by the growing trend in intra-EU sales. This applies in particular to countries with a high</w:t>
      </w:r>
      <w:r>
        <w:t xml:space="preserve"> </w:t>
      </w:r>
      <w:r>
        <w:t xml:space="preserve">number of EU borders as well as to small countries where cross-border distribution</w:t>
      </w:r>
      <w:r>
        <w:t xml:space="preserve"> </w:t>
      </w:r>
      <w:r>
        <w:t xml:space="preserve">happens or where chemicals are re-labelled to comply with the language requirements.</w:t>
      </w:r>
      <w:r>
        <w:br/>
      </w:r>
      <w:r>
        <w:t xml:space="preserve">What is to be achieved - objectives</w:t>
      </w:r>
      <w:r>
        <w:t xml:space="preserve"> </w:t>
      </w:r>
      <w:r>
        <w:t xml:space="preserve">General objectives</w:t>
      </w:r>
      <w:r>
        <w:t xml:space="preserve"> </w:t>
      </w:r>
      <w:r>
        <w:t xml:space="preserve">The overall objective of improving submissions to poison centres is the protection of</w:t>
      </w:r>
      <w:r>
        <w:t xml:space="preserve"> </w:t>
      </w:r>
      <w:r>
        <w:t xml:space="preserve">human health as well as ensuring a good functioning of the internal market by enabling a</w:t>
      </w:r>
      <w:r>
        <w:t xml:space="preserve"> </w:t>
      </w:r>
      <w:r>
        <w:t xml:space="preserve">level-playing field for the supply of chemical mixtures in the EU.</w:t>
      </w:r>
      <w:r>
        <w:br/>
      </w:r>
      <w:r>
        <w:t xml:space="preserve">Specific objectives</w:t>
      </w:r>
      <w:r>
        <w:t xml:space="preserve"> </w:t>
      </w:r>
      <w:r>
        <w:t xml:space="preserve">The CLP revision should improve legal clarity and compliance of the requirements</w:t>
      </w:r>
      <w:r>
        <w:t xml:space="preserve"> </w:t>
      </w:r>
      <w:r>
        <w:t xml:space="preserve">related to poison centre notifications by distributers and other supplier types.</w:t>
      </w:r>
      <w:r>
        <w:br/>
      </w:r>
      <w:r>
        <w:t xml:space="preserve">To effectively and efficiently protect consumers, national poison centres (or appointed</w:t>
      </w:r>
      <w:r>
        <w:t xml:space="preserve"> </w:t>
      </w:r>
      <w:r>
        <w:t xml:space="preserve">bodies) need the best available information on chemicals placed on the market to which</w:t>
      </w:r>
      <w:r>
        <w:t xml:space="preserve"> </w:t>
      </w:r>
      <w:r>
        <w:t xml:space="preserve">users could be exposed and for which adequate and swift emergency health response is</w:t>
      </w:r>
      <w:r>
        <w:t xml:space="preserve"> </w:t>
      </w:r>
      <w:r>
        <w:t xml:space="preserve">needed. This objective is in line with SDG 3 good health and well-being.</w:t>
      </w:r>
      <w:r>
        <w:br/>
      </w:r>
      <w:r>
        <w:t xml:space="preserve">Legislation should be drafted in a clear, simple and accurate manner to improve its</w:t>
      </w:r>
      <w:r>
        <w:t xml:space="preserve"> </w:t>
      </w:r>
      <w:r>
        <w:t xml:space="preserve">efficiency allowing duty holders to properly comply with it. This objective is in line with</w:t>
      </w:r>
      <w:r>
        <w:t xml:space="preserve"> </w:t>
      </w:r>
      <w:r>
        <w:t xml:space="preserve">SDG 16 peace, justice and strong institutions.</w:t>
      </w:r>
      <w:r>
        <w:br/>
      </w:r>
      <w:r>
        <w:t xml:space="preserve">Poison centres should not be overwhelmed with unnecessary or duplicated information.</w:t>
      </w:r>
      <w:r>
        <w:t xml:space="preserve"> </w:t>
      </w:r>
      <w:r>
        <w:t xml:space="preserve">Hence, the need to only cater for those cases where information is currently not available</w:t>
      </w:r>
      <w:r>
        <w:t xml:space="preserve"> </w:t>
      </w:r>
      <w:r>
        <w:t xml:space="preserve">(no need for double-notifications if importers or downstream users already notified the</w:t>
      </w:r>
      <w:r>
        <w:t xml:space="preserve"> </w:t>
      </w:r>
      <w:r>
        <w:t xml:space="preserve">same mixture under the same brand/label in the same Member State). Also, there is no</w:t>
      </w:r>
      <w:r>
        <w:t xml:space="preserve"> </w:t>
      </w:r>
      <w:r>
        <w:t xml:space="preserve">need to submit information on substances if poison centres already have sufficient access</w:t>
      </w:r>
      <w:r>
        <w:t xml:space="preserve"> </w:t>
      </w:r>
      <w:r>
        <w:t xml:space="preserve">to such information.</w:t>
      </w:r>
    </w:p>
    <w:p>
      <w:pPr>
        <w:pStyle w:val="BodyText"/>
      </w:pPr>
      <w:r>
        <w:t xml:space="preserve">WHAT ARE THE AVAILABLE POLICY OPTIONS?</w:t>
      </w:r>
      <w:r>
        <w:t xml:space="preserve"> </w:t>
      </w:r>
      <w:r>
        <w:t xml:space="preserve">What is the baseline from which options are assessed?</w:t>
      </w:r>
      <w:r>
        <w:t xml:space="preserve"> </w:t>
      </w:r>
      <w:r>
        <w:t xml:space="preserve">The baseline from which policy options are assessed is the currently applicable</w:t>
      </w:r>
      <w:r>
        <w:t xml:space="preserve"> </w:t>
      </w:r>
      <w:r>
        <w:t xml:space="preserve">regulatory framework, i.e. obligations by downstream users and importers as per</w:t>
      </w:r>
      <w:r>
        <w:t xml:space="preserve"> </w:t>
      </w:r>
      <w:r>
        <w:t xml:space="preserve">Article 45, by distributers and other supplier types as per Article 4(10), and clarifications</w:t>
      </w:r>
      <w:r>
        <w:t xml:space="preserve"> </w:t>
      </w:r>
      <w:r>
        <w:t xml:space="preserve">of those obligations enshrined in ECHA guidance. ECHA guidance already address the</w:t>
      </w:r>
      <w:r>
        <w:t xml:space="preserve"> </w:t>
      </w:r>
      <w:r>
        <w:t xml:space="preserve">problem the best way possible, therefore, improving ECHA guidance was not explored as</w:t>
      </w:r>
      <w:r>
        <w:t xml:space="preserve"> </w:t>
      </w:r>
      <w:r>
        <w:t xml:space="preserve">non-regulatory policy option (“no-policy-change” scenario). To solve the problem, no</w:t>
      </w:r>
      <w:r>
        <w:t xml:space="preserve"> </w:t>
      </w:r>
      <w:r>
        <w:t xml:space="preserve">not yet adopted legislation is relevant, so that only the applicable legislation and</w:t>
      </w:r>
      <w:r>
        <w:t xml:space="preserve"> </w:t>
      </w:r>
      <w:r>
        <w:t xml:space="preserve">guidance should be taken into account for addressing the problem. Based on</w:t>
      </w:r>
    </w:p>
    <w:p>
      <w:pPr>
        <w:pStyle w:val="BodyText"/>
      </w:pPr>
      <w:r>
        <w:t xml:space="preserve">215</w:t>
      </w:r>
      <w:r>
        <w:t xml:space="preserve"> </w:t>
      </w:r>
      <w:r>
        <w:t xml:space="preserve">https://ec.europa.eu/eurostat/statistics-explained/index.php?title=Intra-EU_trade_in_goods_-</w:t>
      </w:r>
      <w:r>
        <w:t xml:space="preserve"> </w:t>
      </w:r>
      <w:r>
        <w:t xml:space="preserve">_main_features#Intra-EU_trade_in_goods_by_main_product_groups</w:t>
      </w:r>
    </w:p>
    <w:p>
      <w:pPr>
        <w:pStyle w:val="BodyText"/>
      </w:pPr>
      <w:r>
        <w:t xml:space="preserve">611</w:t>
      </w:r>
    </w:p>
    <w:p>
      <w:pPr>
        <w:pStyle w:val="BodyText"/>
      </w:pPr>
      <w:r>
        <w:t xml:space="preserve">assumptions, a max. of 50% of distributors who should have to comply by virtue of</w:t>
      </w:r>
      <w:r>
        <w:t xml:space="preserve"> </w:t>
      </w:r>
      <w:r>
        <w:t xml:space="preserve">Article 4(10) adhere to the rules in reality. This reality scenario is not going to change</w:t>
      </w:r>
      <w:r>
        <w:t xml:space="preserve"> </w:t>
      </w:r>
      <w:r>
        <w:t xml:space="preserve">drastically within the next 20 years without any legislative intervention, thus the problem</w:t>
      </w:r>
      <w:r>
        <w:t xml:space="preserve"> </w:t>
      </w:r>
      <w:r>
        <w:t xml:space="preserve">continues existing.</w:t>
      </w:r>
      <w:r>
        <w:br/>
      </w:r>
      <w:r>
        <w:t xml:space="preserve">The number of Notifications to Poison Centres (PCNs) received in 2021 was 1,444,290,</w:t>
      </w:r>
      <w:r>
        <w:t xml:space="preserve"> </w:t>
      </w:r>
      <w:r>
        <w:t xml:space="preserve">but submissions to multiple Member States can be made in a single notification.</w:t>
      </w:r>
      <w:r>
        <w:t xml:space="preserve"> </w:t>
      </w:r>
      <w:r>
        <w:t xml:space="preserve">Expanding the number of notifications to include all multiple submissions results in the</w:t>
      </w:r>
      <w:r>
        <w:t xml:space="preserve"> </w:t>
      </w:r>
      <w:r>
        <w:t xml:space="preserve">figures presented in the table below (almost 7.7 million notifications).</w:t>
      </w:r>
      <w:r>
        <w:t xml:space="preserve"> </w:t>
      </w:r>
      <w:r>
        <w:t xml:space="preserve">Table 193: Summary of population of EU Member States and notifications received by PCNs</w:t>
      </w:r>
      <w:r>
        <w:t xml:space="preserve"> </w:t>
      </w:r>
      <w:r>
        <w:t xml:space="preserve">Member State</w:t>
      </w:r>
      <w:r>
        <w:t xml:space="preserve"> </w:t>
      </w:r>
      <w:r>
        <w:t xml:space="preserve">Population (2021) Number of Poison Centre submissions in 2021</w:t>
      </w:r>
      <w:r>
        <w:t xml:space="preserve"> </w:t>
      </w:r>
      <w:r>
        <w:t xml:space="preserve">Germany</w:t>
      </w:r>
      <w:r>
        <w:br/>
      </w:r>
      <w:r>
        <w:t xml:space="preserve">83,155,031</w:t>
      </w:r>
      <w:r>
        <w:t xml:space="preserve"> </w:t>
      </w:r>
      <w:r>
        <w:t xml:space="preserve">583,493</w:t>
      </w:r>
      <w:r>
        <w:t xml:space="preserve"> </w:t>
      </w:r>
      <w:r>
        <w:t xml:space="preserve">France</w:t>
      </w:r>
      <w:r>
        <w:t xml:space="preserve"> </w:t>
      </w:r>
      <w:r>
        <w:t xml:space="preserve">67,439,599</w:t>
      </w:r>
      <w:r>
        <w:t xml:space="preserve"> </w:t>
      </w:r>
      <w:r>
        <w:t xml:space="preserve">478,053</w:t>
      </w:r>
      <w:r>
        <w:t xml:space="preserve"> </w:t>
      </w:r>
      <w:r>
        <w:t xml:space="preserve">Italy</w:t>
      </w:r>
      <w:r>
        <w:t xml:space="preserve"> </w:t>
      </w:r>
      <w:r>
        <w:t xml:space="preserve">59,257,566</w:t>
      </w:r>
      <w:r>
        <w:t xml:space="preserve"> </w:t>
      </w:r>
      <w:r>
        <w:t xml:space="preserve">604,775</w:t>
      </w:r>
      <w:r>
        <w:t xml:space="preserve"> </w:t>
      </w:r>
      <w:r>
        <w:t xml:space="preserve">Spain</w:t>
      </w:r>
      <w:r>
        <w:br/>
      </w:r>
      <w:r>
        <w:t xml:space="preserve">47,394,223</w:t>
      </w:r>
      <w:r>
        <w:t xml:space="preserve"> </w:t>
      </w:r>
      <w:r>
        <w:t xml:space="preserve">414,199</w:t>
      </w:r>
      <w:r>
        <w:t xml:space="preserve"> </w:t>
      </w:r>
      <w:r>
        <w:t xml:space="preserve">Poland</w:t>
      </w:r>
      <w:r>
        <w:t xml:space="preserve"> </w:t>
      </w:r>
      <w:r>
        <w:t xml:space="preserve">37,840,001</w:t>
      </w:r>
      <w:r>
        <w:t xml:space="preserve"> </w:t>
      </w:r>
      <w:r>
        <w:t xml:space="preserve">444,448</w:t>
      </w:r>
      <w:r>
        <w:t xml:space="preserve"> </w:t>
      </w:r>
      <w:r>
        <w:t xml:space="preserve">Romania</w:t>
      </w:r>
      <w:r>
        <w:t xml:space="preserve"> </w:t>
      </w:r>
      <w:r>
        <w:t xml:space="preserve">19,186,201</w:t>
      </w:r>
      <w:r>
        <w:t xml:space="preserve"> </w:t>
      </w:r>
      <w:r>
        <w:t xml:space="preserve">244,333</w:t>
      </w:r>
      <w:r>
        <w:t xml:space="preserve"> </w:t>
      </w:r>
      <w:r>
        <w:t xml:space="preserve">Netherlands</w:t>
      </w:r>
      <w:r>
        <w:t xml:space="preserve"> </w:t>
      </w:r>
      <w:r>
        <w:t xml:space="preserve">17,475,415</w:t>
      </w:r>
      <w:r>
        <w:t xml:space="preserve"> </w:t>
      </w:r>
      <w:r>
        <w:t xml:space="preserve">316,837</w:t>
      </w:r>
      <w:r>
        <w:t xml:space="preserve"> </w:t>
      </w:r>
      <w:r>
        <w:t xml:space="preserve">Belgium</w:t>
      </w:r>
      <w:r>
        <w:t xml:space="preserve"> </w:t>
      </w:r>
      <w:r>
        <w:t xml:space="preserve">11,566,041</w:t>
      </w:r>
      <w:r>
        <w:t xml:space="preserve"> </w:t>
      </w:r>
      <w:r>
        <w:t xml:space="preserve">214,877</w:t>
      </w:r>
      <w:r>
        <w:t xml:space="preserve"> </w:t>
      </w:r>
      <w:r>
        <w:t xml:space="preserve">Czech Republic</w:t>
      </w:r>
      <w:r>
        <w:t xml:space="preserve"> </w:t>
      </w:r>
      <w:r>
        <w:t xml:space="preserve">10,701,777</w:t>
      </w:r>
      <w:r>
        <w:t xml:space="preserve"> </w:t>
      </w:r>
      <w:r>
        <w:t xml:space="preserve">268,901</w:t>
      </w:r>
      <w:r>
        <w:t xml:space="preserve"> </w:t>
      </w:r>
      <w:r>
        <w:t xml:space="preserve">Greece</w:t>
      </w:r>
      <w:r>
        <w:t xml:space="preserve"> </w:t>
      </w:r>
      <w:r>
        <w:t xml:space="preserve">10,682,547</w:t>
      </w:r>
      <w:r>
        <w:t xml:space="preserve"> </w:t>
      </w:r>
      <w:r>
        <w:t xml:space="preserve">251,609</w:t>
      </w:r>
      <w:r>
        <w:t xml:space="preserve"> </w:t>
      </w:r>
      <w:r>
        <w:t xml:space="preserve">Portugal</w:t>
      </w:r>
      <w:r>
        <w:t xml:space="preserve"> </w:t>
      </w:r>
      <w:r>
        <w:t xml:space="preserve">10,298,252</w:t>
      </w:r>
      <w:r>
        <w:t xml:space="preserve"> </w:t>
      </w:r>
      <w:r>
        <w:t xml:space="preserve">446,018</w:t>
      </w:r>
      <w:r>
        <w:t xml:space="preserve"> </w:t>
      </w:r>
      <w:r>
        <w:t xml:space="preserve">Sweden</w:t>
      </w:r>
      <w:r>
        <w:t xml:space="preserve"> </w:t>
      </w:r>
      <w:r>
        <w:t xml:space="preserve">10,379,295</w:t>
      </w:r>
      <w:r>
        <w:t xml:space="preserve"> </w:t>
      </w:r>
      <w:r>
        <w:t xml:space="preserve">250,240</w:t>
      </w:r>
      <w:r>
        <w:t xml:space="preserve"> </w:t>
      </w:r>
      <w:r>
        <w:t xml:space="preserve">Hungary</w:t>
      </w:r>
      <w:r>
        <w:t xml:space="preserve"> </w:t>
      </w:r>
      <w:r>
        <w:t xml:space="preserve">9,730,772</w:t>
      </w:r>
      <w:r>
        <w:t xml:space="preserve"> </w:t>
      </w:r>
      <w:r>
        <w:t xml:space="preserve">142,749</w:t>
      </w:r>
      <w:r>
        <w:t xml:space="preserve"> </w:t>
      </w:r>
      <w:r>
        <w:t xml:space="preserve">Austria</w:t>
      </w:r>
      <w:r>
        <w:t xml:space="preserve"> </w:t>
      </w:r>
      <w:r>
        <w:t xml:space="preserve">8,932,664</w:t>
      </w:r>
      <w:r>
        <w:t xml:space="preserve"> </w:t>
      </w:r>
      <w:r>
        <w:t xml:space="preserve">332,514</w:t>
      </w:r>
      <w:r>
        <w:t xml:space="preserve"> </w:t>
      </w:r>
      <w:r>
        <w:t xml:space="preserve">Bulgaria</w:t>
      </w:r>
      <w:r>
        <w:t xml:space="preserve"> </w:t>
      </w:r>
      <w:r>
        <w:t xml:space="preserve">6,916,548</w:t>
      </w:r>
      <w:r>
        <w:t xml:space="preserve"> </w:t>
      </w:r>
      <w:r>
        <w:t xml:space="preserve">221,832</w:t>
      </w:r>
      <w:r>
        <w:t xml:space="preserve"> </w:t>
      </w:r>
      <w:r>
        <w:t xml:space="preserve">Denmark</w:t>
      </w:r>
      <w:r>
        <w:t xml:space="preserve"> </w:t>
      </w:r>
      <w:r>
        <w:t xml:space="preserve">5,840,045</w:t>
      </w:r>
      <w:r>
        <w:t xml:space="preserve"> </w:t>
      </w:r>
      <w:r>
        <w:t xml:space="preserve">245,333</w:t>
      </w:r>
      <w:r>
        <w:t xml:space="preserve"> </w:t>
      </w:r>
      <w:r>
        <w:t xml:space="preserve">Finland</w:t>
      </w:r>
      <w:r>
        <w:t xml:space="preserve"> </w:t>
      </w:r>
      <w:r>
        <w:t xml:space="preserve">5,533,793</w:t>
      </w:r>
      <w:r>
        <w:t xml:space="preserve"> </w:t>
      </w:r>
      <w:r>
        <w:t xml:space="preserve">188,175</w:t>
      </w:r>
      <w:r>
        <w:t xml:space="preserve"> </w:t>
      </w:r>
      <w:r>
        <w:t xml:space="preserve">Slovakia</w:t>
      </w:r>
      <w:r>
        <w:t xml:space="preserve"> </w:t>
      </w:r>
      <w:r>
        <w:t xml:space="preserve">5,459,781</w:t>
      </w:r>
      <w:r>
        <w:t xml:space="preserve"> </w:t>
      </w:r>
      <w:r>
        <w:t xml:space="preserve">222,649</w:t>
      </w:r>
      <w:r>
        <w:t xml:space="preserve"> </w:t>
      </w:r>
      <w:r>
        <w:t xml:space="preserve">Ireland</w:t>
      </w:r>
      <w:r>
        <w:t xml:space="preserve"> </w:t>
      </w:r>
      <w:r>
        <w:t xml:space="preserve">5,006,907</w:t>
      </w:r>
      <w:r>
        <w:t xml:space="preserve"> </w:t>
      </w:r>
      <w:r>
        <w:t xml:space="preserve">218,503</w:t>
      </w:r>
      <w:r>
        <w:t xml:space="preserve"> </w:t>
      </w:r>
      <w:r>
        <w:t xml:space="preserve">Croatia</w:t>
      </w:r>
      <w:r>
        <w:t xml:space="preserve"> </w:t>
      </w:r>
      <w:r>
        <w:t xml:space="preserve">4,036,355</w:t>
      </w:r>
      <w:r>
        <w:t xml:space="preserve"> </w:t>
      </w:r>
      <w:r>
        <w:t xml:space="preserve">240,974</w:t>
      </w:r>
      <w:r>
        <w:t xml:space="preserve"> </w:t>
      </w:r>
      <w:r>
        <w:t xml:space="preserve">Lithuania</w:t>
      </w:r>
      <w:r>
        <w:t xml:space="preserve"> </w:t>
      </w:r>
      <w:r>
        <w:t xml:space="preserve">2,795,680</w:t>
      </w:r>
      <w:r>
        <w:t xml:space="preserve"> </w:t>
      </w:r>
      <w:r>
        <w:t xml:space="preserve">251,670</w:t>
      </w:r>
      <w:r>
        <w:t xml:space="preserve"> </w:t>
      </w:r>
      <w:r>
        <w:t xml:space="preserve">Slovenia</w:t>
      </w:r>
      <w:r>
        <w:t xml:space="preserve"> </w:t>
      </w:r>
      <w:r>
        <w:t xml:space="preserve">2,108,977</w:t>
      </w:r>
      <w:r>
        <w:t xml:space="preserve"> </w:t>
      </w:r>
      <w:r>
        <w:t xml:space="preserve">219,211</w:t>
      </w:r>
      <w:r>
        <w:t xml:space="preserve"> </w:t>
      </w:r>
      <w:r>
        <w:t xml:space="preserve">Latvia</w:t>
      </w:r>
      <w:r>
        <w:t xml:space="preserve"> </w:t>
      </w:r>
      <w:r>
        <w:t xml:space="preserve">1,893,223</w:t>
      </w:r>
      <w:r>
        <w:t xml:space="preserve"> </w:t>
      </w:r>
      <w:r>
        <w:t xml:space="preserve">223,510</w:t>
      </w:r>
      <w:r>
        <w:t xml:space="preserve"> </w:t>
      </w:r>
      <w:r>
        <w:t xml:space="preserve">Estonia</w:t>
      </w:r>
      <w:r>
        <w:t xml:space="preserve"> </w:t>
      </w:r>
      <w:r>
        <w:t xml:space="preserve">1,330,068</w:t>
      </w:r>
      <w:r>
        <w:t xml:space="preserve"> </w:t>
      </w:r>
      <w:r>
        <w:t xml:space="preserve">205,451</w:t>
      </w:r>
      <w:r>
        <w:t xml:space="preserve"> </w:t>
      </w:r>
      <w:r>
        <w:t xml:space="preserve">Cyprus</w:t>
      </w:r>
      <w:r>
        <w:t xml:space="preserve"> </w:t>
      </w:r>
      <w:r>
        <w:t xml:space="preserve">896,005</w:t>
      </w:r>
      <w:r>
        <w:t xml:space="preserve"> </w:t>
      </w:r>
      <w:r>
        <w:t xml:space="preserve">153,681</w:t>
      </w:r>
      <w:r>
        <w:t xml:space="preserve"> </w:t>
      </w:r>
      <w:r>
        <w:t xml:space="preserve">Luxembourg</w:t>
      </w:r>
      <w:r>
        <w:t xml:space="preserve"> </w:t>
      </w:r>
      <w:r>
        <w:t xml:space="preserve">634,730</w:t>
      </w:r>
      <w:r>
        <w:t xml:space="preserve"> </w:t>
      </w:r>
      <w:r>
        <w:t xml:space="preserve">116,029</w:t>
      </w:r>
      <w:r>
        <w:t xml:space="preserve"> </w:t>
      </w:r>
      <w:r>
        <w:t xml:space="preserve">Malta</w:t>
      </w:r>
      <w:r>
        <w:t xml:space="preserve"> </w:t>
      </w:r>
      <w:r>
        <w:t xml:space="preserve">516,100</w:t>
      </w:r>
      <w:r>
        <w:t xml:space="preserve"> </w:t>
      </w:r>
      <w:r>
        <w:t xml:space="preserve">199,217</w:t>
      </w:r>
      <w:r>
        <w:t xml:space="preserve"> </w:t>
      </w:r>
      <w:r>
        <w:t xml:space="preserve">Source: ECHA (2022) and Eurostat (2021).</w:t>
      </w:r>
      <w:r>
        <w:br/>
      </w:r>
      <w:r>
        <w:t xml:space="preserve">See: https://ec.europa.eu/eurostat/databrowser/view/tps00001/default/table?lang=en</w:t>
      </w:r>
    </w:p>
    <w:p>
      <w:pPr>
        <w:pStyle w:val="BodyText"/>
      </w:pPr>
      <w:r>
        <w:t xml:space="preserve">Number of distributors and distributed products</w:t>
      </w:r>
      <w:r>
        <w:t xml:space="preserve"> </w:t>
      </w:r>
      <w:r>
        <w:t xml:space="preserve">In order to quantitatively assess how many mixtures should be notified to prevent</w:t>
      </w:r>
      <w:r>
        <w:t xml:space="preserve"> </w:t>
      </w:r>
      <w:r>
        <w:t xml:space="preserve">information loss, estimations were carried out which might have their limitations or bring</w:t>
      </w:r>
      <w:r>
        <w:t xml:space="preserve"> </w:t>
      </w:r>
      <w:r>
        <w:t xml:space="preserve">about some levels of uncertainty.</w:t>
      </w:r>
    </w:p>
    <w:p>
      <w:pPr>
        <w:pStyle w:val="BodyText"/>
      </w:pPr>
      <w:r>
        <w:t xml:space="preserve">612</w:t>
      </w:r>
    </w:p>
    <w:p>
      <w:pPr>
        <w:pStyle w:val="BodyText"/>
      </w:pPr>
      <w:r>
        <w:t xml:space="preserve">To estimate the number of distributors in the EU, data from Eurostat was used on the</w:t>
      </w:r>
      <w:r>
        <w:t xml:space="preserve"> </w:t>
      </w:r>
      <w:r>
        <w:t xml:space="preserve">number of enterprises in the G46.12 (Agents involved in the sale of fuels, ores, metals</w:t>
      </w:r>
      <w:r>
        <w:t xml:space="preserve"> </w:t>
      </w:r>
      <w:r>
        <w:t xml:space="preserve">and industrial chemicals) and G46.75 (Wholesale of chemical products) codes. This gave</w:t>
      </w:r>
      <w:r>
        <w:t xml:space="preserve"> </w:t>
      </w:r>
      <w:r>
        <w:t xml:space="preserve">an estimate of 41,300 distributors.</w:t>
      </w:r>
      <w:r>
        <w:t xml:space="preserve"> </w:t>
      </w:r>
      <w:r>
        <w:t xml:space="preserve">To calculate the number of products placed on the market by each distributor, data on the</w:t>
      </w:r>
      <w:r>
        <w:t xml:space="preserve"> </w:t>
      </w:r>
      <w:r>
        <w:t xml:space="preserve">number of PCNs received during 2021 (1,444,290) was combined with data on the</w:t>
      </w:r>
      <w:r>
        <w:t xml:space="preserve"> </w:t>
      </w:r>
      <w:r>
        <w:t xml:space="preserve">number of manufacturers (28,168) and distributors (41,337) in the EU-27. Dividing the</w:t>
      </w:r>
      <w:r>
        <w:t xml:space="preserve"> </w:t>
      </w:r>
      <w:r>
        <w:t xml:space="preserve">number of PCNs with the combined number of manufacturers and distributors results in a</w:t>
      </w:r>
      <w:r>
        <w:t xml:space="preserve"> </w:t>
      </w:r>
      <w:r>
        <w:t xml:space="preserve">figure of approximately 20 products per company. This estimate assumes that all</w:t>
      </w:r>
      <w:r>
        <w:t xml:space="preserve"> </w:t>
      </w:r>
      <w:r>
        <w:t xml:space="preserve">distributors are complying with their requirements under Article 45. To provide an</w:t>
      </w:r>
      <w:r>
        <w:t xml:space="preserve"> </w:t>
      </w:r>
      <w:r>
        <w:t xml:space="preserve">estimate where there is zero compliance from distributors, the number of PCNs</w:t>
      </w:r>
      <w:r>
        <w:t xml:space="preserve"> </w:t>
      </w:r>
      <w:r>
        <w:t xml:space="preserve">(1,444,290) was divided by the number of manufacturers (28,168) to give an estimate of</w:t>
      </w:r>
      <w:r>
        <w:t xml:space="preserve"> </w:t>
      </w:r>
      <w:r>
        <w:t xml:space="preserve">approximately 50 products per company. If it is assumed the average portfolio size of</w:t>
      </w:r>
      <w:r>
        <w:t xml:space="preserve"> </w:t>
      </w:r>
      <w:r>
        <w:t xml:space="preserve">distributors is similar to the rest of the chemical industry, this gives an approximate</w:t>
      </w:r>
      <w:r>
        <w:t xml:space="preserve"> </w:t>
      </w:r>
      <w:r>
        <w:t xml:space="preserve">estimate of 825,000 – 2,100,000 products placed on the EU market by distributors each</w:t>
      </w:r>
      <w:r>
        <w:t xml:space="preserve"> </w:t>
      </w:r>
      <w:r>
        <w:t xml:space="preserve">year (41,337 x (20 – 50) = 825,000 – 2,100,000).</w:t>
      </w:r>
      <w:r>
        <w:t xml:space="preserve"> </w:t>
      </w:r>
      <w:r>
        <w:t xml:space="preserve">The following limitations are recognised with this approach:</w:t>
      </w:r>
      <w:r>
        <w:br/>
      </w:r>
      <w:r>
        <w:t xml:space="preserve"> The number of PCNs submitted in 2021 only reflects notifications submitted due</w:t>
      </w:r>
      <w:r>
        <w:t xml:space="preserve"> </w:t>
      </w:r>
      <w:r>
        <w:t xml:space="preserve">to new products being brought to market or changes to existing products. It does</w:t>
      </w:r>
      <w:r>
        <w:t xml:space="preserve"> </w:t>
      </w:r>
      <w:r>
        <w:t xml:space="preserve">not provide an estimate of the total number of products each company currently</w:t>
      </w:r>
      <w:r>
        <w:t xml:space="preserve"> </w:t>
      </w:r>
      <w:r>
        <w:t xml:space="preserve">places on the market. It, therefore, underestimates the number of products per</w:t>
      </w:r>
      <w:r>
        <w:t xml:space="preserve"> </w:t>
      </w:r>
      <w:r>
        <w:t xml:space="preserve">company. However, historical data on PCNs submissions from ECHA is not</w:t>
      </w:r>
      <w:r>
        <w:t xml:space="preserve"> </w:t>
      </w:r>
      <w:r>
        <w:t xml:space="preserve">available.</w:t>
      </w:r>
      <w:r>
        <w:t xml:space="preserve"> </w:t>
      </w:r>
      <w:r>
        <w:t xml:space="preserve"> ECHA data does not provide the number of notifiers responsible for the</w:t>
      </w:r>
      <w:r>
        <w:t xml:space="preserve"> </w:t>
      </w:r>
      <w:r>
        <w:t xml:space="preserve">notification received, so broad assumptions have had to be made.</w:t>
      </w:r>
      <w:r>
        <w:t xml:space="preserve"> </w:t>
      </w:r>
      <w:r>
        <w:t xml:space="preserve">Number of distributors and distributed products traded intra-EU-27</w:t>
      </w:r>
      <w:r>
        <w:t xml:space="preserve"> </w:t>
      </w:r>
      <w:r>
        <w:t xml:space="preserve">To estimate the number of distributors purchasing chemical products from one Member</w:t>
      </w:r>
      <w:r>
        <w:t xml:space="preserve"> </w:t>
      </w:r>
      <w:r>
        <w:t xml:space="preserve">State and selling them in another, the following methodology was applied. For</w:t>
      </w:r>
      <w:r>
        <w:t xml:space="preserve"> </w:t>
      </w:r>
      <w:r>
        <w:t xml:space="preserve">distributors, data for the number of companies involved in imports and/or exports was</w:t>
      </w:r>
      <w:r>
        <w:t xml:space="preserve"> </w:t>
      </w:r>
      <w:r>
        <w:t xml:space="preserve">not available at the NACE Rev. 2 four-digit level – that is, for sectors G46.12 and</w:t>
      </w:r>
      <w:r>
        <w:t xml:space="preserve"> </w:t>
      </w:r>
      <w:r>
        <w:t xml:space="preserve">G46.75. Their number was estimated using available data in the following way:</w:t>
      </w:r>
      <w:r>
        <w:t xml:space="preserve"> </w:t>
      </w:r>
      <w:r>
        <w:t xml:space="preserve">1. The EU-27 total number of enterprises in each of the two distributing sectors</w:t>
      </w:r>
      <w:r>
        <w:t xml:space="preserve"> </w:t>
      </w:r>
      <w:r>
        <w:t xml:space="preserve">related to chemicals products (46.12 and 46.75) and in their 3-digit parent sector</w:t>
      </w:r>
      <w:r>
        <w:t xml:space="preserve"> </w:t>
      </w:r>
      <w:r>
        <w:t xml:space="preserve">(46.1 and 46.7) was taken from the Survey of Business Statistics</w:t>
      </w:r>
      <w:r>
        <w:t xml:space="preserve"> </w:t>
      </w:r>
      <w:r>
        <w:t xml:space="preserve">(SBS_NA_DT_R2), and the percentages of each of the 4-digit sectors over their</w:t>
      </w:r>
      <w:r>
        <w:t xml:space="preserve"> </w:t>
      </w:r>
      <w:r>
        <w:t xml:space="preserve">respective 3-digit sector was computed.</w:t>
      </w:r>
      <w:r>
        <w:t xml:space="preserve"> </w:t>
      </w:r>
      <w:r>
        <w:t xml:space="preserve">Table 194: Number of enterprises</w:t>
      </w:r>
      <w:r>
        <w:t xml:space="preserve"> </w:t>
      </w:r>
      <w:r>
        <w:t xml:space="preserve">NACE</w:t>
      </w:r>
      <w:r>
        <w:t xml:space="preserve"> </w:t>
      </w:r>
      <w:r>
        <w:t xml:space="preserve">Number of enterprises</w:t>
      </w:r>
      <w:r>
        <w:t xml:space="preserve"> </w:t>
      </w:r>
      <w:r>
        <w:t xml:space="preserve">Percentage</w:t>
      </w:r>
      <w:r>
        <w:t xml:space="preserve"> </w:t>
      </w:r>
      <w:r>
        <w:t xml:space="preserve">of</w:t>
      </w:r>
      <w:r>
        <w:t xml:space="preserve"> </w:t>
      </w:r>
      <w:r>
        <w:t xml:space="preserve">parent</w:t>
      </w:r>
      <w:r>
        <w:t xml:space="preserve"> </w:t>
      </w:r>
      <w:r>
        <w:t xml:space="preserve">NACE</w:t>
      </w:r>
      <w:r>
        <w:t xml:space="preserve"> </w:t>
      </w:r>
      <w:r>
        <w:t xml:space="preserve">G46.7</w:t>
      </w:r>
      <w:r>
        <w:t xml:space="preserve"> </w:t>
      </w:r>
      <w:r>
        <w:t xml:space="preserve">239,260</w:t>
      </w:r>
      <w:r>
        <w:t xml:space="preserve"> </w:t>
      </w:r>
      <w:r>
        <w:t xml:space="preserve">100%</w:t>
      </w:r>
      <w:r>
        <w:t xml:space="preserve"> </w:t>
      </w:r>
      <w:r>
        <w:t xml:space="preserve">G46.1</w:t>
      </w:r>
      <w:r>
        <w:t xml:space="preserve"> </w:t>
      </w:r>
      <w:r>
        <w:t xml:space="preserve">547,112</w:t>
      </w:r>
      <w:r>
        <w:t xml:space="preserve"> </w:t>
      </w:r>
      <w:r>
        <w:t xml:space="preserve">100%</w:t>
      </w:r>
      <w:r>
        <w:t xml:space="preserve"> </w:t>
      </w:r>
      <w:r>
        <w:t xml:space="preserve">G46.75</w:t>
      </w:r>
      <w:r>
        <w:t xml:space="preserve"> </w:t>
      </w:r>
      <w:r>
        <w:t xml:space="preserve">26,455</w:t>
      </w:r>
      <w:r>
        <w:t xml:space="preserve"> </w:t>
      </w:r>
      <w:r>
        <w:t xml:space="preserve">11%</w:t>
      </w:r>
      <w:r>
        <w:t xml:space="preserve"> </w:t>
      </w:r>
      <w:r>
        <w:t xml:space="preserve">G46.12</w:t>
      </w:r>
      <w:r>
        <w:t xml:space="preserve"> </w:t>
      </w:r>
      <w:r>
        <w:t xml:space="preserve">16,559</w:t>
      </w:r>
      <w:r>
        <w:t xml:space="preserve"> </w:t>
      </w:r>
      <w:r>
        <w:t xml:space="preserve">3%</w:t>
      </w:r>
    </w:p>
    <w:p>
      <w:pPr>
        <w:pStyle w:val="BodyText"/>
      </w:pPr>
      <w:r>
        <w:t xml:space="preserve">613</w:t>
      </w:r>
    </w:p>
    <w:p>
      <w:pPr>
        <w:numPr>
          <w:ilvl w:val="0"/>
          <w:numId w:val="1002"/>
        </w:numPr>
      </w:pPr>
      <w:r>
        <w:t xml:space="preserve">The number of enterprises involved in intra-EU-27 “imports”216 and the number</w:t>
      </w:r>
      <w:r>
        <w:t xml:space="preserve"> </w:t>
      </w:r>
      <w:r>
        <w:t xml:space="preserve">of enterprises involved in intra-EU-27 “exports” at the three-digit level was taken</w:t>
      </w:r>
      <w:r>
        <w:t xml:space="preserve"> </w:t>
      </w:r>
      <w:r>
        <w:t xml:space="preserve">from EXT_TEC09. That data covers only 15 EU-27 countries217, so it was</w:t>
      </w:r>
      <w:r>
        <w:t xml:space="preserve"> </w:t>
      </w:r>
      <w:r>
        <w:t xml:space="preserve">rescaled using the percentages that these countries represent for the overall</w:t>
      </w:r>
      <w:r>
        <w:t xml:space="preserve"> </w:t>
      </w:r>
      <w:r>
        <w:t xml:space="preserve">number of companies in those two sectors (59% in sector 46.1 and 68% in sector</w:t>
      </w:r>
      <w:r>
        <w:t xml:space="preserve"> </w:t>
      </w:r>
      <w:r>
        <w:t xml:space="preserve">46.7). The largest number of companies between importing and exporting</w:t>
      </w:r>
      <w:r>
        <w:t xml:space="preserve"> </w:t>
      </w:r>
      <w:r>
        <w:t xml:space="preserve">companies was chosen under the assumption that there will be a large and</w:t>
      </w:r>
      <w:r>
        <w:t xml:space="preserve"> </w:t>
      </w:r>
      <w:r>
        <w:t xml:space="preserve">unknown overlap between companies doing imports and exports. However, the</w:t>
      </w:r>
      <w:r>
        <w:t xml:space="preserve"> </w:t>
      </w:r>
      <w:r>
        <w:t xml:space="preserve">final number of companies will likely be underestimated, if there are companies</w:t>
      </w:r>
      <w:r>
        <w:t xml:space="preserve"> </w:t>
      </w:r>
      <w:r>
        <w:t xml:space="preserve">that only do imports and companies that only do exports.</w:t>
      </w:r>
      <w:r>
        <w:t xml:space="preserve"> </w:t>
      </w:r>
      <w:r>
        <w:t xml:space="preserve">Table 195: Number of enterprises importing</w:t>
      </w:r>
      <w:r>
        <w:t xml:space="preserve"> </w:t>
      </w:r>
      <w:r>
        <w:t xml:space="preserve">NACE</w:t>
      </w:r>
      <w:r>
        <w:t xml:space="preserve"> </w:t>
      </w:r>
      <w:r>
        <w:t xml:space="preserve">Number of enterprises importing intra-EU</w:t>
      </w:r>
      <w:r>
        <w:t xml:space="preserve"> </w:t>
      </w:r>
      <w:r>
        <w:t xml:space="preserve">EU-15</w:t>
      </w:r>
      <w:r>
        <w:t xml:space="preserve"> </w:t>
      </w:r>
      <w:r>
        <w:t xml:space="preserve">EU-27</w:t>
      </w:r>
      <w:r>
        <w:t xml:space="preserve"> </w:t>
      </w:r>
      <w:r>
        <w:t xml:space="preserve">G46.7</w:t>
      </w:r>
      <w:r>
        <w:t xml:space="preserve"> </w:t>
      </w:r>
      <w:r>
        <w:t xml:space="preserve">57,150</w:t>
      </w:r>
      <w:r>
        <w:t xml:space="preserve"> </w:t>
      </w:r>
      <w:r>
        <w:t xml:space="preserve">84,083</w:t>
      </w:r>
      <w:r>
        <w:t xml:space="preserve"> </w:t>
      </w:r>
      <w:r>
        <w:t xml:space="preserve">G46.1</w:t>
      </w:r>
      <w:r>
        <w:t xml:space="preserve"> </w:t>
      </w:r>
      <w:r>
        <w:t xml:space="preserve">47,017</w:t>
      </w:r>
      <w:r>
        <w:t xml:space="preserve"> </w:t>
      </w:r>
      <w:r>
        <w:t xml:space="preserve">80,206</w:t>
      </w:r>
    </w:p>
    <w:p>
      <w:pPr>
        <w:numPr>
          <w:ilvl w:val="0"/>
          <w:numId w:val="1002"/>
        </w:numPr>
      </w:pPr>
      <w:r>
        <w:t xml:space="preserve">The percentage of enterprises involved in intra-EU-27 imports and in exports was</w:t>
      </w:r>
      <w:r>
        <w:t xml:space="preserve"> </w:t>
      </w:r>
      <w:r>
        <w:t xml:space="preserve">estimated by applying the percentage of total number of enterprises in the 4-digit</w:t>
      </w:r>
      <w:r>
        <w:t xml:space="preserve"> </w:t>
      </w:r>
      <w:r>
        <w:t xml:space="preserve">level sectors over the 3-digit parent sectors to the estimated number of companies</w:t>
      </w:r>
      <w:r>
        <w:t xml:space="preserve"> </w:t>
      </w:r>
      <w:r>
        <w:t xml:space="preserve">involved in imports and in exports at the 3-digit level sectors (see step 1).</w:t>
      </w:r>
      <w:r>
        <w:t xml:space="preserve"> </w:t>
      </w:r>
      <w:r>
        <w:t xml:space="preserve">Table 196: Number of enterprises importing intra-EU</w:t>
      </w:r>
      <w:r>
        <w:t xml:space="preserve"> </w:t>
      </w:r>
      <w:r>
        <w:t xml:space="preserve">NACE</w:t>
      </w:r>
      <w:r>
        <w:t xml:space="preserve"> </w:t>
      </w:r>
      <w:r>
        <w:t xml:space="preserve">Number</w:t>
      </w:r>
      <w:r>
        <w:t xml:space="preserve"> </w:t>
      </w:r>
      <w:r>
        <w:t xml:space="preserve">of</w:t>
      </w:r>
      <w:r>
        <w:t xml:space="preserve"> </w:t>
      </w:r>
      <w:r>
        <w:t xml:space="preserve">enterprises</w:t>
      </w:r>
      <w:r>
        <w:t xml:space="preserve"> </w:t>
      </w:r>
      <w:r>
        <w:t xml:space="preserve">importing</w:t>
      </w:r>
      <w:r>
        <w:t xml:space="preserve"> </w:t>
      </w:r>
      <w:r>
        <w:t xml:space="preserve">intra-</w:t>
      </w:r>
      <w:r>
        <w:t xml:space="preserve"> </w:t>
      </w:r>
      <w:r>
        <w:t xml:space="preserve">EU-27 in parent</w:t>
      </w:r>
      <w:r>
        <w:t xml:space="preserve"> </w:t>
      </w:r>
      <w:r>
        <w:t xml:space="preserve">NACE</w:t>
      </w:r>
      <w:r>
        <w:t xml:space="preserve"> </w:t>
      </w:r>
      <w:r>
        <w:t xml:space="preserve">Percentage</w:t>
      </w:r>
      <w:r>
        <w:t xml:space="preserve"> </w:t>
      </w:r>
      <w:r>
        <w:t xml:space="preserve">of</w:t>
      </w:r>
      <w:r>
        <w:t xml:space="preserve"> </w:t>
      </w:r>
      <w:r>
        <w:t xml:space="preserve">parent NACE</w:t>
      </w:r>
      <w:r>
        <w:t xml:space="preserve"> </w:t>
      </w:r>
      <w:r>
        <w:t xml:space="preserve">Number</w:t>
      </w:r>
      <w:r>
        <w:t xml:space="preserve"> </w:t>
      </w:r>
      <w:r>
        <w:t xml:space="preserve">of</w:t>
      </w:r>
      <w:r>
        <w:t xml:space="preserve"> </w:t>
      </w:r>
      <w:r>
        <w:t xml:space="preserve">enterprises</w:t>
      </w:r>
      <w:r>
        <w:t xml:space="preserve"> </w:t>
      </w:r>
      <w:r>
        <w:t xml:space="preserve">importing</w:t>
      </w:r>
      <w:r>
        <w:t xml:space="preserve"> </w:t>
      </w:r>
      <w:r>
        <w:t xml:space="preserve">intra-</w:t>
      </w:r>
      <w:r>
        <w:t xml:space="preserve"> </w:t>
      </w:r>
      <w:r>
        <w:t xml:space="preserve">EU-27</w:t>
      </w:r>
      <w:r>
        <w:t xml:space="preserve"> </w:t>
      </w:r>
      <w:r>
        <w:t xml:space="preserve">G46.75</w:t>
      </w:r>
      <w:r>
        <w:t xml:space="preserve"> </w:t>
      </w:r>
      <w:r>
        <w:t xml:space="preserve">84,083 (G46.7)</w:t>
      </w:r>
      <w:r>
        <w:t xml:space="preserve"> </w:t>
      </w:r>
      <w:r>
        <w:t xml:space="preserve">11%</w:t>
      </w:r>
      <w:r>
        <w:t xml:space="preserve"> </w:t>
      </w:r>
      <w:r>
        <w:t xml:space="preserve">9,297</w:t>
      </w:r>
      <w:r>
        <w:t xml:space="preserve"> </w:t>
      </w:r>
      <w:r>
        <w:t xml:space="preserve">G46.12</w:t>
      </w:r>
      <w:r>
        <w:t xml:space="preserve"> </w:t>
      </w:r>
      <w:r>
        <w:t xml:space="preserve">80,206 (G46.1)</w:t>
      </w:r>
      <w:r>
        <w:t xml:space="preserve"> </w:t>
      </w:r>
      <w:r>
        <w:t xml:space="preserve">3%</w:t>
      </w:r>
      <w:r>
        <w:t xml:space="preserve"> </w:t>
      </w:r>
      <w:r>
        <w:t xml:space="preserve">2,428</w:t>
      </w:r>
      <w:r>
        <w:t xml:space="preserve"> </w:t>
      </w:r>
      <w:r>
        <w:t xml:space="preserve">Total</w:t>
      </w:r>
      <w:r>
        <w:t xml:space="preserve"> </w:t>
      </w:r>
      <w:r>
        <w:t xml:space="preserve">164,289 (G46.7 +</w:t>
      </w:r>
      <w:r>
        <w:t xml:space="preserve"> </w:t>
      </w:r>
      <w:r>
        <w:t xml:space="preserve">G46.1)</w:t>
      </w:r>
    </w:p>
    <w:p>
      <w:pPr>
        <w:pStyle w:val="Compact"/>
        <w:numPr>
          <w:ilvl w:val="0"/>
          <w:numId w:val="1003"/>
        </w:numPr>
      </w:pPr>
      <w:r>
        <w:t xml:space="preserve">11,725</w:t>
      </w:r>
    </w:p>
    <w:p>
      <w:pPr>
        <w:pStyle w:val="FirstParagraph"/>
      </w:pPr>
      <w:r>
        <w:t xml:space="preserve">In total 11,725 distributors were estimates to trade chemicals products intra-EU-27,</w:t>
      </w:r>
      <w:r>
        <w:t xml:space="preserve"> </w:t>
      </w:r>
      <w:r>
        <w:t xml:space="preserve">which is 27% of the total number of distributors. 2019 data was used for this estimate, as</w:t>
      </w:r>
      <w:r>
        <w:t xml:space="preserve"> </w:t>
      </w:r>
      <w:r>
        <w:t xml:space="preserve">2020 data was incomplete. Applying this percentage to the number of distributors in</w:t>
      </w:r>
      <w:r>
        <w:t xml:space="preserve"> </w:t>
      </w:r>
      <w:r>
        <w:t xml:space="preserve">2020 (see Table 195) gives a figure of 11,160.</w:t>
      </w:r>
      <w:r>
        <w:t xml:space="preserve"> </w:t>
      </w:r>
      <w:r>
        <w:t xml:space="preserve">To calculate the number of intra-EU-27 traded products placed on the market, the</w:t>
      </w:r>
      <w:r>
        <w:t xml:space="preserve"> </w:t>
      </w:r>
      <w:r>
        <w:t xml:space="preserve">estimate of 20 – 50 products per company calculated earlier was applied to the estimate</w:t>
      </w:r>
      <w:r>
        <w:t xml:space="preserve"> </w:t>
      </w:r>
      <w:r>
        <w:t xml:space="preserve">of 11,160 distributors that import products intra-EU-27. Multiplying this data together</w:t>
      </w:r>
      <w:r>
        <w:t xml:space="preserve"> </w:t>
      </w:r>
      <w:r>
        <w:t xml:space="preserve">gives an approximate total of 220,000 – 560,000 products that are sold intra-EU.</w:t>
      </w:r>
      <w:r>
        <w:t xml:space="preserve"> </w:t>
      </w:r>
      <w:r>
        <w:t xml:space="preserve">Number of re-branders/re-labellers and re-labelled/re-branded products</w:t>
      </w:r>
    </w:p>
    <w:p>
      <w:pPr>
        <w:pStyle w:val="BodyText"/>
      </w:pPr>
      <w:r>
        <w:t xml:space="preserve">216 Imports should be read as cross-border sales. Reference to import/export in this context is only made to</w:t>
      </w:r>
      <w:r>
        <w:t xml:space="preserve"> </w:t>
      </w:r>
      <w:r>
        <w:t xml:space="preserve">clarify the movement of goods entering and exiting another Member State.</w:t>
      </w:r>
      <w:r>
        <w:br/>
      </w:r>
      <w:r>
        <w:t xml:space="preserve">217 The 15 countries covered are Belgium, Czechia, Germany (until 1990 former territory of the FRG),</w:t>
      </w:r>
      <w:r>
        <w:t xml:space="preserve"> </w:t>
      </w:r>
      <w:r>
        <w:t xml:space="preserve">Spain, France, Latvia, Lithuania, Luxembourg, Netherlands, Austria, Poland, Portugal, Romania, Slovenia</w:t>
      </w:r>
      <w:r>
        <w:t xml:space="preserve"> </w:t>
      </w:r>
      <w:r>
        <w:t xml:space="preserve">and Slovakia.</w:t>
      </w:r>
    </w:p>
    <w:p>
      <w:pPr>
        <w:pStyle w:val="BodyText"/>
      </w:pPr>
      <w:r>
        <w:t xml:space="preserve">614</w:t>
      </w:r>
    </w:p>
    <w:p>
      <w:pPr>
        <w:pStyle w:val="BodyText"/>
      </w:pPr>
      <w:r>
        <w:t xml:space="preserve">The information gap surrounding re-labellers and re-branders is due to mixtures being</w:t>
      </w:r>
      <w:r>
        <w:t xml:space="preserve"> </w:t>
      </w:r>
      <w:r>
        <w:t xml:space="preserve">purchased from suppliers and placed on the market in the same Member State as that in</w:t>
      </w:r>
      <w:r>
        <w:t xml:space="preserve"> </w:t>
      </w:r>
      <w:r>
        <w:t xml:space="preserve">which it was purchased, but with a different label or branding. Re-branders and re-</w:t>
      </w:r>
      <w:r>
        <w:t xml:space="preserve"> </w:t>
      </w:r>
      <w:r>
        <w:t xml:space="preserve">labellers are a type of distributor, so the starting point for estimating the number of re-</w:t>
      </w:r>
      <w:r>
        <w:t xml:space="preserve"> </w:t>
      </w:r>
      <w:r>
        <w:t xml:space="preserve">branders and re-labellers was estimated the number of distributors operating in a single</w:t>
      </w:r>
      <w:r>
        <w:t xml:space="preserve"> </w:t>
      </w:r>
      <w:r>
        <w:t xml:space="preserve">Member State.</w:t>
      </w:r>
      <w:r>
        <w:t xml:space="preserve"> </w:t>
      </w:r>
      <w:r>
        <w:t xml:space="preserve">Data from Cefic (2021) shows that 15% of the production value of chemical sales were</w:t>
      </w:r>
      <w:r>
        <w:t xml:space="preserve"> </w:t>
      </w:r>
      <w:r>
        <w:t xml:space="preserve">home sales (occurred in one Member State only). Applying this percentage to the number</w:t>
      </w:r>
      <w:r>
        <w:t xml:space="preserve"> </w:t>
      </w:r>
      <w:r>
        <w:t xml:space="preserve">of distributors in the EU-27 (41,337) gives a figure of 6,200 home sale distributors.</w:t>
      </w:r>
      <w:r>
        <w:t xml:space="preserve"> </w:t>
      </w:r>
      <w:r>
        <w:t xml:space="preserve">Multiple this by the average number of product per company (20 – 50) gives a total of</w:t>
      </w:r>
      <w:r>
        <w:t xml:space="preserve"> </w:t>
      </w:r>
      <w:r>
        <w:t xml:space="preserve">130,000 – 310,000, however only a proportion of these products will have been re-</w:t>
      </w:r>
      <w:r>
        <w:t xml:space="preserve"> </w:t>
      </w:r>
      <w:r>
        <w:t xml:space="preserve">branded or re-labelled. The exact proportion is unknown, but an estimate of 25% is</w:t>
      </w:r>
      <w:r>
        <w:t xml:space="preserve"> </w:t>
      </w:r>
      <w:r>
        <w:t xml:space="preserve">considered realistic, which would equate to 32,500 – 77,500.</w:t>
      </w:r>
      <w:r>
        <w:t xml:space="preserve"> </w:t>
      </w:r>
      <w:r>
        <w:t xml:space="preserve">Cost of non-Europe</w:t>
      </w:r>
      <w:r>
        <w:t xml:space="preserve"> </w:t>
      </w:r>
      <w:r>
        <w:t xml:space="preserve">As outlined below in heading 4.1, the entire poison centres format and notification</w:t>
      </w:r>
      <w:r>
        <w:t xml:space="preserve"> </w:t>
      </w:r>
      <w:r>
        <w:t xml:space="preserve">system was already significantly simplified without lowering the level of safety by</w:t>
      </w:r>
      <w:r>
        <w:t xml:space="preserve"> </w:t>
      </w:r>
      <w:r>
        <w:t xml:space="preserve">adopting the latest versions of Annex VIII on poison centres in 2020218 via delegated act.</w:t>
      </w:r>
      <w:r>
        <w:t xml:space="preserve"> </w:t>
      </w:r>
      <w:r>
        <w:t xml:space="preserve">Before adopting Annex VIII, a study by Kirhensteine et al. (2015) estimated that net cost</w:t>
      </w:r>
      <w:r>
        <w:t xml:space="preserve"> </w:t>
      </w:r>
      <w:r>
        <w:t xml:space="preserve">savings across the EU of €550 million per annum (equivalent to €40,000 per company)</w:t>
      </w:r>
      <w:r>
        <w:t xml:space="preserve"> </w:t>
      </w:r>
      <w:r>
        <w:t xml:space="preserve">could be achieved through harmonisation of the CLP Regulation (cost of Europe non</w:t>
      </w:r>
      <w:r>
        <w:t xml:space="preserve"> </w:t>
      </w:r>
      <w:r>
        <w:t xml:space="preserve">acting).</w:t>
      </w:r>
      <w:r>
        <w:br/>
      </w:r>
      <w:r>
        <w:t xml:space="preserve">Conclusion</w:t>
      </w:r>
      <w:r>
        <w:t xml:space="preserve"> </w:t>
      </w:r>
      <w:r>
        <w:t xml:space="preserve">To summarise, estimates conclude that intra-EU distributors place between 220,000 –</w:t>
      </w:r>
      <w:r>
        <w:t xml:space="preserve"> </w:t>
      </w:r>
      <w:r>
        <w:t xml:space="preserve">560,000 products on another Member States’ market and re-branders/re-labellers</w:t>
      </w:r>
      <w:r>
        <w:t xml:space="preserve"> </w:t>
      </w:r>
      <w:r>
        <w:t xml:space="preserve">between 32,500 – 77,500 on their Member States’ market. This amounts to between</w:t>
      </w:r>
      <w:r>
        <w:t xml:space="preserve"> </w:t>
      </w:r>
      <w:r>
        <w:t xml:space="preserve">252,500 – 637,500 products distributed that should be notified. In reality a certain</w:t>
      </w:r>
      <w:r>
        <w:t xml:space="preserve"> </w:t>
      </w:r>
      <w:r>
        <w:t xml:space="preserve">percentage of that range will be notified already due to distributors adhering to</w:t>
      </w:r>
      <w:r>
        <w:t xml:space="preserve"> </w:t>
      </w:r>
      <w:r>
        <w:t xml:space="preserve">Article 4(10) of CLP, hence the number of not notified mixtures leading to information</w:t>
      </w:r>
      <w:r>
        <w:t xml:space="preserve"> </w:t>
      </w:r>
      <w:r>
        <w:t xml:space="preserve">loss will be lower than the range from 252,500 – 637,500 products.</w:t>
      </w:r>
      <w:r>
        <w:br/>
      </w:r>
      <w:r>
        <w:t xml:space="preserve">Description of the policy measures</w:t>
      </w:r>
      <w:r>
        <w:br/>
      </w:r>
      <w:r>
        <w:t xml:space="preserve">To solve the problem of having sub-optimal emergency health response for poison</w:t>
      </w:r>
      <w:r>
        <w:t xml:space="preserve"> </w:t>
      </w:r>
      <w:r>
        <w:t xml:space="preserve">centres due to insufficient information provided, the following measures were identified:</w:t>
      </w:r>
      <w:r>
        <w:br/>
      </w:r>
      <w:r>
        <w:t xml:space="preserve">#21: Include in Article 45 an obligation for distributers and other types of suppliers</w:t>
      </w:r>
      <w:r>
        <w:t xml:space="preserve"> </w:t>
      </w:r>
      <w:r>
        <w:t xml:space="preserve">(including re-branders/re-labellers) to submit a notification in cases where no</w:t>
      </w:r>
      <w:r>
        <w:t xml:space="preserve"> </w:t>
      </w:r>
      <w:r>
        <w:t xml:space="preserve">notification was submitted yet by another actor in the supply chain to the relevant poison</w:t>
      </w:r>
      <w:r>
        <w:t xml:space="preserve"> </w:t>
      </w:r>
      <w:r>
        <w:t xml:space="preserve">centre in the Member State where the product will be placed on the market.</w:t>
      </w:r>
      <w:r>
        <w:t xml:space="preserve"> </w:t>
      </w:r>
      <w:r>
        <w:t xml:space="preserve">This regulatory measure is particular relevant in cases of:</w:t>
      </w:r>
      <w:r>
        <w:br/>
      </w:r>
      <w:r>
        <w:t xml:space="preserve">-</w:t>
      </w:r>
      <w:r>
        <w:t xml:space="preserve"> </w:t>
      </w:r>
      <w:r>
        <w:t xml:space="preserve">Cross-border distribution: A distributor purchases a product in one Member State</w:t>
      </w:r>
      <w:r>
        <w:t xml:space="preserve"> </w:t>
      </w:r>
      <w:r>
        <w:t xml:space="preserve">and places it on the market in another one. No information would be available in</w:t>
      </w:r>
      <w:r>
        <w:t xml:space="preserve"> </w:t>
      </w:r>
      <w:r>
        <w:t xml:space="preserve">the latter Member State.</w:t>
      </w:r>
      <w:r>
        <w:br/>
      </w:r>
      <w:r>
        <w:t xml:space="preserve">-</w:t>
      </w:r>
      <w:r>
        <w:t xml:space="preserve"> </w:t>
      </w:r>
      <w:r>
        <w:t xml:space="preserve">Re-branding/re-labelling: The original supplier or a downstream supplier place</w:t>
      </w:r>
      <w:r>
        <w:t xml:space="preserve"> </w:t>
      </w:r>
      <w:r>
        <w:t xml:space="preserve">the mixture on the market in the same Member State but they re-brand or re-label</w:t>
      </w:r>
    </w:p>
    <w:p>
      <w:pPr>
        <w:pStyle w:val="BodyText"/>
      </w:pPr>
      <w:r>
        <w:t xml:space="preserve">218 Commission Delegated Regulations 2020/1676 and 2020/1677, OJ L 379, p. 1 and 3.</w:t>
      </w:r>
    </w:p>
    <w:p>
      <w:pPr>
        <w:pStyle w:val="BodyText"/>
      </w:pPr>
      <w:r>
        <w:t xml:space="preserve">615</w:t>
      </w:r>
    </w:p>
    <w:p>
      <w:pPr>
        <w:pStyle w:val="BodyText"/>
      </w:pPr>
      <w:r>
        <w:t xml:space="preserve">it219. Then the mixture could only be identified via the UFI and not via the brand</w:t>
      </w:r>
      <w:r>
        <w:t xml:space="preserve"> </w:t>
      </w:r>
      <w:r>
        <w:t xml:space="preserve">name/label.</w:t>
      </w:r>
      <w:r>
        <w:t xml:space="preserve"> </w:t>
      </w:r>
      <w:r>
        <w:t xml:space="preserve">Including this obligation means that distributers and other suppliers need to make sure</w:t>
      </w:r>
      <w:r>
        <w:t xml:space="preserve"> </w:t>
      </w:r>
      <w:r>
        <w:t xml:space="preserve">that notifications exist already for the Member States in which they place their mixtures</w:t>
      </w:r>
      <w:r>
        <w:t xml:space="preserve"> </w:t>
      </w:r>
      <w:r>
        <w:t xml:space="preserve">on the market. This requires good supply chain communication with the upstream</w:t>
      </w:r>
      <w:r>
        <w:t xml:space="preserve"> </w:t>
      </w:r>
      <w:r>
        <w:t xml:space="preserve">supplier(s) who have detailed information about mixture compositions. Notification by</w:t>
      </w:r>
      <w:r>
        <w:t xml:space="preserve"> </w:t>
      </w:r>
      <w:r>
        <w:t xml:space="preserve">the upstream supplier (manufacturer, downstream user, importer) for all Member States</w:t>
      </w:r>
      <w:r>
        <w:t xml:space="preserve"> </w:t>
      </w:r>
      <w:r>
        <w:t xml:space="preserve">where their distributors place on the market is recommended, since then distributors may</w:t>
      </w:r>
      <w:r>
        <w:t xml:space="preserve"> </w:t>
      </w:r>
      <w:r>
        <w:t xml:space="preserve">simply refer to that notification. Instead, if no supply chain communication takes place</w:t>
      </w:r>
      <w:r>
        <w:t xml:space="preserve"> </w:t>
      </w:r>
      <w:r>
        <w:t xml:space="preserve">and if the distributor does not have access to the full composition information, it may opt</w:t>
      </w:r>
      <w:r>
        <w:t xml:space="preserve"> </w:t>
      </w:r>
      <w:r>
        <w:t xml:space="preserve">to, or, if the notification does not exist yet, has to notify the information contained in the</w:t>
      </w:r>
      <w:r>
        <w:t xml:space="preserve"> </w:t>
      </w:r>
      <w:r>
        <w:t xml:space="preserve">safety data sheet, which is less detailed. That way poison centres have less granular</w:t>
      </w:r>
      <w:r>
        <w:t xml:space="preserve"> </w:t>
      </w:r>
      <w:r>
        <w:t xml:space="preserve">information available.</w:t>
      </w:r>
      <w:r>
        <w:br/>
      </w:r>
      <w:r>
        <w:t xml:space="preserve">This measure would cater for preventing both cases of information loss without obliging</w:t>
      </w:r>
      <w:r>
        <w:t xml:space="preserve"> </w:t>
      </w:r>
      <w:r>
        <w:t xml:space="preserve">each distributor to notify. A good supply chain communication is needed but can only be</w:t>
      </w:r>
      <w:r>
        <w:t xml:space="preserve"> </w:t>
      </w:r>
      <w:r>
        <w:t xml:space="preserve">recommended, otherwise poison centres end-up with having the least granular</w:t>
      </w:r>
      <w:r>
        <w:t xml:space="preserve"> </w:t>
      </w:r>
      <w:r>
        <w:t xml:space="preserve">information available (SDS information).</w:t>
      </w:r>
      <w:r>
        <w:br/>
      </w:r>
      <w:r>
        <w:t xml:space="preserve">#19: Include in Article 45 a default obligation for distributers and other types of</w:t>
      </w:r>
      <w:r>
        <w:t xml:space="preserve"> </w:t>
      </w:r>
      <w:r>
        <w:t xml:space="preserve">suppliers to submit a notification, regardless whether poison centres already have the</w:t>
      </w:r>
      <w:r>
        <w:t xml:space="preserve"> </w:t>
      </w:r>
      <w:r>
        <w:t xml:space="preserve">relevant information.</w:t>
      </w:r>
      <w:r>
        <w:t xml:space="preserve"> </w:t>
      </w:r>
      <w:r>
        <w:t xml:space="preserve">Equally as for the previous measure, without a good supply chain communication poison</w:t>
      </w:r>
      <w:r>
        <w:t xml:space="preserve"> </w:t>
      </w:r>
      <w:r>
        <w:t xml:space="preserve">centres would end-up with having the least granular information available (SDS</w:t>
      </w:r>
      <w:r>
        <w:t xml:space="preserve"> </w:t>
      </w:r>
      <w:r>
        <w:t xml:space="preserve">information) as well as all distributors having the burden to notify.</w:t>
      </w:r>
      <w:r>
        <w:br/>
      </w:r>
      <w:r>
        <w:t xml:space="preserve">#20: Introduce a new definition of re-brander/re-labeller in CLP under Article 2 and</w:t>
      </w:r>
      <w:r>
        <w:t xml:space="preserve"> </w:t>
      </w:r>
      <w:r>
        <w:t xml:space="preserve">include these actors in Article 45(3)</w:t>
      </w:r>
      <w:r>
        <w:br/>
      </w:r>
      <w:r>
        <w:t xml:space="preserve">Currently CLP actor definitions are consistent with REACH and both legislations do not</w:t>
      </w:r>
      <w:r>
        <w:t xml:space="preserve"> </w:t>
      </w:r>
      <w:r>
        <w:t xml:space="preserve">contain the definition of re-brander. REACH guidance provides that a re-brander is an</w:t>
      </w:r>
      <w:r>
        <w:t xml:space="preserve"> </w:t>
      </w:r>
      <w:r>
        <w:t xml:space="preserve">“actor who affixes his own brand to a product that somebody else has manufactured” and</w:t>
      </w:r>
      <w:r>
        <w:t xml:space="preserve"> </w:t>
      </w:r>
      <w:r>
        <w:t xml:space="preserve">specifies that those actors fall under the definition of distributors220.</w:t>
      </w:r>
      <w:r>
        <w:t xml:space="preserve"> </w:t>
      </w:r>
      <w:r>
        <w:t xml:space="preserve">This measure would misalign the actor definitions under REACH and CLP and hence be</w:t>
      </w:r>
      <w:r>
        <w:t xml:space="preserve"> </w:t>
      </w:r>
      <w:r>
        <w:t xml:space="preserve">incompatible with the overall principles that REACH and CLP should be as much as</w:t>
      </w:r>
      <w:r>
        <w:t xml:space="preserve"> </w:t>
      </w:r>
      <w:r>
        <w:t xml:space="preserve">possible aligned due to their closed interlinks221. It would solve the problem of re-</w:t>
      </w:r>
      <w:r>
        <w:t xml:space="preserve"> </w:t>
      </w:r>
      <w:r>
        <w:t xml:space="preserve">branding/re-labelling but not of cross-border distribution (which concerns all</w:t>
      </w:r>
      <w:r>
        <w:t xml:space="preserve"> </w:t>
      </w:r>
      <w:r>
        <w:t xml:space="preserve">distributors). So it would bring about inconsistencies with REACH and provide only one</w:t>
      </w:r>
      <w:r>
        <w:t xml:space="preserve"> </w:t>
      </w:r>
      <w:r>
        <w:t xml:space="preserve">solution to two problems.</w:t>
      </w:r>
    </w:p>
    <w:p>
      <w:pPr>
        <w:pStyle w:val="BodyText"/>
      </w:pPr>
      <w:r>
        <w:t xml:space="preserve">219 If they changed the composition or packaging in addition to re-branding/re-labelling, they would be</w:t>
      </w:r>
      <w:r>
        <w:t xml:space="preserve"> </w:t>
      </w:r>
      <w:r>
        <w:t xml:space="preserve">downstream users and needed to notify in any event.</w:t>
      </w:r>
      <w:r>
        <w:br/>
      </w:r>
      <w:r>
        <w:t xml:space="preserve">220 See ECHA guidance for downstream users, table 8: Identification of roles – roles other than</w:t>
      </w:r>
      <w:r>
        <w:t xml:space="preserve"> </w:t>
      </w:r>
      <w:r>
        <w:t xml:space="preserve">downstream user or manufacturer/importer.</w:t>
      </w:r>
      <w:r>
        <w:br/>
      </w:r>
      <w:r>
        <w:t xml:space="preserve">221 See Recital (12) of CLP stating that “The terms and definitions used in this Regulation should be</w:t>
      </w:r>
      <w:r>
        <w:t xml:space="preserve"> </w:t>
      </w:r>
      <w:r>
        <w:t xml:space="preserve">consistent with those set out in Regulation (EC) No 1907/2006 of the European Parliament and of the</w:t>
      </w:r>
      <w:r>
        <w:t xml:space="preserve"> </w:t>
      </w:r>
      <w:r>
        <w:t xml:space="preserve">Council of 18 December 2006 concerning the Registration, Evaluation, Authorisation and Restriction of</w:t>
      </w:r>
      <w:r>
        <w:t xml:space="preserve"> </w:t>
      </w:r>
      <w:r>
        <w:t xml:space="preserve">Chemicals (REACH) (13), with those set out in the rules governing transport and with the definitions</w:t>
      </w:r>
      <w:r>
        <w:t xml:space="preserve"> </w:t>
      </w:r>
      <w:r>
        <w:t xml:space="preserve">specified at UN level in the GHS, in order to ensure maximum consistency in the application of chemicals</w:t>
      </w:r>
      <w:r>
        <w:t xml:space="preserve"> </w:t>
      </w:r>
      <w:r>
        <w:t xml:space="preserve">legislation within the Community in the context of global trade”.</w:t>
      </w:r>
    </w:p>
    <w:p>
      <w:pPr>
        <w:pStyle w:val="BodyText"/>
      </w:pPr>
      <w:r>
        <w:t xml:space="preserve">616</w:t>
      </w:r>
    </w:p>
    <w:p>
      <w:pPr>
        <w:pStyle w:val="BodyText"/>
      </w:pPr>
      <w:r>
        <w:t xml:space="preserve">DM14: Change the entire system and allow submissions via the ECHA portal only with</w:t>
      </w:r>
      <w:r>
        <w:t xml:space="preserve"> </w:t>
      </w:r>
      <w:r>
        <w:t xml:space="preserve">information storage in ECHA’s database and access by all Member States</w:t>
      </w:r>
      <w:r>
        <w:br/>
      </w:r>
      <w:r>
        <w:t xml:space="preserve">Currently Article 45 sets forth that each Member State is responsible for the data notified</w:t>
      </w:r>
      <w:r>
        <w:t xml:space="preserve"> </w:t>
      </w:r>
      <w:r>
        <w:t xml:space="preserve">to their national appointed bodies only and the emergency response in their territory.</w:t>
      </w:r>
      <w:r>
        <w:t xml:space="preserve"> </w:t>
      </w:r>
      <w:r>
        <w:t xml:space="preserve">With this new measure, no distinction would be made as to which Member State</w:t>
      </w:r>
      <w:r>
        <w:t xml:space="preserve"> </w:t>
      </w:r>
      <w:r>
        <w:t xml:space="preserve">notifications should be sent and which Member State is ultimately responsible to keep</w:t>
      </w:r>
      <w:r>
        <w:t xml:space="preserve"> </w:t>
      </w:r>
      <w:r>
        <w:t xml:space="preserve">the data confidential. Member States would have to renounce on their national</w:t>
      </w:r>
      <w:r>
        <w:t xml:space="preserve"> </w:t>
      </w:r>
      <w:r>
        <w:t xml:space="preserve">submission systems and all notifications would run via ECHA to the Member States</w:t>
      </w:r>
      <w:r>
        <w:t xml:space="preserve"> </w:t>
      </w:r>
      <w:r>
        <w:t xml:space="preserve">(who could not collect national submission fees anymore). ECHA would become the data</w:t>
      </w:r>
      <w:r>
        <w:t xml:space="preserve"> </w:t>
      </w:r>
      <w:r>
        <w:t xml:space="preserve">owner and maintain responsibility for its confidentiality.</w:t>
      </w:r>
      <w:r>
        <w:br/>
      </w:r>
      <w:r>
        <w:t xml:space="preserve">This measure was discarded given that both Member States and industry stakeholders did</w:t>
      </w:r>
      <w:r>
        <w:t xml:space="preserve"> </w:t>
      </w:r>
      <w:r>
        <w:t xml:space="preserve">not support it for the following reasons:</w:t>
      </w:r>
      <w:r>
        <w:br/>
      </w:r>
      <w:r>
        <w:t xml:space="preserve">Disproportionate impact on existing databases and national notification systems, in</w:t>
      </w:r>
      <w:r>
        <w:t xml:space="preserve"> </w:t>
      </w:r>
      <w:r>
        <w:t xml:space="preserve">particular strong concerns that this would be very disruptive for a relatively recently</w:t>
      </w:r>
      <w:r>
        <w:t xml:space="preserve"> </w:t>
      </w:r>
      <w:r>
        <w:t xml:space="preserve">introduced system that works overall for relatively little added value</w:t>
      </w:r>
      <w:r>
        <w:t xml:space="preserve"> </w:t>
      </w:r>
      <w:r>
        <w:t xml:space="preserve">Strong concerns that language needs could be an issue;</w:t>
      </w:r>
      <w:r>
        <w:br/>
      </w:r>
      <w:r>
        <w:t xml:space="preserve">The measure would not solve the issue of re-branding/re-labelling.</w:t>
      </w:r>
    </w:p>
    <w:p>
      <w:pPr>
        <w:pStyle w:val="BodyText"/>
      </w:pPr>
      <w:r>
        <w:t xml:space="preserve">SCREENING OF POLICY MEASURES – WHAT ARE THE IMPACTS OF THE POLICY</w:t>
      </w:r>
      <w:r>
        <w:t xml:space="preserve"> </w:t>
      </w:r>
      <w:r>
        <w:t xml:space="preserve">MEASURES?</w:t>
      </w:r>
      <w:r>
        <w:t xml:space="preserve"> </w:t>
      </w:r>
      <w:r>
        <w:t xml:space="preserve">In order to quantitatively assess the impacts of the different policy measures, estimations</w:t>
      </w:r>
      <w:r>
        <w:t xml:space="preserve"> </w:t>
      </w:r>
      <w:r>
        <w:t xml:space="preserve">were carried out which might have their limitations or bring about some levels of</w:t>
      </w:r>
      <w:r>
        <w:t xml:space="preserve"> </w:t>
      </w:r>
      <w:r>
        <w:t xml:space="preserve">uncertainty.</w:t>
      </w:r>
      <w:r>
        <w:br/>
      </w:r>
      <w:r>
        <w:t xml:space="preserve">The kind of economic, social and environmental impacts of measures #21, #19, #20 are</w:t>
      </w:r>
      <w:r>
        <w:t xml:space="preserve"> </w:t>
      </w:r>
      <w:r>
        <w:t xml:space="preserve">the same, albeit with different magnitudes (see comparison).</w:t>
      </w:r>
      <w:r>
        <w:br/>
      </w:r>
      <w:r>
        <w:t xml:space="preserve">Economic impacts</w:t>
      </w:r>
      <w:r>
        <w:t xml:space="preserve"> </w:t>
      </w:r>
      <w:r>
        <w:t xml:space="preserve">All policy measures would have moderately negative impacts on the administrative</w:t>
      </w:r>
      <w:r>
        <w:t xml:space="preserve"> </w:t>
      </w:r>
      <w:r>
        <w:t xml:space="preserve">burden on businesses and public authorities, and potentially high negative impacts on the</w:t>
      </w:r>
      <w:r>
        <w:t xml:space="preserve"> </w:t>
      </w:r>
      <w:r>
        <w:t xml:space="preserve">operating costs and the conduct of business. All policy measures are likely to have a</w:t>
      </w:r>
      <w:r>
        <w:t xml:space="preserve"> </w:t>
      </w:r>
      <w:r>
        <w:t xml:space="preserve">positive market impact in levelling the playing field across the EU.</w:t>
      </w:r>
      <w:r>
        <w:br/>
      </w:r>
      <w:r>
        <w:t xml:space="preserve">Administrative burden on business</w:t>
      </w:r>
      <w:r>
        <w:br/>
      </w:r>
      <w:r>
        <w:t xml:space="preserve">Administrative burden on business depends on how well supply chain communication</w:t>
      </w:r>
      <w:r>
        <w:t xml:space="preserve"> </w:t>
      </w:r>
      <w:r>
        <w:t xml:space="preserve">works. Distributors who get the UFI from their upstream supplier bear much less costs</w:t>
      </w:r>
      <w:r>
        <w:t xml:space="preserve"> </w:t>
      </w:r>
      <w:r>
        <w:t xml:space="preserve">than distributors who start a notification from scratch. Costs per notification can amount</w:t>
      </w:r>
      <w:r>
        <w:t xml:space="preserve"> </w:t>
      </w:r>
      <w:r>
        <w:t xml:space="preserve">to 70 EUR for those suppliers carrying over the UFI code or communicating well with</w:t>
      </w:r>
      <w:r>
        <w:t xml:space="preserve"> </w:t>
      </w:r>
      <w:r>
        <w:t xml:space="preserve">their upstream supplier (lower bandwidth)222. Starting notifications from scratch is much</w:t>
      </w:r>
      <w:r>
        <w:t xml:space="preserve"> </w:t>
      </w:r>
      <w:r>
        <w:t xml:space="preserve">more costly. The Commission’s Study on the harmonisation of the information to be</w:t>
      </w:r>
      <w:r>
        <w:t xml:space="preserve"> </w:t>
      </w:r>
      <w:r>
        <w:t xml:space="preserve">submitted to Poison Centres, according to article 45 (4) of the regulation (EC)</w:t>
      </w:r>
    </w:p>
    <w:p>
      <w:pPr>
        <w:pStyle w:val="BodyText"/>
      </w:pPr>
      <w:r>
        <w:t xml:space="preserve">222 Study on the harmonisation of the information to be submitted to Poison Centres, according to article 45</w:t>
      </w:r>
      <w:r>
        <w:t xml:space="preserve"> </w:t>
      </w:r>
      <w:r>
        <w:t xml:space="preserve">(4) of the regulation (EC) No. 1272/2008 (CLP Regulation), DocsRoom - European Commission</w:t>
      </w:r>
      <w:r>
        <w:t xml:space="preserve"> </w:t>
      </w:r>
      <w:r>
        <w:t xml:space="preserve">(europa.eu), p. 61. The cost of an SDS submission under the national system amounts to 70EUR , which</w:t>
      </w:r>
      <w:r>
        <w:t xml:space="preserve"> </w:t>
      </w:r>
      <w:r>
        <w:t xml:space="preserve">can be taken as a reference value for a notification knowing the UFI.</w:t>
      </w:r>
    </w:p>
    <w:p>
      <w:pPr>
        <w:pStyle w:val="BodyText"/>
      </w:pPr>
      <w:r>
        <w:t xml:space="preserve">617</w:t>
      </w:r>
    </w:p>
    <w:p>
      <w:pPr>
        <w:pStyle w:val="BodyText"/>
      </w:pPr>
      <w:r>
        <w:t xml:space="preserve">No 1272/2008 (CLP Regulation)223, estimated that an average notification cost of a</w:t>
      </w:r>
      <w:r>
        <w:t xml:space="preserve"> </w:t>
      </w:r>
      <w:r>
        <w:t xml:space="preserve">harmonised notifications should be €220 (upper bandwidth).</w:t>
      </w:r>
      <w:r>
        <w:br/>
      </w:r>
      <w:r>
        <w:t xml:space="preserve">One-off and annualised costs</w:t>
      </w:r>
      <w:r>
        <w:br/>
      </w:r>
      <w:r>
        <w:t xml:space="preserve">Estimates show that approximately 11,725 distributors supply chemicals intra-EU-27 of</w:t>
      </w:r>
      <w:r>
        <w:t xml:space="preserve"> </w:t>
      </w:r>
      <w:r>
        <w:t xml:space="preserve">the total number of chemicals distributors (approx. 41,337). Based on estimations,</w:t>
      </w:r>
      <w:r>
        <w:t xml:space="preserve"> </w:t>
      </w:r>
      <w:r>
        <w:t xml:space="preserve">distributors have a product portfolio between 20-50 mixtures224.</w:t>
      </w:r>
      <w:r>
        <w:br/>
      </w:r>
      <w:r>
        <w:t xml:space="preserve">By not calculating twice cross-border distributors and re-branders/re-labellers, estimates</w:t>
      </w:r>
      <w:r>
        <w:t xml:space="preserve"> </w:t>
      </w:r>
      <w:r>
        <w:t xml:space="preserve">of the latter regarded only re-labellers/re-branders operating in their Member State. Data</w:t>
      </w:r>
      <w:r>
        <w:t xml:space="preserve"> </w:t>
      </w:r>
      <w:r>
        <w:t xml:space="preserve">from Cefic (2021) shows that 15% of the production value of chemical sales were home</w:t>
      </w:r>
      <w:r>
        <w:t xml:space="preserve"> </w:t>
      </w:r>
      <w:r>
        <w:t xml:space="preserve">sales (occurred in one Member State only). Applying this percentage to the number of</w:t>
      </w:r>
      <w:r>
        <w:t xml:space="preserve"> </w:t>
      </w:r>
      <w:r>
        <w:t xml:space="preserve">distributors in the EU-27 (41,337) gives a figure of 6,200 home sale distributors.</w:t>
      </w:r>
      <w:r>
        <w:t xml:space="preserve"> </w:t>
      </w:r>
      <w:r>
        <w:t xml:space="preserve">Multiple this by the average number of product per company (20 – 50) gives a total of</w:t>
      </w:r>
      <w:r>
        <w:t xml:space="preserve"> </w:t>
      </w:r>
      <w:r>
        <w:t xml:space="preserve">130,000 – 310,000, however only a proportion of these products will have been re-</w:t>
      </w:r>
      <w:r>
        <w:t xml:space="preserve"> </w:t>
      </w:r>
      <w:r>
        <w:t xml:space="preserve">branded or re-labelled. The exact proportion is unknown, but an estimate of 25% is</w:t>
      </w:r>
      <w:r>
        <w:t xml:space="preserve"> </w:t>
      </w:r>
      <w:r>
        <w:t xml:space="preserve">considered realistic, which would equate to 32,500 – 77,500 re-branders/re-labellers who</w:t>
      </w:r>
      <w:r>
        <w:t xml:space="preserve"> </w:t>
      </w:r>
      <w:r>
        <w:t xml:space="preserve">have to notify.</w:t>
      </w:r>
      <w:r>
        <w:br/>
      </w:r>
      <w:r>
        <w:t xml:space="preserve">Based on a reality assumption of the current and evolving baseline, 50% of distributors</w:t>
      </w:r>
      <w:r>
        <w:t xml:space="preserve"> </w:t>
      </w:r>
      <w:r>
        <w:t xml:space="preserve">will already comply with Article 4(10) of CLP, hence, they notify in cases where poison</w:t>
      </w:r>
      <w:r>
        <w:t xml:space="preserve"> </w:t>
      </w:r>
      <w:r>
        <w:t xml:space="preserve">centres’ access to information would jeopardise their activities (relevant for all measures</w:t>
      </w:r>
      <w:r>
        <w:t xml:space="preserve"> </w:t>
      </w:r>
      <w:r>
        <w:t xml:space="preserve">#21, #20, #21). Therefore, the following table contains two columns (figures with no and</w:t>
      </w:r>
      <w:r>
        <w:t xml:space="preserve"> </w:t>
      </w:r>
      <w:r>
        <w:t xml:space="preserve">a 50% compliance rate).</w:t>
      </w:r>
    </w:p>
    <w:p>
      <w:pPr>
        <w:pStyle w:val="BodyText"/>
      </w:pPr>
      <w:r>
        <w:t xml:space="preserve">223 Ibid.</w:t>
      </w:r>
      <w:r>
        <w:br/>
      </w:r>
      <w:r>
        <w:t xml:space="preserve">224 To calculate the number of products placed on the market by each distributor, data on the number of</w:t>
      </w:r>
      <w:r>
        <w:t xml:space="preserve"> </w:t>
      </w:r>
      <w:r>
        <w:t xml:space="preserve">PCNs received during 2021 (1,444,290) was combined with data on the number of manufacturers (28,168)</w:t>
      </w:r>
      <w:r>
        <w:t xml:space="preserve"> </w:t>
      </w:r>
      <w:r>
        <w:t xml:space="preserve">and distributors (41,337) in the EU-27. Dividing the number of PCNs with the combined number of</w:t>
      </w:r>
      <w:r>
        <w:t xml:space="preserve"> </w:t>
      </w:r>
      <w:r>
        <w:t xml:space="preserve">manufacturers and distributors results in a figure of approximately 20 products per company. This estimate</w:t>
      </w:r>
      <w:r>
        <w:t xml:space="preserve"> </w:t>
      </w:r>
      <w:r>
        <w:t xml:space="preserve">assumes that all distributors are complying with their requirements under Article 45. To provide an</w:t>
      </w:r>
      <w:r>
        <w:t xml:space="preserve"> </w:t>
      </w:r>
      <w:r>
        <w:t xml:space="preserve">estimate where there is zero compliance from distributors, the number of PCNs (1,444,290) was divided by</w:t>
      </w:r>
      <w:r>
        <w:t xml:space="preserve"> </w:t>
      </w:r>
      <w:r>
        <w:t xml:space="preserve">the number of manufacturers (28,168) to give an estimate of approximately 50 products per company.</w:t>
      </w:r>
    </w:p>
    <w:p>
      <w:pPr>
        <w:pStyle w:val="BodyText"/>
      </w:pPr>
      <w:r>
        <w:t xml:space="preserve">618</w:t>
      </w:r>
    </w:p>
    <w:p>
      <w:pPr>
        <w:pStyle w:val="BodyText"/>
      </w:pPr>
      <w:r>
        <w:t xml:space="preserve">Table 197: One-off and annualised cost</w:t>
      </w:r>
    </w:p>
    <w:p>
      <w:pPr>
        <w:pStyle w:val="BodyText"/>
      </w:pPr>
      <w:r>
        <w:t xml:space="preserve">Submissions</w:t>
      </w:r>
      <w:r>
        <w:br/>
      </w:r>
      <w:r>
        <w:t xml:space="preserve">Cost (in million</w:t>
      </w:r>
      <w:r>
        <w:t xml:space="preserve"> </w:t>
      </w:r>
      <w:r>
        <w:t xml:space="preserve">EUR)</w:t>
      </w:r>
      <w:r>
        <w:t xml:space="preserve"> </w:t>
      </w:r>
      <w:r>
        <w:t xml:space="preserve">–</w:t>
      </w:r>
      <w:r>
        <w:t xml:space="preserve"> </w:t>
      </w:r>
      <w:r>
        <w:t xml:space="preserve">compliance</w:t>
      </w:r>
      <w:r>
        <w:t xml:space="preserve"> </w:t>
      </w:r>
      <w:r>
        <w:t xml:space="preserve">rate</w:t>
      </w:r>
      <w:r>
        <w:t xml:space="preserve"> </w:t>
      </w:r>
      <w:r>
        <w:t xml:space="preserve">of 50%*</w:t>
      </w:r>
      <w:r>
        <w:t xml:space="preserve"> </w:t>
      </w:r>
      <w:r>
        <w:t xml:space="preserve">Annualised</w:t>
      </w:r>
      <w:r>
        <w:t xml:space="preserve"> </w:t>
      </w:r>
      <w:r>
        <w:t xml:space="preserve">Cost</w:t>
      </w:r>
      <w:r>
        <w:t xml:space="preserve"> </w:t>
      </w:r>
      <w:r>
        <w:t xml:space="preserve">(in</w:t>
      </w:r>
      <w:r>
        <w:t xml:space="preserve"> </w:t>
      </w:r>
      <w:r>
        <w:t xml:space="preserve">million EUR )</w:t>
      </w:r>
      <w:r>
        <w:t xml:space="preserve"> </w:t>
      </w:r>
      <w:r>
        <w:t xml:space="preserve">–</w:t>
      </w:r>
      <w:r>
        <w:t xml:space="preserve"> </w:t>
      </w:r>
      <w:r>
        <w:t xml:space="preserve">no</w:t>
      </w:r>
      <w:r>
        <w:t xml:space="preserve"> </w:t>
      </w:r>
      <w:r>
        <w:t xml:space="preserve">compliance</w:t>
      </w:r>
      <w:r>
        <w:t xml:space="preserve"> </w:t>
      </w:r>
      <w:r>
        <w:t xml:space="preserve">rate**</w:t>
      </w:r>
      <w:r>
        <w:br/>
      </w:r>
      <w:r>
        <w:t xml:space="preserve">Annualised</w:t>
      </w:r>
      <w:r>
        <w:t xml:space="preserve"> </w:t>
      </w:r>
      <w:r>
        <w:t xml:space="preserve">#21</w:t>
      </w:r>
      <w:r>
        <w:br/>
      </w:r>
      <w:r>
        <w:t xml:space="preserve">252,500</w:t>
      </w:r>
      <w:r>
        <w:t xml:space="preserve"> </w:t>
      </w:r>
      <w:r>
        <w:t xml:space="preserve">–</w:t>
      </w:r>
      <w:r>
        <w:t xml:space="preserve"> </w:t>
      </w:r>
      <w:r>
        <w:t xml:space="preserve">637,500</w:t>
      </w:r>
      <w:r>
        <w:t xml:space="preserve"> </w:t>
      </w:r>
      <w:r>
        <w:t xml:space="preserve">(no</w:t>
      </w:r>
      <w:r>
        <w:t xml:space="preserve"> </w:t>
      </w:r>
      <w:r>
        <w:t xml:space="preserve">compliance</w:t>
      </w:r>
      <w:r>
        <w:t xml:space="preserve"> </w:t>
      </w:r>
      <w:r>
        <w:t xml:space="preserve">rate)</w:t>
      </w:r>
      <w:r>
        <w:t xml:space="preserve"> </w:t>
      </w:r>
      <w:r>
        <w:t xml:space="preserve">8.9 – 22.3 (lower</w:t>
      </w:r>
      <w:r>
        <w:t xml:space="preserve"> </w:t>
      </w:r>
      <w:r>
        <w:t xml:space="preserve">bandwidth)</w:t>
      </w:r>
      <w:r>
        <w:t xml:space="preserve"> </w:t>
      </w:r>
      <w:r>
        <w:t xml:space="preserve">27.8 – 70.2 (upper</w:t>
      </w:r>
      <w:r>
        <w:t xml:space="preserve"> </w:t>
      </w:r>
      <w:r>
        <w:t xml:space="preserve">bandwidth)</w:t>
      </w:r>
      <w:r>
        <w:t xml:space="preserve"> </w:t>
      </w:r>
      <w:r>
        <w:t xml:space="preserve">0.6 – 1.5 (lower</w:t>
      </w:r>
      <w:r>
        <w:t xml:space="preserve"> </w:t>
      </w:r>
      <w:r>
        <w:t xml:space="preserve">bandwidth)</w:t>
      </w:r>
      <w:r>
        <w:t xml:space="preserve"> </w:t>
      </w:r>
      <w:r>
        <w:t xml:space="preserve">1.9 – 4.7 (upper</w:t>
      </w:r>
      <w:r>
        <w:t xml:space="preserve"> </w:t>
      </w:r>
      <w:r>
        <w:t xml:space="preserve">bandwidth)</w:t>
      </w:r>
      <w:r>
        <w:t xml:space="preserve"> </w:t>
      </w:r>
      <w:r>
        <w:t xml:space="preserve">17.7</w:t>
      </w:r>
      <w:r>
        <w:t xml:space="preserve"> </w:t>
      </w:r>
      <w:r>
        <w:t xml:space="preserve">–</w:t>
      </w:r>
      <w:r>
        <w:t xml:space="preserve"> </w:t>
      </w:r>
      <w:r>
        <w:t xml:space="preserve">44.6</w:t>
      </w:r>
      <w:r>
        <w:t xml:space="preserve"> </w:t>
      </w:r>
      <w:r>
        <w:t xml:space="preserve">(lower</w:t>
      </w:r>
      <w:r>
        <w:t xml:space="preserve"> </w:t>
      </w:r>
      <w:r>
        <w:t xml:space="preserve">bandwidth)</w:t>
      </w:r>
      <w:r>
        <w:t xml:space="preserve"> </w:t>
      </w:r>
      <w:r>
        <w:t xml:space="preserve">55.5 – 140.3</w:t>
      </w:r>
      <w:r>
        <w:t xml:space="preserve"> </w:t>
      </w:r>
      <w:r>
        <w:t xml:space="preserve">(upper</w:t>
      </w:r>
      <w:r>
        <w:t xml:space="preserve"> </w:t>
      </w:r>
      <w:r>
        <w:t xml:space="preserve">bandwidth)</w:t>
      </w:r>
      <w:r>
        <w:t xml:space="preserve"> </w:t>
      </w:r>
      <w:r>
        <w:t xml:space="preserve">1.2</w:t>
      </w:r>
      <w:r>
        <w:t xml:space="preserve"> </w:t>
      </w:r>
      <w:r>
        <w:t xml:space="preserve">–</w:t>
      </w:r>
      <w:r>
        <w:t xml:space="preserve"> </w:t>
      </w:r>
      <w:r>
        <w:t xml:space="preserve">3.0</w:t>
      </w:r>
      <w:r>
        <w:t xml:space="preserve"> </w:t>
      </w:r>
      <w:r>
        <w:t xml:space="preserve">(lower</w:t>
      </w:r>
      <w:r>
        <w:t xml:space="preserve"> </w:t>
      </w:r>
      <w:r>
        <w:t xml:space="preserve">bandwidth)</w:t>
      </w:r>
      <w:r>
        <w:t xml:space="preserve"> </w:t>
      </w:r>
      <w:r>
        <w:t xml:space="preserve">3.8</w:t>
      </w:r>
      <w:r>
        <w:t xml:space="preserve"> </w:t>
      </w:r>
      <w:r>
        <w:t xml:space="preserve">–</w:t>
      </w:r>
      <w:r>
        <w:t xml:space="preserve"> </w:t>
      </w:r>
      <w:r>
        <w:t xml:space="preserve">9.4</w:t>
      </w:r>
      <w:r>
        <w:t xml:space="preserve"> </w:t>
      </w:r>
      <w:r>
        <w:t xml:space="preserve">(upper</w:t>
      </w:r>
      <w:r>
        <w:t xml:space="preserve"> </w:t>
      </w:r>
      <w:r>
        <w:t xml:space="preserve">bandwidth)</w:t>
      </w:r>
      <w:r>
        <w:t xml:space="preserve"> </w:t>
      </w:r>
      <w:r>
        <w:t xml:space="preserve">#19</w:t>
      </w:r>
      <w:r>
        <w:t xml:space="preserve"> </w:t>
      </w:r>
      <w:r>
        <w:t xml:space="preserve">826,740</w:t>
      </w:r>
      <w:r>
        <w:t xml:space="preserve"> </w:t>
      </w:r>
      <w:r>
        <w:t xml:space="preserve">–</w:t>
      </w:r>
      <w:r>
        <w:t xml:space="preserve"> </w:t>
      </w:r>
      <w:r>
        <w:t xml:space="preserve">2,066,850</w:t>
      </w:r>
      <w:r>
        <w:t xml:space="preserve"> </w:t>
      </w:r>
      <w:r>
        <w:t xml:space="preserve">(no</w:t>
      </w:r>
      <w:r>
        <w:t xml:space="preserve"> </w:t>
      </w:r>
      <w:r>
        <w:t xml:space="preserve">compliance</w:t>
      </w:r>
      <w:r>
        <w:t xml:space="preserve"> </w:t>
      </w:r>
      <w:r>
        <w:t xml:space="preserve">rate)</w:t>
      </w:r>
      <w:r>
        <w:t xml:space="preserve"> </w:t>
      </w:r>
      <w:r>
        <w:t xml:space="preserve">28.9 – 72.3 (lower</w:t>
      </w:r>
      <w:r>
        <w:t xml:space="preserve"> </w:t>
      </w:r>
      <w:r>
        <w:t xml:space="preserve">bandwidth)</w:t>
      </w:r>
      <w:r>
        <w:t xml:space="preserve"> </w:t>
      </w:r>
      <w:r>
        <w:t xml:space="preserve">90.9</w:t>
      </w:r>
      <w:r>
        <w:t xml:space="preserve"> </w:t>
      </w:r>
      <w:r>
        <w:t xml:space="preserve">–</w:t>
      </w:r>
      <w:r>
        <w:t xml:space="preserve"> </w:t>
      </w:r>
      <w:r>
        <w:t xml:space="preserve">227.4</w:t>
      </w:r>
      <w:r>
        <w:t xml:space="preserve"> </w:t>
      </w:r>
      <w:r>
        <w:t xml:space="preserve">(upper bandwidth)</w:t>
      </w:r>
      <w:r>
        <w:t xml:space="preserve"> </w:t>
      </w:r>
      <w:r>
        <w:t xml:space="preserve">1.9 – 4.9 (lower</w:t>
      </w:r>
      <w:r>
        <w:t xml:space="preserve"> </w:t>
      </w:r>
      <w:r>
        <w:t xml:space="preserve">bandwidth)</w:t>
      </w:r>
      <w:r>
        <w:t xml:space="preserve"> </w:t>
      </w:r>
      <w:r>
        <w:t xml:space="preserve">6.1</w:t>
      </w:r>
      <w:r>
        <w:t xml:space="preserve"> </w:t>
      </w:r>
      <w:r>
        <w:t xml:space="preserve">–</w:t>
      </w:r>
      <w:r>
        <w:t xml:space="preserve"> </w:t>
      </w:r>
      <w:r>
        <w:t xml:space="preserve">15.3</w:t>
      </w:r>
      <w:r>
        <w:t xml:space="preserve"> </w:t>
      </w:r>
      <w:r>
        <w:t xml:space="preserve">(upper</w:t>
      </w:r>
      <w:r>
        <w:t xml:space="preserve"> </w:t>
      </w:r>
      <w:r>
        <w:t xml:space="preserve">bandwidth)</w:t>
      </w:r>
      <w:r>
        <w:t xml:space="preserve"> </w:t>
      </w:r>
      <w:r>
        <w:t xml:space="preserve">57.9 – 144.7</w:t>
      </w:r>
      <w:r>
        <w:t xml:space="preserve"> </w:t>
      </w:r>
      <w:r>
        <w:t xml:space="preserve">(lower</w:t>
      </w:r>
      <w:r>
        <w:t xml:space="preserve"> </w:t>
      </w:r>
      <w:r>
        <w:t xml:space="preserve">bandwidth)</w:t>
      </w:r>
      <w:r>
        <w:t xml:space="preserve"> </w:t>
      </w:r>
      <w:r>
        <w:t xml:space="preserve">181.7 – 454.7</w:t>
      </w:r>
      <w:r>
        <w:t xml:space="preserve"> </w:t>
      </w:r>
      <w:r>
        <w:t xml:space="preserve">(upper</w:t>
      </w:r>
      <w:r>
        <w:t xml:space="preserve"> </w:t>
      </w:r>
      <w:r>
        <w:t xml:space="preserve">bandwidth)</w:t>
      </w:r>
      <w:r>
        <w:t xml:space="preserve"> </w:t>
      </w:r>
      <w:r>
        <w:t xml:space="preserve">3.8</w:t>
      </w:r>
      <w:r>
        <w:t xml:space="preserve"> </w:t>
      </w:r>
      <w:r>
        <w:t xml:space="preserve">–</w:t>
      </w:r>
      <w:r>
        <w:t xml:space="preserve"> </w:t>
      </w:r>
      <w:r>
        <w:t xml:space="preserve">9.8</w:t>
      </w:r>
      <w:r>
        <w:t xml:space="preserve"> </w:t>
      </w:r>
      <w:r>
        <w:t xml:space="preserve">(lower</w:t>
      </w:r>
      <w:r>
        <w:t xml:space="preserve"> </w:t>
      </w:r>
      <w:r>
        <w:t xml:space="preserve">bandwidth)</w:t>
      </w:r>
      <w:r>
        <w:t xml:space="preserve"> </w:t>
      </w:r>
      <w:r>
        <w:t xml:space="preserve">12.2</w:t>
      </w:r>
      <w:r>
        <w:t xml:space="preserve"> </w:t>
      </w:r>
      <w:r>
        <w:t xml:space="preserve">–</w:t>
      </w:r>
      <w:r>
        <w:t xml:space="preserve"> </w:t>
      </w:r>
      <w:r>
        <w:t xml:space="preserve">30.6</w:t>
      </w:r>
      <w:r>
        <w:t xml:space="preserve"> </w:t>
      </w:r>
      <w:r>
        <w:t xml:space="preserve">(upper</w:t>
      </w:r>
      <w:r>
        <w:t xml:space="preserve"> </w:t>
      </w:r>
      <w:r>
        <w:t xml:space="preserve">bandwidth)</w:t>
      </w:r>
      <w:r>
        <w:t xml:space="preserve"> </w:t>
      </w:r>
      <w:r>
        <w:t xml:space="preserve">#20</w:t>
      </w:r>
      <w:r>
        <w:t xml:space="preserve"> </w:t>
      </w:r>
      <w:r>
        <w:t xml:space="preserve">32,500 – 77,500</w:t>
      </w:r>
      <w:r>
        <w:t xml:space="preserve"> </w:t>
      </w:r>
      <w:r>
        <w:t xml:space="preserve">(no compliance</w:t>
      </w:r>
      <w:r>
        <w:t xml:space="preserve"> </w:t>
      </w:r>
      <w:r>
        <w:t xml:space="preserve">rate)</w:t>
      </w:r>
      <w:r>
        <w:t xml:space="preserve"> </w:t>
      </w:r>
      <w:r>
        <w:t xml:space="preserve">1.1 – 2.7 – lower</w:t>
      </w:r>
      <w:r>
        <w:t xml:space="preserve"> </w:t>
      </w:r>
      <w:r>
        <w:t xml:space="preserve">bandwidth</w:t>
      </w:r>
      <w:r>
        <w:t xml:space="preserve"> </w:t>
      </w:r>
      <w:r>
        <w:t xml:space="preserve">3.6 – 8.5 – upper</w:t>
      </w:r>
      <w:r>
        <w:t xml:space="preserve"> </w:t>
      </w:r>
      <w:r>
        <w:t xml:space="preserve">bandwidth</w:t>
      </w:r>
      <w:r>
        <w:t xml:space="preserve"> </w:t>
      </w:r>
      <w:r>
        <w:t xml:space="preserve">0.07</w:t>
      </w:r>
      <w:r>
        <w:t xml:space="preserve"> </w:t>
      </w:r>
      <w:r>
        <w:t xml:space="preserve">–</w:t>
      </w:r>
      <w:r>
        <w:t xml:space="preserve"> </w:t>
      </w:r>
      <w:r>
        <w:t xml:space="preserve">0.18</w:t>
      </w:r>
      <w:r>
        <w:t xml:space="preserve"> </w:t>
      </w:r>
      <w:r>
        <w:t xml:space="preserve">(lower</w:t>
      </w:r>
      <w:r>
        <w:t xml:space="preserve"> </w:t>
      </w:r>
      <w:r>
        <w:t xml:space="preserve">bandwidth)</w:t>
      </w:r>
      <w:r>
        <w:t xml:space="preserve"> </w:t>
      </w:r>
      <w:r>
        <w:t xml:space="preserve">0.2 – 0.6 (upper</w:t>
      </w:r>
      <w:r>
        <w:t xml:space="preserve"> </w:t>
      </w:r>
      <w:r>
        <w:t xml:space="preserve">bandwidth</w:t>
      </w:r>
      <w:r>
        <w:t xml:space="preserve"> </w:t>
      </w:r>
      <w:r>
        <w:t xml:space="preserve">2.3 – 5.4 –</w:t>
      </w:r>
      <w:r>
        <w:t xml:space="preserve"> </w:t>
      </w:r>
      <w:r>
        <w:t xml:space="preserve">(lower</w:t>
      </w:r>
      <w:r>
        <w:t xml:space="preserve"> </w:t>
      </w:r>
      <w:r>
        <w:t xml:space="preserve">bandwidth)</w:t>
      </w:r>
      <w:r>
        <w:t xml:space="preserve"> </w:t>
      </w:r>
      <w:r>
        <w:t xml:space="preserve">7.2 – 17.1 –</w:t>
      </w:r>
      <w:r>
        <w:t xml:space="preserve"> </w:t>
      </w:r>
      <w:r>
        <w:t xml:space="preserve">(upper</w:t>
      </w:r>
      <w:r>
        <w:t xml:space="preserve"> </w:t>
      </w:r>
      <w:r>
        <w:t xml:space="preserve">bandwidth)</w:t>
      </w:r>
      <w:r>
        <w:t xml:space="preserve"> </w:t>
      </w:r>
      <w:r>
        <w:t xml:space="preserve">0.14</w:t>
      </w:r>
      <w:r>
        <w:t xml:space="preserve"> </w:t>
      </w:r>
      <w:r>
        <w:t xml:space="preserve">–</w:t>
      </w:r>
      <w:r>
        <w:t xml:space="preserve"> </w:t>
      </w:r>
      <w:r>
        <w:t xml:space="preserve">0.36</w:t>
      </w:r>
      <w:r>
        <w:t xml:space="preserve"> </w:t>
      </w:r>
      <w:r>
        <w:t xml:space="preserve">(lower</w:t>
      </w:r>
      <w:r>
        <w:t xml:space="preserve"> </w:t>
      </w:r>
      <w:r>
        <w:t xml:space="preserve">bandwidth)</w:t>
      </w:r>
      <w:r>
        <w:t xml:space="preserve"> </w:t>
      </w:r>
      <w:r>
        <w:t xml:space="preserve">0.5</w:t>
      </w:r>
      <w:r>
        <w:t xml:space="preserve"> </w:t>
      </w:r>
      <w:r>
        <w:t xml:space="preserve">–</w:t>
      </w:r>
      <w:r>
        <w:t xml:space="preserve"> </w:t>
      </w:r>
      <w:r>
        <w:t xml:space="preserve">1.1</w:t>
      </w:r>
      <w:r>
        <w:t xml:space="preserve"> </w:t>
      </w:r>
      <w:r>
        <w:t xml:space="preserve">(upper</w:t>
      </w:r>
      <w:r>
        <w:t xml:space="preserve"> </w:t>
      </w:r>
      <w:r>
        <w:t xml:space="preserve">bandwidth)</w:t>
      </w:r>
      <w:r>
        <w:t xml:space="preserve"> </w:t>
      </w:r>
      <w:r>
        <w:t xml:space="preserve">*Cost calculated for lower bandwidth: 70 EUR per submission; **Costs for upper bandwidth: 220 EUR per submission</w:t>
      </w:r>
    </w:p>
    <w:p>
      <w:pPr>
        <w:pStyle w:val="BodyText"/>
      </w:pPr>
      <w:r>
        <w:t xml:space="preserve">Recurrent costs</w:t>
      </w:r>
      <w:r>
        <w:br/>
      </w:r>
      <w:r>
        <w:t xml:space="preserve">The 2018 Evaluation of the Detergents Regulation estimates that half of all consumer</w:t>
      </w:r>
      <w:r>
        <w:t xml:space="preserve"> </w:t>
      </w:r>
      <w:r>
        <w:t xml:space="preserve">detergent products are reformulated every two years, while the other half are</w:t>
      </w:r>
      <w:r>
        <w:t xml:space="preserve"> </w:t>
      </w:r>
      <w:r>
        <w:t xml:space="preserve">reformulated every five years. If we take this as representative of all products, this</w:t>
      </w:r>
      <w:r>
        <w:t xml:space="preserve"> </w:t>
      </w:r>
      <w:r>
        <w:t xml:space="preserve">equates to 35% of products being reformulated each year. The Evaluation also estimates</w:t>
      </w:r>
      <w:r>
        <w:t xml:space="preserve"> </w:t>
      </w:r>
      <w:r>
        <w:t xml:space="preserve">that the product label is updated 60% to 70% of the time when consumer detergent</w:t>
      </w:r>
      <w:r>
        <w:t xml:space="preserve"> </w:t>
      </w:r>
      <w:r>
        <w:t xml:space="preserve">products are reformulated. This implies that in the remaining 30 - 40% of cases, changes</w:t>
      </w:r>
      <w:r>
        <w:t xml:space="preserve"> </w:t>
      </w:r>
      <w:r>
        <w:t xml:space="preserve">are not significant enough to trigger relabelling or submitting updated notifications to</w:t>
      </w:r>
      <w:r>
        <w:t xml:space="preserve"> </w:t>
      </w:r>
      <w:r>
        <w:t xml:space="preserve">poison centres. Taking the midpoint (65%) and applying this to the 35% of products</w:t>
      </w:r>
      <w:r>
        <w:t xml:space="preserve"> </w:t>
      </w:r>
      <w:r>
        <w:t xml:space="preserve">reformulated each year, equates to approximately 23% of products which would require</w:t>
      </w:r>
      <w:r>
        <w:t xml:space="preserve"> </w:t>
      </w:r>
      <w:r>
        <w:t xml:space="preserve">new PCNs each year. Therefore, this table presents recurrent costs as 23% of the one-off</w:t>
      </w:r>
      <w:r>
        <w:t xml:space="preserve"> </w:t>
      </w:r>
      <w:r>
        <w:t xml:space="preserve">costs.</w:t>
      </w:r>
    </w:p>
    <w:p>
      <w:pPr>
        <w:pStyle w:val="BodyText"/>
      </w:pPr>
      <w:r>
        <w:t xml:space="preserve">619</w:t>
      </w:r>
    </w:p>
    <w:p>
      <w:pPr>
        <w:pStyle w:val="BodyText"/>
      </w:pPr>
      <w:r>
        <w:t xml:space="preserve">Table 198: Recurrent costs</w:t>
      </w:r>
    </w:p>
    <w:p>
      <w:pPr>
        <w:pStyle w:val="BodyText"/>
      </w:pPr>
      <w:r>
        <w:t xml:space="preserve">Submissions</w:t>
      </w:r>
      <w:r>
        <w:br/>
      </w:r>
      <w:r>
        <w:t xml:space="preserve">Cost</w:t>
      </w:r>
      <w:r>
        <w:t xml:space="preserve"> </w:t>
      </w:r>
      <w:r>
        <w:t xml:space="preserve">(in</w:t>
      </w:r>
      <w:r>
        <w:t xml:space="preserve"> </w:t>
      </w:r>
      <w:r>
        <w:t xml:space="preserve">million EUR)</w:t>
      </w:r>
      <w:r>
        <w:t xml:space="preserve"> </w:t>
      </w:r>
      <w:r>
        <w:t xml:space="preserve">– compliance</w:t>
      </w:r>
      <w:r>
        <w:t xml:space="preserve"> </w:t>
      </w:r>
      <w:r>
        <w:t xml:space="preserve">rate of 50%</w:t>
      </w:r>
      <w:r>
        <w:t xml:space="preserve"> </w:t>
      </w:r>
      <w:r>
        <w:t xml:space="preserve">Annualised225</w:t>
      </w:r>
      <w:r>
        <w:t xml:space="preserve"> </w:t>
      </w:r>
      <w:r>
        <w:t xml:space="preserve">Cost</w:t>
      </w:r>
      <w:r>
        <w:t xml:space="preserve"> </w:t>
      </w:r>
      <w:r>
        <w:t xml:space="preserve">(in</w:t>
      </w:r>
      <w:r>
        <w:t xml:space="preserve"> </w:t>
      </w:r>
      <w:r>
        <w:t xml:space="preserve">million EUR )</w:t>
      </w:r>
      <w:r>
        <w:t xml:space="preserve"> </w:t>
      </w:r>
      <w:r>
        <w:t xml:space="preserve">–</w:t>
      </w:r>
      <w:r>
        <w:t xml:space="preserve"> </w:t>
      </w:r>
      <w:r>
        <w:t xml:space="preserve">no</w:t>
      </w:r>
      <w:r>
        <w:t xml:space="preserve"> </w:t>
      </w:r>
      <w:r>
        <w:t xml:space="preserve">compliance</w:t>
      </w:r>
      <w:r>
        <w:t xml:space="preserve"> </w:t>
      </w:r>
      <w:r>
        <w:t xml:space="preserve">rate</w:t>
      </w:r>
      <w:r>
        <w:br/>
      </w:r>
      <w:r>
        <w:t xml:space="preserve">Annualised226</w:t>
      </w:r>
      <w:r>
        <w:t xml:space="preserve"> </w:t>
      </w:r>
      <w:r>
        <w:t xml:space="preserve">#21</w:t>
      </w:r>
      <w:r>
        <w:t xml:space="preserve"> </w:t>
      </w:r>
      <w:r>
        <w:t xml:space="preserve">58,075</w:t>
      </w:r>
      <w:r>
        <w:t xml:space="preserve"> </w:t>
      </w:r>
      <w:r>
        <w:t xml:space="preserve">–</w:t>
      </w:r>
      <w:r>
        <w:t xml:space="preserve"> </w:t>
      </w:r>
      <w:r>
        <w:t xml:space="preserve">146,625</w:t>
      </w:r>
      <w:r>
        <w:t xml:space="preserve"> </w:t>
      </w:r>
      <w:r>
        <w:t xml:space="preserve">(no</w:t>
      </w:r>
      <w:r>
        <w:t xml:space="preserve"> </w:t>
      </w:r>
      <w:r>
        <w:t xml:space="preserve">compliance</w:t>
      </w:r>
      <w:r>
        <w:t xml:space="preserve"> </w:t>
      </w:r>
      <w:r>
        <w:t xml:space="preserve">rate)</w:t>
      </w:r>
      <w:r>
        <w:t xml:space="preserve"> </w:t>
      </w:r>
      <w:r>
        <w:t xml:space="preserve">2.0</w:t>
      </w:r>
      <w:r>
        <w:t xml:space="preserve"> </w:t>
      </w:r>
      <w:r>
        <w:t xml:space="preserve">–</w:t>
      </w:r>
      <w:r>
        <w:t xml:space="preserve"> </w:t>
      </w:r>
      <w:r>
        <w:t xml:space="preserve">5.1</w:t>
      </w:r>
      <w:r>
        <w:t xml:space="preserve"> </w:t>
      </w:r>
      <w:r>
        <w:t xml:space="preserve">(lower</w:t>
      </w:r>
      <w:r>
        <w:t xml:space="preserve"> </w:t>
      </w:r>
      <w:r>
        <w:t xml:space="preserve">bandwidth)</w:t>
      </w:r>
      <w:r>
        <w:t xml:space="preserve"> </w:t>
      </w:r>
      <w:r>
        <w:t xml:space="preserve">6.4</w:t>
      </w:r>
      <w:r>
        <w:t xml:space="preserve"> </w:t>
      </w:r>
      <w:r>
        <w:t xml:space="preserve">–</w:t>
      </w:r>
      <w:r>
        <w:t xml:space="preserve"> </w:t>
      </w:r>
      <w:r>
        <w:t xml:space="preserve">16.1</w:t>
      </w:r>
      <w:r>
        <w:t xml:space="preserve"> </w:t>
      </w:r>
      <w:r>
        <w:t xml:space="preserve">(upper</w:t>
      </w:r>
      <w:r>
        <w:t xml:space="preserve"> </w:t>
      </w:r>
      <w:r>
        <w:t xml:space="preserve">bandwidth)</w:t>
      </w:r>
      <w:r>
        <w:t xml:space="preserve"> </w:t>
      </w:r>
      <w:r>
        <w:t xml:space="preserve">2.7</w:t>
      </w:r>
      <w:r>
        <w:t xml:space="preserve"> </w:t>
      </w:r>
      <w:r>
        <w:t xml:space="preserve">–</w:t>
      </w:r>
      <w:r>
        <w:t xml:space="preserve"> </w:t>
      </w:r>
      <w:r>
        <w:t xml:space="preserve">6.9</w:t>
      </w:r>
      <w:r>
        <w:t xml:space="preserve"> </w:t>
      </w:r>
      <w:r>
        <w:t xml:space="preserve">(lower</w:t>
      </w:r>
      <w:r>
        <w:t xml:space="preserve"> </w:t>
      </w:r>
      <w:r>
        <w:t xml:space="preserve">bandwidth)</w:t>
      </w:r>
      <w:r>
        <w:t xml:space="preserve"> </w:t>
      </w:r>
      <w:r>
        <w:t xml:space="preserve">8.6</w:t>
      </w:r>
      <w:r>
        <w:t xml:space="preserve"> </w:t>
      </w:r>
      <w:r>
        <w:t xml:space="preserve">–</w:t>
      </w:r>
      <w:r>
        <w:t xml:space="preserve"> </w:t>
      </w:r>
      <w:r>
        <w:t xml:space="preserve">21.6</w:t>
      </w:r>
      <w:r>
        <w:t xml:space="preserve"> </w:t>
      </w:r>
      <w:r>
        <w:t xml:space="preserve">(upper</w:t>
      </w:r>
      <w:r>
        <w:t xml:space="preserve"> </w:t>
      </w:r>
      <w:r>
        <w:t xml:space="preserve">bandwidth</w:t>
      </w:r>
      <w:r>
        <w:t xml:space="preserve"> </w:t>
      </w:r>
      <w:r>
        <w:t xml:space="preserve">4.1</w:t>
      </w:r>
      <w:r>
        <w:t xml:space="preserve"> </w:t>
      </w:r>
      <w:r>
        <w:t xml:space="preserve">–</w:t>
      </w:r>
      <w:r>
        <w:t xml:space="preserve"> </w:t>
      </w:r>
      <w:r>
        <w:t xml:space="preserve">10.3</w:t>
      </w:r>
      <w:r>
        <w:t xml:space="preserve"> </w:t>
      </w:r>
      <w:r>
        <w:t xml:space="preserve">(lower</w:t>
      </w:r>
      <w:r>
        <w:t xml:space="preserve"> </w:t>
      </w:r>
      <w:r>
        <w:t xml:space="preserve">bandwidth)</w:t>
      </w:r>
      <w:r>
        <w:t xml:space="preserve"> </w:t>
      </w:r>
      <w:r>
        <w:t xml:space="preserve">12.8 – 32.3</w:t>
      </w:r>
      <w:r>
        <w:t xml:space="preserve"> </w:t>
      </w:r>
      <w:r>
        <w:t xml:space="preserve">(upper</w:t>
      </w:r>
      <w:r>
        <w:t xml:space="preserve"> </w:t>
      </w:r>
      <w:r>
        <w:t xml:space="preserve">bandwidth)</w:t>
      </w:r>
      <w:r>
        <w:t xml:space="preserve"> </w:t>
      </w:r>
      <w:r>
        <w:t xml:space="preserve">5.4</w:t>
      </w:r>
      <w:r>
        <w:t xml:space="preserve"> </w:t>
      </w:r>
      <w:r>
        <w:t xml:space="preserve">–</w:t>
      </w:r>
      <w:r>
        <w:t xml:space="preserve"> </w:t>
      </w:r>
      <w:r>
        <w:t xml:space="preserve">13.8</w:t>
      </w:r>
      <w:r>
        <w:t xml:space="preserve"> </w:t>
      </w:r>
      <w:r>
        <w:t xml:space="preserve">(lower</w:t>
      </w:r>
      <w:r>
        <w:t xml:space="preserve"> </w:t>
      </w:r>
      <w:r>
        <w:t xml:space="preserve">bandwidth)</w:t>
      </w:r>
      <w:r>
        <w:t xml:space="preserve"> </w:t>
      </w:r>
      <w:r>
        <w:t xml:space="preserve">17.2</w:t>
      </w:r>
      <w:r>
        <w:t xml:space="preserve"> </w:t>
      </w:r>
      <w:r>
        <w:t xml:space="preserve">–</w:t>
      </w:r>
      <w:r>
        <w:t xml:space="preserve"> </w:t>
      </w:r>
      <w:r>
        <w:t xml:space="preserve">43.2</w:t>
      </w:r>
      <w:r>
        <w:t xml:space="preserve"> </w:t>
      </w:r>
      <w:r>
        <w:t xml:space="preserve">(upper</w:t>
      </w:r>
      <w:r>
        <w:t xml:space="preserve"> </w:t>
      </w:r>
      <w:r>
        <w:t xml:space="preserve">bandwidth)</w:t>
      </w:r>
      <w:r>
        <w:t xml:space="preserve"> </w:t>
      </w:r>
      <w:r>
        <w:t xml:space="preserve">#19</w:t>
      </w:r>
      <w:r>
        <w:t xml:space="preserve"> </w:t>
      </w:r>
      <w:r>
        <w:t xml:space="preserve">190,150</w:t>
      </w:r>
      <w:r>
        <w:t xml:space="preserve"> </w:t>
      </w:r>
      <w:r>
        <w:t xml:space="preserve">–</w:t>
      </w:r>
      <w:r>
        <w:t xml:space="preserve"> </w:t>
      </w:r>
      <w:r>
        <w:t xml:space="preserve">475,375</w:t>
      </w:r>
      <w:r>
        <w:t xml:space="preserve"> </w:t>
      </w:r>
      <w:r>
        <w:t xml:space="preserve">(no</w:t>
      </w:r>
      <w:r>
        <w:t xml:space="preserve"> </w:t>
      </w:r>
      <w:r>
        <w:t xml:space="preserve">compliance</w:t>
      </w:r>
      <w:r>
        <w:t xml:space="preserve"> </w:t>
      </w:r>
      <w:r>
        <w:t xml:space="preserve">rate)</w:t>
      </w:r>
      <w:r>
        <w:t xml:space="preserve"> </w:t>
      </w:r>
      <w:r>
        <w:t xml:space="preserve">6.7</w:t>
      </w:r>
      <w:r>
        <w:t xml:space="preserve"> </w:t>
      </w:r>
      <w:r>
        <w:t xml:space="preserve">–</w:t>
      </w:r>
      <w:r>
        <w:t xml:space="preserve"> </w:t>
      </w:r>
      <w:r>
        <w:t xml:space="preserve">16.6</w:t>
      </w:r>
      <w:r>
        <w:t xml:space="preserve"> </w:t>
      </w:r>
      <w:r>
        <w:t xml:space="preserve">(lower</w:t>
      </w:r>
      <w:r>
        <w:t xml:space="preserve"> </w:t>
      </w:r>
      <w:r>
        <w:t xml:space="preserve">bandwidth)</w:t>
      </w:r>
      <w:r>
        <w:t xml:space="preserve"> </w:t>
      </w:r>
      <w:r>
        <w:t xml:space="preserve">20.9</w:t>
      </w:r>
      <w:r>
        <w:t xml:space="preserve"> </w:t>
      </w:r>
      <w:r>
        <w:t xml:space="preserve">–</w:t>
      </w:r>
      <w:r>
        <w:t xml:space="preserve"> </w:t>
      </w:r>
      <w:r>
        <w:t xml:space="preserve">52.3</w:t>
      </w:r>
      <w:r>
        <w:t xml:space="preserve"> </w:t>
      </w:r>
      <w:r>
        <w:t xml:space="preserve">(upper</w:t>
      </w:r>
      <w:r>
        <w:t xml:space="preserve"> </w:t>
      </w:r>
      <w:r>
        <w:t xml:space="preserve">bandwidth)</w:t>
      </w:r>
      <w:r>
        <w:t xml:space="preserve"> </w:t>
      </w:r>
      <w:r>
        <w:t xml:space="preserve">9.0</w:t>
      </w:r>
      <w:r>
        <w:t xml:space="preserve"> </w:t>
      </w:r>
      <w:r>
        <w:t xml:space="preserve">–</w:t>
      </w:r>
      <w:r>
        <w:t xml:space="preserve"> </w:t>
      </w:r>
      <w:r>
        <w:t xml:space="preserve">22.3</w:t>
      </w:r>
      <w:r>
        <w:t xml:space="preserve"> </w:t>
      </w:r>
      <w:r>
        <w:t xml:space="preserve">(lower</w:t>
      </w:r>
      <w:r>
        <w:t xml:space="preserve"> </w:t>
      </w:r>
      <w:r>
        <w:t xml:space="preserve">bandwidth)</w:t>
      </w:r>
      <w:r>
        <w:t xml:space="preserve"> </w:t>
      </w:r>
      <w:r>
        <w:t xml:space="preserve">28.0 – 70.3</w:t>
      </w:r>
      <w:r>
        <w:t xml:space="preserve"> </w:t>
      </w:r>
      <w:r>
        <w:t xml:space="preserve">(upper</w:t>
      </w:r>
      <w:r>
        <w:t xml:space="preserve"> </w:t>
      </w:r>
      <w:r>
        <w:t xml:space="preserve">bandwidth)</w:t>
      </w:r>
      <w:r>
        <w:t xml:space="preserve"> </w:t>
      </w:r>
      <w:r>
        <w:t xml:space="preserve">13.3 – 33.3</w:t>
      </w:r>
      <w:r>
        <w:t xml:space="preserve"> </w:t>
      </w:r>
      <w:r>
        <w:t xml:space="preserve">(lower</w:t>
      </w:r>
      <w:r>
        <w:t xml:space="preserve"> </w:t>
      </w:r>
      <w:r>
        <w:t xml:space="preserve">bandwidth)</w:t>
      </w:r>
      <w:r>
        <w:t xml:space="preserve"> </w:t>
      </w:r>
      <w:r>
        <w:t xml:space="preserve">41.8 – 104.6</w:t>
      </w:r>
      <w:r>
        <w:t xml:space="preserve"> </w:t>
      </w:r>
      <w:r>
        <w:t xml:space="preserve">(upper</w:t>
      </w:r>
      <w:r>
        <w:t xml:space="preserve"> </w:t>
      </w:r>
      <w:r>
        <w:t xml:space="preserve">bandwidth)</w:t>
      </w:r>
      <w:r>
        <w:t xml:space="preserve"> </w:t>
      </w:r>
      <w:r>
        <w:t xml:space="preserve">18.0</w:t>
      </w:r>
      <w:r>
        <w:t xml:space="preserve"> </w:t>
      </w:r>
      <w:r>
        <w:t xml:space="preserve">–</w:t>
      </w:r>
      <w:r>
        <w:t xml:space="preserve"> </w:t>
      </w:r>
      <w:r>
        <w:t xml:space="preserve">44.6</w:t>
      </w:r>
      <w:r>
        <w:t xml:space="preserve"> </w:t>
      </w:r>
      <w:r>
        <w:t xml:space="preserve">(lower</w:t>
      </w:r>
      <w:r>
        <w:t xml:space="preserve"> </w:t>
      </w:r>
      <w:r>
        <w:t xml:space="preserve">bandwidth)</w:t>
      </w:r>
      <w:r>
        <w:t xml:space="preserve"> </w:t>
      </w:r>
      <w:r>
        <w:t xml:space="preserve">56.0 – 140.6</w:t>
      </w:r>
      <w:r>
        <w:t xml:space="preserve"> </w:t>
      </w:r>
      <w:r>
        <w:t xml:space="preserve">(upper</w:t>
      </w:r>
      <w:r>
        <w:t xml:space="preserve"> </w:t>
      </w:r>
      <w:r>
        <w:t xml:space="preserve">bandwidth)</w:t>
      </w:r>
      <w:r>
        <w:t xml:space="preserve"> </w:t>
      </w:r>
      <w:r>
        <w:t xml:space="preserve">#20</w:t>
      </w:r>
      <w:r>
        <w:t xml:space="preserve"> </w:t>
      </w:r>
      <w:r>
        <w:t xml:space="preserve">7,475</w:t>
      </w:r>
      <w:r>
        <w:t xml:space="preserve"> </w:t>
      </w:r>
      <w:r>
        <w:t xml:space="preserve">–</w:t>
      </w:r>
      <w:r>
        <w:t xml:space="preserve"> </w:t>
      </w:r>
      <w:r>
        <w:t xml:space="preserve">17,825</w:t>
      </w:r>
      <w:r>
        <w:t xml:space="preserve"> </w:t>
      </w:r>
      <w:r>
        <w:t xml:space="preserve">(no</w:t>
      </w:r>
      <w:r>
        <w:t xml:space="preserve"> </w:t>
      </w:r>
      <w:r>
        <w:t xml:space="preserve">compliance</w:t>
      </w:r>
      <w:r>
        <w:t xml:space="preserve"> </w:t>
      </w:r>
      <w:r>
        <w:t xml:space="preserve">rate)</w:t>
      </w:r>
      <w:r>
        <w:t xml:space="preserve"> </w:t>
      </w:r>
      <w:r>
        <w:t xml:space="preserve">0.3 – 0.7 –</w:t>
      </w:r>
      <w:r>
        <w:t xml:space="preserve"> </w:t>
      </w:r>
      <w:r>
        <w:t xml:space="preserve">lower</w:t>
      </w:r>
      <w:r>
        <w:t xml:space="preserve"> </w:t>
      </w:r>
      <w:r>
        <w:t xml:space="preserve">bandwidth</w:t>
      </w:r>
      <w:r>
        <w:t xml:space="preserve"> </w:t>
      </w:r>
      <w:r>
        <w:t xml:space="preserve">0.8 – 2.2 –</w:t>
      </w:r>
      <w:r>
        <w:t xml:space="preserve"> </w:t>
      </w:r>
      <w:r>
        <w:t xml:space="preserve">upper</w:t>
      </w:r>
      <w:r>
        <w:t xml:space="preserve"> </w:t>
      </w:r>
      <w:r>
        <w:t xml:space="preserve">bandwidth</w:t>
      </w:r>
      <w:r>
        <w:t xml:space="preserve"> </w:t>
      </w:r>
      <w:r>
        <w:t xml:space="preserve">0.4 – 0.9 –</w:t>
      </w:r>
      <w:r>
        <w:t xml:space="preserve"> </w:t>
      </w:r>
      <w:r>
        <w:t xml:space="preserve">lower</w:t>
      </w:r>
      <w:r>
        <w:t xml:space="preserve"> </w:t>
      </w:r>
      <w:r>
        <w:t xml:space="preserve">bandwidth</w:t>
      </w:r>
      <w:r>
        <w:t xml:space="preserve"> </w:t>
      </w:r>
      <w:r>
        <w:t xml:space="preserve">1.1 – 3.0 –</w:t>
      </w:r>
      <w:r>
        <w:t xml:space="preserve"> </w:t>
      </w:r>
      <w:r>
        <w:t xml:space="preserve">upper</w:t>
      </w:r>
      <w:r>
        <w:t xml:space="preserve"> </w:t>
      </w:r>
      <w:r>
        <w:t xml:space="preserve">bandwidth</w:t>
      </w:r>
      <w:r>
        <w:t xml:space="preserve"> </w:t>
      </w:r>
      <w:r>
        <w:t xml:space="preserve">0.5 – 1.2 –</w:t>
      </w:r>
      <w:r>
        <w:t xml:space="preserve"> </w:t>
      </w:r>
      <w:r>
        <w:t xml:space="preserve">lower</w:t>
      </w:r>
      <w:r>
        <w:t xml:space="preserve"> </w:t>
      </w:r>
      <w:r>
        <w:t xml:space="preserve">bandwidth</w:t>
      </w:r>
      <w:r>
        <w:t xml:space="preserve"> </w:t>
      </w:r>
      <w:r>
        <w:t xml:space="preserve">1.6 – 3.9 –</w:t>
      </w:r>
      <w:r>
        <w:t xml:space="preserve"> </w:t>
      </w:r>
      <w:r>
        <w:t xml:space="preserve">upper</w:t>
      </w:r>
      <w:r>
        <w:t xml:space="preserve"> </w:t>
      </w:r>
      <w:r>
        <w:t xml:space="preserve">bandwidth</w:t>
      </w:r>
      <w:r>
        <w:t xml:space="preserve"> </w:t>
      </w:r>
      <w:r>
        <w:t xml:space="preserve">0.8 – 2.0 –</w:t>
      </w:r>
      <w:r>
        <w:t xml:space="preserve"> </w:t>
      </w:r>
      <w:r>
        <w:t xml:space="preserve">lower</w:t>
      </w:r>
      <w:r>
        <w:t xml:space="preserve"> </w:t>
      </w:r>
      <w:r>
        <w:t xml:space="preserve">bandwidth</w:t>
      </w:r>
      <w:r>
        <w:t xml:space="preserve"> </w:t>
      </w:r>
      <w:r>
        <w:t xml:space="preserve">2.2 – 6.0 –</w:t>
      </w:r>
      <w:r>
        <w:t xml:space="preserve"> </w:t>
      </w:r>
      <w:r>
        <w:t xml:space="preserve">upper</w:t>
      </w:r>
      <w:r>
        <w:t xml:space="preserve"> </w:t>
      </w:r>
      <w:r>
        <w:t xml:space="preserve">bandwidth</w:t>
      </w:r>
    </w:p>
    <w:p>
      <w:pPr>
        <w:pStyle w:val="BodyText"/>
      </w:pPr>
      <w:r>
        <w:t xml:space="preserve">Operational costs to Member States</w:t>
      </w:r>
      <w:r>
        <w:br/>
      </w:r>
      <w:r>
        <w:t xml:space="preserve">These relate to the increase in annual running costs of poison centres (IT systems etc.)</w:t>
      </w:r>
      <w:r>
        <w:t xml:space="preserve"> </w:t>
      </w:r>
      <w:r>
        <w:t xml:space="preserve">and more staff needs to review the notifications. This is alleviated by ECHA providing a</w:t>
      </w:r>
      <w:r>
        <w:t xml:space="preserve"> </w:t>
      </w:r>
      <w:r>
        <w:t xml:space="preserve">centralised dispatch mechanism and searchable database to which Member States is</w:t>
      </w:r>
      <w:r>
        <w:t xml:space="preserve"> </w:t>
      </w:r>
      <w:r>
        <w:t xml:space="preserve">gained access for free (they would just have to adapt their national IT systems to receive</w:t>
      </w:r>
      <w:r>
        <w:t xml:space="preserve"> </w:t>
      </w:r>
      <w:r>
        <w:t xml:space="preserve">the data).</w:t>
      </w:r>
      <w:r>
        <w:br/>
      </w:r>
      <w:r>
        <w:t xml:space="preserve">Concerning the burden for SMEs, the overall cost can be expected to be less than that of</w:t>
      </w:r>
      <w:r>
        <w:t xml:space="preserve"> </w:t>
      </w:r>
      <w:r>
        <w:t xml:space="preserve">large enterprises given that SMEs do not distribute cross-border. However, they might re-</w:t>
      </w:r>
      <w:r>
        <w:t xml:space="preserve"> </w:t>
      </w:r>
      <w:r>
        <w:t xml:space="preserve">brand/re-label and those costs may be greater in relative terms to their income from the</w:t>
      </w:r>
      <w:r>
        <w:t xml:space="preserve"> </w:t>
      </w:r>
      <w:r>
        <w:t xml:space="preserve">sale of these products.</w:t>
      </w:r>
      <w:r>
        <w:br/>
      </w:r>
      <w:r>
        <w:t xml:space="preserve">Social impacts</w:t>
      </w:r>
      <w:r>
        <w:t xml:space="preserve"> </w:t>
      </w:r>
      <w:r>
        <w:t xml:space="preserve">Regarding the social impacts, no quantitative estimates were possible to make due to lack</w:t>
      </w:r>
      <w:r>
        <w:t xml:space="preserve"> </w:t>
      </w:r>
      <w:r>
        <w:t xml:space="preserve">of data.</w:t>
      </w:r>
    </w:p>
    <w:p>
      <w:pPr>
        <w:pStyle w:val="BodyText"/>
      </w:pPr>
      <w:r>
        <w:t xml:space="preserve">225 Annualised costs are the same as the recurring costs because we apply a 4% discount rate, but we</w:t>
      </w:r>
      <w:r>
        <w:t xml:space="preserve"> </w:t>
      </w:r>
      <w:r>
        <w:t xml:space="preserve">assume a 4% inflation figure.</w:t>
      </w:r>
      <w:r>
        <w:t xml:space="preserve"> </w:t>
      </w:r>
      <w:r>
        <w:t xml:space="preserve">226 Annualised costs are the same as the recurring costs because we apply a 4% discount rate, but we</w:t>
      </w:r>
      <w:r>
        <w:t xml:space="preserve"> </w:t>
      </w:r>
      <w:r>
        <w:t xml:space="preserve">assume a 4% inflation figure.</w:t>
      </w:r>
    </w:p>
    <w:p>
      <w:pPr>
        <w:pStyle w:val="BodyText"/>
      </w:pPr>
      <w:r>
        <w:t xml:space="preserve">620</w:t>
      </w:r>
    </w:p>
    <w:p>
      <w:pPr>
        <w:pStyle w:val="BodyText"/>
      </w:pPr>
      <w:r>
        <w:t xml:space="preserve">From a qualitative point of view, clarifying the scope of obligations under Art. 45 will</w:t>
      </w:r>
      <w:r>
        <w:t xml:space="preserve"> </w:t>
      </w:r>
      <w:r>
        <w:t xml:space="preserve">lead to better and more timely medical advice being given, thus reducing the number of</w:t>
      </w:r>
      <w:r>
        <w:t xml:space="preserve"> </w:t>
      </w:r>
      <w:r>
        <w:t xml:space="preserve">severity of cases of ill health, and instances where overtreatment is given.</w:t>
      </w:r>
      <w:r>
        <w:br/>
      </w:r>
      <w:r>
        <w:t xml:space="preserve">It has been estimated through contact with the EU Poison Centres that on average these</w:t>
      </w:r>
      <w:r>
        <w:t xml:space="preserve"> </w:t>
      </w:r>
      <w:r>
        <w:t xml:space="preserve">services receive and treat 600,000 calls per year (almost 1,700 calls per day, mostly</w:t>
      </w:r>
      <w:r>
        <w:t xml:space="preserve"> </w:t>
      </w:r>
      <w:r>
        <w:t xml:space="preserve">related to child exposure) and the number of fatalities related to chemical exposure is</w:t>
      </w:r>
      <w:r>
        <w:t xml:space="preserve"> </w:t>
      </w:r>
      <w:r>
        <w:t xml:space="preserve">more than 400 per year227. Further breakdown of these calls to identify trends within</w:t>
      </w:r>
      <w:r>
        <w:t xml:space="preserve"> </w:t>
      </w:r>
      <w:r>
        <w:t xml:space="preserve">specific products groups as well as the volume and nature of more serious incidents is</w:t>
      </w:r>
      <w:r>
        <w:t xml:space="preserve"> </w:t>
      </w:r>
      <w:r>
        <w:t xml:space="preserve">also covered as part of the work of these centres. For example, an indicative breakdown</w:t>
      </w:r>
      <w:r>
        <w:t xml:space="preserve"> </w:t>
      </w:r>
      <w:r>
        <w:t xml:space="preserve">of call volume by severity includes228:</w:t>
      </w:r>
      <w:r>
        <w:t xml:space="preserve"> </w:t>
      </w:r>
      <w:r>
        <w:t xml:space="preserve">Germany - Poisoning cases related to chemicals exposure from one of the German Poison</w:t>
      </w:r>
      <w:r>
        <w:t xml:space="preserve"> </w:t>
      </w:r>
      <w:r>
        <w:t xml:space="preserve">Centres were 11,470 in 2013 and they had 120 severe symptoms and 6 fatalities (this</w:t>
      </w:r>
      <w:r>
        <w:t xml:space="preserve"> </w:t>
      </w:r>
      <w:r>
        <w:t xml:space="preserve">centre represents ~ 16% of Germany). Scaling this up assuming full proportionality and</w:t>
      </w:r>
      <w:r>
        <w:t xml:space="preserve"> </w:t>
      </w:r>
      <w:r>
        <w:t xml:space="preserve">representativeness results in around 70,000 calls, 750 cases with severe symptoms and</w:t>
      </w:r>
      <w:r>
        <w:t xml:space="preserve"> </w:t>
      </w:r>
      <w:r>
        <w:t xml:space="preserve">around 40 fatalities for the whole of Germany.</w:t>
      </w:r>
      <w:r>
        <w:br/>
      </w:r>
      <w:r>
        <w:t xml:space="preserve">Italy - The Milan Poison Centre reported 16,000 cases in 2009 including 6 fatalities. By</w:t>
      </w:r>
      <w:r>
        <w:t xml:space="preserve"> </w:t>
      </w:r>
      <w:r>
        <w:t xml:space="preserve">extrapolation, this suggests there could be approximately 21,000 cases for the whole of</w:t>
      </w:r>
      <w:r>
        <w:t xml:space="preserve"> </w:t>
      </w:r>
      <w:r>
        <w:t xml:space="preserve">Italy and 8 fatalities (the Milan Poison Centre covers around 75% of the country).</w:t>
      </w:r>
      <w:r>
        <w:br/>
      </w:r>
      <w:r>
        <w:t xml:space="preserve">France – The Nancy Poison Centre reported that for France as a whole the French Poison</w:t>
      </w:r>
      <w:r>
        <w:t xml:space="preserve"> </w:t>
      </w:r>
      <w:r>
        <w:t xml:space="preserve">Centres attended to 85,000 call per annum. There were also around 300 fatalities per</w:t>
      </w:r>
      <w:r>
        <w:t xml:space="preserve"> </w:t>
      </w:r>
      <w:r>
        <w:t xml:space="preserve">annum as a result of exposure to hazardous chemicals.</w:t>
      </w:r>
      <w:r>
        <w:br/>
      </w:r>
      <w:r>
        <w:t xml:space="preserve">The Netherlands received 43,334 calls in 2013, of which 2,882 (or 12%) concerned</w:t>
      </w:r>
      <w:r>
        <w:t xml:space="preserve"> </w:t>
      </w:r>
      <w:r>
        <w:t xml:space="preserve">chemical products.</w:t>
      </w:r>
      <w:r>
        <w:br/>
      </w:r>
      <w:r>
        <w:t xml:space="preserve">Spain - In 2014 the Spanish PC (INTCF) received about 71,000 calls for actual exposure</w:t>
      </w:r>
      <w:r>
        <w:t xml:space="preserve"> </w:t>
      </w:r>
      <w:r>
        <w:t xml:space="preserve">(other consultations are excluded; e.g. preventive measures). Accidental exposure to</w:t>
      </w:r>
      <w:r>
        <w:t xml:space="preserve"> </w:t>
      </w:r>
      <w:r>
        <w:t xml:space="preserve">chemicals: accounted for about 29,000 calls.</w:t>
      </w:r>
      <w:r>
        <w:t xml:space="preserve"> </w:t>
      </w:r>
      <w:r>
        <w:t xml:space="preserve">Quantitatively, the Fitness Check provides average economic costs for society of €16,618</w:t>
      </w:r>
      <w:r>
        <w:t xml:space="preserve"> </w:t>
      </w:r>
      <w:r>
        <w:t xml:space="preserve">(€967 for hospitalisation + €15,651 for severe eye impairment) for a severe incident and</w:t>
      </w:r>
      <w:r>
        <w:t xml:space="preserve"> </w:t>
      </w:r>
      <w:r>
        <w:t xml:space="preserve">€70.50 – €306 (example for a day of respiratory symptoms) for a minor incident.</w:t>
      </w:r>
      <w:r>
        <w:br/>
      </w:r>
      <w:r>
        <w:t xml:space="preserve">Economic analysis undertaken by the National Chemical Emergency Centre (NCEC) in</w:t>
      </w:r>
      <w:r>
        <w:t xml:space="preserve"> </w:t>
      </w:r>
      <w:r>
        <w:t xml:space="preserve">the UK provide some justification for the estimate provided in the Fitness Check. The</w:t>
      </w:r>
      <w:r>
        <w:t xml:space="preserve"> </w:t>
      </w:r>
      <w:r>
        <w:t xml:space="preserve">analysis found that each emergency call brought health benefits of approximately €8,100</w:t>
      </w:r>
      <w:r>
        <w:t xml:space="preserve"> </w:t>
      </w:r>
      <w:r>
        <w:t xml:space="preserve">based on avoidance of fatal and non-fatal injury, incidents of ill-health, and savings in</w:t>
      </w:r>
      <w:r>
        <w:t xml:space="preserve"> </w:t>
      </w:r>
      <w:r>
        <w:t xml:space="preserve">hospital visits, ambulance call-outs, and doctor consultations. As well as the benefits</w:t>
      </w:r>
      <w:r>
        <w:t xml:space="preserve"> </w:t>
      </w:r>
      <w:r>
        <w:t xml:space="preserve">from avoiding cases of injury and ill-health, there is the reduction in the time spent by</w:t>
      </w:r>
      <w:r>
        <w:t xml:space="preserve"> </w:t>
      </w:r>
      <w:r>
        <w:t xml:space="preserve">emergency services, delays to road users from emergency services, and avoided</w:t>
      </w:r>
      <w:r>
        <w:t xml:space="preserve"> </w:t>
      </w:r>
      <w:r>
        <w:t xml:space="preserve">productivity losses to businesses. 2019-2020 data from the NCEC estimates a benefit of</w:t>
      </w:r>
      <w:r>
        <w:t xml:space="preserve"> </w:t>
      </w:r>
      <w:r>
        <w:t xml:space="preserve">around €1,075 saving per emergency call for time spent by emergency services, a €3,175</w:t>
      </w:r>
      <w:r>
        <w:t xml:space="preserve"> </w:t>
      </w:r>
      <w:r>
        <w:t xml:space="preserve">saving in time lost by road users per call, and a €530 saving in health costs to businesses</w:t>
      </w:r>
      <w:r>
        <w:t xml:space="preserve"> </w:t>
      </w:r>
      <w:r>
        <w:t xml:space="preserve">per call. These additional benefits equalled €4,780, meaning the total benefits per</w:t>
      </w:r>
    </w:p>
    <w:p>
      <w:pPr>
        <w:pStyle w:val="BodyText"/>
      </w:pPr>
      <w:r>
        <w:t xml:space="preserve">227 Study on the harmonisation of the information to be submitted to Poison Centres, according to article 45</w:t>
      </w:r>
      <w:r>
        <w:t xml:space="preserve"> </w:t>
      </w:r>
      <w:r>
        <w:t xml:space="preserve">(4) of the regulation (EC) No. 1272/2008 (CLP Regulation), DocsRoom - European Commission</w:t>
      </w:r>
      <w:r>
        <w:t xml:space="preserve"> </w:t>
      </w:r>
      <w:r>
        <w:t xml:space="preserve">(europa.eu)</w:t>
      </w:r>
      <w:r>
        <w:t xml:space="preserve"> </w:t>
      </w:r>
      <w:r>
        <w:t xml:space="preserve">228 Ibid.</w:t>
      </w:r>
    </w:p>
    <w:p>
      <w:pPr>
        <w:pStyle w:val="BodyText"/>
      </w:pPr>
      <w:r>
        <w:t xml:space="preserve">621</w:t>
      </w:r>
    </w:p>
    <w:p>
      <w:pPr>
        <w:pStyle w:val="BodyText"/>
      </w:pPr>
      <w:r>
        <w:t xml:space="preserve">emergency call are €12,880. All estimates were converted to Euros and adjusted to 2021</w:t>
      </w:r>
      <w:r>
        <w:t xml:space="preserve"> </w:t>
      </w:r>
      <w:r>
        <w:t xml:space="preserve">prices229.</w:t>
      </w:r>
      <w:r>
        <w:t xml:space="preserve"> </w:t>
      </w:r>
      <w:r>
        <w:t xml:space="preserve">Environmental impacts</w:t>
      </w:r>
      <w:r>
        <w:t xml:space="preserve"> </w:t>
      </w:r>
      <w:r>
        <w:t xml:space="preserve">No negative or positive environmental impacts are expected from the policy measures</w:t>
      </w:r>
      <w:r>
        <w:t xml:space="preserve"> </w:t>
      </w:r>
      <w:r>
        <w:t xml:space="preserve">since Article 45 does not target environmental hazards.</w:t>
      </w:r>
      <w:r>
        <w:br/>
      </w:r>
      <w:r>
        <w:t xml:space="preserve">A summary of the costs and benefits of each of the three policy options is provided</w:t>
      </w:r>
      <w:r>
        <w:t xml:space="preserve"> </w:t>
      </w:r>
      <w:r>
        <w:t xml:space="preserve">below:</w:t>
      </w:r>
      <w:r>
        <w:t xml:space="preserve"> </w:t>
      </w:r>
      <w:r>
        <w:t xml:space="preserve">Summary of cost and benefits of policy options #19, #20, and #21</w:t>
      </w:r>
    </w:p>
    <w:p>
      <w:pPr>
        <w:pStyle w:val="BodyText"/>
      </w:pPr>
      <w:r>
        <w:t xml:space="preserve">Policy measure #19</w:t>
      </w:r>
      <w:r>
        <w:t xml:space="preserve"> </w:t>
      </w:r>
      <w:r>
        <w:t xml:space="preserve">Policy measure</w:t>
      </w:r>
      <w:r>
        <w:t xml:space="preserve"> </w:t>
      </w:r>
      <w:r>
        <w:t xml:space="preserve">#20</w:t>
      </w:r>
      <w:r>
        <w:t xml:space="preserve"> </w:t>
      </w:r>
      <w:r>
        <w:t xml:space="preserve">Policy measure</w:t>
      </w:r>
      <w:r>
        <w:t xml:space="preserve"> </w:t>
      </w:r>
      <w:r>
        <w:t xml:space="preserve">#21</w:t>
      </w:r>
      <w:r>
        <w:t xml:space="preserve"> </w:t>
      </w:r>
      <w:r>
        <w:t xml:space="preserve">Costs - businesses</w:t>
      </w:r>
      <w:r>
        <w:t xml:space="preserve"> </w:t>
      </w:r>
      <w:r>
        <w:t xml:space="preserve">Total one-off costs over a 20-year</w:t>
      </w:r>
      <w:r>
        <w:t xml:space="preserve"> </w:t>
      </w:r>
      <w:r>
        <w:t xml:space="preserve">period</w:t>
      </w:r>
      <w:r>
        <w:t xml:space="preserve"> </w:t>
      </w:r>
      <w:r>
        <w:t xml:space="preserve">€28,900,000 –</w:t>
      </w:r>
      <w:r>
        <w:t xml:space="preserve"> </w:t>
      </w:r>
      <w:r>
        <w:t xml:space="preserve">€227,400,000 (mid-</w:t>
      </w:r>
      <w:r>
        <w:t xml:space="preserve"> </w:t>
      </w:r>
      <w:r>
        <w:t xml:space="preserve">estimate:</w:t>
      </w:r>
      <w:r>
        <w:t xml:space="preserve"> </w:t>
      </w:r>
      <w:r>
        <w:t xml:space="preserve">€128,150,000)</w:t>
      </w:r>
      <w:r>
        <w:t xml:space="preserve"> </w:t>
      </w:r>
      <w:r>
        <w:t xml:space="preserve">€1,100,000 –</w:t>
      </w:r>
      <w:r>
        <w:t xml:space="preserve"> </w:t>
      </w:r>
      <w:r>
        <w:t xml:space="preserve">€8,500,000 (mid-</w:t>
      </w:r>
      <w:r>
        <w:t xml:space="preserve"> </w:t>
      </w:r>
      <w:r>
        <w:t xml:space="preserve">estimate:</w:t>
      </w:r>
      <w:r>
        <w:t xml:space="preserve"> </w:t>
      </w:r>
      <w:r>
        <w:t xml:space="preserve">€4,800,000)</w:t>
      </w:r>
      <w:r>
        <w:t xml:space="preserve"> </w:t>
      </w:r>
      <w:r>
        <w:t xml:space="preserve">€8,900,000 –</w:t>
      </w:r>
      <w:r>
        <w:t xml:space="preserve"> </w:t>
      </w:r>
      <w:r>
        <w:t xml:space="preserve">€70,200,000</w:t>
      </w:r>
      <w:r>
        <w:t xml:space="preserve"> </w:t>
      </w:r>
      <w:r>
        <w:t xml:space="preserve">(mid-estimate:</w:t>
      </w:r>
      <w:r>
        <w:t xml:space="preserve"> </w:t>
      </w:r>
      <w:r>
        <w:t xml:space="preserve">€39,550,000)</w:t>
      </w:r>
      <w:r>
        <w:t xml:space="preserve"> </w:t>
      </w:r>
      <w:r>
        <w:t xml:space="preserve">Recurring costs every 1 year</w:t>
      </w:r>
      <w:r>
        <w:t xml:space="preserve"> </w:t>
      </w:r>
      <w:r>
        <w:t xml:space="preserve">€6,700,000 –</w:t>
      </w:r>
      <w:r>
        <w:t xml:space="preserve"> </w:t>
      </w:r>
      <w:r>
        <w:t xml:space="preserve">€52,300,000 (mid-</w:t>
      </w:r>
      <w:r>
        <w:t xml:space="preserve"> </w:t>
      </w:r>
      <w:r>
        <w:t xml:space="preserve">estimate:</w:t>
      </w:r>
      <w:r>
        <w:t xml:space="preserve"> </w:t>
      </w:r>
      <w:r>
        <w:t xml:space="preserve">€29,500,000)</w:t>
      </w:r>
      <w:r>
        <w:t xml:space="preserve"> </w:t>
      </w:r>
      <w:r>
        <w:t xml:space="preserve">€300,000 –</w:t>
      </w:r>
      <w:r>
        <w:t xml:space="preserve"> </w:t>
      </w:r>
      <w:r>
        <w:t xml:space="preserve">€2,200,000 (mid-</w:t>
      </w:r>
      <w:r>
        <w:t xml:space="preserve"> </w:t>
      </w:r>
      <w:r>
        <w:t xml:space="preserve">estimate:</w:t>
      </w:r>
      <w:r>
        <w:t xml:space="preserve"> </w:t>
      </w:r>
      <w:r>
        <w:t xml:space="preserve">€1,250,000)</w:t>
      </w:r>
      <w:r>
        <w:t xml:space="preserve"> </w:t>
      </w:r>
      <w:r>
        <w:t xml:space="preserve">€2,000,000 –</w:t>
      </w:r>
      <w:r>
        <w:t xml:space="preserve"> </w:t>
      </w:r>
      <w:r>
        <w:t xml:space="preserve">€16,100,000</w:t>
      </w:r>
      <w:r>
        <w:t xml:space="preserve"> </w:t>
      </w:r>
      <w:r>
        <w:t xml:space="preserve">(mid-estimate:</w:t>
      </w:r>
      <w:r>
        <w:t xml:space="preserve"> </w:t>
      </w:r>
      <w:r>
        <w:t xml:space="preserve">€9,050,000)</w:t>
      </w:r>
      <w:r>
        <w:t xml:space="preserve"> </w:t>
      </w:r>
      <w:r>
        <w:t xml:space="preserve">Total recurring costs over a 20-year</w:t>
      </w:r>
      <w:r>
        <w:t xml:space="preserve"> </w:t>
      </w:r>
      <w:r>
        <w:t xml:space="preserve">period</w:t>
      </w:r>
      <w:r>
        <w:t xml:space="preserve"> </w:t>
      </w:r>
      <w:r>
        <w:t xml:space="preserve">€127,300,000 –</w:t>
      </w:r>
      <w:r>
        <w:t xml:space="preserve"> </w:t>
      </w:r>
      <w:r>
        <w:t xml:space="preserve">€993,700,000 (mid-</w:t>
      </w:r>
      <w:r>
        <w:t xml:space="preserve"> </w:t>
      </w:r>
      <w:r>
        <w:t xml:space="preserve">estimate:</w:t>
      </w:r>
      <w:r>
        <w:t xml:space="preserve"> </w:t>
      </w:r>
      <w:r>
        <w:t xml:space="preserve">€560,500,000)</w:t>
      </w:r>
      <w:r>
        <w:t xml:space="preserve"> </w:t>
      </w:r>
      <w:r>
        <w:t xml:space="preserve">€5,700,000 –</w:t>
      </w:r>
      <w:r>
        <w:t xml:space="preserve"> </w:t>
      </w:r>
      <w:r>
        <w:t xml:space="preserve">€41,800,000</w:t>
      </w:r>
      <w:r>
        <w:t xml:space="preserve"> </w:t>
      </w:r>
      <w:r>
        <w:t xml:space="preserve">(mid-estimate:</w:t>
      </w:r>
      <w:r>
        <w:t xml:space="preserve"> </w:t>
      </w:r>
      <w:r>
        <w:t xml:space="preserve">€23,750,000)</w:t>
      </w:r>
      <w:r>
        <w:t xml:space="preserve"> </w:t>
      </w:r>
      <w:r>
        <w:t xml:space="preserve">€38,000,000 –</w:t>
      </w:r>
      <w:r>
        <w:t xml:space="preserve"> </w:t>
      </w:r>
      <w:r>
        <w:t xml:space="preserve">€305,900,000</w:t>
      </w:r>
      <w:r>
        <w:t xml:space="preserve"> </w:t>
      </w:r>
      <w:r>
        <w:t xml:space="preserve">(mid-estimate:</w:t>
      </w:r>
      <w:r>
        <w:t xml:space="preserve"> </w:t>
      </w:r>
      <w:r>
        <w:t xml:space="preserve">€171,950,000)</w:t>
      </w:r>
      <w:r>
        <w:t xml:space="preserve"> </w:t>
      </w:r>
      <w:r>
        <w:t xml:space="preserve">PV of one-off costs (20 years; 3%)</w:t>
      </w:r>
      <w:r>
        <w:t xml:space="preserve"> </w:t>
      </w:r>
      <w:r>
        <w:t xml:space="preserve">€38,850,679 –</w:t>
      </w:r>
      <w:r>
        <w:t xml:space="preserve"> </w:t>
      </w:r>
      <w:r>
        <w:t xml:space="preserve">€305,697,038 (mid-</w:t>
      </w:r>
      <w:r>
        <w:t xml:space="preserve"> </w:t>
      </w:r>
      <w:r>
        <w:t xml:space="preserve">estimate:</w:t>
      </w:r>
      <w:r>
        <w:t xml:space="preserve"> </w:t>
      </w:r>
      <w:r>
        <w:t xml:space="preserve">€172,273,859)</w:t>
      </w:r>
      <w:r>
        <w:t xml:space="preserve"> </w:t>
      </w:r>
      <w:r>
        <w:t xml:space="preserve">€1,478,746 –</w:t>
      </w:r>
      <w:r>
        <w:t xml:space="preserve"> </w:t>
      </w:r>
      <w:r>
        <w:t xml:space="preserve">€11,426,670</w:t>
      </w:r>
      <w:r>
        <w:t xml:space="preserve"> </w:t>
      </w:r>
      <w:r>
        <w:t xml:space="preserve">(mid-estimate:</w:t>
      </w:r>
      <w:r>
        <w:t xml:space="preserve"> </w:t>
      </w:r>
      <w:r>
        <w:t xml:space="preserve">€6,452,708)</w:t>
      </w:r>
      <w:r>
        <w:t xml:space="preserve"> </w:t>
      </w:r>
      <w:r>
        <w:t xml:space="preserve">€11,964,396 –</w:t>
      </w:r>
      <w:r>
        <w:t xml:space="preserve"> </w:t>
      </w:r>
      <w:r>
        <w:t xml:space="preserve">€94,370,853</w:t>
      </w:r>
      <w:r>
        <w:t xml:space="preserve"> </w:t>
      </w:r>
      <w:r>
        <w:t xml:space="preserve">(mid-estimate:</w:t>
      </w:r>
      <w:r>
        <w:t xml:space="preserve"> </w:t>
      </w:r>
      <w:r>
        <w:t xml:space="preserve">€53,167,625)</w:t>
      </w:r>
      <w:r>
        <w:t xml:space="preserve"> </w:t>
      </w:r>
      <w:r>
        <w:t xml:space="preserve">PV of one-off costs (20 years; 3%)</w:t>
      </w:r>
      <w:r>
        <w:t xml:space="preserve"> </w:t>
      </w:r>
      <w:r>
        <w:t xml:space="preserve">(annualised)</w:t>
      </w:r>
      <w:r>
        <w:t xml:space="preserve"> </w:t>
      </w:r>
      <w:r>
        <w:t xml:space="preserve">€1,942,534 –</w:t>
      </w:r>
      <w:r>
        <w:t xml:space="preserve"> </w:t>
      </w:r>
      <w:r>
        <w:t xml:space="preserve">€15,284,852 (mid-</w:t>
      </w:r>
      <w:r>
        <w:t xml:space="preserve"> </w:t>
      </w:r>
      <w:r>
        <w:t xml:space="preserve">estimate:</w:t>
      </w:r>
      <w:r>
        <w:t xml:space="preserve"> </w:t>
      </w:r>
      <w:r>
        <w:t xml:space="preserve">€8,613,693)</w:t>
      </w:r>
      <w:r>
        <w:t xml:space="preserve"> </w:t>
      </w:r>
      <w:r>
        <w:t xml:space="preserve">€73,937 –</w:t>
      </w:r>
      <w:r>
        <w:t xml:space="preserve"> </w:t>
      </w:r>
      <w:r>
        <w:t xml:space="preserve">€571,334 (mid-</w:t>
      </w:r>
      <w:r>
        <w:t xml:space="preserve"> </w:t>
      </w:r>
      <w:r>
        <w:t xml:space="preserve">estimate:</w:t>
      </w:r>
      <w:r>
        <w:t xml:space="preserve"> </w:t>
      </w:r>
      <w:r>
        <w:t xml:space="preserve">€322,635)</w:t>
      </w:r>
      <w:r>
        <w:t xml:space="preserve"> </w:t>
      </w:r>
      <w:r>
        <w:t xml:space="preserve">€598,220 –</w:t>
      </w:r>
      <w:r>
        <w:t xml:space="preserve"> </w:t>
      </w:r>
      <w:r>
        <w:t xml:space="preserve">€4,718,543</w:t>
      </w:r>
      <w:r>
        <w:t xml:space="preserve"> </w:t>
      </w:r>
      <w:r>
        <w:t xml:space="preserve">(mid-estimate:</w:t>
      </w:r>
      <w:r>
        <w:t xml:space="preserve"> </w:t>
      </w:r>
      <w:r>
        <w:t xml:space="preserve">€2,658,381)</w:t>
      </w:r>
      <w:r>
        <w:t xml:space="preserve"> </w:t>
      </w:r>
      <w:r>
        <w:t xml:space="preserve">PV of recurring costs (20 years; 3%)</w:t>
      </w:r>
      <w:r>
        <w:t xml:space="preserve"> </w:t>
      </w:r>
      <w:r>
        <w:t xml:space="preserve">€171,131,192 –</w:t>
      </w:r>
      <w:r>
        <w:t xml:space="preserve"> </w:t>
      </w:r>
      <w:r>
        <w:t xml:space="preserve">€1,335,844,973</w:t>
      </w:r>
      <w:r>
        <w:t xml:space="preserve"> </w:t>
      </w:r>
      <w:r>
        <w:t xml:space="preserve">(mid-estimate:</w:t>
      </w:r>
      <w:r>
        <w:t xml:space="preserve"> </w:t>
      </w:r>
      <w:r>
        <w:t xml:space="preserve">€753,488,082)</w:t>
      </w:r>
      <w:r>
        <w:t xml:space="preserve"> </w:t>
      </w:r>
      <w:r>
        <w:t xml:space="preserve">€7,662,591 –</w:t>
      </w:r>
      <w:r>
        <w:t xml:space="preserve"> </w:t>
      </w:r>
      <w:r>
        <w:t xml:space="preserve">€56,192,332</w:t>
      </w:r>
      <w:r>
        <w:t xml:space="preserve"> </w:t>
      </w:r>
      <w:r>
        <w:t xml:space="preserve">(mid-estimate:</w:t>
      </w:r>
      <w:r>
        <w:t xml:space="preserve"> </w:t>
      </w:r>
      <w:r>
        <w:t xml:space="preserve">€31,927,461)</w:t>
      </w:r>
      <w:r>
        <w:t xml:space="preserve"> </w:t>
      </w:r>
      <w:r>
        <w:t xml:space="preserve">€51,083,938 –</w:t>
      </w:r>
      <w:r>
        <w:t xml:space="preserve"> </w:t>
      </w:r>
      <w:r>
        <w:t xml:space="preserve">€411,225,699</w:t>
      </w:r>
      <w:r>
        <w:t xml:space="preserve"> </w:t>
      </w:r>
      <w:r>
        <w:t xml:space="preserve">(mid-estimate:</w:t>
      </w:r>
      <w:r>
        <w:t xml:space="preserve"> </w:t>
      </w:r>
      <w:r>
        <w:t xml:space="preserve">€231,154,818)</w:t>
      </w:r>
      <w:r>
        <w:t xml:space="preserve"> </w:t>
      </w:r>
      <w:r>
        <w:t xml:space="preserve">Total PV – costs - businesses</w:t>
      </w:r>
      <w:r>
        <w:t xml:space="preserve"> </w:t>
      </w:r>
      <w:r>
        <w:t xml:space="preserve">€209,981,871 –</w:t>
      </w:r>
      <w:r>
        <w:t xml:space="preserve"> </w:t>
      </w:r>
      <w:r>
        <w:t xml:space="preserve">€1,641,542,011</w:t>
      </w:r>
      <w:r>
        <w:t xml:space="preserve"> </w:t>
      </w:r>
      <w:r>
        <w:t xml:space="preserve">(mid-estimate:</w:t>
      </w:r>
      <w:r>
        <w:t xml:space="preserve"> </w:t>
      </w:r>
      <w:r>
        <w:t xml:space="preserve">€925,761-941)</w:t>
      </w:r>
      <w:r>
        <w:t xml:space="preserve"> </w:t>
      </w:r>
      <w:r>
        <w:t xml:space="preserve">€9,141,336 –</w:t>
      </w:r>
      <w:r>
        <w:t xml:space="preserve"> </w:t>
      </w:r>
      <w:r>
        <w:t xml:space="preserve">€67,619,002</w:t>
      </w:r>
      <w:r>
        <w:t xml:space="preserve"> </w:t>
      </w:r>
      <w:r>
        <w:t xml:space="preserve">(mid-estimate:</w:t>
      </w:r>
      <w:r>
        <w:t xml:space="preserve"> </w:t>
      </w:r>
      <w:r>
        <w:t xml:space="preserve">€38,380,169)</w:t>
      </w:r>
      <w:r>
        <w:t xml:space="preserve"> </w:t>
      </w:r>
      <w:r>
        <w:t xml:space="preserve">€63,048,334 –</w:t>
      </w:r>
      <w:r>
        <w:t xml:space="preserve"> </w:t>
      </w:r>
      <w:r>
        <w:t xml:space="preserve">€505,596,553</w:t>
      </w:r>
      <w:r>
        <w:t xml:space="preserve"> </w:t>
      </w:r>
      <w:r>
        <w:t xml:space="preserve">(mid-estimate:</w:t>
      </w:r>
      <w:r>
        <w:t xml:space="preserve"> </w:t>
      </w:r>
      <w:r>
        <w:t xml:space="preserve">€284,322,443)</w:t>
      </w:r>
      <w:r>
        <w:t xml:space="preserve"> </w:t>
      </w:r>
      <w:r>
        <w:t xml:space="preserve">Costs – public authorities</w:t>
      </w:r>
      <w:r>
        <w:t xml:space="preserve"> </w:t>
      </w:r>
      <w:r>
        <w:t xml:space="preserve">Total one-off costs over a 20-year</w:t>
      </w:r>
      <w:r>
        <w:t xml:space="preserve"> </w:t>
      </w:r>
      <w:r>
        <w:t xml:space="preserve">period</w:t>
      </w:r>
    </w:p>
    <w:p>
      <w:pPr>
        <w:pStyle w:val="BodyText"/>
      </w:pPr>
      <w:r>
        <w:t xml:space="preserve">Recurring costs every 1 year</w:t>
      </w:r>
    </w:p>
    <w:p>
      <w:pPr>
        <w:pStyle w:val="BodyText"/>
      </w:pPr>
      <w:r>
        <w:t xml:space="preserve">Total recurring costs over a 20-year</w:t>
      </w:r>
      <w:r>
        <w:t xml:space="preserve"> </w:t>
      </w:r>
      <w:r>
        <w:t xml:space="preserve">period</w:t>
      </w:r>
    </w:p>
    <w:p>
      <w:pPr>
        <w:pStyle w:val="BodyText"/>
      </w:pPr>
      <w:r>
        <w:t xml:space="preserve">PV of one-off costs (20 years; 3%)</w:t>
      </w:r>
    </w:p>
    <w:p>
      <w:pPr>
        <w:pStyle w:val="BodyText"/>
      </w:pPr>
      <w:r>
        <w:t xml:space="preserve">PV of recurring costs (20 years; 3%)</w:t>
      </w:r>
    </w:p>
    <w:p>
      <w:pPr>
        <w:pStyle w:val="BodyText"/>
      </w:pPr>
      <w:r>
        <w:t xml:space="preserve">229 24/7 chemical helpline - NCEC (the-ncec.com)</w:t>
      </w:r>
    </w:p>
    <w:p>
      <w:pPr>
        <w:pStyle w:val="BodyText"/>
      </w:pPr>
      <w:r>
        <w:t xml:space="preserve">622</w:t>
      </w:r>
    </w:p>
    <w:p>
      <w:pPr>
        <w:pStyle w:val="BodyText"/>
      </w:pPr>
      <w:r>
        <w:t xml:space="preserve">Total PV – costs – public authorities</w:t>
      </w:r>
    </w:p>
    <w:p>
      <w:pPr>
        <w:pStyle w:val="BodyText"/>
      </w:pPr>
      <w:r>
        <w:t xml:space="preserve">Total PV cost of policy option #19</w:t>
      </w:r>
      <w:r>
        <w:t xml:space="preserve"> </w:t>
      </w:r>
      <w:r>
        <w:t xml:space="preserve">€209,981,871 –</w:t>
      </w:r>
      <w:r>
        <w:t xml:space="preserve"> </w:t>
      </w:r>
      <w:r>
        <w:t xml:space="preserve">€1,641,542,011 (mid-</w:t>
      </w:r>
      <w:r>
        <w:t xml:space="preserve"> </w:t>
      </w:r>
      <w:r>
        <w:t xml:space="preserve">estimate: €925,761-</w:t>
      </w:r>
      <w:r>
        <w:t xml:space="preserve"> </w:t>
      </w:r>
      <w:r>
        <w:t xml:space="preserve">941)</w:t>
      </w:r>
      <w:r>
        <w:t xml:space="preserve"> </w:t>
      </w:r>
      <w:r>
        <w:t xml:space="preserve">€9,141,336 –</w:t>
      </w:r>
      <w:r>
        <w:t xml:space="preserve"> </w:t>
      </w:r>
      <w:r>
        <w:t xml:space="preserve">€67,619,002</w:t>
      </w:r>
      <w:r>
        <w:t xml:space="preserve"> </w:t>
      </w:r>
      <w:r>
        <w:t xml:space="preserve">(mid-estimate:</w:t>
      </w:r>
      <w:r>
        <w:t xml:space="preserve"> </w:t>
      </w:r>
      <w:r>
        <w:t xml:space="preserve">€38,380,169)</w:t>
      </w:r>
      <w:r>
        <w:t xml:space="preserve"> </w:t>
      </w:r>
      <w:r>
        <w:t xml:space="preserve">€63,048,334 –</w:t>
      </w:r>
      <w:r>
        <w:t xml:space="preserve"> </w:t>
      </w:r>
      <w:r>
        <w:t xml:space="preserve">€505,596,553</w:t>
      </w:r>
      <w:r>
        <w:t xml:space="preserve"> </w:t>
      </w:r>
      <w:r>
        <w:t xml:space="preserve">(mid-estimate:</w:t>
      </w:r>
      <w:r>
        <w:t xml:space="preserve"> </w:t>
      </w:r>
      <w:r>
        <w:t xml:space="preserve">€284,322,443)</w:t>
      </w:r>
      <w:r>
        <w:t xml:space="preserve"> </w:t>
      </w:r>
      <w:r>
        <w:t xml:space="preserve">Benefits (cost savings) - businesses</w:t>
      </w:r>
    </w:p>
    <w:p>
      <w:pPr>
        <w:pStyle w:val="BodyText"/>
      </w:pPr>
      <w:r>
        <w:t xml:space="preserve">PV benefits - businesses</w:t>
      </w:r>
    </w:p>
    <w:p>
      <w:pPr>
        <w:pStyle w:val="BodyText"/>
      </w:pPr>
      <w:r>
        <w:t xml:space="preserve">Benefits (cost savings) – public</w:t>
      </w:r>
      <w:r>
        <w:t xml:space="preserve"> </w:t>
      </w:r>
      <w:r>
        <w:t xml:space="preserve">authorities</w:t>
      </w:r>
    </w:p>
    <w:p>
      <w:pPr>
        <w:pStyle w:val="BodyText"/>
      </w:pPr>
      <w:r>
        <w:t xml:space="preserve">PV – benefits – public authorities</w:t>
      </w:r>
    </w:p>
    <w:p>
      <w:pPr>
        <w:pStyle w:val="BodyText"/>
      </w:pPr>
      <w:r>
        <w:t xml:space="preserve">Benefits - society</w:t>
      </w:r>
    </w:p>
    <w:p>
      <w:pPr>
        <w:pStyle w:val="BodyText"/>
      </w:pPr>
      <w:r>
        <w:t xml:space="preserve">PV - benefits - society</w:t>
      </w:r>
    </w:p>
    <w:p>
      <w:pPr>
        <w:pStyle w:val="BodyText"/>
      </w:pPr>
      <w:r>
        <w:t xml:space="preserve">Total OV - benefits</w:t>
      </w:r>
    </w:p>
    <w:p>
      <w:pPr>
        <w:pStyle w:val="BodyText"/>
      </w:pPr>
      <w:r>
        <w:t xml:space="preserve">Net Present Value - NPV (PV</w:t>
      </w:r>
      <w:r>
        <w:t xml:space="preserve"> </w:t>
      </w:r>
      <w:r>
        <w:t xml:space="preserve">benefits – PV costs)</w:t>
      </w:r>
      <w:r>
        <w:t xml:space="preserve"> </w:t>
      </w:r>
      <w:r>
        <w:t xml:space="preserve">-€209,981,871 – -</w:t>
      </w:r>
      <w:r>
        <w:t xml:space="preserve"> </w:t>
      </w:r>
      <w:r>
        <w:t xml:space="preserve">€1,641,542,011</w:t>
      </w:r>
      <w:r>
        <w:t xml:space="preserve"> </w:t>
      </w:r>
      <w:r>
        <w:t xml:space="preserve">(mid-estimate: -</w:t>
      </w:r>
      <w:r>
        <w:t xml:space="preserve"> </w:t>
      </w:r>
      <w:r>
        <w:t xml:space="preserve">€925,761-941)</w:t>
      </w:r>
      <w:r>
        <w:t xml:space="preserve"> </w:t>
      </w:r>
      <w:r>
        <w:t xml:space="preserve">-€9,141,336 – -</w:t>
      </w:r>
      <w:r>
        <w:t xml:space="preserve"> </w:t>
      </w:r>
      <w:r>
        <w:t xml:space="preserve">€67,619,002</w:t>
      </w:r>
      <w:r>
        <w:t xml:space="preserve"> </w:t>
      </w:r>
      <w:r>
        <w:t xml:space="preserve">(mid-estimate: -</w:t>
      </w:r>
      <w:r>
        <w:t xml:space="preserve"> </w:t>
      </w:r>
      <w:r>
        <w:t xml:space="preserve">38,380,169)</w:t>
      </w:r>
      <w:r>
        <w:t xml:space="preserve"> </w:t>
      </w:r>
      <w:r>
        <w:t xml:space="preserve">-€63,048,334 –</w:t>
      </w:r>
      <w:r>
        <w:t xml:space="preserve"> </w:t>
      </w:r>
      <w:r>
        <w:t xml:space="preserve">-€505,596,553</w:t>
      </w:r>
      <w:r>
        <w:t xml:space="preserve"> </w:t>
      </w:r>
      <w:r>
        <w:t xml:space="preserve">(mid-estimate: -</w:t>
      </w:r>
      <w:r>
        <w:t xml:space="preserve"> </w:t>
      </w:r>
      <w:r>
        <w:t xml:space="preserve">€284,322,443)</w:t>
      </w:r>
    </w:p>
    <w:p>
      <w:pPr>
        <w:pStyle w:val="BodyText"/>
      </w:pPr>
      <w:r>
        <w:t xml:space="preserve">A summary of the present value (3% discount) costs and benefits of each policy measure are</w:t>
      </w:r>
      <w:r>
        <w:t xml:space="preserve"> </w:t>
      </w:r>
      <w:r>
        <w:t xml:space="preserve">presented below.</w:t>
      </w:r>
      <w:r>
        <w:t xml:space="preserve"> </w:t>
      </w:r>
      <w:r>
        <w:t xml:space="preserve">Summary of costs and benefits (PV; 20 years; 3%) of policy measure #19 by type</w:t>
      </w:r>
      <w:r>
        <w:t xml:space="preserve"> </w:t>
      </w:r>
      <w:r>
        <w:t xml:space="preserve">Costs</w:t>
      </w:r>
    </w:p>
    <w:p>
      <w:pPr>
        <w:pStyle w:val="BodyText"/>
      </w:pPr>
      <w:r>
        <w:t xml:space="preserve">Businesses</w:t>
      </w:r>
      <w:r>
        <w:t xml:space="preserve"> </w:t>
      </w:r>
      <w:r>
        <w:t xml:space="preserve">Administrations</w:t>
      </w:r>
      <w:r>
        <w:t xml:space="preserve"> </w:t>
      </w:r>
      <w:r>
        <w:t xml:space="preserve">Society</w:t>
      </w:r>
      <w:r>
        <w:t xml:space="preserve"> </w:t>
      </w:r>
      <w:r>
        <w:t xml:space="preserve">Direct adjustment</w:t>
      </w:r>
      <w:r>
        <w:t xml:space="preserve"> </w:t>
      </w:r>
      <w:r>
        <w:t xml:space="preserve">costs</w:t>
      </w:r>
    </w:p>
    <w:p>
      <w:pPr>
        <w:pStyle w:val="BodyText"/>
      </w:pPr>
      <w:r>
        <w:t xml:space="preserve">Direct</w:t>
      </w:r>
      <w:r>
        <w:t xml:space="preserve"> </w:t>
      </w:r>
      <w:r>
        <w:t xml:space="preserve">administrative costs</w:t>
      </w:r>
      <w:r>
        <w:t xml:space="preserve"> </w:t>
      </w:r>
      <w:r>
        <w:t xml:space="preserve">€209,981,871 –</w:t>
      </w:r>
      <w:r>
        <w:t xml:space="preserve"> </w:t>
      </w:r>
      <w:r>
        <w:t xml:space="preserve">€1,641,542,011 (mid-</w:t>
      </w:r>
      <w:r>
        <w:t xml:space="preserve"> </w:t>
      </w:r>
      <w:r>
        <w:t xml:space="preserve">estimate: €925,761-</w:t>
      </w:r>
      <w:r>
        <w:t xml:space="preserve"> </w:t>
      </w:r>
      <w:r>
        <w:t xml:space="preserve">941)</w:t>
      </w:r>
    </w:p>
    <w:p>
      <w:pPr>
        <w:pStyle w:val="BodyText"/>
      </w:pPr>
      <w:r>
        <w:t xml:space="preserve">Direct regulatory</w:t>
      </w:r>
      <w:r>
        <w:t xml:space="preserve"> </w:t>
      </w:r>
      <w:r>
        <w:t xml:space="preserve">fees and charges</w:t>
      </w:r>
    </w:p>
    <w:p>
      <w:pPr>
        <w:pStyle w:val="BodyText"/>
      </w:pPr>
      <w:r>
        <w:t xml:space="preserve">Indirect costs</w:t>
      </w:r>
    </w:p>
    <w:p>
      <w:pPr>
        <w:pStyle w:val="BodyText"/>
      </w:pPr>
      <w:r>
        <w:t xml:space="preserve">Benefits</w:t>
      </w:r>
      <w:r>
        <w:t xml:space="preserve"> </w:t>
      </w:r>
      <w:r>
        <w:t xml:space="preserve">Description</w:t>
      </w:r>
      <w:r>
        <w:t xml:space="preserve"> </w:t>
      </w:r>
      <w:r>
        <w:t xml:space="preserve">Businesses</w:t>
      </w:r>
      <w:r>
        <w:t xml:space="preserve"> </w:t>
      </w:r>
      <w:r>
        <w:t xml:space="preserve">Administrations</w:t>
      </w:r>
      <w:r>
        <w:t xml:space="preserve"> </w:t>
      </w:r>
      <w:r>
        <w:t xml:space="preserve">Society</w:t>
      </w:r>
      <w:r>
        <w:t xml:space="preserve"> </w:t>
      </w:r>
      <w:r>
        <w:t xml:space="preserve">Direct benefits</w:t>
      </w:r>
    </w:p>
    <w:p>
      <w:pPr>
        <w:pStyle w:val="BodyText"/>
      </w:pPr>
      <w:r>
        <w:t xml:space="preserve">Summary of costs and benefits (PV; 20 years; 3%) of policy measure #20 by type</w:t>
      </w:r>
      <w:r>
        <w:t xml:space="preserve"> </w:t>
      </w:r>
      <w:r>
        <w:t xml:space="preserve">Costs</w:t>
      </w:r>
    </w:p>
    <w:p>
      <w:pPr>
        <w:pStyle w:val="BodyText"/>
      </w:pPr>
      <w:r>
        <w:t xml:space="preserve">Businesses</w:t>
      </w:r>
      <w:r>
        <w:t xml:space="preserve"> </w:t>
      </w:r>
      <w:r>
        <w:t xml:space="preserve">Administrations</w:t>
      </w:r>
      <w:r>
        <w:t xml:space="preserve"> </w:t>
      </w:r>
      <w:r>
        <w:t xml:space="preserve">Society</w:t>
      </w:r>
      <w:r>
        <w:t xml:space="preserve"> </w:t>
      </w:r>
      <w:r>
        <w:t xml:space="preserve">Direct adjustment</w:t>
      </w:r>
      <w:r>
        <w:t xml:space="preserve"> </w:t>
      </w:r>
      <w:r>
        <w:t xml:space="preserve">costs</w:t>
      </w:r>
    </w:p>
    <w:p>
      <w:pPr>
        <w:pStyle w:val="BodyText"/>
      </w:pPr>
      <w:r>
        <w:t xml:space="preserve">Direct</w:t>
      </w:r>
      <w:r>
        <w:t xml:space="preserve"> </w:t>
      </w:r>
      <w:r>
        <w:t xml:space="preserve">administrative costs</w:t>
      </w:r>
      <w:r>
        <w:t xml:space="preserve"> </w:t>
      </w:r>
      <w:r>
        <w:t xml:space="preserve">€9,141,336 –</w:t>
      </w:r>
      <w:r>
        <w:t xml:space="preserve"> </w:t>
      </w:r>
      <w:r>
        <w:t xml:space="preserve">€67,619,002 (mid-</w:t>
      </w:r>
      <w:r>
        <w:t xml:space="preserve"> </w:t>
      </w:r>
      <w:r>
        <w:t xml:space="preserve">estimate: €38,380,169)</w:t>
      </w:r>
    </w:p>
    <w:p>
      <w:pPr>
        <w:pStyle w:val="BodyText"/>
      </w:pPr>
      <w:r>
        <w:t xml:space="preserve">Direct regulatory</w:t>
      </w:r>
      <w:r>
        <w:t xml:space="preserve"> </w:t>
      </w:r>
      <w:r>
        <w:t xml:space="preserve">fees and charges</w:t>
      </w:r>
    </w:p>
    <w:p>
      <w:pPr>
        <w:pStyle w:val="BodyText"/>
      </w:pPr>
      <w:r>
        <w:t xml:space="preserve">Indirect costs</w:t>
      </w:r>
    </w:p>
    <w:p>
      <w:pPr>
        <w:pStyle w:val="BodyText"/>
      </w:pPr>
      <w:r>
        <w:t xml:space="preserve">Benefits</w:t>
      </w:r>
    </w:p>
    <w:p>
      <w:pPr>
        <w:pStyle w:val="BodyText"/>
      </w:pPr>
      <w:r>
        <w:t xml:space="preserve">623</w:t>
      </w:r>
    </w:p>
    <w:p>
      <w:pPr>
        <w:pStyle w:val="BodyText"/>
      </w:pPr>
      <w:r>
        <w:t xml:space="preserve">Description</w:t>
      </w:r>
      <w:r>
        <w:t xml:space="preserve"> </w:t>
      </w:r>
      <w:r>
        <w:t xml:space="preserve">Businesses</w:t>
      </w:r>
      <w:r>
        <w:t xml:space="preserve"> </w:t>
      </w:r>
      <w:r>
        <w:t xml:space="preserve">Administrations</w:t>
      </w:r>
      <w:r>
        <w:t xml:space="preserve"> </w:t>
      </w:r>
      <w:r>
        <w:t xml:space="preserve">Society</w:t>
      </w:r>
      <w:r>
        <w:t xml:space="preserve"> </w:t>
      </w:r>
      <w:r>
        <w:t xml:space="preserve">Direct benefits</w:t>
      </w:r>
    </w:p>
    <w:p>
      <w:pPr>
        <w:pStyle w:val="BodyText"/>
      </w:pPr>
      <w:r>
        <w:t xml:space="preserve">Indirect benefits</w:t>
      </w:r>
    </w:p>
    <w:p>
      <w:pPr>
        <w:pStyle w:val="BodyText"/>
      </w:pPr>
      <w:r>
        <w:t xml:space="preserve">Summary of costs and benefits (PV; 20 years; 3%) of policy measure #21 by type</w:t>
      </w:r>
      <w:r>
        <w:t xml:space="preserve"> </w:t>
      </w:r>
      <w:r>
        <w:t xml:space="preserve">Costs</w:t>
      </w:r>
    </w:p>
    <w:p>
      <w:pPr>
        <w:pStyle w:val="BodyText"/>
      </w:pPr>
      <w:r>
        <w:t xml:space="preserve">Businesses</w:t>
      </w:r>
      <w:r>
        <w:t xml:space="preserve"> </w:t>
      </w:r>
      <w:r>
        <w:t xml:space="preserve">Administrations</w:t>
      </w:r>
      <w:r>
        <w:t xml:space="preserve"> </w:t>
      </w:r>
      <w:r>
        <w:t xml:space="preserve">Society</w:t>
      </w:r>
      <w:r>
        <w:t xml:space="preserve"> </w:t>
      </w:r>
      <w:r>
        <w:t xml:space="preserve">Direct adjustment</w:t>
      </w:r>
      <w:r>
        <w:t xml:space="preserve"> </w:t>
      </w:r>
      <w:r>
        <w:t xml:space="preserve">costs</w:t>
      </w:r>
    </w:p>
    <w:p>
      <w:pPr>
        <w:pStyle w:val="BodyText"/>
      </w:pPr>
      <w:r>
        <w:t xml:space="preserve">Direct</w:t>
      </w:r>
      <w:r>
        <w:t xml:space="preserve"> </w:t>
      </w:r>
      <w:r>
        <w:t xml:space="preserve">administrative costs</w:t>
      </w:r>
      <w:r>
        <w:t xml:space="preserve"> </w:t>
      </w:r>
      <w:r>
        <w:t xml:space="preserve">€63,048,334 –</w:t>
      </w:r>
      <w:r>
        <w:t xml:space="preserve"> </w:t>
      </w:r>
      <w:r>
        <w:t xml:space="preserve">€505,596,553 (mid-</w:t>
      </w:r>
      <w:r>
        <w:t xml:space="preserve"> </w:t>
      </w:r>
      <w:r>
        <w:t xml:space="preserve">estimate: €284,322,443)</w:t>
      </w:r>
    </w:p>
    <w:p>
      <w:pPr>
        <w:pStyle w:val="BodyText"/>
      </w:pPr>
      <w:r>
        <w:t xml:space="preserve">Direct regulatory</w:t>
      </w:r>
      <w:r>
        <w:t xml:space="preserve"> </w:t>
      </w:r>
      <w:r>
        <w:t xml:space="preserve">fees and charges</w:t>
      </w:r>
    </w:p>
    <w:p>
      <w:pPr>
        <w:pStyle w:val="BodyText"/>
      </w:pPr>
      <w:r>
        <w:t xml:space="preserve">Indirect costs</w:t>
      </w:r>
    </w:p>
    <w:p>
      <w:pPr>
        <w:pStyle w:val="BodyText"/>
      </w:pPr>
      <w:r>
        <w:t xml:space="preserve">Benefits</w:t>
      </w:r>
      <w:r>
        <w:t xml:space="preserve"> </w:t>
      </w:r>
      <w:r>
        <w:t xml:space="preserve">Description</w:t>
      </w:r>
      <w:r>
        <w:t xml:space="preserve"> </w:t>
      </w:r>
      <w:r>
        <w:t xml:space="preserve">Businesses</w:t>
      </w:r>
      <w:r>
        <w:t xml:space="preserve"> </w:t>
      </w:r>
      <w:r>
        <w:t xml:space="preserve">Administrations</w:t>
      </w:r>
      <w:r>
        <w:t xml:space="preserve"> </w:t>
      </w:r>
      <w:r>
        <w:t xml:space="preserve">Society</w:t>
      </w:r>
      <w:r>
        <w:t xml:space="preserve"> </w:t>
      </w:r>
      <w:r>
        <w:t xml:space="preserve">Direct benefits</w:t>
      </w:r>
    </w:p>
    <w:p>
      <w:pPr>
        <w:pStyle w:val="BodyText"/>
      </w:pPr>
      <w:r>
        <w:t xml:space="preserve">Indirect benefits</w:t>
      </w:r>
    </w:p>
    <w:p>
      <w:pPr>
        <w:pStyle w:val="BodyText"/>
      </w:pPr>
      <w:r>
        <w:t xml:space="preserve">624</w:t>
      </w:r>
    </w:p>
    <w:p>
      <w:pPr>
        <w:pStyle w:val="BodyText"/>
      </w:pPr>
      <w:r>
        <w:t xml:space="preserve">Summary of impacts</w:t>
      </w:r>
      <w:r>
        <w:t xml:space="preserve"> </w:t>
      </w:r>
      <w:r>
        <w:t xml:space="preserve">Table 199: Summary of impacts</w:t>
      </w:r>
    </w:p>
    <w:p>
      <w:pPr>
        <w:pStyle w:val="BodyText"/>
      </w:pPr>
      <w:r>
        <w:t xml:space="preserve">Economic impact</w:t>
      </w:r>
      <w:r>
        <w:br/>
      </w:r>
      <w:r>
        <w:t xml:space="preserve">Env</w:t>
      </w:r>
      <w:r>
        <w:t xml:space="preserve"> </w:t>
      </w:r>
      <w:r>
        <w:t xml:space="preserve">Social</w:t>
      </w:r>
      <w:r>
        <w:t xml:space="preserve"> </w:t>
      </w:r>
      <w:r>
        <w:t xml:space="preserve">PO</w:t>
      </w:r>
      <w:r>
        <w:t xml:space="preserve"> </w:t>
      </w:r>
      <w:r>
        <w:t xml:space="preserve">Business</w:t>
      </w:r>
      <w:r>
        <w:t xml:space="preserve"> </w:t>
      </w:r>
      <w:r>
        <w:t xml:space="preserve">Administration</w:t>
      </w:r>
    </w:p>
    <w:p>
      <w:pPr>
        <w:pStyle w:val="BodyText"/>
      </w:pPr>
      <w:r>
        <w:t xml:space="preserve">One-off</w:t>
      </w:r>
      <w:r>
        <w:t xml:space="preserve"> </w:t>
      </w:r>
      <w:r>
        <w:t xml:space="preserve">Recurrent</w:t>
      </w:r>
      <w:r>
        <w:t xml:space="preserve"> </w:t>
      </w:r>
      <w:r>
        <w:t xml:space="preserve">Total</w:t>
      </w:r>
      <w:r>
        <w:t xml:space="preserve"> </w:t>
      </w:r>
      <w:r>
        <w:t xml:space="preserve">annualised One-off</w:t>
      </w:r>
      <w:r>
        <w:t xml:space="preserve"> </w:t>
      </w:r>
      <w:r>
        <w:t xml:space="preserve">Recurrent Total</w:t>
      </w:r>
      <w:r>
        <w:t xml:space="preserve"> </w:t>
      </w:r>
      <w:r>
        <w:t xml:space="preserve">annualised</w:t>
      </w:r>
    </w:p>
    <w:p>
      <w:pPr>
        <w:pStyle w:val="BodyText"/>
      </w:pPr>
      <w:r>
        <w:t xml:space="preserve">#21 Provide obligation for</w:t>
      </w:r>
      <w:r>
        <w:t xml:space="preserve"> </w:t>
      </w:r>
      <w:r>
        <w:t xml:space="preserve">distributors to notify in case</w:t>
      </w:r>
      <w:r>
        <w:t xml:space="preserve"> </w:t>
      </w:r>
      <w:r>
        <w:t xml:space="preserve">of information loss (cross-</w:t>
      </w:r>
      <w:r>
        <w:t xml:space="preserve"> </w:t>
      </w:r>
      <w:r>
        <w:t xml:space="preserve">border distribution or re-</w:t>
      </w:r>
      <w:r>
        <w:t xml:space="preserve"> </w:t>
      </w:r>
      <w:r>
        <w:t xml:space="preserve">branding/re-labelling).</w:t>
      </w:r>
      <w:r>
        <w:t xml:space="preserve"> </w:t>
      </w:r>
      <w:r>
        <w:t xml:space="preserve">Weakly</w:t>
      </w:r>
      <w:r>
        <w:t xml:space="preserve"> </w:t>
      </w:r>
      <w:r>
        <w:t xml:space="preserve">negative</w:t>
      </w:r>
      <w:r>
        <w:t xml:space="preserve"> </w:t>
      </w:r>
      <w:r>
        <w:t xml:space="preserve">Weakly</w:t>
      </w:r>
      <w:r>
        <w:t xml:space="preserve"> </w:t>
      </w:r>
      <w:r>
        <w:t xml:space="preserve">negative</w:t>
      </w:r>
      <w:r>
        <w:t xml:space="preserve"> </w:t>
      </w:r>
      <w:r>
        <w:t xml:space="preserve">Weakly</w:t>
      </w:r>
      <w:r>
        <w:t xml:space="preserve"> </w:t>
      </w:r>
      <w:r>
        <w:t xml:space="preserve">negative</w:t>
      </w:r>
      <w:r>
        <w:t xml:space="preserve"> </w:t>
      </w:r>
      <w:r>
        <w:t xml:space="preserve">Weakly</w:t>
      </w:r>
      <w:r>
        <w:t xml:space="preserve"> </w:t>
      </w:r>
      <w:r>
        <w:t xml:space="preserve">negative</w:t>
      </w:r>
      <w:r>
        <w:t xml:space="preserve"> </w:t>
      </w:r>
      <w:r>
        <w:t xml:space="preserve">Weakly</w:t>
      </w:r>
      <w:r>
        <w:t xml:space="preserve"> </w:t>
      </w:r>
      <w:r>
        <w:t xml:space="preserve">negative</w:t>
      </w:r>
      <w:r>
        <w:t xml:space="preserve"> </w:t>
      </w:r>
      <w:r>
        <w:t xml:space="preserve">Weakly</w:t>
      </w:r>
      <w:r>
        <w:t xml:space="preserve"> </w:t>
      </w:r>
      <w:r>
        <w:t xml:space="preserve">negative</w:t>
      </w:r>
      <w:r>
        <w:t xml:space="preserve"> </w:t>
      </w:r>
      <w:r>
        <w:t xml:space="preserve">No / limited</w:t>
      </w:r>
      <w:r>
        <w:t xml:space="preserve"> </w:t>
      </w:r>
      <w:r>
        <w:t xml:space="preserve">impact</w:t>
      </w:r>
      <w:r>
        <w:t xml:space="preserve"> </w:t>
      </w:r>
      <w:r>
        <w:t xml:space="preserve">Strongly</w:t>
      </w:r>
      <w:r>
        <w:t xml:space="preserve"> </w:t>
      </w:r>
      <w:r>
        <w:t xml:space="preserve">positive</w:t>
      </w:r>
      <w:r>
        <w:t xml:space="preserve"> </w:t>
      </w:r>
      <w:r>
        <w:t xml:space="preserve">Y</w:t>
      </w:r>
      <w:r>
        <w:t xml:space="preserve"> </w:t>
      </w:r>
      <w:r>
        <w:t xml:space="preserve">#19</w:t>
      </w:r>
      <w:r>
        <w:t xml:space="preserve"> </w:t>
      </w:r>
      <w:r>
        <w:t xml:space="preserve">Include</w:t>
      </w:r>
      <w:r>
        <w:t xml:space="preserve"> </w:t>
      </w:r>
      <w:r>
        <w:t xml:space="preserve">default</w:t>
      </w:r>
      <w:r>
        <w:t xml:space="preserve"> </w:t>
      </w:r>
      <w:r>
        <w:t xml:space="preserve">obligation to submit for</w:t>
      </w:r>
      <w:r>
        <w:t xml:space="preserve"> </w:t>
      </w:r>
      <w:r>
        <w:t xml:space="preserve">suppliers (all distributors) in</w:t>
      </w:r>
      <w:r>
        <w:t xml:space="preserve"> </w:t>
      </w:r>
      <w:r>
        <w:t xml:space="preserve">Article 45</w:t>
      </w:r>
      <w:r>
        <w:t xml:space="preserve"> </w:t>
      </w:r>
      <w:r>
        <w:t xml:space="preserve">Strongly</w:t>
      </w:r>
      <w:r>
        <w:t xml:space="preserve"> </w:t>
      </w:r>
      <w:r>
        <w:t xml:space="preserve">negative</w:t>
      </w:r>
      <w:r>
        <w:t xml:space="preserve"> </w:t>
      </w:r>
      <w:r>
        <w:t xml:space="preserve">Weakly</w:t>
      </w:r>
      <w:r>
        <w:t xml:space="preserve"> </w:t>
      </w:r>
      <w:r>
        <w:t xml:space="preserve">negative</w:t>
      </w:r>
      <w:r>
        <w:t xml:space="preserve"> </w:t>
      </w:r>
      <w:r>
        <w:t xml:space="preserve">Weakly</w:t>
      </w:r>
      <w:r>
        <w:t xml:space="preserve"> </w:t>
      </w:r>
      <w:r>
        <w:t xml:space="preserve">negative</w:t>
      </w:r>
      <w:r>
        <w:t xml:space="preserve"> </w:t>
      </w:r>
      <w:r>
        <w:t xml:space="preserve">Strongly</w:t>
      </w:r>
      <w:r>
        <w:t xml:space="preserve"> </w:t>
      </w:r>
      <w:r>
        <w:t xml:space="preserve">negative</w:t>
      </w:r>
      <w:r>
        <w:t xml:space="preserve"> </w:t>
      </w:r>
      <w:r>
        <w:t xml:space="preserve">Strongly</w:t>
      </w:r>
      <w:r>
        <w:t xml:space="preserve"> </w:t>
      </w:r>
      <w:r>
        <w:t xml:space="preserve">negative</w:t>
      </w:r>
      <w:r>
        <w:t xml:space="preserve"> </w:t>
      </w:r>
      <w:r>
        <w:t xml:space="preserve">Strongly</w:t>
      </w:r>
      <w:r>
        <w:t xml:space="preserve"> </w:t>
      </w:r>
      <w:r>
        <w:t xml:space="preserve">negative</w:t>
      </w:r>
      <w:r>
        <w:t xml:space="preserve"> </w:t>
      </w:r>
      <w:r>
        <w:t xml:space="preserve">No / limited</w:t>
      </w:r>
      <w:r>
        <w:t xml:space="preserve"> </w:t>
      </w:r>
      <w:r>
        <w:t xml:space="preserve">impact</w:t>
      </w:r>
      <w:r>
        <w:t xml:space="preserve"> </w:t>
      </w:r>
      <w:r>
        <w:t xml:space="preserve">Strongly</w:t>
      </w:r>
      <w:r>
        <w:t xml:space="preserve"> </w:t>
      </w:r>
      <w:r>
        <w:t xml:space="preserve">positive</w:t>
      </w:r>
      <w:r>
        <w:t xml:space="preserve"> </w:t>
      </w:r>
      <w:r>
        <w:t xml:space="preserve">N</w:t>
      </w:r>
      <w:r>
        <w:t xml:space="preserve"> </w:t>
      </w:r>
      <w:r>
        <w:t xml:space="preserve">#20</w:t>
      </w:r>
      <w:r>
        <w:t xml:space="preserve"> </w:t>
      </w:r>
      <w:r>
        <w:t xml:space="preserve">Introduce new definition of</w:t>
      </w:r>
      <w:r>
        <w:t xml:space="preserve"> </w:t>
      </w:r>
      <w:r>
        <w:t xml:space="preserve">re-brander/re-labeller under</w:t>
      </w:r>
      <w:r>
        <w:t xml:space="preserve"> </w:t>
      </w:r>
      <w:r>
        <w:t xml:space="preserve">Art. 2 and include them in</w:t>
      </w:r>
      <w:r>
        <w:t xml:space="preserve"> </w:t>
      </w:r>
      <w:r>
        <w:t xml:space="preserve">the scope of Article 45</w:t>
      </w:r>
      <w:r>
        <w:br/>
      </w:r>
      <w:r>
        <w:t xml:space="preserve">Weakly</w:t>
      </w:r>
      <w:r>
        <w:t xml:space="preserve"> </w:t>
      </w:r>
      <w:r>
        <w:t xml:space="preserve">negative</w:t>
      </w:r>
      <w:r>
        <w:t xml:space="preserve"> </w:t>
      </w:r>
      <w:r>
        <w:t xml:space="preserve">Weakly</w:t>
      </w:r>
      <w:r>
        <w:t xml:space="preserve"> </w:t>
      </w:r>
      <w:r>
        <w:t xml:space="preserve">negative</w:t>
      </w:r>
      <w:r>
        <w:t xml:space="preserve"> </w:t>
      </w:r>
      <w:r>
        <w:t xml:space="preserve">Weakly</w:t>
      </w:r>
      <w:r>
        <w:t xml:space="preserve"> </w:t>
      </w:r>
      <w:r>
        <w:t xml:space="preserve">negative</w:t>
      </w:r>
      <w:r>
        <w:t xml:space="preserve"> </w:t>
      </w:r>
      <w:r>
        <w:t xml:space="preserve">Weakly</w:t>
      </w:r>
      <w:r>
        <w:t xml:space="preserve"> </w:t>
      </w:r>
      <w:r>
        <w:t xml:space="preserve">negative</w:t>
      </w:r>
      <w:r>
        <w:t xml:space="preserve"> </w:t>
      </w:r>
      <w:r>
        <w:t xml:space="preserve">Weakly</w:t>
      </w:r>
      <w:r>
        <w:t xml:space="preserve"> </w:t>
      </w:r>
      <w:r>
        <w:t xml:space="preserve">negative</w:t>
      </w:r>
      <w:r>
        <w:t xml:space="preserve"> </w:t>
      </w:r>
      <w:r>
        <w:t xml:space="preserve">Weakly</w:t>
      </w:r>
      <w:r>
        <w:t xml:space="preserve"> </w:t>
      </w:r>
      <w:r>
        <w:t xml:space="preserve">negative</w:t>
      </w:r>
      <w:r>
        <w:t xml:space="preserve"> </w:t>
      </w:r>
      <w:r>
        <w:t xml:space="preserve">No / limited</w:t>
      </w:r>
      <w:r>
        <w:t xml:space="preserve"> </w:t>
      </w:r>
      <w:r>
        <w:t xml:space="preserve">impact</w:t>
      </w:r>
      <w:r>
        <w:t xml:space="preserve"> </w:t>
      </w:r>
      <w:r>
        <w:t xml:space="preserve">Weakly</w:t>
      </w:r>
      <w:r>
        <w:t xml:space="preserve"> </w:t>
      </w:r>
      <w:r>
        <w:t xml:space="preserve">positive (no</w:t>
      </w:r>
      <w:r>
        <w:t xml:space="preserve"> </w:t>
      </w:r>
      <w:r>
        <w:t xml:space="preserve">solution for</w:t>
      </w:r>
      <w:r>
        <w:t xml:space="preserve"> </w:t>
      </w:r>
      <w:r>
        <w:t xml:space="preserve">cross-border</w:t>
      </w:r>
      <w:r>
        <w:t xml:space="preserve"> </w:t>
      </w:r>
      <w:r>
        <w:t xml:space="preserve">distributions)</w:t>
      </w:r>
      <w:r>
        <w:t xml:space="preserve"> </w:t>
      </w:r>
      <w:r>
        <w:t xml:space="preserve">N</w:t>
      </w:r>
    </w:p>
    <w:p>
      <w:pPr>
        <w:pStyle w:val="BodyText"/>
      </w:pPr>
      <w:r>
        <w:t xml:space="preserve">625</w:t>
      </w:r>
    </w:p>
    <w:p>
      <w:pPr>
        <w:pStyle w:val="BodyText"/>
      </w:pPr>
      <w:r>
        <w:t xml:space="preserve">PREFERRED OPTION</w:t>
      </w:r>
      <w:r>
        <w:t xml:space="preserve"> </w:t>
      </w:r>
      <w:r>
        <w:t xml:space="preserve">Preferred measure</w:t>
      </w:r>
      <w:r>
        <w:t xml:space="preserve"> </w:t>
      </w:r>
      <w:r>
        <w:t xml:space="preserve">#21 is the preferred measure. #21: This measure would cater for preventing both cases of</w:t>
      </w:r>
      <w:r>
        <w:t xml:space="preserve"> </w:t>
      </w:r>
      <w:r>
        <w:t xml:space="preserve">information loss without obliging each distributor to notify by default. First the</w:t>
      </w:r>
      <w:r>
        <w:t xml:space="preserve"> </w:t>
      </w:r>
      <w:r>
        <w:t xml:space="preserve">distributor would have to check if a notification is required and only then it would have</w:t>
      </w:r>
      <w:r>
        <w:t xml:space="preserve"> </w:t>
      </w:r>
      <w:r>
        <w:t xml:space="preserve">to notify. To carry out such checks, a good supply chain communication with the</w:t>
      </w:r>
      <w:r>
        <w:t xml:space="preserve"> </w:t>
      </w:r>
      <w:r>
        <w:t xml:space="preserve">upstream supplier(s) is paramount for both (i) alleviating the downstream supplier’s</w:t>
      </w:r>
      <w:r>
        <w:t xml:space="preserve"> </w:t>
      </w:r>
      <w:r>
        <w:t xml:space="preserve">burden of notification and (ii) providing poison centres the utmost detailed information</w:t>
      </w:r>
      <w:r>
        <w:t xml:space="preserve"> </w:t>
      </w:r>
      <w:r>
        <w:t xml:space="preserve">(as a last resort, they may end-up with the SDS information). #19 has more economic</w:t>
      </w:r>
      <w:r>
        <w:t xml:space="preserve"> </w:t>
      </w:r>
      <w:r>
        <w:t xml:space="preserve">impacts on business and administration than measure #20 and results in the same</w:t>
      </w:r>
      <w:r>
        <w:t xml:space="preserve"> </w:t>
      </w:r>
      <w:r>
        <w:t xml:space="preserve">strongly positive social impact. Measure #20 would have a weakly negative impact on</w:t>
      </w:r>
      <w:r>
        <w:t xml:space="preserve"> </w:t>
      </w:r>
      <w:r>
        <w:t xml:space="preserve">businesses and administration and be better than #21, but worse from a social impact</w:t>
      </w:r>
      <w:r>
        <w:t xml:space="preserve"> </w:t>
      </w:r>
      <w:r>
        <w:t xml:space="preserve">perspective since it does not cater a solution for cross-border distribution. More, it would</w:t>
      </w:r>
      <w:r>
        <w:t xml:space="preserve"> </w:t>
      </w:r>
      <w:r>
        <w:t xml:space="preserve">bring incoherence to the CLP/REACH framework.</w:t>
      </w:r>
      <w:r>
        <w:t xml:space="preserve"> </w:t>
      </w:r>
      <w:r>
        <w:t xml:space="preserve">REFIT (simplification and improved efficiency)</w:t>
      </w:r>
      <w:r>
        <w:t xml:space="preserve"> </w:t>
      </w:r>
      <w:r>
        <w:t xml:space="preserve">In order to make the provision of information requirements for poison centres optimal</w:t>
      </w:r>
      <w:r>
        <w:t xml:space="preserve"> </w:t>
      </w:r>
      <w:r>
        <w:t xml:space="preserve">and not merely sub-optimal, no further simplification is possible given that , the entire</w:t>
      </w:r>
      <w:r>
        <w:t xml:space="preserve"> </w:t>
      </w:r>
      <w:r>
        <w:t xml:space="preserve">poison centres format and notification system was already simplified and made workable</w:t>
      </w:r>
      <w:r>
        <w:t xml:space="preserve"> </w:t>
      </w:r>
      <w:r>
        <w:t xml:space="preserve">by adopting the latest version of Annex VIII in 2020230 via delegated act. However,</w:t>
      </w:r>
      <w:r>
        <w:t xml:space="preserve"> </w:t>
      </w:r>
      <w:r>
        <w:t xml:space="preserve">SM(a) is the best available measure without disrupting the system. The mainly regulatory</w:t>
      </w:r>
      <w:r>
        <w:t xml:space="preserve"> </w:t>
      </w:r>
      <w:r>
        <w:t xml:space="preserve">failure at hand could not be addressed at the time via delegated act. Yet, the overall</w:t>
      </w:r>
      <w:r>
        <w:t xml:space="preserve"> </w:t>
      </w:r>
      <w:r>
        <w:t xml:space="preserve">achievements in terms of simplification and efficiency obtained with the delegated act</w:t>
      </w:r>
      <w:r>
        <w:t xml:space="preserve"> </w:t>
      </w:r>
      <w:r>
        <w:t xml:space="preserve">should be considered when overall comparing the additional economic costs with the</w:t>
      </w:r>
      <w:r>
        <w:t xml:space="preserve"> </w:t>
      </w:r>
      <w:r>
        <w:t xml:space="preserve">health benefits. I.e., the assessment should be cost savings due to harmonisation minus</w:t>
      </w:r>
      <w:r>
        <w:t xml:space="preserve"> </w:t>
      </w:r>
      <w:r>
        <w:t xml:space="preserve">additional costs for distributors compared to overall health benefits. Before introducing</w:t>
      </w:r>
      <w:r>
        <w:t xml:space="preserve"> </w:t>
      </w:r>
      <w:r>
        <w:t xml:space="preserve">harmonised requirements to notify information on emergency health response, the</w:t>
      </w:r>
      <w:r>
        <w:t xml:space="preserve"> </w:t>
      </w:r>
      <w:r>
        <w:t xml:space="preserve">Commission review revealed that multiple submissions needed to be provided, diversity</w:t>
      </w:r>
      <w:r>
        <w:t xml:space="preserve"> </w:t>
      </w:r>
      <w:r>
        <w:t xml:space="preserve">lead to inconsistencies in the information available for poison centres, and a cost and</w:t>
      </w:r>
      <w:r>
        <w:t xml:space="preserve"> </w:t>
      </w:r>
      <w:r>
        <w:t xml:space="preserve">benefit study of the Commission confirmed that the harmonisation would overall lead to</w:t>
      </w:r>
      <w:r>
        <w:t xml:space="preserve"> </w:t>
      </w:r>
      <w:r>
        <w:t xml:space="preserve">significant cost savings (overall, harmonisation could lead to savings of perhaps 900</w:t>
      </w:r>
      <w:r>
        <w:t xml:space="preserve"> </w:t>
      </w:r>
      <w:r>
        <w:t xml:space="preserve">million EUR per year for companies and the introduction of the UFI could lead to total</w:t>
      </w:r>
      <w:r>
        <w:t xml:space="preserve"> </w:t>
      </w:r>
      <w:r>
        <w:t xml:space="preserve">costs of around 340 million EUR per year with total net savings of 550 million EUR per</w:t>
      </w:r>
      <w:r>
        <w:t xml:space="preserve"> </w:t>
      </w:r>
      <w:r>
        <w:t xml:space="preserve">year, cost of “non-Europe”). Although the introduction of the new measure for</w:t>
      </w:r>
      <w:r>
        <w:t xml:space="preserve"> </w:t>
      </w:r>
      <w:r>
        <w:t xml:space="preserve">distributors and other types of suppliers will lead to additional costs, the impact</w:t>
      </w:r>
      <w:r>
        <w:t xml:space="preserve"> </w:t>
      </w:r>
      <w:r>
        <w:t xml:space="preserve">assessment demonstrated that those will not outweigh the overall savings and benefits of</w:t>
      </w:r>
      <w:r>
        <w:t xml:space="preserve"> </w:t>
      </w:r>
      <w:r>
        <w:t xml:space="preserve">the system and make it even more coherent and complete.</w:t>
      </w:r>
    </w:p>
    <w:p>
      <w:pPr>
        <w:pStyle w:val="BodyText"/>
      </w:pPr>
      <w:r>
        <w:t xml:space="preserve">230 Commission Regulation 1676/2020 and 1677/2020, OJ L379/1 and /3.</w:t>
      </w:r>
    </w:p>
    <w:p>
      <w:pPr>
        <w:pStyle w:val="BodyText"/>
      </w:pPr>
      <w:r>
        <w:t xml:space="preserve">626</w:t>
      </w:r>
    </w:p>
    <w:p>
      <w:pPr>
        <w:pStyle w:val="BodyText"/>
      </w:pPr>
      <w:r>
        <w:t xml:space="preserve">Annex 17 – Bibliography</w:t>
      </w:r>
      <w:r>
        <w:br/>
      </w:r>
      <w:r>
        <w:t xml:space="preserve">Ad-hoc Meeting of the CAs for the REACH and CLP Regulations (CARACAL) on Annex</w:t>
      </w:r>
      <w:r>
        <w:t xml:space="preserve"> </w:t>
      </w:r>
      <w:r>
        <w:t xml:space="preserve">VIII,</w:t>
      </w:r>
      <w:r>
        <w:t xml:space="preserve"> </w:t>
      </w:r>
      <w:r>
        <w:t xml:space="preserve">available</w:t>
      </w:r>
      <w:r>
        <w:t xml:space="preserve"> </w:t>
      </w:r>
      <w:r>
        <w:t xml:space="preserve">at:</w:t>
      </w:r>
      <w:r>
        <w:t xml:space="preserve"> </w:t>
      </w:r>
      <w:r>
        <w:t xml:space="preserve">https://circabc.europa.eu/ui/group/a0b483a2-4c05-4058-addf-</w:t>
      </w:r>
      <w:r>
        <w:t xml:space="preserve"> </w:t>
      </w:r>
      <w:r>
        <w:t xml:space="preserve">2a4de71b9a98/library/9872d680-66c6-4f01-ba97-942980734fb0/details</w:t>
      </w:r>
      <w:r>
        <w:br/>
      </w:r>
      <w:r>
        <w:t xml:space="preserve">Amec Foster Wheeler et al., 2017, A Study to gather insights on the drivers, barriers, costs</w:t>
      </w:r>
      <w:r>
        <w:t xml:space="preserve"> </w:t>
      </w:r>
      <w:r>
        <w:t xml:space="preserve">and benefits for updating REACH registration and CLP notification dossiers,</w:t>
      </w:r>
      <w:r>
        <w:br/>
      </w:r>
      <w:r>
        <w:t xml:space="preserve">Anagnosti, L., Varvaresou, A., Pavlou, P., Protopapa, E., &amp; Carayanni, V. (2021). Worldwide</w:t>
      </w:r>
      <w:r>
        <w:t xml:space="preserve"> </w:t>
      </w:r>
      <w:r>
        <w:t xml:space="preserve">actions against plastic pollution from microbeads and microplastics in cosmetics focusing on</w:t>
      </w:r>
      <w:r>
        <w:t xml:space="preserve"> </w:t>
      </w:r>
      <w:r>
        <w:t xml:space="preserve">European policies. Has the issue been handled effectively? Marine Pollution Bulletin, 162,</w:t>
      </w:r>
      <w:r>
        <w:t xml:space="preserve"> </w:t>
      </w:r>
      <w:r>
        <w:t xml:space="preserve">111883.</w:t>
      </w:r>
      <w:r>
        <w:br/>
      </w:r>
      <w:r>
        <w:t xml:space="preserve">Anderson, A. G., Grose, J., Pahl, S., Thompson, R. C., &amp; Wyles, K. J. (2016). Microplastics</w:t>
      </w:r>
      <w:r>
        <w:t xml:space="preserve"> </w:t>
      </w:r>
      <w:r>
        <w:t xml:space="preserve">in personal care products: Exploring perceptions of environmentalists, beauticians and</w:t>
      </w:r>
      <w:r>
        <w:t xml:space="preserve"> </w:t>
      </w:r>
      <w:r>
        <w:t xml:space="preserve">students. Marine pollution bulletin, 113(1-2), 454-460.</w:t>
      </w:r>
      <w:r>
        <w:br/>
      </w:r>
      <w:r>
        <w:t xml:space="preserve">Anthesis, Brook Lyndhurst, Directorate-General for Health and Food Safety (European</w:t>
      </w:r>
      <w:r>
        <w:t xml:space="preserve"> </w:t>
      </w:r>
      <w:r>
        <w:t xml:space="preserve">Commission), ICF, WRAP, (2018). Market study on date marking and other information</w:t>
      </w:r>
      <w:r>
        <w:t xml:space="preserve"> </w:t>
      </w:r>
      <w:r>
        <w:t xml:space="preserve">provided</w:t>
      </w:r>
      <w:r>
        <w:t xml:space="preserve"> </w:t>
      </w:r>
      <w:r>
        <w:t xml:space="preserve">on</w:t>
      </w:r>
      <w:r>
        <w:t xml:space="preserve"> </w:t>
      </w:r>
      <w:r>
        <w:t xml:space="preserve">food</w:t>
      </w:r>
      <w:r>
        <w:t xml:space="preserve"> </w:t>
      </w:r>
      <w:r>
        <w:t xml:space="preserve">labels</w:t>
      </w:r>
      <w:r>
        <w:t xml:space="preserve"> </w:t>
      </w:r>
      <w:r>
        <w:t xml:space="preserve">and</w:t>
      </w:r>
      <w:r>
        <w:t xml:space="preserve"> </w:t>
      </w:r>
      <w:r>
        <w:t xml:space="preserve">food</w:t>
      </w:r>
      <w:r>
        <w:t xml:space="preserve"> </w:t>
      </w:r>
      <w:r>
        <w:t xml:space="preserve">waste</w:t>
      </w:r>
      <w:r>
        <w:t xml:space="preserve"> </w:t>
      </w:r>
      <w:r>
        <w:t xml:space="preserve">prevention.</w:t>
      </w:r>
      <w:r>
        <w:t xml:space="preserve"> </w:t>
      </w:r>
      <w:r>
        <w:t xml:space="preserve">Available</w:t>
      </w:r>
      <w:r>
        <w:t xml:space="preserve"> </w:t>
      </w:r>
      <w:r>
        <w:t xml:space="preserve">at:</w:t>
      </w:r>
      <w:r>
        <w:t xml:space="preserve"> </w:t>
      </w:r>
      <w:r>
        <w:t xml:space="preserve">https://op.europa.eu/en/publication-detail/-/publication/e7be006f-0d55-11e8-966a-</w:t>
      </w:r>
      <w:r>
        <w:t xml:space="preserve"> </w:t>
      </w:r>
      <w:r>
        <w:t xml:space="preserve">01aa75ed71a1/language-en</w:t>
      </w:r>
      <w:r>
        <w:br/>
      </w:r>
      <w:r>
        <w:t xml:space="preserve">Apel, C., Joerss, H., &amp; Ebinghaus, R. (2018): Environmental occurrence and hazard of</w:t>
      </w:r>
      <w:r>
        <w:t xml:space="preserve"> </w:t>
      </w:r>
      <w:r>
        <w:t xml:space="preserve">organic UVstabilizers and UV filters in the sediment of European North and Baltic</w:t>
      </w:r>
      <w:r>
        <w:t xml:space="preserve"> </w:t>
      </w:r>
      <w:r>
        <w:t xml:space="preserve">Seas. Chemosphere, 212, 254 261.</w:t>
      </w:r>
      <w:r>
        <w:t xml:space="preserve"> </w:t>
      </w:r>
      <w:r>
        <w:t xml:space="preserve">Arp, H.P.H.; Hale, S.E. (2019): REACH: Improvement of guidance and methods for the</w:t>
      </w:r>
      <w:r>
        <w:t xml:space="preserve"> </w:t>
      </w:r>
      <w:r>
        <w:t xml:space="preserve">identification and assessment of PMT/vPvM substances. TEXTE 126/2019. Report No. </w:t>
      </w:r>
      <w:r>
        <w:t xml:space="preserve"> </w:t>
      </w:r>
      <w:r>
        <w:t xml:space="preserve">FB000142/ENG. Umweltbundesamt, Dessau-Roßlau, Germany.</w:t>
      </w:r>
      <w:r>
        <w:t xml:space="preserve"> </w:t>
      </w:r>
      <w:r>
        <w:t xml:space="preserve">Attina TM, Trasande L (2013): Economic costs of childhood lead exposure in low and</w:t>
      </w:r>
      <w:r>
        <w:t xml:space="preserve"> </w:t>
      </w:r>
      <w:r>
        <w:t xml:space="preserve">middle-income countries. Environ Health Perspect 121:1097-1102</w:t>
      </w:r>
      <w:r>
        <w:br/>
      </w:r>
      <w:r>
        <w:t xml:space="preserve">Autumn 2021 Economic Forecast: From recovery to expansion, amid headwind, available at:</w:t>
      </w:r>
      <w:r>
        <w:t xml:space="preserve"> </w:t>
      </w:r>
      <w:r>
        <w:t xml:space="preserve">https://ec.europa.eu/info/business-economy-euro/economic-performance-and-</w:t>
      </w:r>
      <w:r>
        <w:t xml:space="preserve"> </w:t>
      </w:r>
      <w:r>
        <w:t xml:space="preserve">forecasts/economic-forecasts/autumn-2021-economic-forecast-recovery-expansion-amid-</w:t>
      </w:r>
      <w:r>
        <w:t xml:space="preserve"> </w:t>
      </w:r>
      <w:r>
        <w:t xml:space="preserve">headwinds_en</w:t>
      </w:r>
      <w:r>
        <w:br/>
      </w:r>
      <w:r>
        <w:t xml:space="preserve">Bampidis, V., Bastos, M., Christensen, H., Dusemund, B., Kouba, M., Kos Durjava, M.,</w:t>
      </w:r>
      <w:r>
        <w:t xml:space="preserve"> </w:t>
      </w:r>
      <w:r>
        <w:t xml:space="preserve">Lopez-Alonso, M., Lopez Puente, S., Marcon, F., Mayo, B., Pechova, A., Petkova, M.,</w:t>
      </w:r>
      <w:r>
        <w:t xml:space="preserve"> </w:t>
      </w:r>
      <w:r>
        <w:t xml:space="preserve">Ramos, F., Sanz, Y., Villa, RE., Woutersen, R., Brock, T., de Knecht, J., Kolar, B., van</w:t>
      </w:r>
      <w:r>
        <w:t xml:space="preserve"> </w:t>
      </w:r>
      <w:r>
        <w:t xml:space="preserve">Beelen, P., Padovani, L., Tarres-Call, J., Vettori, MV. and Azimonti G. (2019): Guidance on</w:t>
      </w:r>
      <w:r>
        <w:t xml:space="preserve"> </w:t>
      </w:r>
      <w:r>
        <w:t xml:space="preserve">the assessment of the safety of feed additives for the environment. EFSA Journal, 17(4):5648,</w:t>
      </w:r>
      <w:r>
        <w:t xml:space="preserve"> </w:t>
      </w:r>
      <w:r>
        <w:t xml:space="preserve">78 pp. https://doi.org/10.2903/j.efsa.2019.5648.</w:t>
      </w:r>
      <w:r>
        <w:t xml:space="preserve"> </w:t>
      </w:r>
      <w:r>
        <w:t xml:space="preserve">Barbosa, M. O., Moreira, N. F., Ribeiro, A. R., Pereira, M. F., &amp; Silva, A. M., (2016):</w:t>
      </w:r>
      <w:r>
        <w:t xml:space="preserve"> </w:t>
      </w:r>
      <w:r>
        <w:t xml:space="preserve">Occurrence and removal of organic micropollutants: An overview of the watch list of EU</w:t>
      </w:r>
      <w:r>
        <w:t xml:space="preserve"> </w:t>
      </w:r>
      <w:r>
        <w:t xml:space="preserve">Decision 2015/495. Water Research, 94, 257-279.</w:t>
      </w:r>
    </w:p>
    <w:p>
      <w:pPr>
        <w:pStyle w:val="BodyText"/>
      </w:pPr>
      <w:r>
        <w:t xml:space="preserve">627</w:t>
      </w:r>
    </w:p>
    <w:p>
      <w:pPr>
        <w:pStyle w:val="BodyText"/>
      </w:pPr>
      <w:r>
        <w:t xml:space="preserve">BAUA, Derivation of occupational exposure limits for airborne chemicals - Comparison of</w:t>
      </w:r>
      <w:r>
        <w:t xml:space="preserve"> </w:t>
      </w:r>
      <w:r>
        <w:t xml:space="preserve">methods</w:t>
      </w:r>
      <w:r>
        <w:t xml:space="preserve"> </w:t>
      </w:r>
      <w:r>
        <w:t xml:space="preserve">and</w:t>
      </w:r>
      <w:r>
        <w:t xml:space="preserve"> </w:t>
      </w:r>
      <w:r>
        <w:t xml:space="preserve">protection</w:t>
      </w:r>
      <w:r>
        <w:t xml:space="preserve"> </w:t>
      </w:r>
      <w:r>
        <w:t xml:space="preserve">levels,</w:t>
      </w:r>
      <w:r>
        <w:t xml:space="preserve"> </w:t>
      </w:r>
      <w:r>
        <w:t xml:space="preserve">available</w:t>
      </w:r>
      <w:r>
        <w:t xml:space="preserve"> </w:t>
      </w:r>
      <w:r>
        <w:t xml:space="preserve">at:</w:t>
      </w:r>
      <w:r>
        <w:t xml:space="preserve"> </w:t>
      </w:r>
      <w:r>
        <w:t xml:space="preserve">https://www.baua.de/EN/Tasks/Research/Research-projects/f2437.html</w:t>
      </w:r>
      <w:r>
        <w:t xml:space="preserve"> </w:t>
      </w:r>
      <w:r>
        <w:t xml:space="preserve">Bellanger et al. (2013): Economic benefits of methylmercury exposure control in Europe:</w:t>
      </w:r>
      <w:r>
        <w:t xml:space="preserve"> </w:t>
      </w:r>
      <w:r>
        <w:t xml:space="preserve">monetary value of neurotoxicity prevention Environmental Health 12</w:t>
      </w:r>
      <w:r>
        <w:t xml:space="preserve"> </w:t>
      </w:r>
      <w:r>
        <w:t xml:space="preserve">BEUC</w:t>
      </w:r>
      <w:r>
        <w:t xml:space="preserve"> </w:t>
      </w:r>
      <w:r>
        <w:t xml:space="preserve">(2021a):</w:t>
      </w:r>
      <w:r>
        <w:t xml:space="preserve"> </w:t>
      </w:r>
      <w:r>
        <w:t xml:space="preserve">Is</w:t>
      </w:r>
      <w:r>
        <w:t xml:space="preserve"> </w:t>
      </w:r>
      <w:r>
        <w:t xml:space="preserve">it</w:t>
      </w:r>
      <w:r>
        <w:t xml:space="preserve"> </w:t>
      </w:r>
      <w:r>
        <w:t xml:space="preserve">safe</w:t>
      </w:r>
      <w:r>
        <w:t xml:space="preserve"> </w:t>
      </w:r>
      <w:r>
        <w:t xml:space="preserve">to</w:t>
      </w:r>
      <w:r>
        <w:t xml:space="preserve"> </w:t>
      </w:r>
      <w:r>
        <w:t xml:space="preserve">shop</w:t>
      </w:r>
      <w:r>
        <w:t xml:space="preserve"> </w:t>
      </w:r>
      <w:r>
        <w:t xml:space="preserve">on</w:t>
      </w:r>
      <w:r>
        <w:t xml:space="preserve"> </w:t>
      </w:r>
      <w:r>
        <w:t xml:space="preserve">online</w:t>
      </w:r>
      <w:r>
        <w:t xml:space="preserve"> </w:t>
      </w:r>
      <w:r>
        <w:t xml:space="preserve">marketplaces?</w:t>
      </w:r>
      <w:r>
        <w:t xml:space="preserve"> </w:t>
      </w:r>
      <w:r>
        <w:t xml:space="preserve">Available</w:t>
      </w:r>
      <w:r>
        <w:t xml:space="preserve"> </w:t>
      </w:r>
      <w:r>
        <w:t xml:space="preserve">at:</w:t>
      </w:r>
      <w:r>
        <w:t xml:space="preserve"> </w:t>
      </w:r>
      <w:r>
        <w:t xml:space="preserve">https://www.beuc.eu/publications/beuc-x-2021-</w:t>
      </w:r>
      <w:r>
        <w:t xml:space="preserve"> </w:t>
      </w:r>
      <w:r>
        <w:t xml:space="preserve">004_is_it_safe_to_shop_on_online_marketplaces.pdf</w:t>
      </w:r>
      <w:r>
        <w:br/>
      </w:r>
      <w:r>
        <w:t xml:space="preserve">BEUC (2021b): Why Moving Essential Product Information Online is a No-Go. Available at:</w:t>
      </w:r>
      <w:r>
        <w:t xml:space="preserve"> </w:t>
      </w:r>
      <w:r>
        <w:t xml:space="preserve">https://www.beuc.eu/publications/why-moving-essential-product-information-online-no-</w:t>
      </w:r>
      <w:r>
        <w:t xml:space="preserve"> </w:t>
      </w:r>
      <w:r>
        <w:t xml:space="preserve">go/html</w:t>
      </w:r>
      <w:r>
        <w:t xml:space="preserve"> </w:t>
      </w:r>
      <w:r>
        <w:t xml:space="preserve">Bioinnovation Service, 2022. Feasibility of an EPR system for micro-pollutants. Study for</w:t>
      </w:r>
      <w:r>
        <w:t xml:space="preserve"> </w:t>
      </w:r>
      <w:r>
        <w:t xml:space="preserve">DG ENV, Unit C2 (under publication, exact ref to be added)</w:t>
      </w:r>
      <w:r>
        <w:t xml:space="preserve"> </w:t>
      </w:r>
      <w:r>
        <w:t xml:space="preserve">BioIntelligence Service, (2013): Study on the environmental risks of medicinal products.</w:t>
      </w:r>
      <w:r>
        <w:t xml:space="preserve"> </w:t>
      </w:r>
      <w:r>
        <w:t xml:space="preserve">Available</w:t>
      </w:r>
      <w:r>
        <w:t xml:space="preserve"> </w:t>
      </w:r>
      <w:r>
        <w:t xml:space="preserve">at:</w:t>
      </w:r>
      <w:r>
        <w:t xml:space="preserve"> </w:t>
      </w:r>
      <w:r>
        <w:t xml:space="preserve">https://ec.europa.eu/health/sites/default/files/files/environment/study_environment.pdf</w:t>
      </w:r>
      <w:r>
        <w:t xml:space="preserve"> </w:t>
      </w:r>
      <w:r>
        <w:t xml:space="preserve">Bom, S., Jorge, J., Ribeiro, H. M., &amp; Marto, J. (2019): A step forward on sustainability in the</w:t>
      </w:r>
      <w:r>
        <w:t xml:space="preserve"> </w:t>
      </w:r>
      <w:r>
        <w:t xml:space="preserve">cosmetics industry: A review. Journal of Cleaner Production, 225, 270-290.</w:t>
      </w:r>
      <w:r>
        <w:t xml:space="preserve"> </w:t>
      </w:r>
      <w:r>
        <w:t xml:space="preserve">Boulet, M., Hoek, A. C., &amp; Raven, R. (2021): Towards a multi-level framework of household</w:t>
      </w:r>
      <w:r>
        <w:t xml:space="preserve"> </w:t>
      </w:r>
      <w:r>
        <w:t xml:space="preserve">food waste and consumer behaviour: Untangling spaghetti soup. Appetite, 156, 104856.</w:t>
      </w:r>
      <w:r>
        <w:t xml:space="preserve"> </w:t>
      </w:r>
      <w:r>
        <w:t xml:space="preserve">Bremmers, H., &amp; Purnhagen, K. (2018): Regulating and managing food safety in the EU: a</w:t>
      </w:r>
      <w:r>
        <w:t xml:space="preserve"> </w:t>
      </w:r>
      <w:r>
        <w:t xml:space="preserve">legal-economic perspective. In Regulating and Managing Food Safety in the EU (pp. 1-9).</w:t>
      </w:r>
      <w:r>
        <w:t xml:space="preserve"> </w:t>
      </w:r>
      <w:r>
        <w:t xml:space="preserve">Springer, Cham.</w:t>
      </w:r>
      <w:r>
        <w:t xml:space="preserve"> </w:t>
      </w:r>
      <w:r>
        <w:t xml:space="preserve">Bungau, S., Tit, D. M., Fodor, K., Cioca, G., Agop, M., Iovan, C., &amp; Bustea, C. (2018):</w:t>
      </w:r>
      <w:r>
        <w:t xml:space="preserve"> </w:t>
      </w:r>
      <w:r>
        <w:t xml:space="preserve">Aspects regarding pharmaceutical waste management in Romania. Sustainability, 10(8),</w:t>
      </w:r>
      <w:r>
        <w:t xml:space="preserve"> </w:t>
      </w:r>
      <w:r>
        <w:t xml:space="preserve">2788.</w:t>
      </w:r>
      <w:r>
        <w:t xml:space="preserve"> </w:t>
      </w:r>
      <w:r>
        <w:t xml:space="preserve">C&amp;en, Linking pollution and infectious disease, 2019.</w:t>
      </w:r>
      <w:r>
        <w:t xml:space="preserve"> </w:t>
      </w:r>
      <w:r>
        <w:t xml:space="preserve">C. Juliano and G.A. Magrini, Cosmetic Ingredients as Emerging Pollutants of Environmental</w:t>
      </w:r>
      <w:r>
        <w:t xml:space="preserve"> </w:t>
      </w:r>
      <w:r>
        <w:t xml:space="preserve">and Health Concern. A Mini-Review, Cosmetics, 4, 11-29, 2017.</w:t>
      </w:r>
      <w:r>
        <w:t xml:space="preserve"> </w:t>
      </w:r>
      <w:r>
        <w:t xml:space="preserve">CA/05/2015, CA/51/2015, CASG-LP/03/2015</w:t>
      </w:r>
      <w:r>
        <w:t xml:space="preserve"> </w:t>
      </w:r>
      <w:r>
        <w:t xml:space="preserve">Cadena-Aizaga, M. I., Montesdeoca-Esponda, S., Torres-Padrón, M. E., Sosa-Ferrera, Z., &amp;</w:t>
      </w:r>
      <w:r>
        <w:t xml:space="preserve"> </w:t>
      </w:r>
      <w:r>
        <w:t xml:space="preserve">Santana-Rodríguez, J. J. (2020): Organic UV filters in marine environments: An update of</w:t>
      </w:r>
      <w:r>
        <w:t xml:space="preserve"> </w:t>
      </w:r>
      <w:r>
        <w:t xml:space="preserve">analytical methodologies, occurrence and distribution. Trends in Environmental Analytical</w:t>
      </w:r>
      <w:r>
        <w:t xml:space="preserve"> </w:t>
      </w:r>
      <w:r>
        <w:t xml:space="preserve">Chemistry, 25, e00079.</w:t>
      </w:r>
      <w:r>
        <w:t xml:space="preserve"> </w:t>
      </w:r>
      <w:r>
        <w:t xml:space="preserve">CARACAL Document CA/77/2020 described ways to improve and re-design the CLP</w:t>
      </w:r>
      <w:r>
        <w:t xml:space="preserve"> </w:t>
      </w:r>
      <w:r>
        <w:t xml:space="preserve">inventory to address some of the difficulties faced by the notifiers.</w:t>
      </w:r>
    </w:p>
    <w:p>
      <w:pPr>
        <w:pStyle w:val="BodyText"/>
      </w:pPr>
      <w:r>
        <w:t xml:space="preserve">628</w:t>
      </w:r>
    </w:p>
    <w:p>
      <w:pPr>
        <w:pStyle w:val="BodyText"/>
      </w:pPr>
      <w:r>
        <w:t xml:space="preserve">Cefic (2021) Economic Analysis of the Impacts of the Chemicals Strategy for Sustainability</w:t>
      </w:r>
      <w:r>
        <w:t xml:space="preserve"> </w:t>
      </w:r>
      <w:r>
        <w:t xml:space="preserve">– Phase 1 Report. Available at: https://cefic.org/app/uploads/2021/12/Economic-Analysis-of-</w:t>
      </w:r>
      <w:r>
        <w:t xml:space="preserve"> </w:t>
      </w:r>
      <w:r>
        <w:t xml:space="preserve">the-Impacts-of-the-Chemicals-Strategy-for-Sustainability-Phase-1.pdf</w:t>
      </w:r>
      <w:r>
        <w:t xml:space="preserve"> </w:t>
      </w:r>
      <w:r>
        <w:t xml:space="preserve">Cefic (n.d.): Communicating About Substances Along The Value Chain: What’s</w:t>
      </w:r>
      <w:r>
        <w:t xml:space="preserve"> </w:t>
      </w:r>
      <w:r>
        <w:t xml:space="preserve">The Latest?. Available</w:t>
      </w:r>
      <w:r>
        <w:t xml:space="preserve"> </w:t>
      </w:r>
      <w:r>
        <w:t xml:space="preserve">at: https://cefic.org/media-corner/newsroom/communicating-about-</w:t>
      </w:r>
      <w:r>
        <w:t xml:space="preserve"> </w:t>
      </w:r>
      <w:r>
        <w:t xml:space="preserve">substances-along-the-value-chain-whats-the-latest/</w:t>
      </w:r>
      <w:r>
        <w:br/>
      </w:r>
      <w:r>
        <w:t xml:space="preserve">CEFIC, Economic Analysis of the Impacts of the Chemicals Strategy for Sustainability –</w:t>
      </w:r>
      <w:r>
        <w:t xml:space="preserve"> </w:t>
      </w:r>
      <w:r>
        <w:t xml:space="preserve">Phase 1 Report, 2021.</w:t>
      </w:r>
      <w:r>
        <w:t xml:space="preserve"> </w:t>
      </w:r>
      <w:r>
        <w:t xml:space="preserve">CEFIC, Facts and Figures of the European Chemical Industry, 2022.</w:t>
      </w:r>
      <w:r>
        <w:br/>
      </w:r>
      <w:r>
        <w:t xml:space="preserve">Chembid</w:t>
      </w:r>
      <w:r>
        <w:t xml:space="preserve"> </w:t>
      </w:r>
      <w:r>
        <w:t xml:space="preserve">(2020).</w:t>
      </w:r>
      <w:r>
        <w:t xml:space="preserve"> </w:t>
      </w:r>
      <w:r>
        <w:t xml:space="preserve">The</w:t>
      </w:r>
      <w:r>
        <w:t xml:space="preserve"> </w:t>
      </w:r>
      <w:r>
        <w:t xml:space="preserve">chemical</w:t>
      </w:r>
      <w:r>
        <w:t xml:space="preserve"> </w:t>
      </w:r>
      <w:r>
        <w:t xml:space="preserve">marketplaces</w:t>
      </w:r>
      <w:r>
        <w:t xml:space="preserve"> </w:t>
      </w:r>
      <w:r>
        <w:t xml:space="preserve">report</w:t>
      </w:r>
      <w:r>
        <w:t xml:space="preserve"> </w:t>
      </w:r>
      <w:r>
        <w:t xml:space="preserve">2021.</w:t>
      </w:r>
      <w:r>
        <w:t xml:space="preserve"> </w:t>
      </w:r>
      <w:r>
        <w:t xml:space="preserve">Available</w:t>
      </w:r>
      <w:r>
        <w:t xml:space="preserve"> </w:t>
      </w:r>
      <w:r>
        <w:t xml:space="preserve">at:</w:t>
      </w:r>
      <w:r>
        <w:t xml:space="preserve"> </w:t>
      </w:r>
      <w:r>
        <w:t xml:space="preserve">https://f.hubspotusercontent40.net/hubfs/6037596/chembids%20Chemical%20Marketplaces</w:t>
      </w:r>
      <w:r>
        <w:t xml:space="preserve"> </w:t>
      </w:r>
      <w:r>
        <w:t xml:space="preserve">%20Report%202021.pdf</w:t>
      </w:r>
      <w:r>
        <w:br/>
      </w:r>
      <w:r>
        <w:t xml:space="preserve">Chemical Watch, “NGO coalition urges EU Commission to publish EDC Strategy”.</w:t>
      </w:r>
      <w:r>
        <w:br/>
      </w:r>
      <w:r>
        <w:t xml:space="preserve">Cleanright EU How to use detergents &amp; maintenance products safely, available at:</w:t>
      </w:r>
      <w:r>
        <w:t xml:space="preserve"> </w:t>
      </w:r>
      <w:r>
        <w:t xml:space="preserve">https://www.cleanright.eu/en/safe-use.html#safe-use</w:t>
      </w:r>
      <w:r>
        <w:t xml:space="preserve"> </w:t>
      </w:r>
      <w:r>
        <w:t xml:space="preserve">COM(2018) 734.</w:t>
      </w:r>
      <w:r>
        <w:t xml:space="preserve"> </w:t>
      </w:r>
      <w:r>
        <w:t xml:space="preserve">COM(2019) 640.</w:t>
      </w:r>
      <w:r>
        <w:t xml:space="preserve"> </w:t>
      </w:r>
      <w:r>
        <w:t xml:space="preserve">COM(2019)264.</w:t>
      </w:r>
      <w:r>
        <w:t xml:space="preserve"> </w:t>
      </w:r>
      <w:r>
        <w:t xml:space="preserve">COM(2020) 667.</w:t>
      </w:r>
      <w:r>
        <w:t xml:space="preserve"> </w:t>
      </w:r>
      <w:r>
        <w:t xml:space="preserve">COM(2021) 400.</w:t>
      </w:r>
      <w:r>
        <w:t xml:space="preserve"> </w:t>
      </w:r>
      <w:r>
        <w:t xml:space="preserve">COM(2021) 645.</w:t>
      </w:r>
      <w:r>
        <w:br/>
      </w:r>
      <w:r>
        <w:t xml:space="preserve">Commission Delegated Regulations 2020/1676, 2020/1677.</w:t>
      </w:r>
      <w:r>
        <w:t xml:space="preserve"> </w:t>
      </w:r>
      <w:r>
        <w:t xml:space="preserve">COMMISSION IMPLEMENTING REGULATION (EU) 2021/2226, of 14 December 2021,</w:t>
      </w:r>
      <w:r>
        <w:t xml:space="preserve"> </w:t>
      </w:r>
      <w:r>
        <w:t xml:space="preserve">laying down rules for the application of Regulation (EU) 2017/745 of the European</w:t>
      </w:r>
      <w:r>
        <w:t xml:space="preserve"> </w:t>
      </w:r>
      <w:r>
        <w:t xml:space="preserve">Parliament and of the Council as regards electronic instructions for use of medical devices,</w:t>
      </w:r>
      <w:r>
        <w:t xml:space="preserve"> </w:t>
      </w:r>
      <w:r>
        <w:t xml:space="preserve">available at: https://eur-lex.europa.eu/legal-content/EN/TXT/PDF/?uri=CELEX:32021R2226</w:t>
      </w:r>
      <w:r>
        <w:t xml:space="preserve"> </w:t>
      </w:r>
      <w:r>
        <w:t xml:space="preserve">Commission note CA-May15-Doc.6.1-Final.</w:t>
      </w:r>
      <w:r>
        <w:t xml:space="preserve"> </w:t>
      </w:r>
      <w:r>
        <w:t xml:space="preserve">Commission Regulation 1676/2020 and 1677/2020, OJ L379/1 and /3.</w:t>
      </w:r>
      <w:r>
        <w:t xml:space="preserve"> </w:t>
      </w:r>
      <w:r>
        <w:t xml:space="preserve">Commission Staff Working Document Evaluation of Regulation (EC) No 648/2004 of the</w:t>
      </w:r>
      <w:r>
        <w:t xml:space="preserve"> </w:t>
      </w:r>
      <w:r>
        <w:t xml:space="preserve">European Parliament and of the Council of 31 March 2004 on detergents. Available at:</w:t>
      </w:r>
      <w:r>
        <w:t xml:space="preserve"> </w:t>
      </w:r>
      <w:r>
        <w:t xml:space="preserve">https://ec.europa.eu/docsroom/documents/36289</w:t>
      </w:r>
      <w:r>
        <w:t xml:space="preserve"> </w:t>
      </w:r>
      <w:r>
        <w:t xml:space="preserve">Commission Staff Working Document, Evaluation of Regulation (EC) No 648/2004 of the</w:t>
      </w:r>
      <w:r>
        <w:t xml:space="preserve"> </w:t>
      </w:r>
      <w:r>
        <w:t xml:space="preserve">European Parliament and of the Council of 31 March 2004 on detergents:</w:t>
      </w:r>
      <w:r>
        <w:t xml:space="preserve"> </w:t>
      </w:r>
      <w:r>
        <w:t xml:space="preserve">https://ec.europa.eu/docsroom/documents/36289</w:t>
      </w:r>
    </w:p>
    <w:p>
      <w:pPr>
        <w:pStyle w:val="BodyText"/>
      </w:pPr>
      <w:r>
        <w:t xml:space="preserve">629</w:t>
      </w:r>
    </w:p>
    <w:p>
      <w:pPr>
        <w:pStyle w:val="BodyText"/>
      </w:pPr>
      <w:r>
        <w:t xml:space="preserve">Communication from the Commission to the European Parliament, the Council and the</w:t>
      </w:r>
      <w:r>
        <w:t xml:space="preserve"> </w:t>
      </w:r>
      <w:r>
        <w:t xml:space="preserve">European Economic and Social Committee. European Union Strategic Approach to</w:t>
      </w:r>
      <w:r>
        <w:t xml:space="preserve"> </w:t>
      </w:r>
      <w:r>
        <w:t xml:space="preserve">Pharmaceuticals</w:t>
      </w:r>
      <w:r>
        <w:t xml:space="preserve"> </w:t>
      </w:r>
      <w:r>
        <w:t xml:space="preserve">in</w:t>
      </w:r>
      <w:r>
        <w:t xml:space="preserve"> </w:t>
      </w:r>
      <w:r>
        <w:t xml:space="preserve">the</w:t>
      </w:r>
      <w:r>
        <w:t xml:space="preserve"> </w:t>
      </w:r>
      <w:r>
        <w:t xml:space="preserve">Environment.</w:t>
      </w:r>
      <w:r>
        <w:t xml:space="preserve"> </w:t>
      </w:r>
      <w:r>
        <w:t xml:space="preserve">Available</w:t>
      </w:r>
      <w:r>
        <w:t xml:space="preserve"> </w:t>
      </w:r>
      <w:r>
        <w:t xml:space="preserve">at:</w:t>
      </w:r>
      <w:r>
        <w:t xml:space="preserve"> </w:t>
      </w:r>
      <w:r>
        <w:t xml:space="preserve">https://ec.europa.eu/environment/water/waterdangersub/pdf/strategic_approach_pharmaceutic</w:t>
      </w:r>
      <w:r>
        <w:t xml:space="preserve"> </w:t>
      </w:r>
      <w:r>
        <w:t xml:space="preserve">als_env.PDF</w:t>
      </w:r>
      <w:r>
        <w:t xml:space="preserve"> </w:t>
      </w:r>
      <w:r>
        <w:t xml:space="preserve">Competitiveness Council on 19 February 2013 (europa.eu)</w:t>
      </w:r>
      <w:r>
        <w:t xml:space="preserve"> </w:t>
      </w:r>
      <w:r>
        <w:t xml:space="preserve">Converted using the purchasing power parities and inflation rates reported by the OECD</w:t>
      </w:r>
      <w:r>
        <w:t xml:space="preserve"> </w:t>
      </w:r>
      <w:r>
        <w:t xml:space="preserve">(https://data.oecd.org/conversion/purchasing-power-parities-ppp.htm)</w:t>
      </w:r>
      <w:r>
        <w:t xml:space="preserve"> </w:t>
      </w:r>
      <w:r>
        <w:t xml:space="preserve">and</w:t>
      </w:r>
      <w:r>
        <w:t xml:space="preserve"> </w:t>
      </w:r>
      <w:r>
        <w:t xml:space="preserve">(https://stats.oecd.org/index.aspx?queryid=82174)</w:t>
      </w:r>
      <w:r>
        <w:t xml:space="preserve"> </w:t>
      </w:r>
      <w:r>
        <w:t xml:space="preserve">Cosmeticsdesign</w:t>
      </w:r>
      <w:r>
        <w:t xml:space="preserve"> </w:t>
      </w:r>
      <w:r>
        <w:t xml:space="preserve">Europe</w:t>
      </w:r>
      <w:r>
        <w:t xml:space="preserve"> </w:t>
      </w:r>
      <w:r>
        <w:t xml:space="preserve">article,</w:t>
      </w:r>
      <w:r>
        <w:t xml:space="preserve"> </w:t>
      </w:r>
      <w:r>
        <w:t xml:space="preserve">available</w:t>
      </w:r>
      <w:r>
        <w:t xml:space="preserve"> </w:t>
      </w:r>
      <w:r>
        <w:t xml:space="preserve">at:</w:t>
      </w:r>
      <w:r>
        <w:t xml:space="preserve"> </w:t>
      </w:r>
      <w:r>
        <w:t xml:space="preserve">https://www.cosmeticsdesign-</w:t>
      </w:r>
      <w:r>
        <w:t xml:space="preserve"> </w:t>
      </w:r>
      <w:r>
        <w:t xml:space="preserve">europe.com/Article/2021/09/20/Henkel-L-Oreal-LVMH-Natura-Co-Unilever-forming-</w:t>
      </w:r>
      <w:r>
        <w:t xml:space="preserve"> </w:t>
      </w:r>
      <w:r>
        <w:t xml:space="preserve">consortium-for-cosmetics-environmental-impact-system</w:t>
      </w:r>
      <w:r>
        <w:t xml:space="preserve"> </w:t>
      </w:r>
      <w:r>
        <w:t xml:space="preserve">Council conclusions (10713/19)</w:t>
      </w:r>
      <w:r>
        <w:t xml:space="preserve"> </w:t>
      </w:r>
      <w:r>
        <w:t xml:space="preserve">Cross-Border Commerce Europe (2020): Cross-Border Commerce Europe publishes the</w:t>
      </w:r>
      <w:r>
        <w:t xml:space="preserve"> </w:t>
      </w:r>
      <w:r>
        <w:t xml:space="preserve">second edition of the “Top 500 cross-border retail Europe”: an annual ranking of the best 500</w:t>
      </w:r>
      <w:r>
        <w:t xml:space="preserve"> </w:t>
      </w:r>
      <w:r>
        <w:t xml:space="preserve">European cross-border online shops.</w:t>
      </w:r>
      <w:r>
        <w:br/>
      </w:r>
      <w:r>
        <w:t xml:space="preserve">Dalenstam, E., Tordnell, N., Azzopardi, M. and Sennstrom, L. (2012): Technical Report –</w:t>
      </w:r>
      <w:r>
        <w:t xml:space="preserve"> </w:t>
      </w:r>
      <w:r>
        <w:t xml:space="preserve">Criteria</w:t>
      </w:r>
      <w:r>
        <w:t xml:space="preserve"> </w:t>
      </w:r>
      <w:r>
        <w:t xml:space="preserve">For</w:t>
      </w:r>
      <w:r>
        <w:t xml:space="preserve"> </w:t>
      </w:r>
      <w:r>
        <w:t xml:space="preserve">Sustainable</w:t>
      </w:r>
      <w:r>
        <w:t xml:space="preserve"> </w:t>
      </w:r>
      <w:r>
        <w:t xml:space="preserve">Medical</w:t>
      </w:r>
      <w:r>
        <w:t xml:space="preserve"> </w:t>
      </w:r>
      <w:r>
        <w:t xml:space="preserve">Devices.</w:t>
      </w:r>
      <w:r>
        <w:t xml:space="preserve"> </w:t>
      </w:r>
      <w:r>
        <w:t xml:space="preserve">Available</w:t>
      </w:r>
      <w:r>
        <w:t xml:space="preserve"> </w:t>
      </w:r>
      <w:r>
        <w:t xml:space="preserve">at:</w:t>
      </w:r>
      <w:r>
        <w:t xml:space="preserve"> </w:t>
      </w:r>
      <w:r>
        <w:t xml:space="preserve">https://cocir.org/fileadmin/5.5_Policies_Environment/GPP/msr_2012_TR_health_care_EEEF</w:t>
      </w:r>
      <w:r>
        <w:t xml:space="preserve"> </w:t>
      </w:r>
      <w:r>
        <w:t xml:space="preserve">inaldraft_proofed.pdf</w:t>
      </w:r>
      <w:r>
        <w:t xml:space="preserve"> </w:t>
      </w:r>
      <w:r>
        <w:t xml:space="preserve">Dean CJ (2007): Prepubertal gynecomastia linked to lavender and tea tree oils. N Engl J Med.</w:t>
      </w:r>
      <w:r>
        <w:t xml:space="preserve"> </w:t>
      </w:r>
      <w:r>
        <w:t xml:space="preserve">2007 Jun 14;356(24):2543; author reply 2543-4.</w:t>
      </w:r>
      <w:r>
        <w:t xml:space="preserve"> </w:t>
      </w:r>
      <w:r>
        <w:t xml:space="preserve">Deloitte, (2017): Background document for public consultation on pharmaceuticals in the</w:t>
      </w:r>
      <w:r>
        <w:t xml:space="preserve"> </w:t>
      </w:r>
      <w:r>
        <w:t xml:space="preserve">environment. Available</w:t>
      </w:r>
      <w:r>
        <w:t xml:space="preserve"> </w:t>
      </w:r>
      <w:r>
        <w:t xml:space="preserve">at:</w:t>
      </w:r>
      <w:r>
        <w:t xml:space="preserve"> </w:t>
      </w:r>
      <w:r>
        <w:t xml:space="preserve">https://ec.europa.eu/info/sites/default/files/background_document_public_consultation_phar</w:t>
      </w:r>
      <w:r>
        <w:t xml:space="preserve"> </w:t>
      </w:r>
      <w:r>
        <w:t xml:space="preserve">maceuticals_environment.pdf (stakeholder opinion collection survey)</w:t>
      </w:r>
      <w:r>
        <w:br/>
      </w:r>
      <w:r>
        <w:t xml:space="preserve">Deloitte, INERIS, Mileu and LSE, (2016): Options for a strategic approach to</w:t>
      </w:r>
      <w:r>
        <w:t xml:space="preserve"> </w:t>
      </w:r>
      <w:r>
        <w:t xml:space="preserve">pharmaceuticals</w:t>
      </w:r>
      <w:r>
        <w:t xml:space="preserve"> </w:t>
      </w:r>
      <w:r>
        <w:t xml:space="preserve">in</w:t>
      </w:r>
      <w:r>
        <w:t xml:space="preserve"> </w:t>
      </w:r>
      <w:r>
        <w:t xml:space="preserve">the</w:t>
      </w:r>
      <w:r>
        <w:t xml:space="preserve"> </w:t>
      </w:r>
      <w:r>
        <w:t xml:space="preserve">environment.</w:t>
      </w:r>
      <w:r>
        <w:t xml:space="preserve"> </w:t>
      </w:r>
      <w:r>
        <w:t xml:space="preserve">Available</w:t>
      </w:r>
      <w:r>
        <w:t xml:space="preserve"> </w:t>
      </w:r>
      <w:r>
        <w:t xml:space="preserve">at:</w:t>
      </w:r>
      <w:r>
        <w:t xml:space="preserve"> </w:t>
      </w:r>
      <w:r>
        <w:t xml:space="preserve">https://ec.europa.eu/info/sites/default/files/study_report_public_consultation_pharmaceuticals</w:t>
      </w:r>
      <w:r>
        <w:t xml:space="preserve"> </w:t>
      </w:r>
      <w:r>
        <w:t xml:space="preserve">_environment.pdf</w:t>
      </w:r>
      <w:r>
        <w:t xml:space="preserve"> </w:t>
      </w:r>
      <w:r>
        <w:t xml:space="preserve">Dias-Ferreira, C., Valente, S., &amp; Vaz, J. (2016): Practices of pharmaceutical waste generation</w:t>
      </w:r>
      <w:r>
        <w:t xml:space="preserve"> </w:t>
      </w:r>
      <w:r>
        <w:t xml:space="preserve">and discarding in households across Portugal. Waste Management &amp; Research, 34(10), 1006-</w:t>
      </w:r>
      <w:r>
        <w:t xml:space="preserve"> </w:t>
      </w:r>
      <w:r>
        <w:t xml:space="preserve">1013.</w:t>
      </w:r>
      <w:r>
        <w:br/>
      </w:r>
      <w:r>
        <w:t xml:space="preserve">Directive 1999/45/EC.</w:t>
      </w:r>
      <w:r>
        <w:t xml:space="preserve"> </w:t>
      </w:r>
      <w:r>
        <w:t xml:space="preserve">Directive 2000/31/EC.</w:t>
      </w:r>
      <w:r>
        <w:t xml:space="preserve"> </w:t>
      </w:r>
      <w:r>
        <w:t xml:space="preserve">Directive 2011/83/EU of the European Parliament and of the Council of 25 October 2011 on</w:t>
      </w:r>
      <w:r>
        <w:t xml:space="preserve"> </w:t>
      </w:r>
      <w:r>
        <w:t xml:space="preserve">consumer rights, amending Council Directive 93/13/EEC and Directive 1999/44/EC of the</w:t>
      </w:r>
      <w:r>
        <w:t xml:space="preserve"> </w:t>
      </w:r>
      <w:r>
        <w:t xml:space="preserve">European Parliament and of the Council and repealing Council Directive 85/577/EEC and</w:t>
      </w:r>
      <w:r>
        <w:t xml:space="preserve"> </w:t>
      </w:r>
      <w:r>
        <w:t xml:space="preserve">Directive 97/7/EC of the European Parliament and of the Council, OJ L 304, p.64.</w:t>
      </w:r>
    </w:p>
    <w:p>
      <w:pPr>
        <w:pStyle w:val="BodyText"/>
      </w:pPr>
      <w:r>
        <w:t xml:space="preserve">630</w:t>
      </w:r>
    </w:p>
    <w:p>
      <w:pPr>
        <w:pStyle w:val="BodyText"/>
      </w:pPr>
      <w:r>
        <w:t xml:space="preserve">Directive 2011/83/EU.</w:t>
      </w:r>
      <w:r>
        <w:t xml:space="preserve"> </w:t>
      </w:r>
      <w:r>
        <w:t xml:space="preserve">Directive 67/548/EEC.</w:t>
      </w:r>
      <w:r>
        <w:t xml:space="preserve"> </w:t>
      </w:r>
      <w:r>
        <w:t xml:space="preserve">Document CA/40/2013, 13th Meeting of Competent Authorities for REACH and CLP</w:t>
      </w:r>
      <w:r>
        <w:t xml:space="preserve"> </w:t>
      </w:r>
      <w:r>
        <w:t xml:space="preserve">(CARACAL), 26-28 November 2013</w:t>
      </w:r>
      <w:r>
        <w:t xml:space="preserve"> </w:t>
      </w:r>
      <w:r>
        <w:t xml:space="preserve">DPD</w:t>
      </w:r>
      <w:r>
        <w:t xml:space="preserve"> </w:t>
      </w:r>
      <w:r>
        <w:t xml:space="preserve">Group</w:t>
      </w:r>
      <w:r>
        <w:t xml:space="preserve"> </w:t>
      </w:r>
      <w:r>
        <w:t xml:space="preserve">&amp;</w:t>
      </w:r>
      <w:r>
        <w:t xml:space="preserve"> </w:t>
      </w:r>
      <w:r>
        <w:t xml:space="preserve">Kantar</w:t>
      </w:r>
      <w:r>
        <w:t xml:space="preserve"> </w:t>
      </w:r>
      <w:r>
        <w:t xml:space="preserve">(2018):</w:t>
      </w:r>
      <w:r>
        <w:t xml:space="preserve"> </w:t>
      </w:r>
      <w:r>
        <w:t xml:space="preserve">E-shopper</w:t>
      </w:r>
      <w:r>
        <w:t xml:space="preserve"> </w:t>
      </w:r>
      <w:r>
        <w:t xml:space="preserve">barometer</w:t>
      </w:r>
      <w:r>
        <w:t xml:space="preserve"> </w:t>
      </w:r>
      <w:r>
        <w:t xml:space="preserve">report.</w:t>
      </w:r>
      <w:r>
        <w:t xml:space="preserve"> </w:t>
      </w:r>
      <w:r>
        <w:t xml:space="preserve">Available</w:t>
      </w:r>
      <w:r>
        <w:t xml:space="preserve"> </w:t>
      </w:r>
      <w:r>
        <w:t xml:space="preserve">at:</w:t>
      </w:r>
      <w:r>
        <w:t xml:space="preserve"> </w:t>
      </w:r>
      <w:r>
        <w:t xml:space="preserve">https://www.dpd.com/dpd-ch/wp-content/uploads/sites/223/2019/07/E-shopper-barometer-</w:t>
      </w:r>
      <w:r>
        <w:t xml:space="preserve"> </w:t>
      </w:r>
      <w:r>
        <w:t xml:space="preserve">report-2018.pdf</w:t>
      </w:r>
      <w:r>
        <w:t xml:space="preserve"> </w:t>
      </w:r>
      <w:r>
        <w:t xml:space="preserve">Dutch Ministry of Health, Welfare and Sport, Official start to ban PFAS in Europe, available</w:t>
      </w:r>
      <w:r>
        <w:t xml:space="preserve"> </w:t>
      </w:r>
      <w:r>
        <w:t xml:space="preserve">at: https://www.rivm.nl/en/pfas/official-start-to-ban-pfas-in-europe</w:t>
      </w:r>
      <w:r>
        <w:t xml:space="preserve"> </w:t>
      </w:r>
      <w:r>
        <w:t xml:space="preserve">EC number: 603-921-1; CAS number: 135410-20-7.</w:t>
      </w:r>
      <w:r>
        <w:t xml:space="preserve"> </w:t>
      </w:r>
      <w:r>
        <w:t xml:space="preserve">ECETOC (2003): Technical Report No. 86. Derivation of Assessment Factors for Human</w:t>
      </w:r>
      <w:r>
        <w:t xml:space="preserve"> </w:t>
      </w:r>
      <w:r>
        <w:t xml:space="preserve">Health Risk Assessment. Brussels, Belgium.</w:t>
      </w:r>
      <w:r>
        <w:t xml:space="preserve"> </w:t>
      </w:r>
      <w:r>
        <w:t xml:space="preserve">ECHA (2008): Guidance on Information Requirements and Chemical Safety Assessment.</w:t>
      </w:r>
      <w:r>
        <w:t xml:space="preserve"> </w:t>
      </w:r>
      <w:r>
        <w:t xml:space="preserve">Chapter R.10: Characterisation of dose [concentration]-response for environment. May 2008.</w:t>
      </w:r>
      <w:r>
        <w:t xml:space="preserve"> </w:t>
      </w:r>
      <w:r>
        <w:t xml:space="preserve">Helsinki,</w:t>
      </w:r>
      <w:r>
        <w:t xml:space="preserve"> </w:t>
      </w:r>
      <w:r>
        <w:t xml:space="preserve">Finland.</w:t>
      </w:r>
      <w:r>
        <w:t xml:space="preserve"> </w:t>
      </w:r>
      <w:r>
        <w:t xml:space="preserve">https://echa.europa.eu/guidance-documents/guidance-on-information-</w:t>
      </w:r>
      <w:r>
        <w:t xml:space="preserve"> </w:t>
      </w:r>
      <w:r>
        <w:t xml:space="preserve">requirements-and-chemical-safety-assessment</w:t>
      </w:r>
      <w:r>
        <w:br/>
      </w:r>
      <w:r>
        <w:t xml:space="preserve">ECHA (2012): Guidance on Information Requirements and Chemical Safety Assessment.</w:t>
      </w:r>
      <w:r>
        <w:t xml:space="preserve"> </w:t>
      </w:r>
      <w:r>
        <w:t xml:space="preserve">Chapter R.8: Characterisation of dose [concentration]-response for human health. Version</w:t>
      </w:r>
      <w:r>
        <w:t xml:space="preserve"> </w:t>
      </w:r>
      <w:r>
        <w:t xml:space="preserve">2.1,</w:t>
      </w:r>
      <w:r>
        <w:t xml:space="preserve"> </w:t>
      </w:r>
      <w:r>
        <w:t xml:space="preserve">November</w:t>
      </w:r>
      <w:r>
        <w:t xml:space="preserve"> </w:t>
      </w:r>
      <w:r>
        <w:t xml:space="preserve">2012.</w:t>
      </w:r>
      <w:r>
        <w:t xml:space="preserve"> </w:t>
      </w:r>
      <w:r>
        <w:t xml:space="preserve">Helsinki,</w:t>
      </w:r>
      <w:r>
        <w:t xml:space="preserve"> </w:t>
      </w:r>
      <w:r>
        <w:t xml:space="preserve">Finland.</w:t>
      </w:r>
      <w:r>
        <w:t xml:space="preserve"> </w:t>
      </w:r>
      <w:r>
        <w:t xml:space="preserve">https://echa.europa.eu/guidance-</w:t>
      </w:r>
      <w:r>
        <w:t xml:space="preserve"> </w:t>
      </w:r>
      <w:r>
        <w:t xml:space="preserve">documents/guidance-on-information-requirements-and-chemical-safety-assessment</w:t>
      </w:r>
      <w:r>
        <w:br/>
      </w:r>
      <w:r>
        <w:t xml:space="preserve">ECHA (2014). Appendix: Willingness to pay for avoiding respiratory sensitisation outcomes.</w:t>
      </w:r>
      <w:r>
        <w:t xml:space="preserve"> </w:t>
      </w:r>
      <w:r>
        <w:t xml:space="preserve">Available</w:t>
      </w:r>
      <w:r>
        <w:t xml:space="preserve"> </w:t>
      </w:r>
      <w:r>
        <w:t xml:space="preserve">at:</w:t>
      </w:r>
      <w:r>
        <w:t xml:space="preserve"> </w:t>
      </w:r>
      <w:r>
        <w:t xml:space="preserve">https://echa.europa.eu/documents/10162/13630/appendix_study_economic_benefits_avoiding</w:t>
      </w:r>
      <w:r>
        <w:t xml:space="preserve"> </w:t>
      </w:r>
      <w:r>
        <w:t xml:space="preserve">_adverse_health_outcomes_1_en.pdf/67d7b29e-6d16-4167-8163-46b3d39cab30</w:t>
      </w:r>
      <w:r>
        <w:t xml:space="preserve"> </w:t>
      </w:r>
      <w:r>
        <w:t xml:space="preserve">ECHA (2017): Final report on the Forum Pilot Project on CLP focusing on control of internet</w:t>
      </w:r>
      <w:r>
        <w:t xml:space="preserve"> </w:t>
      </w:r>
      <w:r>
        <w:t xml:space="preserve">sales.</w:t>
      </w:r>
      <w:r>
        <w:t xml:space="preserve"> </w:t>
      </w:r>
      <w:r>
        <w:t xml:space="preserve">Available</w:t>
      </w:r>
      <w:r>
        <w:t xml:space="preserve"> </w:t>
      </w:r>
      <w:r>
        <w:t xml:space="preserve">at:</w:t>
      </w:r>
      <w:r>
        <w:t xml:space="preserve"> </w:t>
      </w:r>
      <w:r>
        <w:t xml:space="preserve">https://echa.europa.eu/documents/10162/17088/forum_project_report_on_control_of_internet</w:t>
      </w:r>
      <w:r>
        <w:t xml:space="preserve"> </w:t>
      </w:r>
      <w:r>
        <w:t xml:space="preserve">_sales_en.pdf/af16b41f-af9b-348c-facd-ed4b7426f0d8</w:t>
      </w:r>
      <w:r>
        <w:t xml:space="preserve"> </w:t>
      </w:r>
      <w:r>
        <w:t xml:space="preserve">ECHA (2017a): Guidance on the Application of the CLP Criteria. Guidance to Regulation</w:t>
      </w:r>
      <w:r>
        <w:t xml:space="preserve"> </w:t>
      </w:r>
      <w:r>
        <w:t xml:space="preserve">(EC) No 1272/2008 on classification, labelling and packaging (CLP) of substances and</w:t>
      </w:r>
      <w:r>
        <w:t xml:space="preserve"> </w:t>
      </w:r>
      <w:r>
        <w:t xml:space="preserve">mixtures. ECHA-17-G-21-EN. Version 5.0 – July 2017. European Chemicals Agency, 2017.</w:t>
      </w:r>
      <w:r>
        <w:t xml:space="preserve"> </w:t>
      </w:r>
      <w:r>
        <w:t xml:space="preserve">ECHA (2017f): Guidance on the Biocidal Products Regulation. Volume III Human Health -</w:t>
      </w:r>
      <w:r>
        <w:t xml:space="preserve"> </w:t>
      </w:r>
      <w:r>
        <w:t xml:space="preserve">Assessment &amp; Evaluation (Parts B+C). Version 4.0. December 2017.</w:t>
      </w:r>
      <w:r>
        <w:t xml:space="preserve"> </w:t>
      </w:r>
      <w:r>
        <w:t xml:space="preserve">ECHA (2019a): Mapping the chemical universe to address substances of concern. Integrated</w:t>
      </w:r>
      <w:r>
        <w:t xml:space="preserve"> </w:t>
      </w:r>
      <w:r>
        <w:t xml:space="preserve">Regulatory Strategy. Annual Report. ECHA-2019-R-10-EN. Helsinki.</w:t>
      </w:r>
      <w:r>
        <w:t xml:space="preserve"> </w:t>
      </w:r>
      <w:r>
        <w:t xml:space="preserve">ECHA (2019b): Guidance on Information Requirements and Chemical Safety Assessment.</w:t>
      </w:r>
      <w:r>
        <w:t xml:space="preserve"> </w:t>
      </w:r>
      <w:r>
        <w:t xml:space="preserve">Appendix to Chapter R.8: Guidance for preparing a scientific report for health-based</w:t>
      </w:r>
      <w:r>
        <w:t xml:space="preserve"> </w:t>
      </w:r>
      <w:r>
        <w:t xml:space="preserve">exposure limits at the workplace. Version 1.0 August 2019. Helsinki, Finland.</w:t>
      </w:r>
    </w:p>
    <w:p>
      <w:pPr>
        <w:pStyle w:val="BodyText"/>
      </w:pPr>
      <w:r>
        <w:t xml:space="preserve">631</w:t>
      </w:r>
    </w:p>
    <w:p>
      <w:pPr>
        <w:pStyle w:val="BodyText"/>
      </w:pPr>
      <w:r>
        <w:t xml:space="preserve">https://echa.europa.eu/guidance-documents/guidance-on-information-requirements-and-</w:t>
      </w:r>
      <w:r>
        <w:t xml:space="preserve"> </w:t>
      </w:r>
      <w:r>
        <w:t xml:space="preserve">chemical-safety-assessment</w:t>
      </w:r>
      <w:r>
        <w:t xml:space="preserve"> </w:t>
      </w:r>
      <w:r>
        <w:t xml:space="preserve">ECHA (2019f): REF-6 project report. Classification and labelling of mixtures. Available at:</w:t>
      </w:r>
      <w:r>
        <w:t xml:space="preserve"> </w:t>
      </w:r>
      <w:r>
        <w:t xml:space="preserve">https://echa.europa.eu/documents/10162/17088/ref-6_project_report_en.pdf/bfa9fc69-fdfd-</w:t>
      </w:r>
      <w:r>
        <w:t xml:space="preserve"> </w:t>
      </w:r>
      <w:r>
        <w:t xml:space="preserve">2f52-bf96-5174d7e29cf8?t=1576499164990</w:t>
      </w:r>
      <w:r>
        <w:t xml:space="preserve"> </w:t>
      </w:r>
      <w:r>
        <w:t xml:space="preserve">ECHA (2021a): European Commission request for support regarding the CLP Impact</w:t>
      </w:r>
      <w:r>
        <w:t xml:space="preserve"> </w:t>
      </w:r>
      <w:r>
        <w:t xml:space="preserve">Assessment and REACH actions under the CSS: Issue 1.2 of Commission letter regarding</w:t>
      </w:r>
      <w:r>
        <w:t xml:space="preserve"> </w:t>
      </w:r>
      <w:r>
        <w:t xml:space="preserve">substances potentially falling under the respective hazard classes. Issue 1.2 report. Helsinki,</w:t>
      </w:r>
      <w:r>
        <w:t xml:space="preserve"> </w:t>
      </w:r>
      <w:r>
        <w:t xml:space="preserve">31 August 2021.</w:t>
      </w:r>
      <w:r>
        <w:t xml:space="preserve"> </w:t>
      </w:r>
      <w:r>
        <w:t xml:space="preserve">ECHA (2021b): Transparent progress in addressing substances of concern. Integrated</w:t>
      </w:r>
      <w:r>
        <w:t xml:space="preserve"> </w:t>
      </w:r>
      <w:r>
        <w:t xml:space="preserve">Regulatory Strategy annual report. April 2021. ECHA-21-R-04-EN. European Chemicals</w:t>
      </w:r>
      <w:r>
        <w:t xml:space="preserve"> </w:t>
      </w:r>
      <w:r>
        <w:t xml:space="preserve">Agency, 2021.</w:t>
      </w:r>
      <w:r>
        <w:t xml:space="preserve"> </w:t>
      </w:r>
      <w:r>
        <w:t xml:space="preserve">ECHA (2021c): Report on the operation of REACH and CLP 2021. ECHA-21-R-06-EN.</w:t>
      </w:r>
      <w:r>
        <w:t xml:space="preserve"> </w:t>
      </w:r>
      <w:r>
        <w:t xml:space="preserve">European</w:t>
      </w:r>
      <w:r>
        <w:t xml:space="preserve"> </w:t>
      </w:r>
      <w:r>
        <w:t xml:space="preserve">Chemicals</w:t>
      </w:r>
      <w:r>
        <w:t xml:space="preserve"> </w:t>
      </w:r>
      <w:r>
        <w:t xml:space="preserve">Agency,</w:t>
      </w:r>
      <w:r>
        <w:t xml:space="preserve"> </w:t>
      </w:r>
      <w:r>
        <w:t xml:space="preserve">2021.</w:t>
      </w:r>
      <w:r>
        <w:t xml:space="preserve"> </w:t>
      </w:r>
      <w:r>
        <w:t xml:space="preserve">Available</w:t>
      </w:r>
      <w:r>
        <w:t xml:space="preserve"> </w:t>
      </w:r>
      <w:r>
        <w:t xml:space="preserve">at:</w:t>
      </w:r>
      <w:r>
        <w:t xml:space="preserve"> </w:t>
      </w:r>
      <w:r>
        <w:t xml:space="preserve">https://echa.europa.eu/documents/10162/17226/operation_reach_clp_2021_en.pdf/e271b3c8-</w:t>
      </w:r>
      <w:r>
        <w:t xml:space="preserve"> </w:t>
      </w:r>
      <w:r>
        <w:t xml:space="preserve">137a-48ad-30ad-499249235ee5</w:t>
      </w:r>
      <w:r>
        <w:br/>
      </w:r>
      <w:r>
        <w:t xml:space="preserve">ECHA (2021e): REF-8 project report on enforcement of CLP, REACH and BPR duties</w:t>
      </w:r>
      <w:r>
        <w:t xml:space="preserve"> </w:t>
      </w:r>
      <w:r>
        <w:t xml:space="preserve">related</w:t>
      </w:r>
      <w:r>
        <w:t xml:space="preserve"> </w:t>
      </w:r>
      <w:r>
        <w:t xml:space="preserve">to</w:t>
      </w:r>
      <w:r>
        <w:t xml:space="preserve"> </w:t>
      </w:r>
      <w:r>
        <w:t xml:space="preserve">substances,</w:t>
      </w:r>
      <w:r>
        <w:t xml:space="preserve"> </w:t>
      </w:r>
      <w:r>
        <w:t xml:space="preserve">mixtures</w:t>
      </w:r>
      <w:r>
        <w:t xml:space="preserve"> </w:t>
      </w:r>
      <w:r>
        <w:t xml:space="preserve">and</w:t>
      </w:r>
      <w:r>
        <w:t xml:space="preserve"> </w:t>
      </w:r>
      <w:r>
        <w:t xml:space="preserve">articles</w:t>
      </w:r>
      <w:r>
        <w:t xml:space="preserve"> </w:t>
      </w:r>
      <w:r>
        <w:t xml:space="preserve">sold</w:t>
      </w:r>
      <w:r>
        <w:t xml:space="preserve"> </w:t>
      </w:r>
      <w:r>
        <w:t xml:space="preserve">online.</w:t>
      </w:r>
      <w:r>
        <w:t xml:space="preserve"> </w:t>
      </w:r>
      <w:r>
        <w:t xml:space="preserve">Available</w:t>
      </w:r>
      <w:r>
        <w:t xml:space="preserve"> </w:t>
      </w:r>
      <w:r>
        <w:t xml:space="preserve">at:</w:t>
      </w:r>
      <w:r>
        <w:t xml:space="preserve"> </w:t>
      </w:r>
      <w:r>
        <w:t xml:space="preserve">https://echa.europa.eu/documents/10162/17088/project_report_ref-8_en.pdf/ccf2c453-da0e-</w:t>
      </w:r>
      <w:r>
        <w:t xml:space="preserve"> </w:t>
      </w:r>
      <w:r>
        <w:t xml:space="preserve">c185-908e-3a0343b25802?t=1638885422475</w:t>
      </w:r>
      <w:r>
        <w:t xml:space="preserve"> </w:t>
      </w:r>
      <w:r>
        <w:t xml:space="preserve">ECHA (2022), REACH registration statistics</w:t>
      </w:r>
      <w:r>
        <w:t xml:space="preserve"> </w:t>
      </w:r>
      <w:r>
        <w:t xml:space="preserve">ECHA</w:t>
      </w:r>
      <w:r>
        <w:t xml:space="preserve"> </w:t>
      </w:r>
      <w:r>
        <w:t xml:space="preserve">‘’Authorities to focus on substances of potential concern – Roadmap for SVHC</w:t>
      </w:r>
      <w:r>
        <w:t xml:space="preserve"> </w:t>
      </w:r>
      <w:r>
        <w:t xml:space="preserve">identification and implementation of REACH management measures – Annual report’</w:t>
      </w:r>
      <w:r>
        <w:t xml:space="preserve"> </w:t>
      </w:r>
      <w:r>
        <w:t xml:space="preserve">(2018)</w:t>
      </w:r>
      <w:r>
        <w:br/>
      </w:r>
      <w:r>
        <w:t xml:space="preserve">ECHA Costs and benefits of REACH restrictions proposed between 2016-2020 February</w:t>
      </w:r>
      <w:r>
        <w:t xml:space="preserve"> </w:t>
      </w:r>
      <w:r>
        <w:t xml:space="preserve">2021,</w:t>
      </w:r>
      <w:r>
        <w:t xml:space="preserve"> </w:t>
      </w:r>
      <w:r>
        <w:t xml:space="preserve">available</w:t>
      </w:r>
      <w:r>
        <w:t xml:space="preserve"> </w:t>
      </w:r>
      <w:r>
        <w:t xml:space="preserve">at:</w:t>
      </w:r>
      <w:r>
        <w:t xml:space="preserve"> </w:t>
      </w:r>
      <w:r>
        <w:t xml:space="preserve">https://echa.europa.eu/documents/10162/13630/costs_benefits_reach_restrictions_2020_en.p</w:t>
      </w:r>
      <w:r>
        <w:t xml:space="preserve"> </w:t>
      </w:r>
      <w:r>
        <w:t xml:space="preserve">df/a96dafc1-42bc-cb8c-8960-60af21808e2e</w:t>
      </w:r>
      <w:r>
        <w:t xml:space="preserve"> </w:t>
      </w:r>
      <w:r>
        <w:t xml:space="preserve">ECHA FORUM https://echa.europa.eu/about-us/who-we-are/enforcement-forum</w:t>
      </w:r>
      <w:r>
        <w:t xml:space="preserve"> </w:t>
      </w:r>
      <w:r>
        <w:t xml:space="preserve">ECHA FORUM Report on the pilot project on cooperation with customs in enforcement of</w:t>
      </w:r>
      <w:r>
        <w:t xml:space="preserve"> </w:t>
      </w:r>
      <w:r>
        <w:t xml:space="preserve">REACH restrictions and CLP labelling, Operational Phase: March–November 2019,</w:t>
      </w:r>
      <w:r>
        <w:t xml:space="preserve"> </w:t>
      </w:r>
      <w:r>
        <w:t xml:space="preserve">available</w:t>
      </w:r>
      <w:r>
        <w:t xml:space="preserve"> </w:t>
      </w:r>
      <w:r>
        <w:t xml:space="preserve">at:</w:t>
      </w:r>
      <w:r>
        <w:t xml:space="preserve"> </w:t>
      </w:r>
      <w:r>
        <w:t xml:space="preserve">https://echa.europa.eu/documents/10162/13555/customs2_project_report_en.pdf/5a2c3795-</w:t>
      </w:r>
      <w:r>
        <w:t xml:space="preserve"> </w:t>
      </w:r>
      <w:r>
        <w:t xml:space="preserve">7ed9-5900-fe28-540228abc7c1</w:t>
      </w:r>
      <w:r>
        <w:t xml:space="preserve"> </w:t>
      </w:r>
      <w:r>
        <w:t xml:space="preserve">ECHA</w:t>
      </w:r>
      <w:r>
        <w:t xml:space="preserve"> </w:t>
      </w:r>
      <w:r>
        <w:t xml:space="preserve">guidance</w:t>
      </w:r>
      <w:r>
        <w:t xml:space="preserve"> </w:t>
      </w:r>
      <w:r>
        <w:t xml:space="preserve">on</w:t>
      </w:r>
      <w:r>
        <w:t xml:space="preserve"> </w:t>
      </w:r>
      <w:r>
        <w:t xml:space="preserve">CLP</w:t>
      </w:r>
      <w:r>
        <w:t xml:space="preserve"> </w:t>
      </w:r>
      <w:r>
        <w:t xml:space="preserve">labelling</w:t>
      </w:r>
      <w:r>
        <w:t xml:space="preserve"> </w:t>
      </w:r>
      <w:r>
        <w:t xml:space="preserve">and</w:t>
      </w:r>
      <w:r>
        <w:t xml:space="preserve"> </w:t>
      </w:r>
      <w:r>
        <w:t xml:space="preserve">packaging</w:t>
      </w:r>
      <w:r>
        <w:br/>
      </w:r>
      <w:r>
        <w:t xml:space="preserve">https://echa.europa.eu/documents/10162/2324906/clp_labelling_en.pdf/89628d94-573a-</w:t>
      </w:r>
      <w:r>
        <w:t xml:space="preserve"> </w:t>
      </w:r>
      <w:r>
        <w:t xml:space="preserve">4024-86cc-0b4052a74d65</w:t>
      </w:r>
      <w:r>
        <w:br/>
      </w:r>
      <w:r>
        <w:t xml:space="preserve">ECHA guidance on labelling and packaging was first issued in 2011 and revised several</w:t>
      </w:r>
      <w:r>
        <w:t xml:space="preserve"> </w:t>
      </w:r>
      <w:r>
        <w:t xml:space="preserve">times.</w:t>
      </w:r>
    </w:p>
    <w:p>
      <w:pPr>
        <w:pStyle w:val="BodyText"/>
      </w:pPr>
      <w:r>
        <w:t xml:space="preserve">632</w:t>
      </w:r>
    </w:p>
    <w:p>
      <w:pPr>
        <w:pStyle w:val="BodyText"/>
      </w:pPr>
      <w:r>
        <w:t xml:space="preserve">ECHA Mandate for a Working Group of the Committee for Risk Assessment (RAC) to</w:t>
      </w:r>
      <w:r>
        <w:t xml:space="preserve"> </w:t>
      </w:r>
      <w:r>
        <w:t xml:space="preserve">handle</w:t>
      </w:r>
      <w:r>
        <w:t xml:space="preserve"> </w:t>
      </w:r>
      <w:r>
        <w:t xml:space="preserve">CLH</w:t>
      </w:r>
      <w:r>
        <w:t xml:space="preserve"> </w:t>
      </w:r>
      <w:r>
        <w:t xml:space="preserve">dossiers,</w:t>
      </w:r>
      <w:r>
        <w:t xml:space="preserve"> </w:t>
      </w:r>
      <w:r>
        <w:t xml:space="preserve">March</w:t>
      </w:r>
      <w:r>
        <w:t xml:space="preserve"> </w:t>
      </w:r>
      <w:r>
        <w:t xml:space="preserve">2022,,</w:t>
      </w:r>
      <w:r>
        <w:t xml:space="preserve"> </w:t>
      </w:r>
      <w:r>
        <w:t xml:space="preserve">available</w:t>
      </w:r>
      <w:r>
        <w:t xml:space="preserve"> </w:t>
      </w:r>
      <w:r>
        <w:t xml:space="preserve">at:</w:t>
      </w:r>
      <w:r>
        <w:br/>
      </w:r>
      <w:r>
        <w:t xml:space="preserve">https://www.echa.europa.eu/documents/10162/17090/rac_clh_wg_mandate_en.pdf/6dffef21-</w:t>
      </w:r>
      <w:r>
        <w:t xml:space="preserve"> </w:t>
      </w:r>
      <w:r>
        <w:t xml:space="preserve">b416-5403-25fb-21bdbbaaada8?t=161717861099</w:t>
      </w:r>
      <w:r>
        <w:t xml:space="preserve"> </w:t>
      </w:r>
      <w:r>
        <w:t xml:space="preserve">ECHA Page on Perfluoroalkyl chemicals (PFAS), available at: https://echa.europa.eu/hot-</w:t>
      </w:r>
      <w:r>
        <w:t xml:space="preserve"> </w:t>
      </w:r>
      <w:r>
        <w:t xml:space="preserve">topics/perfluoroalkyl-chemicals-pfas</w:t>
      </w:r>
      <w:r>
        <w:t xml:space="preserve"> </w:t>
      </w:r>
      <w:r>
        <w:t xml:space="preserve">ECHA REF-8 project report on enforcement of CLP, REACH and BPR duties related to</w:t>
      </w:r>
      <w:r>
        <w:t xml:space="preserve"> </w:t>
      </w:r>
      <w:r>
        <w:t xml:space="preserve">substances, mixtures and articles sold online, 2021.</w:t>
      </w:r>
      <w:r>
        <w:t xml:space="preserve"> </w:t>
      </w:r>
      <w:r>
        <w:t xml:space="preserve">ECHA, (2021c): Cosmetic Products Regulation, Annex VI - Allowed UV Filters. Available</w:t>
      </w:r>
      <w:r>
        <w:t xml:space="preserve"> </w:t>
      </w:r>
      <w:r>
        <w:t xml:space="preserve">at: https://echa.europa.eu/cosmetics-uv-filters [Accessed on: 30 November 2021]</w:t>
      </w:r>
      <w:r>
        <w:t xml:space="preserve"> </w:t>
      </w:r>
      <w:r>
        <w:t xml:space="preserve">ECHA, C&amp;L inventory: convergence in self-classification</w:t>
      </w:r>
      <w:r>
        <w:br/>
      </w:r>
      <w:r>
        <w:t xml:space="preserve">ECHA, Guidance on labelling and packaging in accordance with Regulation (EC) No</w:t>
      </w:r>
      <w:r>
        <w:t xml:space="preserve"> </w:t>
      </w:r>
      <w:r>
        <w:t xml:space="preserve">1272/2008, March 2021.</w:t>
      </w:r>
      <w:r>
        <w:br/>
      </w:r>
      <w:r>
        <w:t xml:space="preserve">ECHA, REF-6 project report - Classification and labelling of mixtures, 2019. ECHA REF-8</w:t>
      </w:r>
      <w:r>
        <w:t xml:space="preserve"> </w:t>
      </w:r>
      <w:r>
        <w:t xml:space="preserve">project report on enforcement of CLP, REACH and BPR duties related to substances,</w:t>
      </w:r>
      <w:r>
        <w:t xml:space="preserve"> </w:t>
      </w:r>
      <w:r>
        <w:t xml:space="preserve">mixtures and articles sold online, 2021.</w:t>
      </w:r>
      <w:r>
        <w:t xml:space="preserve"> </w:t>
      </w:r>
      <w:r>
        <w:t xml:space="preserve">ECHA, Tips for users of Chemicals in the workplace, A short guide for users of chemicals in</w:t>
      </w:r>
      <w:r>
        <w:t xml:space="preserve"> </w:t>
      </w:r>
      <w:r>
        <w:t xml:space="preserve">the workplace on how to get the most from the classification and labelling information you</w:t>
      </w:r>
      <w:r>
        <w:t xml:space="preserve"> </w:t>
      </w:r>
      <w:r>
        <w:t xml:space="preserve">receive, 2016.</w:t>
      </w:r>
      <w:r>
        <w:br/>
      </w:r>
      <w:r>
        <w:t xml:space="preserve">ECHA, Transparent progress in addressing substances of concern. Integrated Regulatory</w:t>
      </w:r>
      <w:r>
        <w:t xml:space="preserve"> </w:t>
      </w:r>
      <w:r>
        <w:t xml:space="preserve">Strategy annual report, 2021.</w:t>
      </w:r>
      <w:r>
        <w:t xml:space="preserve"> </w:t>
      </w:r>
      <w:r>
        <w:t xml:space="preserve">ECHA’s Annual Report 2020.</w:t>
      </w:r>
      <w:r>
        <w:t xml:space="preserve"> </w:t>
      </w:r>
      <w:r>
        <w:t xml:space="preserve">ECHA’s presentation at ad-hoc CARACAL of 14 December 2021.</w:t>
      </w:r>
      <w:r>
        <w:t xml:space="preserve"> </w:t>
      </w:r>
      <w:r>
        <w:t xml:space="preserve">EFSA, Chemical Hazards Database, available at: https://www.efsa.europa.eu/en/data-</w:t>
      </w:r>
      <w:r>
        <w:t xml:space="preserve"> </w:t>
      </w:r>
      <w:r>
        <w:t xml:space="preserve">report/chemical-hazards-database-openfoodtox</w:t>
      </w:r>
      <w:r>
        <w:t xml:space="preserve"> </w:t>
      </w:r>
      <w:r>
        <w:t xml:space="preserve">EFSA, Scientific opinion on PFAS.</w:t>
      </w:r>
      <w:r>
        <w:br/>
      </w:r>
      <w:r>
        <w:t xml:space="preserve">EFSA, Scientific Opinion, Update of the risk assessment of nickel in food and drinking</w:t>
      </w:r>
      <w:r>
        <w:t xml:space="preserve"> </w:t>
      </w:r>
      <w:r>
        <w:t xml:space="preserve">water, available at https://efsa.onlinelibrary.wiley.com/doi/pdf/10.2903/j.efsa.2020.6268</w:t>
      </w:r>
      <w:r>
        <w:t xml:space="preserve"> </w:t>
      </w:r>
      <w:r>
        <w:t xml:space="preserve">Elser, B. &amp; Radel, T. (2020). Why digital marketplaces deserve a chance in chemicals. In</w:t>
      </w:r>
      <w:r>
        <w:t xml:space="preserve"> </w:t>
      </w:r>
      <w:r>
        <w:t xml:space="preserve">Accenture</w:t>
      </w:r>
      <w:r>
        <w:t xml:space="preserve"> </w:t>
      </w:r>
      <w:r>
        <w:t xml:space="preserve">Chemicals</w:t>
      </w:r>
      <w:r>
        <w:t xml:space="preserve"> </w:t>
      </w:r>
      <w:r>
        <w:t xml:space="preserve">and</w:t>
      </w:r>
      <w:r>
        <w:t xml:space="preserve"> </w:t>
      </w:r>
      <w:r>
        <w:t xml:space="preserve">Natural</w:t>
      </w:r>
      <w:r>
        <w:t xml:space="preserve"> </w:t>
      </w:r>
      <w:r>
        <w:t xml:space="preserve">Resources</w:t>
      </w:r>
      <w:r>
        <w:t xml:space="preserve"> </w:t>
      </w:r>
      <w:r>
        <w:t xml:space="preserve">Blog.</w:t>
      </w:r>
      <w:r>
        <w:t xml:space="preserve"> </w:t>
      </w:r>
      <w:r>
        <w:t xml:space="preserve">Available</w:t>
      </w:r>
      <w:r>
        <w:t xml:space="preserve"> </w:t>
      </w:r>
      <w:r>
        <w:t xml:space="preserve">at:</w:t>
      </w:r>
      <w:r>
        <w:t xml:space="preserve"> </w:t>
      </w:r>
      <w:r>
        <w:t xml:space="preserve">https://www.accenture.com/us-en/blogs/chemicals-and-natural-resources-blog/elser-radel-</w:t>
      </w:r>
      <w:r>
        <w:t xml:space="preserve"> </w:t>
      </w:r>
      <w:r>
        <w:t xml:space="preserve">digital-marketplaces-deserve-a-chance-in-chemicals</w:t>
      </w:r>
      <w:r>
        <w:t xml:space="preserve"> </w:t>
      </w:r>
      <w:r>
        <w:t xml:space="preserve">EMA (2015): Guideline on the assessment of persistent, bioaccumulative and toxic (PBT) or</w:t>
      </w:r>
      <w:r>
        <w:t xml:space="preserve"> </w:t>
      </w:r>
      <w:r>
        <w:t xml:space="preserve">very persistent and very bioaccumulative (vPvB) substances in veterinary medicinal products.</w:t>
      </w:r>
      <w:r>
        <w:t xml:space="preserve"> </w:t>
      </w:r>
      <w:r>
        <w:t xml:space="preserve">Committee for Medicinal Products for Veterinary Use (CVMP). European Medicines</w:t>
      </w:r>
      <w:r>
        <w:t xml:space="preserve"> </w:t>
      </w:r>
      <w:r>
        <w:t xml:space="preserve">Agency. EMA/CVMP/ERA/52740/2012. 10 September 2015.</w:t>
      </w:r>
    </w:p>
    <w:p>
      <w:pPr>
        <w:pStyle w:val="BodyText"/>
      </w:pPr>
      <w:r>
        <w:t xml:space="preserve">633</w:t>
      </w:r>
    </w:p>
    <w:p>
      <w:pPr>
        <w:pStyle w:val="BodyText"/>
      </w:pPr>
      <w:r>
        <w:t xml:space="preserve">EMA (2018). Guideline on the environmental risk assessment of medicinal products for</w:t>
      </w:r>
      <w:r>
        <w:t xml:space="preserve"> </w:t>
      </w:r>
      <w:r>
        <w:t xml:space="preserve">human use. Available at: https://www.ema.europa.eu/en/documents/scientific-guideline/draft-</w:t>
      </w:r>
      <w:r>
        <w:t xml:space="preserve"> </w:t>
      </w:r>
      <w:r>
        <w:t xml:space="preserve">guideline-environmental-risk-assessment-medicinal-products-human-use-revision-1_en.pdf</w:t>
      </w:r>
      <w:r>
        <w:br/>
      </w:r>
      <w:r>
        <w:t xml:space="preserve">EMA (2021c): Sales of veterinary antimicrobial agents in 31 European countries in 2019 and</w:t>
      </w:r>
      <w:r>
        <w:t xml:space="preserve"> </w:t>
      </w:r>
      <w:r>
        <w:t xml:space="preserve">2020.</w:t>
      </w:r>
      <w:r>
        <w:t xml:space="preserve"> </w:t>
      </w:r>
      <w:r>
        <w:t xml:space="preserve">Available</w:t>
      </w:r>
      <w:r>
        <w:t xml:space="preserve"> </w:t>
      </w:r>
      <w:r>
        <w:t xml:space="preserve">at:</w:t>
      </w:r>
      <w:r>
        <w:t xml:space="preserve"> </w:t>
      </w:r>
      <w:r>
        <w:t xml:space="preserve">https://www.ema.europa.eu/en/documents/report/sales-veterinary-</w:t>
      </w:r>
      <w:r>
        <w:t xml:space="preserve"> </w:t>
      </w:r>
      <w:r>
        <w:t xml:space="preserve">antimicrobial-agents-31-european-countries-2019-2020-trends-2010-2020-eleventh_en.pdf</w:t>
      </w:r>
      <w:r>
        <w:t xml:space="preserve"> </w:t>
      </w:r>
      <w:r>
        <w:t xml:space="preserve">EMA, (2018): Guideline on the environmental risk assessment of medicinal products for</w:t>
      </w:r>
      <w:r>
        <w:t xml:space="preserve"> </w:t>
      </w:r>
      <w:r>
        <w:t xml:space="preserve">human use. Available at: https://www.ema.europa.eu/en/documents/scientific-guideline/draft-</w:t>
      </w:r>
      <w:r>
        <w:t xml:space="preserve"> </w:t>
      </w:r>
      <w:r>
        <w:t xml:space="preserve">guideline-environmental-risk-assessment-medicinal-products-human-use-revision-1_en.pdf</w:t>
      </w:r>
      <w:r>
        <w:t xml:space="preserve"> </w:t>
      </w:r>
      <w:r>
        <w:t xml:space="preserve">[Accessed on: 30 November 2021]</w:t>
      </w:r>
      <w:r>
        <w:t xml:space="preserve"> </w:t>
      </w:r>
      <w:r>
        <w:t xml:space="preserve">EMA, (2021a): Concept paper on the development of a guideline on the 5 environmental risk</w:t>
      </w:r>
      <w:r>
        <w:t xml:space="preserve"> </w:t>
      </w:r>
      <w:r>
        <w:t xml:space="preserve">assessment of veterinary medicinal 6 products intended to be used in aquaculture. Available</w:t>
      </w:r>
      <w:r>
        <w:t xml:space="preserve"> </w:t>
      </w:r>
      <w:r>
        <w:t xml:space="preserve">at:</w:t>
      </w:r>
      <w:r>
        <w:t xml:space="preserve"> </w:t>
      </w:r>
      <w:r>
        <w:t xml:space="preserve">https://www.ema.europa.eu/en/documents/scientific-guideline/concept-paper-</w:t>
      </w:r>
      <w:r>
        <w:t xml:space="preserve"> </w:t>
      </w:r>
      <w:r>
        <w:t xml:space="preserve">development-guideline-environmental-risk-assessment-veterinary-medicinal-products_en.pdf</w:t>
      </w:r>
      <w:r>
        <w:t xml:space="preserve"> </w:t>
      </w:r>
      <w:r>
        <w:t xml:space="preserve">[Accessed on: 30 November 2021]</w:t>
      </w:r>
      <w:r>
        <w:t xml:space="preserve"> </w:t>
      </w:r>
      <w:r>
        <w:t xml:space="preserve">EMA,</w:t>
      </w:r>
      <w:r>
        <w:t xml:space="preserve"> </w:t>
      </w:r>
      <w:r>
        <w:t xml:space="preserve">(2021b):</w:t>
      </w:r>
      <w:r>
        <w:t xml:space="preserve"> </w:t>
      </w:r>
      <w:r>
        <w:t xml:space="preserve">Medical</w:t>
      </w:r>
      <w:r>
        <w:t xml:space="preserve"> </w:t>
      </w:r>
      <w:r>
        <w:t xml:space="preserve">devices.</w:t>
      </w:r>
      <w:r>
        <w:t xml:space="preserve"> </w:t>
      </w:r>
      <w:r>
        <w:t xml:space="preserve">Available</w:t>
      </w:r>
      <w:r>
        <w:t xml:space="preserve"> </w:t>
      </w:r>
      <w:r>
        <w:t xml:space="preserve">at:</w:t>
      </w:r>
      <w:r>
        <w:t xml:space="preserve"> </w:t>
      </w:r>
      <w:r>
        <w:t xml:space="preserve">https://www.ema.europa.eu/en/humanregulatory/overview/medical-devices [Accessed on: 30</w:t>
      </w:r>
      <w:r>
        <w:t xml:space="preserve"> </w:t>
      </w:r>
      <w:r>
        <w:t xml:space="preserve">November 2021]</w:t>
      </w:r>
      <w:r>
        <w:t xml:space="preserve"> </w:t>
      </w:r>
      <w:r>
        <w:t xml:space="preserve">ESPAS Megatrends, available at : https://ec.europa.eu/assets/epsc/pages/espas/chapter1.html</w:t>
      </w:r>
      <w:r>
        <w:t xml:space="preserve"> </w:t>
      </w:r>
      <w:r>
        <w:t xml:space="preserve">EU Digital Covid Certificate: https://ec.europa.eu/info/live-work-travel-eu/coronavirus-</w:t>
      </w:r>
      <w:r>
        <w:t xml:space="preserve"> </w:t>
      </w:r>
      <w:r>
        <w:t xml:space="preserve">response/safe-covid-19-vaccines-europeans/eu-digital-covid-certificate_en</w:t>
      </w:r>
      <w:r>
        <w:br/>
      </w:r>
      <w:r>
        <w:t xml:space="preserve">European Commission (2002): Communication from the Commission. Towards a reinforced</w:t>
      </w:r>
      <w:r>
        <w:t xml:space="preserve"> </w:t>
      </w:r>
      <w:r>
        <w:t xml:space="preserve">culture of consultation and dialogue - General principles and minimum standards for</w:t>
      </w:r>
      <w:r>
        <w:t xml:space="preserve"> </w:t>
      </w:r>
      <w:r>
        <w:t xml:space="preserve">consultation</w:t>
      </w:r>
      <w:r>
        <w:br/>
      </w:r>
      <w:r>
        <w:t xml:space="preserve">European Commission (2006): Guidance for the Setting and Application of Acceptable</w:t>
      </w:r>
      <w:r>
        <w:t xml:space="preserve"> </w:t>
      </w:r>
      <w:r>
        <w:t xml:space="preserve">Operator Exposure Levels (AOELs). Draft. SANCO 7531 - rev.10. Directorate E – Safety of</w:t>
      </w:r>
      <w:r>
        <w:t xml:space="preserve"> </w:t>
      </w:r>
      <w:r>
        <w:t xml:space="preserve">the food chain. E3 - Chemicals, Contaminants, Pesticides.</w:t>
      </w:r>
      <w:r>
        <w:t xml:space="preserve"> </w:t>
      </w:r>
      <w:r>
        <w:t xml:space="preserve">European Commission (2015): 18th Meeting of Competent Authorities for REACH and CLP</w:t>
      </w:r>
      <w:r>
        <w:t xml:space="preserve"> </w:t>
      </w:r>
      <w:r>
        <w:t xml:space="preserve">(CARACAL) – 23 – 24 June 2015 CA/51/2015</w:t>
      </w:r>
      <w:r>
        <w:t xml:space="preserve"> </w:t>
      </w:r>
      <w:r>
        <w:t xml:space="preserve">European Commission (2015b): Commission Implementing Decision (EU) 2015/495 of 20</w:t>
      </w:r>
      <w:r>
        <w:t xml:space="preserve"> </w:t>
      </w:r>
      <w:r>
        <w:t xml:space="preserve">March 2015 establishing a watch list of substances for Union-wide monitoring in the field of</w:t>
      </w:r>
      <w:r>
        <w:t xml:space="preserve"> </w:t>
      </w:r>
      <w:r>
        <w:t xml:space="preserve">water policy pursuant to Directive 2008/105/EC of the European Parliament and of the</w:t>
      </w:r>
      <w:r>
        <w:t xml:space="preserve"> </w:t>
      </w:r>
      <w:r>
        <w:t xml:space="preserve">Council (notified under document C(2015) 1756) Text with EEA relevance. Available at:</w:t>
      </w:r>
      <w:r>
        <w:t xml:space="preserve"> </w:t>
      </w:r>
      <w:r>
        <w:t xml:space="preserve">https://eur-lex.europa.eu/legal-content/EN/ALL/?uri=CELEX%3A32015D0495</w:t>
      </w:r>
      <w:r>
        <w:t xml:space="preserve"> </w:t>
      </w:r>
      <w:r>
        <w:t xml:space="preserve">European Commission (2015d): Medical devices: guidance document. Borderline products,</w:t>
      </w:r>
      <w:r>
        <w:t xml:space="preserve"> </w:t>
      </w:r>
      <w:r>
        <w:t xml:space="preserve">drug-delivery products and medical devices incorporating, as an integral part, an ancillary</w:t>
      </w:r>
      <w:r>
        <w:t xml:space="preserve"> </w:t>
      </w:r>
      <w:r>
        <w:t xml:space="preserve">medicinal</w:t>
      </w:r>
      <w:r>
        <w:t xml:space="preserve"> </w:t>
      </w:r>
      <w:r>
        <w:t xml:space="preserve">substance</w:t>
      </w:r>
      <w:r>
        <w:t xml:space="preserve"> </w:t>
      </w:r>
      <w:r>
        <w:t xml:space="preserve">or</w:t>
      </w:r>
      <w:r>
        <w:t xml:space="preserve"> </w:t>
      </w:r>
      <w:r>
        <w:t xml:space="preserve">an</w:t>
      </w:r>
      <w:r>
        <w:t xml:space="preserve"> </w:t>
      </w:r>
      <w:r>
        <w:t xml:space="preserve">ancillary</w:t>
      </w:r>
      <w:r>
        <w:t xml:space="preserve"> </w:t>
      </w:r>
      <w:r>
        <w:t xml:space="preserve">human</w:t>
      </w:r>
      <w:r>
        <w:t xml:space="preserve"> </w:t>
      </w:r>
      <w:r>
        <w:t xml:space="preserve">blood</w:t>
      </w:r>
      <w:r>
        <w:t xml:space="preserve"> </w:t>
      </w:r>
      <w:r>
        <w:t xml:space="preserve">derivative.</w:t>
      </w:r>
      <w:r>
        <w:t xml:space="preserve"> </w:t>
      </w:r>
      <w:r>
        <w:t xml:space="preserve">Available</w:t>
      </w:r>
      <w:r>
        <w:t xml:space="preserve"> </w:t>
      </w:r>
      <w:r>
        <w:t xml:space="preserve">at:</w:t>
      </w:r>
      <w:r>
        <w:t xml:space="preserve"> </w:t>
      </w:r>
      <w:r>
        <w:t xml:space="preserve">https://www.medical-device-regulation.eu/wp-content/uploads/2019/05/2_1_3_rev_3-</w:t>
      </w:r>
      <w:r>
        <w:t xml:space="preserve"> </w:t>
      </w:r>
      <w:r>
        <w:t xml:space="preserve">12_2009_en.pdf</w:t>
      </w:r>
    </w:p>
    <w:p>
      <w:pPr>
        <w:pStyle w:val="BodyText"/>
      </w:pPr>
      <w:r>
        <w:t xml:space="preserve">634</w:t>
      </w:r>
    </w:p>
    <w:p>
      <w:pPr>
        <w:pStyle w:val="BodyText"/>
      </w:pPr>
      <w:r>
        <w:t xml:space="preserve">European Commission (2018): 27th Meeting of Competent Authorities for REACH and CLP</w:t>
      </w:r>
      <w:r>
        <w:t xml:space="preserve"> </w:t>
      </w:r>
      <w:r>
        <w:t xml:space="preserve">(CARACAL) –18 June 2018 CA/72/2018</w:t>
      </w:r>
      <w:r>
        <w:t xml:space="preserve"> </w:t>
      </w:r>
      <w:r>
        <w:t xml:space="preserve">European Commission (2018b): Communication from the Commission to the European</w:t>
      </w:r>
      <w:r>
        <w:t xml:space="preserve"> </w:t>
      </w:r>
      <w:r>
        <w:t xml:space="preserve">Parliament, the European Council, the Council, the European Economic and Social</w:t>
      </w:r>
      <w:r>
        <w:t xml:space="preserve"> </w:t>
      </w:r>
      <w:r>
        <w:t xml:space="preserve">Committee and the Committee of the Regions. Towards a comprehensive European Union</w:t>
      </w:r>
      <w:r>
        <w:t xml:space="preserve"> </w:t>
      </w:r>
      <w:r>
        <w:t xml:space="preserve">framework on endocrine disruptors. COM(2018) 734 final. Brussels, 7.11.2018</w:t>
      </w:r>
      <w:r>
        <w:t xml:space="preserve"> </w:t>
      </w:r>
      <w:r>
        <w:t xml:space="preserve">European Commission (2018d): Commission Implementing Decision (EU) 2018/840 of 5</w:t>
      </w:r>
      <w:r>
        <w:t xml:space="preserve"> </w:t>
      </w:r>
      <w:r>
        <w:t xml:space="preserve">June 2018 establishing a watch list of substances for Union-wide monitoring in the field of</w:t>
      </w:r>
      <w:r>
        <w:t xml:space="preserve"> </w:t>
      </w:r>
      <w:r>
        <w:t xml:space="preserve">water policy pursuant to Directive 2008/105/EC of the European Parliament and of the</w:t>
      </w:r>
      <w:r>
        <w:t xml:space="preserve"> </w:t>
      </w:r>
      <w:r>
        <w:t xml:space="preserve">Council and repealing Commission Implementing Decision (EU) 2015/495 (notified under</w:t>
      </w:r>
      <w:r>
        <w:t xml:space="preserve"> </w:t>
      </w:r>
      <w:r>
        <w:t xml:space="preserve">document</w:t>
      </w:r>
      <w:r>
        <w:t xml:space="preserve"> </w:t>
      </w:r>
      <w:r>
        <w:t xml:space="preserve">C(2018)</w:t>
      </w:r>
      <w:r>
        <w:t xml:space="preserve"> </w:t>
      </w:r>
      <w:r>
        <w:t xml:space="preserve">3362).</w:t>
      </w:r>
      <w:r>
        <w:t xml:space="preserve"> </w:t>
      </w:r>
      <w:r>
        <w:t xml:space="preserve">Available</w:t>
      </w:r>
      <w:r>
        <w:t xml:space="preserve"> </w:t>
      </w:r>
      <w:r>
        <w:t xml:space="preserve">at:</w:t>
      </w:r>
      <w:r>
        <w:t xml:space="preserve"> </w:t>
      </w:r>
      <w:r>
        <w:t xml:space="preserve">https://eur-lex.europa.eu/legal-</w:t>
      </w:r>
      <w:r>
        <w:t xml:space="preserve"> </w:t>
      </w:r>
      <w:r>
        <w:t xml:space="preserve">content/en/TXT/?uri=CELEX%3A32018D0840</w:t>
      </w:r>
      <w:r>
        <w:t xml:space="preserve"> </w:t>
      </w:r>
      <w:r>
        <w:t xml:space="preserve">European Commission (2018e): THE REFIT EVALUATION of the General Food Law</w:t>
      </w:r>
      <w:r>
        <w:t xml:space="preserve"> </w:t>
      </w:r>
      <w:r>
        <w:t xml:space="preserve">(Regulation</w:t>
      </w:r>
      <w:r>
        <w:t xml:space="preserve"> </w:t>
      </w:r>
      <w:r>
        <w:t xml:space="preserve">(EC)</w:t>
      </w:r>
      <w:r>
        <w:t xml:space="preserve"> </w:t>
      </w:r>
      <w:r>
        <w:t xml:space="preserve">No</w:t>
      </w:r>
      <w:r>
        <w:t xml:space="preserve"> </w:t>
      </w:r>
      <w:r>
        <w:t xml:space="preserve">178/2002).</w:t>
      </w:r>
      <w:r>
        <w:t xml:space="preserve"> </w:t>
      </w:r>
      <w:r>
        <w:t xml:space="preserve">Available</w:t>
      </w:r>
      <w:r>
        <w:t xml:space="preserve"> </w:t>
      </w:r>
      <w:r>
        <w:t xml:space="preserve">at:</w:t>
      </w:r>
      <w:r>
        <w:t xml:space="preserve"> </w:t>
      </w:r>
      <w:r>
        <w:t xml:space="preserve">https://ec.europa.eu/info/sites/default/files/food_law_swd_2018_38.pdf [Accessed on: 30</w:t>
      </w:r>
      <w:r>
        <w:t xml:space="preserve"> </w:t>
      </w:r>
      <w:r>
        <w:t xml:space="preserve">November 2021]</w:t>
      </w:r>
      <w:r>
        <w:t xml:space="preserve"> </w:t>
      </w:r>
      <w:r>
        <w:t xml:space="preserve">European Commission (2018f): Commission staff working document. Synopsis report</w:t>
      </w:r>
      <w:r>
        <w:t xml:space="preserve"> </w:t>
      </w:r>
      <w:r>
        <w:t xml:space="preserve">accompanying the document Regulation of the European Parliament and of the Council on</w:t>
      </w:r>
      <w:r>
        <w:t xml:space="preserve"> </w:t>
      </w:r>
      <w:r>
        <w:t xml:space="preserve">the transparency and sustainability of the EU risk assessment in the food chain amending</w:t>
      </w:r>
      <w:r>
        <w:t xml:space="preserve"> </w:t>
      </w:r>
      <w:r>
        <w:t xml:space="preserve">Regulation (EC) No 178/2002 [on general food law], Directive 2001/18/EC [on the deliberate</w:t>
      </w:r>
      <w:r>
        <w:t xml:space="preserve"> </w:t>
      </w:r>
      <w:r>
        <w:t xml:space="preserve">release into the environment of GMOs], Regulation (EC) No 1829/2003 [on GM food and</w:t>
      </w:r>
      <w:r>
        <w:t xml:space="preserve"> </w:t>
      </w:r>
      <w:r>
        <w:t xml:space="preserve">feed], Regulation (EC) No 1831/2003 [on feed additives], Regulation (EC) No 2065/2003 [on</w:t>
      </w:r>
      <w:r>
        <w:t xml:space="preserve"> </w:t>
      </w:r>
      <w:r>
        <w:t xml:space="preserve">smoke flavourings], Regulation (EC) No 1935/2004 [on food contact materials], Regulation</w:t>
      </w:r>
      <w:r>
        <w:t xml:space="preserve"> </w:t>
      </w:r>
      <w:r>
        <w:t xml:space="preserve">(EC) No 1331/2008 [on the common authorisation procedure for food additives, food</w:t>
      </w:r>
      <w:r>
        <w:t xml:space="preserve"> </w:t>
      </w:r>
      <w:r>
        <w:t xml:space="preserve">enzymes and food flavourings], Regulation (EC) No 1107/2009 [on plant protection</w:t>
      </w:r>
      <w:r>
        <w:t xml:space="preserve"> </w:t>
      </w:r>
      <w:r>
        <w:t xml:space="preserve">products] and Regulation (EC) No 2015/2283 [on novel foods]. Available at: https://eur-</w:t>
      </w:r>
      <w:r>
        <w:t xml:space="preserve"> </w:t>
      </w:r>
      <w:r>
        <w:t xml:space="preserve">lex.europa.eu/legal-content/EN/TXT/PDF/?uri=CELEX:52018SC0097&amp;from=EN</w:t>
      </w:r>
      <w:r>
        <w:t xml:space="preserve"> </w:t>
      </w:r>
      <w:r>
        <w:t xml:space="preserve">European Commission (2018g): A European strategy for plastics in a circular economy.</w:t>
      </w:r>
      <w:r>
        <w:t xml:space="preserve"> </w:t>
      </w:r>
      <w:r>
        <w:t xml:space="preserve">Available</w:t>
      </w:r>
      <w:r>
        <w:t xml:space="preserve"> </w:t>
      </w:r>
      <w:r>
        <w:t xml:space="preserve">at:</w:t>
      </w:r>
      <w:r>
        <w:t xml:space="preserve"> </w:t>
      </w:r>
      <w:r>
        <w:t xml:space="preserve">https://eur-lex.europa.eu/legal-</w:t>
      </w:r>
      <w:r>
        <w:t xml:space="preserve"> </w:t>
      </w:r>
      <w:r>
        <w:t xml:space="preserve">content/EN/TXT/PDF/?uri=CELEX:52018DC0028&amp;from=EN</w:t>
      </w:r>
      <w:r>
        <w:t xml:space="preserve"> </w:t>
      </w:r>
      <w:r>
        <w:t xml:space="preserve">European Commission (2019e): Commission Staff Working Document. Fitness Check of the</w:t>
      </w:r>
      <w:r>
        <w:t xml:space="preserve"> </w:t>
      </w:r>
      <w:r>
        <w:t xml:space="preserve">most relevant chemicals legislation (excluding REACH), as well as related aspects of</w:t>
      </w:r>
      <w:r>
        <w:t xml:space="preserve"> </w:t>
      </w:r>
      <w:r>
        <w:t xml:space="preserve">legislation applied to downstream industries, accompanying the document “Report from the</w:t>
      </w:r>
      <w:r>
        <w:t xml:space="preserve"> </w:t>
      </w:r>
      <w:r>
        <w:t xml:space="preserve">Commission to the European Parliament, the Council, the European Economic and Social</w:t>
      </w:r>
      <w:r>
        <w:t xml:space="preserve"> </w:t>
      </w:r>
      <w:r>
        <w:t xml:space="preserve">Committee and the Committee of the Regions. Findings of the Fitness Check of the most</w:t>
      </w:r>
      <w:r>
        <w:t xml:space="preserve"> </w:t>
      </w:r>
      <w:r>
        <w:t xml:space="preserve">relevant chemicals legislation (excluding REACH) and identified challenges, gaps and</w:t>
      </w:r>
      <w:r>
        <w:t xml:space="preserve"> </w:t>
      </w:r>
      <w:r>
        <w:t xml:space="preserve">weaknesses”. SWD(2019) 199 final/2. Brussels, 18.7.2019.</w:t>
      </w:r>
      <w:r>
        <w:t xml:space="preserve"> </w:t>
      </w:r>
      <w:r>
        <w:t xml:space="preserve">European Commission (2019f): Why are potential dangerous phthalates allowed in medical</w:t>
      </w:r>
      <w:r>
        <w:t xml:space="preserve"> </w:t>
      </w:r>
      <w:r>
        <w:t xml:space="preserve">devices,</w:t>
      </w:r>
      <w:r>
        <w:t xml:space="preserve"> </w:t>
      </w:r>
      <w:r>
        <w:t xml:space="preserve">and</w:t>
      </w:r>
      <w:r>
        <w:t xml:space="preserve"> </w:t>
      </w:r>
      <w:r>
        <w:t xml:space="preserve">who</w:t>
      </w:r>
      <w:r>
        <w:t xml:space="preserve"> </w:t>
      </w:r>
      <w:r>
        <w:t xml:space="preserve">decides</w:t>
      </w:r>
      <w:r>
        <w:t xml:space="preserve"> </w:t>
      </w:r>
      <w:r>
        <w:t xml:space="preserve">if</w:t>
      </w:r>
      <w:r>
        <w:t xml:space="preserve"> </w:t>
      </w:r>
      <w:r>
        <w:t xml:space="preserve">their</w:t>
      </w:r>
      <w:r>
        <w:t xml:space="preserve"> </w:t>
      </w:r>
      <w:r>
        <w:t xml:space="preserve">use</w:t>
      </w:r>
      <w:r>
        <w:t xml:space="preserve"> </w:t>
      </w:r>
      <w:r>
        <w:t xml:space="preserve">is</w:t>
      </w:r>
      <w:r>
        <w:t xml:space="preserve"> </w:t>
      </w:r>
      <w:r>
        <w:t xml:space="preserve">warranted?</w:t>
      </w:r>
      <w:r>
        <w:t xml:space="preserve"> </w:t>
      </w:r>
      <w:r>
        <w:t xml:space="preserve">Available</w:t>
      </w:r>
      <w:r>
        <w:t xml:space="preserve"> </w:t>
      </w:r>
      <w:r>
        <w:t xml:space="preserve">at:</w:t>
      </w:r>
      <w:r>
        <w:t xml:space="preserve"> </w:t>
      </w:r>
      <w:r>
        <w:t xml:space="preserve">https://ec.europa.eu/health/sites/default/files/scientific_committees/docs/citizens_phthalates_</w:t>
      </w:r>
      <w:r>
        <w:t xml:space="preserve"> </w:t>
      </w:r>
      <w:r>
        <w:t xml:space="preserve">en.pdf</w:t>
      </w:r>
      <w:r>
        <w:t xml:space="preserve"> </w:t>
      </w:r>
      <w:r>
        <w:t xml:space="preserve">European Commission (2019g): Communication from the Commission to the European</w:t>
      </w:r>
      <w:r>
        <w:t xml:space="preserve"> </w:t>
      </w:r>
      <w:r>
        <w:t xml:space="preserve">Parliament, the Council and the European Economic and Social Committee. European Union</w:t>
      </w:r>
    </w:p>
    <w:p>
      <w:pPr>
        <w:pStyle w:val="BodyText"/>
      </w:pPr>
      <w:r>
        <w:t xml:space="preserve">635</w:t>
      </w:r>
    </w:p>
    <w:p>
      <w:pPr>
        <w:pStyle w:val="BodyText"/>
      </w:pPr>
      <w:r>
        <w:t xml:space="preserve">Strategic</w:t>
      </w:r>
      <w:r>
        <w:t xml:space="preserve"> </w:t>
      </w:r>
      <w:r>
        <w:t xml:space="preserve">Approach</w:t>
      </w:r>
      <w:r>
        <w:t xml:space="preserve"> </w:t>
      </w:r>
      <w:r>
        <w:t xml:space="preserve">to</w:t>
      </w:r>
      <w:r>
        <w:t xml:space="preserve"> </w:t>
      </w:r>
      <w:r>
        <w:t xml:space="preserve">Pharmaceuticals</w:t>
      </w:r>
      <w:r>
        <w:t xml:space="preserve"> </w:t>
      </w:r>
      <w:r>
        <w:t xml:space="preserve">in</w:t>
      </w:r>
      <w:r>
        <w:t xml:space="preserve"> </w:t>
      </w:r>
      <w:r>
        <w:t xml:space="preserve">the</w:t>
      </w:r>
      <w:r>
        <w:t xml:space="preserve"> </w:t>
      </w:r>
      <w:r>
        <w:t xml:space="preserve">Environment.</w:t>
      </w:r>
      <w:r>
        <w:t xml:space="preserve"> </w:t>
      </w:r>
      <w:r>
        <w:t xml:space="preserve">Available</w:t>
      </w:r>
      <w:r>
        <w:t xml:space="preserve"> </w:t>
      </w:r>
      <w:r>
        <w:t xml:space="preserve">at:</w:t>
      </w:r>
      <w:r>
        <w:t xml:space="preserve"> </w:t>
      </w:r>
      <w:r>
        <w:t xml:space="preserve">https://ec.europa.eu/environment/water/waterdangersub/pdf/strategic_approach_pharmaceutic</w:t>
      </w:r>
      <w:r>
        <w:t xml:space="preserve"> </w:t>
      </w:r>
      <w:r>
        <w:t xml:space="preserve">als_env.PDF</w:t>
      </w:r>
      <w:r>
        <w:t xml:space="preserve"> </w:t>
      </w:r>
      <w:r>
        <w:t xml:space="preserve">European</w:t>
      </w:r>
      <w:r>
        <w:t xml:space="preserve"> </w:t>
      </w:r>
      <w:r>
        <w:t xml:space="preserve">Commission</w:t>
      </w:r>
      <w:r>
        <w:t xml:space="preserve"> </w:t>
      </w:r>
      <w:r>
        <w:t xml:space="preserve">(2020).</w:t>
      </w:r>
      <w:r>
        <w:t xml:space="preserve"> </w:t>
      </w:r>
      <w:r>
        <w:t xml:space="preserve">Sustainable</w:t>
      </w:r>
      <w:r>
        <w:t xml:space="preserve"> </w:t>
      </w:r>
      <w:r>
        <w:t xml:space="preserve">Products</w:t>
      </w:r>
      <w:r>
        <w:t xml:space="preserve"> </w:t>
      </w:r>
      <w:r>
        <w:t xml:space="preserve">Initiative.</w:t>
      </w:r>
      <w:r>
        <w:t xml:space="preserve"> </w:t>
      </w:r>
      <w:r>
        <w:t xml:space="preserve">Available</w:t>
      </w:r>
      <w:r>
        <w:t xml:space="preserve"> </w:t>
      </w:r>
      <w:r>
        <w:t xml:space="preserve">at:</w:t>
      </w:r>
      <w:r>
        <w:t xml:space="preserve"> </w:t>
      </w:r>
      <w:r>
        <w:t xml:space="preserve">https://ec.europa.eu/info/law/better-regulation/have-your-say/initiatives/12567-Sustainable-</w:t>
      </w:r>
      <w:r>
        <w:t xml:space="preserve"> </w:t>
      </w:r>
      <w:r>
        <w:t xml:space="preserve">products-initiative_en</w:t>
      </w:r>
      <w:r>
        <w:t xml:space="preserve"> </w:t>
      </w:r>
      <w:r>
        <w:t xml:space="preserve">European Commission (2020a): Communication from the Commission to the European</w:t>
      </w:r>
      <w:r>
        <w:t xml:space="preserve"> </w:t>
      </w:r>
      <w:r>
        <w:t xml:space="preserve">Parliament, the European Council, the Council, the European Economic and Social</w:t>
      </w:r>
      <w:r>
        <w:t xml:space="preserve"> </w:t>
      </w:r>
      <w:r>
        <w:t xml:space="preserve">Committee and the Committee of the Regions. Chemicals Strategy for Sustainability Towards</w:t>
      </w:r>
      <w:r>
        <w:t xml:space="preserve"> </w:t>
      </w:r>
      <w:r>
        <w:t xml:space="preserve">a Toxic-Free Environment. COM(2020) 667 final. Brussels, 14.10.2020.</w:t>
      </w:r>
      <w:r>
        <w:t xml:space="preserve"> </w:t>
      </w:r>
      <w:r>
        <w:t xml:space="preserve">European Commission (2020b): Commission Staff Working Document. Fitness Check on</w:t>
      </w:r>
      <w:r>
        <w:t xml:space="preserve"> </w:t>
      </w:r>
      <w:r>
        <w:t xml:space="preserve">endocrine disruptors accompanying the document Communication from the Commission to</w:t>
      </w:r>
      <w:r>
        <w:t xml:space="preserve"> </w:t>
      </w:r>
      <w:r>
        <w:t xml:space="preserve">the European Parliament, the European Council, the Council, the European Economic and</w:t>
      </w:r>
      <w:r>
        <w:t xml:space="preserve"> </w:t>
      </w:r>
      <w:r>
        <w:t xml:space="preserve">Social Committee and the Committee of the Regions. Chemicals Strategy for Sustainability</w:t>
      </w:r>
      <w:r>
        <w:t xml:space="preserve"> </w:t>
      </w:r>
      <w:r>
        <w:t xml:space="preserve">Towards a Toxic-Free Environment. SWD(2020) 251 final. Brussels, 14.10.2020.</w:t>
      </w:r>
      <w:r>
        <w:t xml:space="preserve"> </w:t>
      </w:r>
      <w:r>
        <w:t xml:space="preserve">European Commission (2020c): Annex to the Communication from the Commission to the</w:t>
      </w:r>
      <w:r>
        <w:t xml:space="preserve"> </w:t>
      </w:r>
      <w:r>
        <w:t xml:space="preserve">European Parliament, the European Council, the Council, the European Economic and Social</w:t>
      </w:r>
      <w:r>
        <w:t xml:space="preserve"> </w:t>
      </w:r>
      <w:r>
        <w:t xml:space="preserve">Committee and the Committee of the Regions. Chemicals Strategy for Sustainability Towards</w:t>
      </w:r>
      <w:r>
        <w:t xml:space="preserve"> </w:t>
      </w:r>
      <w:r>
        <w:t xml:space="preserve">a Toxic-Free Environment. COM(2020) 667 final. Brussels, 14.10.2020.</w:t>
      </w:r>
      <w:r>
        <w:t xml:space="preserve"> </w:t>
      </w:r>
      <w:r>
        <w:t xml:space="preserve">European Commission (2020e): Revision of the Feed Additives Regulation (EC) No</w:t>
      </w:r>
      <w:r>
        <w:t xml:space="preserve"> </w:t>
      </w:r>
      <w:r>
        <w:t xml:space="preserve">1831/2003. Combined evaluation roadmap/inception impact assessment. Available at:</w:t>
      </w:r>
      <w:r>
        <w:t xml:space="preserve"> </w:t>
      </w:r>
      <w:r>
        <w:t xml:space="preserve">https://ec.europa.eu/info/law/better-regulation/</w:t>
      </w:r>
      <w:r>
        <w:t xml:space="preserve"> </w:t>
      </w:r>
      <w:r>
        <w:t xml:space="preserve">European Commission (2020f): Commission Implementing Decision (EU) 2020/1161 of 4</w:t>
      </w:r>
      <w:r>
        <w:t xml:space="preserve"> </w:t>
      </w:r>
      <w:r>
        <w:t xml:space="preserve">August 2020 establishing a watch list of substances for Union-wide monitoring in the field of</w:t>
      </w:r>
      <w:r>
        <w:t xml:space="preserve"> </w:t>
      </w:r>
      <w:r>
        <w:t xml:space="preserve">water policy pursuant to Directive 2008/105/EC of the European Parliament and of the</w:t>
      </w:r>
      <w:r>
        <w:t xml:space="preserve"> </w:t>
      </w:r>
      <w:r>
        <w:t xml:space="preserve">Council (notified under document number C(2020) 5205). Available at: https://eur-</w:t>
      </w:r>
      <w:r>
        <w:t xml:space="preserve"> </w:t>
      </w:r>
      <w:r>
        <w:t xml:space="preserve">lex.europa.eu/legal-content/en/TXT/?uri=CELEX%3A32020D1161#ntr5-</w:t>
      </w:r>
      <w:r>
        <w:t xml:space="preserve"> </w:t>
      </w:r>
      <w:r>
        <w:t xml:space="preserve">L_2020257EN.01003501-E0005</w:t>
      </w:r>
      <w:r>
        <w:t xml:space="preserve"> </w:t>
      </w:r>
      <w:r>
        <w:t xml:space="preserve">European Commission (2020g): Communication from the Commission to the European</w:t>
      </w:r>
      <w:r>
        <w:t xml:space="preserve"> </w:t>
      </w:r>
      <w:r>
        <w:t xml:space="preserve">Parliament, the Council, the European Economic and Social Committee and the Committee</w:t>
      </w:r>
      <w:r>
        <w:t xml:space="preserve"> </w:t>
      </w:r>
      <w:r>
        <w:t xml:space="preserve">of the regions. A Farm to Fork Strategy for a fair, healthy and environmentally-friendly food</w:t>
      </w:r>
      <w:r>
        <w:t xml:space="preserve"> </w:t>
      </w:r>
      <w:r>
        <w:t xml:space="preserve">system.</w:t>
      </w:r>
      <w:r>
        <w:t xml:space="preserve"> </w:t>
      </w:r>
      <w:r>
        <w:t xml:space="preserve">Available</w:t>
      </w:r>
      <w:r>
        <w:t xml:space="preserve"> </w:t>
      </w:r>
      <w:r>
        <w:t xml:space="preserve">at:</w:t>
      </w:r>
      <w:r>
        <w:t xml:space="preserve"> </w:t>
      </w:r>
      <w:r>
        <w:t xml:space="preserve">https://eur-</w:t>
      </w:r>
      <w:r>
        <w:t xml:space="preserve"> </w:t>
      </w:r>
      <w:r>
        <w:t xml:space="preserve">lex.europa.eu/resource.html?uri=cellar:ea0f9f739ab211ea9d2d01aa75ed71a1.0001.02/DOC_</w:t>
      </w:r>
      <w:r>
        <w:t xml:space="preserve"> </w:t>
      </w:r>
      <w:r>
        <w:t xml:space="preserve">1&amp;format=PDF</w:t>
      </w:r>
      <w:r>
        <w:t xml:space="preserve"> </w:t>
      </w:r>
      <w:r>
        <w:t xml:space="preserve">European Commission (2020h): Inception impact assessment. Proposal for a revision of</w:t>
      </w:r>
      <w:r>
        <w:t xml:space="preserve"> </w:t>
      </w:r>
      <w:r>
        <w:t xml:space="preserve">Regulation (EU) No 1169/2011 on the provision of food information to consumers. Available</w:t>
      </w:r>
      <w:r>
        <w:t xml:space="preserve"> </w:t>
      </w:r>
      <w:r>
        <w:t xml:space="preserve">at: https://ec.europa.eu/info/law/better-regulation/</w:t>
      </w:r>
      <w:r>
        <w:t xml:space="preserve"> </w:t>
      </w:r>
      <w:r>
        <w:t xml:space="preserve">European Commission (2021e): Evaluation and revision of the general pharmaceutical</w:t>
      </w:r>
      <w:r>
        <w:t xml:space="preserve"> </w:t>
      </w:r>
      <w:r>
        <w:t xml:space="preserve">legislation. Combined evaluation roadmap/inception impact assessment. Available at:</w:t>
      </w:r>
      <w:r>
        <w:t xml:space="preserve"> </w:t>
      </w:r>
      <w:r>
        <w:t xml:space="preserve">https://ec.europa.eu/info/law/better-regulation/</w:t>
      </w:r>
    </w:p>
    <w:p>
      <w:pPr>
        <w:pStyle w:val="BodyText"/>
      </w:pPr>
      <w:r>
        <w:t xml:space="preserve">636</w:t>
      </w:r>
    </w:p>
    <w:p>
      <w:pPr>
        <w:pStyle w:val="BodyText"/>
      </w:pPr>
      <w:r>
        <w:t xml:space="preserve">European Commission (2021f): Digital Economy and Society Index (DESI) 2021. Thematic</w:t>
      </w:r>
      <w:r>
        <w:t xml:space="preserve"> </w:t>
      </w:r>
      <w:r>
        <w:t xml:space="preserve">chapters</w:t>
      </w:r>
      <w:r>
        <w:t xml:space="preserve"> </w:t>
      </w:r>
      <w:r>
        <w:t xml:space="preserve">–</w:t>
      </w:r>
      <w:r>
        <w:t xml:space="preserve"> </w:t>
      </w:r>
      <w:r>
        <w:t xml:space="preserve">Integration</w:t>
      </w:r>
      <w:r>
        <w:t xml:space="preserve"> </w:t>
      </w:r>
      <w:r>
        <w:t xml:space="preserve">of</w:t>
      </w:r>
      <w:r>
        <w:t xml:space="preserve"> </w:t>
      </w:r>
      <w:r>
        <w:t xml:space="preserve">digital</w:t>
      </w:r>
      <w:r>
        <w:t xml:space="preserve"> </w:t>
      </w:r>
      <w:r>
        <w:t xml:space="preserve">technology.</w:t>
      </w:r>
      <w:r>
        <w:t xml:space="preserve"> </w:t>
      </w:r>
      <w:r>
        <w:t xml:space="preserve">Available</w:t>
      </w:r>
      <w:r>
        <w:t xml:space="preserve"> </w:t>
      </w:r>
      <w:r>
        <w:t xml:space="preserve">at:</w:t>
      </w:r>
      <w:r>
        <w:t xml:space="preserve"> </w:t>
      </w:r>
      <w:r>
        <w:t xml:space="preserve">https://ec.europa.eu/newsroom/dae/redirection/document/80555</w:t>
      </w:r>
      <w:r>
        <w:t xml:space="preserve"> </w:t>
      </w:r>
      <w:r>
        <w:t xml:space="preserve">European Commission (2021g): EU Ecolabel facts and figures. Available at:</w:t>
      </w:r>
      <w:r>
        <w:t xml:space="preserve"> </w:t>
      </w:r>
      <w:r>
        <w:t xml:space="preserve">https://ec.europa.eu/environment/ecolabel-facts-and-figures_en</w:t>
      </w:r>
      <w:r>
        <w:t xml:space="preserve"> </w:t>
      </w:r>
      <w:r>
        <w:t xml:space="preserve">European Commission (2021h): Commission implementing decision of 14.4.2021 on a</w:t>
      </w:r>
      <w:r>
        <w:t xml:space="preserve"> </w:t>
      </w:r>
      <w:r>
        <w:t xml:space="preserve">standardisation request to the European Committee for Standardization and the European</w:t>
      </w:r>
      <w:r>
        <w:t xml:space="preserve"> </w:t>
      </w:r>
      <w:r>
        <w:t xml:space="preserve">Committee for Electrotechnical Standardization as regards medical devices in support of</w:t>
      </w:r>
      <w:r>
        <w:t xml:space="preserve"> </w:t>
      </w:r>
      <w:r>
        <w:t xml:space="preserve">Regulation (EU) 2017/745 of the European Parliament and of the Council and in vitro</w:t>
      </w:r>
      <w:r>
        <w:t xml:space="preserve"> </w:t>
      </w:r>
      <w:r>
        <w:t xml:space="preserve">diagnostic medical devices in support of Regulation (EU) 2017/746 of the European</w:t>
      </w:r>
      <w:r>
        <w:t xml:space="preserve"> </w:t>
      </w:r>
      <w:r>
        <w:t xml:space="preserve">Parliament and of the Council. Available at: https://ec.europa.eu/health/system/files/2021-</w:t>
      </w:r>
      <w:r>
        <w:t xml:space="preserve"> </w:t>
      </w:r>
      <w:r>
        <w:t xml:space="preserve">04/c_2021_2406_annex_en_0.pdf</w:t>
      </w:r>
      <w:r>
        <w:t xml:space="preserve"> </w:t>
      </w:r>
      <w:r>
        <w:t xml:space="preserve">European Commission, (2019). Why are potential dangerous phthalates allowed in medical</w:t>
      </w:r>
      <w:r>
        <w:t xml:space="preserve"> </w:t>
      </w:r>
      <w:r>
        <w:t xml:space="preserve">devices,</w:t>
      </w:r>
      <w:r>
        <w:t xml:space="preserve"> </w:t>
      </w:r>
      <w:r>
        <w:t xml:space="preserve">and</w:t>
      </w:r>
      <w:r>
        <w:t xml:space="preserve"> </w:t>
      </w:r>
      <w:r>
        <w:t xml:space="preserve">who</w:t>
      </w:r>
      <w:r>
        <w:t xml:space="preserve"> </w:t>
      </w:r>
      <w:r>
        <w:t xml:space="preserve">decides</w:t>
      </w:r>
      <w:r>
        <w:t xml:space="preserve"> </w:t>
      </w:r>
      <w:r>
        <w:t xml:space="preserve">if</w:t>
      </w:r>
      <w:r>
        <w:t xml:space="preserve"> </w:t>
      </w:r>
      <w:r>
        <w:t xml:space="preserve">their</w:t>
      </w:r>
      <w:r>
        <w:t xml:space="preserve"> </w:t>
      </w:r>
      <w:r>
        <w:t xml:space="preserve">use</w:t>
      </w:r>
      <w:r>
        <w:t xml:space="preserve"> </w:t>
      </w:r>
      <w:r>
        <w:t xml:space="preserve">is</w:t>
      </w:r>
      <w:r>
        <w:t xml:space="preserve"> </w:t>
      </w:r>
      <w:r>
        <w:t xml:space="preserve">warranted?</w:t>
      </w:r>
      <w:r>
        <w:t xml:space="preserve"> </w:t>
      </w:r>
      <w:r>
        <w:t xml:space="preserve">Available</w:t>
      </w:r>
      <w:r>
        <w:t xml:space="preserve"> </w:t>
      </w:r>
      <w:r>
        <w:t xml:space="preserve">at:</w:t>
      </w:r>
      <w:r>
        <w:t xml:space="preserve"> </w:t>
      </w:r>
      <w:r>
        <w:t xml:space="preserve">https://ec.europa.eu/health/sites/default/files/scientific_committees/docs/citizens_phthalates_</w:t>
      </w:r>
      <w:r>
        <w:t xml:space="preserve"> </w:t>
      </w:r>
      <w:r>
        <w:t xml:space="preserve">en.pdf</w:t>
      </w:r>
      <w:r>
        <w:br/>
      </w:r>
      <w:r>
        <w:t xml:space="preserve">European Commission, 2016, Cumulative cost assessment for the EU Chemical Industry.</w:t>
      </w:r>
      <w:r>
        <w:t xml:space="preserve"> </w:t>
      </w:r>
      <w:r>
        <w:t xml:space="preserve">Final</w:t>
      </w:r>
      <w:r>
        <w:t xml:space="preserve"> </w:t>
      </w:r>
      <w:r>
        <w:t xml:space="preserve">Report.</w:t>
      </w:r>
      <w:r>
        <w:t xml:space="preserve"> </w:t>
      </w:r>
      <w:r>
        <w:t xml:space="preserve">https://ec.europa.eu/docsroom/documents/17784/attachments/1/translations/en/renditions/pdf.</w:t>
      </w:r>
      <w:r>
        <w:t xml:space="preserve"> </w:t>
      </w:r>
      <w:r>
        <w:t xml:space="preserve">See also A.I.S.E Factsheet, Findings for the detergents and maintenance products industry.</w:t>
      </w:r>
      <w:r>
        <w:t xml:space="preserve"> </w:t>
      </w:r>
      <w:r>
        <w:t xml:space="preserve">https://www.aise.eu/documents/document/20161024164027-</w:t>
      </w:r>
      <w:r>
        <w:t xml:space="preserve"> </w:t>
      </w:r>
      <w:r>
        <w:t xml:space="preserve">cumulative_cost_assessment_aise_factsheet_oct_2016_final.pdf</w:t>
      </w:r>
      <w:r>
        <w:br/>
      </w:r>
      <w:r>
        <w:t xml:space="preserve">European Commission, 2019, The European Green Deal. Available at: https://eur-</w:t>
      </w:r>
      <w:r>
        <w:t xml:space="preserve"> </w:t>
      </w:r>
      <w:r>
        <w:t xml:space="preserve">lex.europa.eu/resource.html?uri=cellar:b828d165-1c22-11ea-8c1f-</w:t>
      </w:r>
      <w:r>
        <w:t xml:space="preserve"> </w:t>
      </w:r>
      <w:r>
        <w:t xml:space="preserve">01aa75ed71a1.0002.02/DOC_1&amp;format=PDF.</w:t>
      </w:r>
      <w:r>
        <w:t xml:space="preserve"> </w:t>
      </w:r>
      <w:r>
        <w:t xml:space="preserve">European Commission, 2020, 37th Meeting of Competent Authorities for REACH and CLP</w:t>
      </w:r>
      <w:r>
        <w:t xml:space="preserve"> </w:t>
      </w:r>
      <w:r>
        <w:t xml:space="preserve">(CARACAL) CA/77/2020</w:t>
      </w:r>
      <w:r>
        <w:t xml:space="preserve"> </w:t>
      </w:r>
      <w:r>
        <w:t xml:space="preserve">European Commission, 2020, A New Industrial Strategy for Europe. Available at: https://eur-</w:t>
      </w:r>
      <w:r>
        <w:t xml:space="preserve"> </w:t>
      </w:r>
      <w:r>
        <w:t xml:space="preserve">lex.europa.eu/legal-content/EN/TXT/?uri=CELEX%3A52020DC0102</w:t>
      </w:r>
      <w:r>
        <w:t xml:space="preserve"> </w:t>
      </w:r>
      <w:r>
        <w:t xml:space="preserve">European Commission, 2022, Communication on making sustainable products the norm.</w:t>
      </w:r>
      <w:r>
        <w:t xml:space="preserve"> </w:t>
      </w:r>
      <w:r>
        <w:t xml:space="preserve">Available</w:t>
      </w:r>
      <w:r>
        <w:t xml:space="preserve"> </w:t>
      </w:r>
      <w:r>
        <w:t xml:space="preserve">at:</w:t>
      </w:r>
      <w:r>
        <w:t xml:space="preserve"> </w:t>
      </w:r>
      <w:r>
        <w:t xml:space="preserve">https://ec.europa.eu/environment/publications/communication-making-</w:t>
      </w:r>
      <w:r>
        <w:t xml:space="preserve"> </w:t>
      </w:r>
      <w:r>
        <w:t xml:space="preserve">sustainable-products-norm_en</w:t>
      </w:r>
      <w:r>
        <w:t xml:space="preserve"> </w:t>
      </w:r>
      <w:r>
        <w:t xml:space="preserve">European</w:t>
      </w:r>
      <w:r>
        <w:t xml:space="preserve"> </w:t>
      </w:r>
      <w:r>
        <w:t xml:space="preserve">Commission,</w:t>
      </w:r>
      <w:r>
        <w:t xml:space="preserve"> </w:t>
      </w:r>
      <w:r>
        <w:t xml:space="preserve">A</w:t>
      </w:r>
      <w:r>
        <w:t xml:space="preserve"> </w:t>
      </w:r>
      <w:r>
        <w:t xml:space="preserve">Europe</w:t>
      </w:r>
      <w:r>
        <w:t xml:space="preserve"> </w:t>
      </w:r>
      <w:r>
        <w:t xml:space="preserve">fit</w:t>
      </w:r>
      <w:r>
        <w:t xml:space="preserve"> </w:t>
      </w:r>
      <w:r>
        <w:t xml:space="preserve">for</w:t>
      </w:r>
      <w:r>
        <w:t xml:space="preserve"> </w:t>
      </w:r>
      <w:r>
        <w:t xml:space="preserve">the</w:t>
      </w:r>
      <w:r>
        <w:t xml:space="preserve"> </w:t>
      </w:r>
      <w:r>
        <w:t xml:space="preserve">digital</w:t>
      </w:r>
      <w:r>
        <w:t xml:space="preserve"> </w:t>
      </w:r>
      <w:r>
        <w:t xml:space="preserve">age.</w:t>
      </w:r>
      <w:r>
        <w:t xml:space="preserve"> </w:t>
      </w:r>
      <w:r>
        <w:t xml:space="preserve">https://ec.europa.eu/info/strategy/priorities-2019-2024/europe-fit-digital-age_en</w:t>
      </w:r>
      <w:r>
        <w:br/>
      </w:r>
      <w:r>
        <w:t xml:space="preserve">European Commission, Chemicals – simplification and digitalisation of labelling</w:t>
      </w:r>
      <w:r>
        <w:t xml:space="preserve"> </w:t>
      </w:r>
      <w:r>
        <w:t xml:space="preserve">requirements, available at: Chemicals – simplification and digitalisation of labelling</w:t>
      </w:r>
      <w:r>
        <w:t xml:space="preserve"> </w:t>
      </w:r>
      <w:r>
        <w:t xml:space="preserve">requirements (europa.eu)</w:t>
      </w:r>
      <w:r>
        <w:t xml:space="preserve"> </w:t>
      </w:r>
      <w:r>
        <w:t xml:space="preserve">European Commission, EU Chemicals Strategy for Sustainability - Revision of the Cosmetic</w:t>
      </w:r>
      <w:r>
        <w:t xml:space="preserve"> </w:t>
      </w:r>
      <w:r>
        <w:t xml:space="preserve">Products Regulation, 2021.</w:t>
      </w:r>
    </w:p>
    <w:p>
      <w:pPr>
        <w:pStyle w:val="BodyText"/>
      </w:pPr>
      <w:r>
        <w:t xml:space="preserve">637</w:t>
      </w:r>
    </w:p>
    <w:p>
      <w:pPr>
        <w:pStyle w:val="BodyText"/>
      </w:pPr>
      <w:r>
        <w:t xml:space="preserve">European</w:t>
      </w:r>
      <w:r>
        <w:t xml:space="preserve"> </w:t>
      </w:r>
      <w:r>
        <w:t xml:space="preserve">Commission,</w:t>
      </w:r>
      <w:r>
        <w:t xml:space="preserve"> </w:t>
      </w:r>
      <w:r>
        <w:t xml:space="preserve">Memo</w:t>
      </w:r>
      <w:r>
        <w:t xml:space="preserve"> </w:t>
      </w:r>
      <w:r>
        <w:t xml:space="preserve">2017</w:t>
      </w:r>
      <w:r>
        <w:t xml:space="preserve"> </w:t>
      </w:r>
      <w:r>
        <w:t xml:space="preserve">-</w:t>
      </w:r>
      <w:r>
        <w:t xml:space="preserve"> </w:t>
      </w:r>
      <w:r>
        <w:t xml:space="preserve">Modernising</w:t>
      </w:r>
      <w:r>
        <w:t xml:space="preserve"> </w:t>
      </w:r>
      <w:r>
        <w:t xml:space="preserve">VAT</w:t>
      </w:r>
      <w:r>
        <w:t xml:space="preserve"> </w:t>
      </w:r>
      <w:r>
        <w:t xml:space="preserve">for</w:t>
      </w:r>
      <w:r>
        <w:t xml:space="preserve"> </w:t>
      </w:r>
      <w:r>
        <w:t xml:space="preserve">e-commerce</w:t>
      </w:r>
      <w:r>
        <w:t xml:space="preserve"> </w:t>
      </w:r>
      <w:r>
        <w:t xml:space="preserve">https://ec.europa.eu/commission/presscorner/detail/en/MEMO_16_3746</w:t>
      </w:r>
      <w:r>
        <w:br/>
      </w:r>
      <w:r>
        <w:t xml:space="preserve">European Commission, Modernising VAT for e-commerce, 2017.</w:t>
      </w:r>
      <w:r>
        <w:t xml:space="preserve"> </w:t>
      </w:r>
      <w:r>
        <w:t xml:space="preserve">European Commission, Revision of EU legislation on hazard classification, labelling and</w:t>
      </w:r>
      <w:r>
        <w:t xml:space="preserve"> </w:t>
      </w:r>
      <w:r>
        <w:t xml:space="preserve">packaging of chemicals, available at: https://ec.europa.eu/info/law/better-regulation/have-</w:t>
      </w:r>
      <w:r>
        <w:t xml:space="preserve"> </w:t>
      </w:r>
      <w:r>
        <w:t xml:space="preserve">your-say/initiatives/12975-Revision-of-EU-legislation-on-hazard-classification-labelling-and-</w:t>
      </w:r>
      <w:r>
        <w:t xml:space="preserve"> </w:t>
      </w:r>
      <w:r>
        <w:t xml:space="preserve">packaging-of-chemicals_en</w:t>
      </w:r>
      <w:r>
        <w:t xml:space="preserve"> </w:t>
      </w:r>
      <w:r>
        <w:t xml:space="preserve">European Commission, Study for the Strategy for the Non-Toxic Environment, p. 123.</w:t>
      </w:r>
      <w:r>
        <w:t xml:space="preserve"> </w:t>
      </w:r>
      <w:r>
        <w:t xml:space="preserve">European Commission, SWD assessing the impacts of the revision of the Urban Waste.</w:t>
      </w:r>
      <w:r>
        <w:t xml:space="preserve"> </w:t>
      </w:r>
      <w:r>
        <w:t xml:space="preserve">European Court of Auditors (2016): Combating Food Waste: an opportunity for the EU to</w:t>
      </w:r>
      <w:r>
        <w:t xml:space="preserve"> </w:t>
      </w:r>
      <w:r>
        <w:t xml:space="preserve">improve</w:t>
      </w:r>
      <w:r>
        <w:t xml:space="preserve"> </w:t>
      </w:r>
      <w:r>
        <w:t xml:space="preserve">the</w:t>
      </w:r>
      <w:r>
        <w:t xml:space="preserve"> </w:t>
      </w:r>
      <w:r>
        <w:t xml:space="preserve">resource-efficiency</w:t>
      </w:r>
      <w:r>
        <w:t xml:space="preserve"> </w:t>
      </w:r>
      <w:r>
        <w:t xml:space="preserve">of</w:t>
      </w:r>
      <w:r>
        <w:t xml:space="preserve"> </w:t>
      </w:r>
      <w:r>
        <w:t xml:space="preserve">the</w:t>
      </w:r>
      <w:r>
        <w:t xml:space="preserve"> </w:t>
      </w:r>
      <w:r>
        <w:t xml:space="preserve">food</w:t>
      </w:r>
      <w:r>
        <w:t xml:space="preserve"> </w:t>
      </w:r>
      <w:r>
        <w:t xml:space="preserve">supply</w:t>
      </w:r>
      <w:r>
        <w:t xml:space="preserve"> </w:t>
      </w:r>
      <w:r>
        <w:t xml:space="preserve">chain.</w:t>
      </w:r>
      <w:r>
        <w:t xml:space="preserve"> </w:t>
      </w:r>
      <w:r>
        <w:t xml:space="preserve">Available</w:t>
      </w:r>
      <w:r>
        <w:t xml:space="preserve"> </w:t>
      </w:r>
      <w:r>
        <w:t xml:space="preserve">at:</w:t>
      </w:r>
      <w:r>
        <w:t xml:space="preserve"> </w:t>
      </w:r>
      <w:r>
        <w:t xml:space="preserve">https://www.eca.europa.eu/Lists/ECADocuments/SR16_34/SR_FOOD_WASTE_EN.pdf</w:t>
      </w:r>
      <w:r>
        <w:t xml:space="preserve"> </w:t>
      </w:r>
      <w:r>
        <w:t xml:space="preserve">European Environment agency, Chemical risk estimates, 2019.</w:t>
      </w:r>
      <w:r>
        <w:br/>
      </w:r>
      <w:r>
        <w:t xml:space="preserve">Eurostat</w:t>
      </w:r>
      <w:r>
        <w:t xml:space="preserve"> </w:t>
      </w:r>
      <w:r>
        <w:t xml:space="preserve">(2019):</w:t>
      </w:r>
      <w:r>
        <w:t xml:space="preserve"> </w:t>
      </w:r>
      <w:r>
        <w:t xml:space="preserve">Population</w:t>
      </w:r>
      <w:r>
        <w:t xml:space="preserve"> </w:t>
      </w:r>
      <w:r>
        <w:t xml:space="preserve">of</w:t>
      </w:r>
      <w:r>
        <w:t xml:space="preserve"> </w:t>
      </w:r>
      <w:r>
        <w:t xml:space="preserve">1</w:t>
      </w:r>
      <w:r>
        <w:t xml:space="preserve"> </w:t>
      </w:r>
      <w:r>
        <w:t xml:space="preserve">January.</w:t>
      </w:r>
      <w:r>
        <w:t xml:space="preserve"> </w:t>
      </w:r>
      <w:r>
        <w:t xml:space="preserve">Available</w:t>
      </w:r>
      <w:r>
        <w:t xml:space="preserve"> </w:t>
      </w:r>
      <w:r>
        <w:t xml:space="preserve">at:</w:t>
      </w:r>
      <w:r>
        <w:t xml:space="preserve"> </w:t>
      </w:r>
      <w:r>
        <w:t xml:space="preserve">https://ec.europa.eu/eurostat/databrowser/view/tps00001/default/table?lang=en</w:t>
      </w:r>
      <w:r>
        <w:t xml:space="preserve"> </w:t>
      </w:r>
      <w:r>
        <w:t xml:space="preserve">Eurostat</w:t>
      </w:r>
      <w:r>
        <w:t xml:space="preserve"> </w:t>
      </w:r>
      <w:r>
        <w:t xml:space="preserve">(2021)</w:t>
      </w:r>
      <w:r>
        <w:t xml:space="preserve"> </w:t>
      </w:r>
      <w:r>
        <w:t xml:space="preserve">Oil</w:t>
      </w:r>
      <w:r>
        <w:t xml:space="preserve"> </w:t>
      </w:r>
      <w:r>
        <w:t xml:space="preserve">and</w:t>
      </w:r>
      <w:r>
        <w:t xml:space="preserve"> </w:t>
      </w:r>
      <w:r>
        <w:t xml:space="preserve">petroleum</w:t>
      </w:r>
      <w:r>
        <w:t xml:space="preserve"> </w:t>
      </w:r>
      <w:r>
        <w:t xml:space="preserve">products</w:t>
      </w:r>
      <w:r>
        <w:t xml:space="preserve"> </w:t>
      </w:r>
      <w:r>
        <w:t xml:space="preserve">-</w:t>
      </w:r>
      <w:r>
        <w:t xml:space="preserve"> </w:t>
      </w:r>
      <w:r>
        <w:t xml:space="preserve">a</w:t>
      </w:r>
      <w:r>
        <w:t xml:space="preserve"> </w:t>
      </w:r>
      <w:r>
        <w:t xml:space="preserve">statistical</w:t>
      </w:r>
      <w:r>
        <w:t xml:space="preserve"> </w:t>
      </w:r>
      <w:r>
        <w:t xml:space="preserve">overview</w:t>
      </w:r>
      <w:r>
        <w:t xml:space="preserve"> </w:t>
      </w:r>
      <w:r>
        <w:t xml:space="preserve">https://ec.europa.eu/eurostat/statistics-</w:t>
      </w:r>
      <w:r>
        <w:t xml:space="preserve"> </w:t>
      </w:r>
      <w:r>
        <w:t xml:space="preserve">explained/index.php?title=Oil_and_petroleum_products_-</w:t>
      </w:r>
      <w:r>
        <w:t xml:space="preserve"> </w:t>
      </w:r>
      <w:r>
        <w:t xml:space="preserve">_a_statistical_overview#Consumption_in_sectors</w:t>
      </w:r>
      <w:r>
        <w:br/>
      </w:r>
      <w:r>
        <w:t xml:space="preserve">Eurostat</w:t>
      </w:r>
      <w:r>
        <w:t xml:space="preserve"> </w:t>
      </w:r>
      <w:r>
        <w:t xml:space="preserve">(2021).</w:t>
      </w:r>
      <w:r>
        <w:t xml:space="preserve"> </w:t>
      </w:r>
      <w:r>
        <w:t xml:space="preserve">E-commerce</w:t>
      </w:r>
      <w:r>
        <w:t xml:space="preserve"> </w:t>
      </w:r>
      <w:r>
        <w:t xml:space="preserve">statistics</w:t>
      </w:r>
      <w:r>
        <w:t xml:space="preserve"> </w:t>
      </w:r>
      <w:r>
        <w:t xml:space="preserve">for</w:t>
      </w:r>
      <w:r>
        <w:t xml:space="preserve"> </w:t>
      </w:r>
      <w:r>
        <w:t xml:space="preserve">individuals.</w:t>
      </w:r>
      <w:r>
        <w:t xml:space="preserve"> </w:t>
      </w:r>
      <w:r>
        <w:t xml:space="preserve">Available</w:t>
      </w:r>
      <w:r>
        <w:t xml:space="preserve"> </w:t>
      </w:r>
      <w:r>
        <w:t xml:space="preserve">at:</w:t>
      </w:r>
      <w:r>
        <w:t xml:space="preserve"> </w:t>
      </w:r>
      <w:r>
        <w:t xml:space="preserve">https://ec.europa.eu/eurostat/statistics-explained/index.php?title=E-</w:t>
      </w:r>
      <w:r>
        <w:t xml:space="preserve"> </w:t>
      </w:r>
      <w:r>
        <w:t xml:space="preserve">commerce_statistics_for_individuals#General_overview</w:t>
      </w:r>
      <w:r>
        <w:br/>
      </w:r>
      <w:r>
        <w:t xml:space="preserve">Eurostat (2021). Supply, transformation and consumption of oil and petroleum products</w:t>
      </w:r>
      <w:r>
        <w:t xml:space="preserve"> </w:t>
      </w:r>
      <w:r>
        <w:t xml:space="preserve">[nrg_cb_oil].</w:t>
      </w:r>
      <w:r>
        <w:t xml:space="preserve"> </w:t>
      </w:r>
      <w:r>
        <w:t xml:space="preserve">Available</w:t>
      </w:r>
      <w:r>
        <w:t xml:space="preserve"> </w:t>
      </w:r>
      <w:r>
        <w:t xml:space="preserve">at:</w:t>
      </w:r>
      <w:r>
        <w:t xml:space="preserve"> </w:t>
      </w:r>
      <w:r>
        <w:t xml:space="preserve">https://appsso.eurostat.ec.europa.eu/nui/show.do?dataset=nrg_cb_oil Eurostat database:</w:t>
      </w:r>
      <w:r>
        <w:br/>
      </w:r>
      <w:r>
        <w:t xml:space="preserve">Eurostat, Digital Society statistics at regional level. https://ec.europa.eu/eurostat/statistics-</w:t>
      </w:r>
      <w:r>
        <w:t xml:space="preserve"> </w:t>
      </w:r>
      <w:r>
        <w:t xml:space="preserve">explained/index.php?title=Digital_society_statistics_at_regional_level#Internet_users</w:t>
      </w:r>
      <w:r>
        <w:br/>
      </w:r>
      <w:r>
        <w:t xml:space="preserve">Eurostat, Eurobarometer, 2020.</w:t>
      </w:r>
      <w:r>
        <w:t xml:space="preserve"> </w:t>
      </w:r>
      <w:r>
        <w:t xml:space="preserve">Eurostat,</w:t>
      </w:r>
      <w:r>
        <w:t xml:space="preserve"> </w:t>
      </w:r>
      <w:r>
        <w:t xml:space="preserve">Internet</w:t>
      </w:r>
      <w:r>
        <w:t xml:space="preserve"> </w:t>
      </w:r>
      <w:r>
        <w:t xml:space="preserve">purchases</w:t>
      </w:r>
      <w:r>
        <w:t xml:space="preserve"> </w:t>
      </w:r>
      <w:r>
        <w:t xml:space="preserve">by</w:t>
      </w:r>
      <w:r>
        <w:t xml:space="preserve"> </w:t>
      </w:r>
      <w:r>
        <w:t xml:space="preserve">individuals</w:t>
      </w:r>
      <w:r>
        <w:t xml:space="preserve"> </w:t>
      </w:r>
      <w:r>
        <w:t xml:space="preserve">(2020</w:t>
      </w:r>
      <w:r>
        <w:t xml:space="preserve"> </w:t>
      </w:r>
      <w:r>
        <w:t xml:space="preserve">onwards),</w:t>
      </w:r>
      <w:r>
        <w:t xml:space="preserve"> </w:t>
      </w:r>
      <w:r>
        <w:t xml:space="preserve">available</w:t>
      </w:r>
      <w:r>
        <w:t xml:space="preserve"> </w:t>
      </w:r>
      <w:r>
        <w:t xml:space="preserve">at:</w:t>
      </w:r>
      <w:r>
        <w:t xml:space="preserve"> </w:t>
      </w:r>
      <w:r>
        <w:t xml:space="preserve">https://ec.europa.eu/eurostat/databrowser/view/isoc_ec_ib20/default/table?lang=en</w:t>
      </w:r>
      <w:r>
        <w:t xml:space="preserve"> </w:t>
      </w:r>
      <w:r>
        <w:t xml:space="preserve">Eurostat, Population on 1st January by age, sex and type of projection, 2021.</w:t>
      </w:r>
      <w:r>
        <w:t xml:space="preserve"> </w:t>
      </w:r>
      <w:r>
        <w:t xml:space="preserve">Eurostat, Population on 1st January by age, sex and type of projection, 2021, available at:</w:t>
      </w:r>
      <w:r>
        <w:t xml:space="preserve"> </w:t>
      </w:r>
      <w:r>
        <w:t xml:space="preserve">https://ec.europa.eu/eurostat/databrowser/view/proj_19np/default/table?lang=en</w:t>
      </w:r>
      <w:r>
        <w:t xml:space="preserve"> </w:t>
      </w:r>
      <w:r>
        <w:t xml:space="preserve">Eurostat, Population Projections in the EU, 2020.</w:t>
      </w:r>
    </w:p>
    <w:p>
      <w:pPr>
        <w:pStyle w:val="BodyText"/>
      </w:pPr>
      <w:r>
        <w:t xml:space="preserve">638</w:t>
      </w:r>
    </w:p>
    <w:p>
      <w:pPr>
        <w:pStyle w:val="BodyText"/>
      </w:pPr>
      <w:r>
        <w:t xml:space="preserve">Evaluation of restriction reports and applications for authorisation for PBT and vPvB</w:t>
      </w:r>
      <w:r>
        <w:t xml:space="preserve"> </w:t>
      </w:r>
      <w:r>
        <w:t xml:space="preserve">substances in SEAC. SEAC/31/2016/05 Rev.1 (Agreed at SEAC 31). Helsinki, 9 June 2016.</w:t>
      </w:r>
      <w:r>
        <w:t xml:space="preserve"> </w:t>
      </w:r>
      <w:r>
        <w:t xml:space="preserve">Evans, D. (2003): Hierarchy of evidence: a framework for ranking evidence evaluating</w:t>
      </w:r>
      <w:r>
        <w:t xml:space="preserve"> </w:t>
      </w:r>
      <w:r>
        <w:t xml:space="preserve">healthcare interventions. Journal of clinical nursing, 12(1), 77-84.</w:t>
      </w:r>
      <w:r>
        <w:br/>
      </w:r>
      <w:r>
        <w:t xml:space="preserve">EWIMA (2017): CLP Labelling of Finished Writing Instruments – EWIMA response to</w:t>
      </w:r>
      <w:r>
        <w:t xml:space="preserve"> </w:t>
      </w:r>
      <w:r>
        <w:t xml:space="preserve">questions from the European Commission addressed to the writing instruments industry</w:t>
      </w:r>
      <w:r>
        <w:t xml:space="preserve"> </w:t>
      </w:r>
      <w:r>
        <w:t xml:space="preserve">EZQUERRA, A., FERNANDEZ-SANCHEZ, B., MAGAÑA, M. and MINGO, B., 2017. «</w:t>
      </w:r>
      <w:r>
        <w:t xml:space="preserve"> </w:t>
      </w:r>
      <w:r>
        <w:t xml:space="preserve">Analysis of Scientific Language of Household Cleaning Products’ Labelling and Its</w:t>
      </w:r>
      <w:r>
        <w:t xml:space="preserve"> </w:t>
      </w:r>
      <w:r>
        <w:t xml:space="preserve">Educational Implications”. Journal of Turkish Science Education, 14(1), pp.73-88.</w:t>
      </w:r>
      <w:r>
        <w:t xml:space="preserve"> </w:t>
      </w:r>
      <w:r>
        <w:t xml:space="preserve">Fabrega, J., &amp; Carapeto, R. (2020). Regulatory review of the environmental risk assessment</w:t>
      </w:r>
      <w:r>
        <w:t xml:space="preserve"> </w:t>
      </w:r>
      <w:r>
        <w:t xml:space="preserve">of veterinary medicinal products in the European Union, with particular focus on the</w:t>
      </w:r>
      <w:r>
        <w:t xml:space="preserve"> </w:t>
      </w:r>
      <w:r>
        <w:t xml:space="preserve">centralised authorisation procedure. Environmental Sciences Europe, 32(1), 1-15.</w:t>
      </w:r>
      <w:r>
        <w:t xml:space="preserve"> </w:t>
      </w:r>
      <w:r>
        <w:t xml:space="preserve">Final report of the supporting study to ‘Gather Further Information to be Used in Support of</w:t>
      </w:r>
      <w:r>
        <w:t xml:space="preserve"> </w:t>
      </w:r>
      <w:r>
        <w:t xml:space="preserve">an Impact Assessment of Potential Options, for the Update of REACH Annexes for Inclusion</w:t>
      </w:r>
      <w:r>
        <w:t xml:space="preserve"> </w:t>
      </w:r>
      <w:r>
        <w:t xml:space="preserve">of Data Requirements on Endocrine Disruption’.</w:t>
      </w:r>
      <w:r>
        <w:t xml:space="preserve"> </w:t>
      </w:r>
      <w:r>
        <w:t xml:space="preserve">Findings of the Fitness Check of the most relevant chemicals legislation (excluding REACH)</w:t>
      </w:r>
      <w:r>
        <w:t xml:space="preserve"> </w:t>
      </w:r>
      <w:r>
        <w:t xml:space="preserve">and identified challenges, gaps and weaknesses, p.9. Available at: https://eur-</w:t>
      </w:r>
      <w:r>
        <w:t xml:space="preserve"> </w:t>
      </w:r>
      <w:r>
        <w:t xml:space="preserve">lex.europa.eu/legal-content/EN/TXT/PDF/?uri=CELEX:52019DC0264&amp;from=EN</w:t>
      </w:r>
      <w:r>
        <w:br/>
      </w:r>
      <w:r>
        <w:t xml:space="preserve">Finnish Environment Institute, (2020): Good practices for take-back and disposal of unused</w:t>
      </w:r>
      <w:r>
        <w:t xml:space="preserve"> </w:t>
      </w:r>
      <w:r>
        <w:t xml:space="preserve">pharmaceuticals</w:t>
      </w:r>
      <w:r>
        <w:t xml:space="preserve"> </w:t>
      </w:r>
      <w:r>
        <w:t xml:space="preserve">in</w:t>
      </w:r>
      <w:r>
        <w:t xml:space="preserve"> </w:t>
      </w:r>
      <w:r>
        <w:t xml:space="preserve">the</w:t>
      </w:r>
      <w:r>
        <w:t xml:space="preserve"> </w:t>
      </w:r>
      <w:r>
        <w:t xml:space="preserve">Baltic</w:t>
      </w:r>
      <w:r>
        <w:t xml:space="preserve"> </w:t>
      </w:r>
      <w:r>
        <w:t xml:space="preserve">Sea</w:t>
      </w:r>
      <w:r>
        <w:t xml:space="preserve"> </w:t>
      </w:r>
      <w:r>
        <w:t xml:space="preserve">region.</w:t>
      </w:r>
      <w:r>
        <w:t xml:space="preserve"> </w:t>
      </w:r>
      <w:r>
        <w:t xml:space="preserve">Available</w:t>
      </w:r>
      <w:r>
        <w:t xml:space="preserve"> </w:t>
      </w:r>
      <w:r>
        <w:t xml:space="preserve">at:</w:t>
      </w:r>
      <w:r>
        <w:t xml:space="preserve"> </w:t>
      </w:r>
      <w:r>
        <w:t xml:space="preserve">https://helda.helsinki.fi/bitstream/handle/10138/319009/SYKEre_34_2020_CWPharma.pdf?s</w:t>
      </w:r>
      <w:r>
        <w:t xml:space="preserve"> </w:t>
      </w:r>
      <w:r>
        <w:t xml:space="preserve">equence=4&amp;isAllowed=y [Accessed on: 30 November 2021]</w:t>
      </w:r>
      <w:r>
        <w:t xml:space="preserve"> </w:t>
      </w:r>
      <w:r>
        <w:t xml:space="preserve">Forum for Exchange of Information on Enforcement (Forum).</w:t>
      </w:r>
      <w:r>
        <w:t xml:space="preserve"> </w:t>
      </w:r>
      <w:r>
        <w:t xml:space="preserve">FuelsEurope (2019): NUMBER OF PETROL STATIONS IN EUROPE END OF 2018.</w:t>
      </w:r>
      <w:r>
        <w:t xml:space="preserve"> </w:t>
      </w:r>
      <w:r>
        <w:t xml:space="preserve">Available at: https://www.fuelseurope.eu/wp-content/uploads/SR_FuelsEurope-2019-48.pdf</w:t>
      </w:r>
      <w:r>
        <w:t xml:space="preserve"> </w:t>
      </w:r>
      <w:r>
        <w:t xml:space="preserve">Gartner, Human Augmentation, ‘Cognitive and physical improvements as an integral part of</w:t>
      </w:r>
      <w:r>
        <w:t xml:space="preserve"> </w:t>
      </w:r>
      <w:r>
        <w:t xml:space="preserve">the human body’.</w:t>
      </w:r>
      <w:r>
        <w:t xml:space="preserve"> </w:t>
      </w:r>
      <w:r>
        <w:t xml:space="preserve">GDPVD, Gross Domestic Product, volume in USD, at constant 2015 purchasing power</w:t>
      </w:r>
      <w:r>
        <w:t xml:space="preserve"> </w:t>
      </w:r>
      <w:r>
        <w:t xml:space="preserve">parities.</w:t>
      </w:r>
      <w:r>
        <w:t xml:space="preserve"> </w:t>
      </w:r>
      <w:r>
        <w:t xml:space="preserve">Source:</w:t>
      </w:r>
      <w:r>
        <w:t xml:space="preserve"> </w:t>
      </w:r>
      <w:r>
        <w:t xml:space="preserve">https://www.oecd-ilibrary.org/economics/data/oecd-economic-outlook-</w:t>
      </w:r>
      <w:r>
        <w:t xml:space="preserve"> </w:t>
      </w:r>
      <w:r>
        <w:t xml:space="preserve">statistics-and-projections/long-term-baseline-projections-no-109-edition-2021_cbdb49e6-en</w:t>
      </w:r>
      <w:r>
        <w:br/>
      </w:r>
      <w:r>
        <w:t xml:space="preserve">GDPVD, Gross Domestic Product, volume in USD, at constant 2015 purchasing power</w:t>
      </w:r>
      <w:r>
        <w:t xml:space="preserve"> </w:t>
      </w:r>
      <w:r>
        <w:t xml:space="preserve">parities., 2021.</w:t>
      </w:r>
      <w:r>
        <w:t xml:space="preserve"> </w:t>
      </w:r>
      <w:r>
        <w:t xml:space="preserve">German Federal Institute for Risk Assessment, Notification of Hazardous Products, available</w:t>
      </w:r>
      <w:r>
        <w:t xml:space="preserve"> </w:t>
      </w:r>
      <w:r>
        <w:t xml:space="preserve">at: https://www.bfr.bund.de/en/notification_of_products-10144.html</w:t>
      </w:r>
      <w:r>
        <w:t xml:space="preserve"> </w:t>
      </w:r>
      <w:r>
        <w:t xml:space="preserve">GESTIS DNEL List, Hazardous substance information system of the German Social</w:t>
      </w:r>
      <w:r>
        <w:t xml:space="preserve"> </w:t>
      </w:r>
      <w:r>
        <w:t xml:space="preserve">Accident Insurance, available at: https://www.dguv.de/ifa/gestis/gestis-dnel-liste/index-2.jsp</w:t>
      </w:r>
    </w:p>
    <w:p>
      <w:pPr>
        <w:pStyle w:val="BodyText"/>
      </w:pPr>
      <w:r>
        <w:t xml:space="preserve">639</w:t>
      </w:r>
    </w:p>
    <w:p>
      <w:pPr>
        <w:pStyle w:val="BodyText"/>
      </w:pPr>
      <w:r>
        <w:t xml:space="preserve">GfK Belgium (2018): Consumers’ attitudes towards cross-border trade and consumer</w:t>
      </w:r>
      <w:r>
        <w:t xml:space="preserve"> </w:t>
      </w:r>
      <w:r>
        <w:t xml:space="preserve">protection. Produced by Consumers, Health, Agriculture and Food Executive Agency</w:t>
      </w:r>
      <w:r>
        <w:t xml:space="preserve"> </w:t>
      </w:r>
      <w:r>
        <w:t xml:space="preserve">(Chafea) on behalf of Directorate-General for Justice and Consumers. Available at:</w:t>
      </w:r>
      <w:r>
        <w:t xml:space="preserve"> </w:t>
      </w:r>
      <w:r>
        <w:t xml:space="preserve">https://ec.europa.eu/info/sites/default/files/consumer-survey-2018-main-report_en.pdf</w:t>
      </w:r>
      <w:r>
        <w:t xml:space="preserve"> </w:t>
      </w:r>
      <w:r>
        <w:t xml:space="preserve">Global implementation of GHS, September 2021.</w:t>
      </w:r>
      <w:r>
        <w:br/>
      </w:r>
      <w:r>
        <w:t xml:space="preserve">Gomez Cortes, L. et al. (2020): Selection of substances for the 3rd Watch List under the</w:t>
      </w:r>
      <w:r>
        <w:t xml:space="preserve"> </w:t>
      </w:r>
      <w:r>
        <w:t xml:space="preserve">Water Framework Directive, EUR 30297 EN, Luxembourg: Publications Office of the</w:t>
      </w:r>
      <w:r>
        <w:t xml:space="preserve"> </w:t>
      </w:r>
      <w:r>
        <w:t xml:space="preserve">European Union. ISBN 978-92-76-19426-2, doi:10.2760/194067, JRC121346.</w:t>
      </w:r>
      <w:r>
        <w:br/>
      </w:r>
      <w:r>
        <w:t xml:space="preserve">González Peña, O. I., López Zavala, M.Á., Cabral Ruelas, H. (2021): Pharmaceuticals</w:t>
      </w:r>
      <w:r>
        <w:t xml:space="preserve"> </w:t>
      </w:r>
      <w:r>
        <w:t xml:space="preserve">Market, Consumption Trends and Disease Incidence Are Not Driving the Pharmaceutical</w:t>
      </w:r>
      <w:r>
        <w:t xml:space="preserve"> </w:t>
      </w:r>
      <w:r>
        <w:t xml:space="preserve">Research on Water and Wastewater. Int. J. Environ. Res. Public Health 2021, 18, 2532.</w:t>
      </w:r>
      <w:r>
        <w:t xml:space="preserve"> </w:t>
      </w:r>
      <w:r>
        <w:t xml:space="preserve">https:// doi.org/10.3390/ijerph18052532</w:t>
      </w:r>
      <w:r>
        <w:br/>
      </w:r>
      <w:r>
        <w:t xml:space="preserve">Guidance on labelling and packaging in accordance with Regulation (EC) No 1272/2008,</w:t>
      </w:r>
      <w:r>
        <w:t xml:space="preserve"> </w:t>
      </w:r>
      <w:r>
        <w:t xml:space="preserve">Version 4.2, March 2021.</w:t>
      </w:r>
      <w:r>
        <w:t xml:space="preserve"> </w:t>
      </w:r>
      <w:r>
        <w:t xml:space="preserve">Guidance on labelling and packaging in accordance with Regulation (EC) No 1272/2008,</w:t>
      </w:r>
      <w:r>
        <w:t xml:space="preserve"> </w:t>
      </w:r>
      <w:r>
        <w:t xml:space="preserve">Version 4.2, March 2021.</w:t>
      </w:r>
      <w:r>
        <w:t xml:space="preserve"> </w:t>
      </w:r>
      <w:r>
        <w:t xml:space="preserve">Guidance on the Application of the CLP Criteria. Guidance to Regulation (EC) No</w:t>
      </w:r>
      <w:r>
        <w:t xml:space="preserve"> </w:t>
      </w:r>
      <w:r>
        <w:t xml:space="preserve">1272/2008 on classification, labelling and packaging (CLP) of substances and mixtures.</w:t>
      </w:r>
      <w:r>
        <w:t xml:space="preserve"> </w:t>
      </w:r>
      <w:r>
        <w:t xml:space="preserve">ECHA-17-G-21-EN. Version 5.0 – July 2017. European Chemicals Agency, 2017.</w:t>
      </w:r>
      <w:r>
        <w:t xml:space="preserve"> </w:t>
      </w:r>
      <w:r>
        <w:t xml:space="preserve">Hauser, R., Skakkebaek, N., Hass, U., Toppari, J., Juul, A., Andersson, A. M., Kortenkamp,</w:t>
      </w:r>
      <w:r>
        <w:t xml:space="preserve"> </w:t>
      </w:r>
      <w:r>
        <w:t xml:space="preserve">A., Heindel, J. J., and Trasande, L. (2015): Male Reproductive Disorders, Diseases, and Costs</w:t>
      </w:r>
      <w:r>
        <w:t xml:space="preserve"> </w:t>
      </w:r>
      <w:r>
        <w:t xml:space="preserve">of Exposure to Endocrine-Disrupting Chemicals in the European Union. doi:</w:t>
      </w:r>
      <w:r>
        <w:t xml:space="preserve"> </w:t>
      </w:r>
      <w:r>
        <w:t xml:space="preserve">10.1210/jc.2014-4325.</w:t>
      </w:r>
      <w:r>
        <w:t xml:space="preserve"> </w:t>
      </w:r>
      <w:r>
        <w:t xml:space="preserve">Hebrok, M., &amp; Boks, C. (2017): Household food waste: Drivers and potential intervention</w:t>
      </w:r>
      <w:r>
        <w:t xml:space="preserve"> </w:t>
      </w:r>
      <w:r>
        <w:t xml:space="preserve">points for design–An extensive review. Journal of Cleaner Production, 151, 380-392.</w:t>
      </w:r>
      <w:r>
        <w:t xml:space="preserve"> </w:t>
      </w:r>
      <w:r>
        <w:t xml:space="preserve">Higham, L. E., Deakin, A., Tivey, E., Porteus, V., Ridgway, S., &amp; Rayner, A. C. (2018): A</w:t>
      </w:r>
      <w:r>
        <w:t xml:space="preserve"> </w:t>
      </w:r>
      <w:r>
        <w:t xml:space="preserve">survey of dairy cow farmers in the United Kingdom: knowledge, attitudes and practices</w:t>
      </w:r>
      <w:r>
        <w:t xml:space="preserve"> </w:t>
      </w:r>
      <w:r>
        <w:t xml:space="preserve">surrounding antimicrobial use and resistance. Veterinary Record, 183(24), 746-746.</w:t>
      </w:r>
      <w:r>
        <w:t xml:space="preserve"> </w:t>
      </w:r>
      <w:r>
        <w:t xml:space="preserve">Holmberg, R.; Wedebye, E.B.; Nikolov, N.G.; Tyle, H. (2021): How many potential</w:t>
      </w:r>
      <w:r>
        <w:t xml:space="preserve"> </w:t>
      </w:r>
      <w:r>
        <w:t xml:space="preserve">vPvM/PMT substances have been registered under REACH? - vPvM/PMT-screening by</w:t>
      </w:r>
      <w:r>
        <w:t xml:space="preserve"> </w:t>
      </w:r>
      <w:r>
        <w:t xml:space="preserve">using the Danish (Q)SAR database. Danmarks Tekniske Universitet (DTU).</w:t>
      </w:r>
      <w:r>
        <w:t xml:space="preserve"> </w:t>
      </w:r>
      <w:r>
        <w:t xml:space="preserve">Hössinger, R., Lin, C., Sonntag, A., &amp; Stark, J. (2017). Estimating the price elasticity of fuel</w:t>
      </w:r>
      <w:r>
        <w:t xml:space="preserve"> </w:t>
      </w:r>
      <w:r>
        <w:t xml:space="preserve">demand with stated preferences derived from a situational approach. Transportation</w:t>
      </w:r>
      <w:r>
        <w:t xml:space="preserve"> </w:t>
      </w:r>
      <w:r>
        <w:t xml:space="preserve">Research Part A: Policy and Practice, 103, 154-171.</w:t>
      </w:r>
      <w:r>
        <w:t xml:space="preserve"> </w:t>
      </w:r>
      <w:r>
        <w:t xml:space="preserve">HSA</w:t>
      </w:r>
      <w:r>
        <w:t xml:space="preserve"> </w:t>
      </w:r>
      <w:r>
        <w:t xml:space="preserve">Detergent</w:t>
      </w:r>
      <w:r>
        <w:t xml:space="preserve"> </w:t>
      </w:r>
      <w:r>
        <w:t xml:space="preserve">Labelling</w:t>
      </w:r>
      <w:r>
        <w:t xml:space="preserve"> </w:t>
      </w:r>
      <w:r>
        <w:t xml:space="preserve">&amp;</w:t>
      </w:r>
      <w:r>
        <w:t xml:space="preserve"> </w:t>
      </w:r>
      <w:r>
        <w:t xml:space="preserve">Packaging</w:t>
      </w:r>
      <w:r>
        <w:t xml:space="preserve"> </w:t>
      </w:r>
      <w:r>
        <w:t xml:space="preserve">Requirements,</w:t>
      </w:r>
      <w:r>
        <w:t xml:space="preserve"> </w:t>
      </w:r>
      <w:r>
        <w:t xml:space="preserve">available</w:t>
      </w:r>
      <w:r>
        <w:t xml:space="preserve"> </w:t>
      </w:r>
      <w:r>
        <w:t xml:space="preserve">at:</w:t>
      </w:r>
      <w:r>
        <w:t xml:space="preserve"> </w:t>
      </w:r>
      <w:r>
        <w:t xml:space="preserve">https://www.hsa.ie/eng/Your_Industry/Chemicals/Legislation_Enforcement/Detergents/Deter</w:t>
      </w:r>
      <w:r>
        <w:t xml:space="preserve"> </w:t>
      </w:r>
      <w:r>
        <w:t xml:space="preserve">gent_Labelling_Packaging_requirements/</w:t>
      </w:r>
    </w:p>
    <w:p>
      <w:pPr>
        <w:pStyle w:val="BodyText"/>
      </w:pPr>
      <w:r>
        <w:t xml:space="preserve">640</w:t>
      </w:r>
    </w:p>
    <w:p>
      <w:pPr>
        <w:pStyle w:val="BodyText"/>
      </w:pPr>
      <w:r>
        <w:t xml:space="preserve">Huang, Y., Law, J. C. F., Lam, T. K., &amp; Leung, K. S. Y. (2021): Risks of organic UV filters:</w:t>
      </w:r>
      <w:r>
        <w:t xml:space="preserve"> </w:t>
      </w:r>
      <w:r>
        <w:t xml:space="preserve">A review of environmental and human health concern studies. Science of The Total</w:t>
      </w:r>
      <w:r>
        <w:t xml:space="preserve"> </w:t>
      </w:r>
      <w:r>
        <w:t xml:space="preserve">Environment, 755, 142486.</w:t>
      </w:r>
      <w:r>
        <w:t xml:space="preserve"> </w:t>
      </w:r>
      <w:r>
        <w:t xml:space="preserve">Hunt, P. A., Sathyanarayana, S., Fowler, P. A., and Trasande, L. (2016): Female</w:t>
      </w:r>
      <w:r>
        <w:t xml:space="preserve"> </w:t>
      </w:r>
      <w:r>
        <w:t xml:space="preserve">Reproductive Disorders, Diseases, and Costs of Exposure to Endocrine Disrupting Chemicals</w:t>
      </w:r>
      <w:r>
        <w:t xml:space="preserve"> </w:t>
      </w:r>
      <w:r>
        <w:t xml:space="preserve">in the European Union. doi: 10.1210/jc.2015-2873.</w:t>
      </w:r>
      <w:r>
        <w:t xml:space="preserve"> </w:t>
      </w:r>
      <w:r>
        <w:t xml:space="preserve">I. Rijk, M. van Duursen, and M. van den Berg, Health cost that may be associated with</w:t>
      </w:r>
      <w:r>
        <w:t xml:space="preserve"> </w:t>
      </w:r>
      <w:r>
        <w:t xml:space="preserve">Endocrine Disrupting Chemicals — An inventory, evaluation and way forward to assess the</w:t>
      </w:r>
      <w:r>
        <w:t xml:space="preserve"> </w:t>
      </w:r>
      <w:r>
        <w:t xml:space="preserve">potential health impact of EDC-associated health effects in the EU, Institute for Risk</w:t>
      </w:r>
      <w:r>
        <w:t xml:space="preserve"> </w:t>
      </w:r>
      <w:r>
        <w:t xml:space="preserve">Assessment Sciences, University of Utrecht, 2016.</w:t>
      </w:r>
      <w:r>
        <w:t xml:space="preserve"> </w:t>
      </w:r>
      <w:r>
        <w:t xml:space="preserve">Inception</w:t>
      </w:r>
      <w:r>
        <w:t xml:space="preserve"> </w:t>
      </w:r>
      <w:r>
        <w:t xml:space="preserve">impact</w:t>
      </w:r>
      <w:r>
        <w:t xml:space="preserve"> </w:t>
      </w:r>
      <w:r>
        <w:t xml:space="preserve">assessment</w:t>
      </w:r>
      <w:r>
        <w:t xml:space="preserve"> </w:t>
      </w:r>
      <w:r>
        <w:t xml:space="preserve">-</w:t>
      </w:r>
      <w:r>
        <w:t xml:space="preserve"> </w:t>
      </w:r>
      <w:r>
        <w:t xml:space="preserve">Ares</w:t>
      </w:r>
      <w:r>
        <w:t xml:space="preserve"> </w:t>
      </w:r>
      <w:r>
        <w:t xml:space="preserve">(2018)6241542.</w:t>
      </w:r>
      <w:r>
        <w:t xml:space="preserve"> </w:t>
      </w:r>
      <w:r>
        <w:t xml:space="preserve">Available</w:t>
      </w:r>
      <w:r>
        <w:t xml:space="preserve"> </w:t>
      </w:r>
      <w:r>
        <w:t xml:space="preserve">at:</w:t>
      </w:r>
      <w:r>
        <w:t xml:space="preserve"> </w:t>
      </w:r>
      <w:r>
        <w:t xml:space="preserve">https://ec.europa.eu/info/law/better-regulation/have-your-say/initiatives/2009-Labelling-</w:t>
      </w:r>
      <w:r>
        <w:t xml:space="preserve"> </w:t>
      </w:r>
      <w:r>
        <w:t xml:space="preserve">fragrance-allergens_en</w:t>
      </w:r>
      <w:r>
        <w:br/>
      </w:r>
      <w:r>
        <w:t xml:space="preserve">International Energy Agency (2021). World Energy Outlook 2021.</w:t>
      </w:r>
      <w:r>
        <w:t xml:space="preserve"> </w:t>
      </w:r>
      <w:r>
        <w:t xml:space="preserve">International Programme on Chemical Safety. (2002). Global assessment on the state of the</w:t>
      </w:r>
      <w:r>
        <w:t xml:space="preserve"> </w:t>
      </w:r>
      <w:r>
        <w:t xml:space="preserve">science</w:t>
      </w:r>
      <w:r>
        <w:t xml:space="preserve"> </w:t>
      </w:r>
      <w:r>
        <w:t xml:space="preserve">of</w:t>
      </w:r>
      <w:r>
        <w:t xml:space="preserve"> </w:t>
      </w:r>
      <w:r>
        <w:t xml:space="preserve">endocrine</w:t>
      </w:r>
      <w:r>
        <w:t xml:space="preserve"> </w:t>
      </w:r>
      <w:r>
        <w:t xml:space="preserve">disruptors. World</w:t>
      </w:r>
      <w:r>
        <w:t xml:space="preserve"> </w:t>
      </w:r>
      <w:r>
        <w:t xml:space="preserve">Health</w:t>
      </w:r>
      <w:r>
        <w:t xml:space="preserve"> </w:t>
      </w:r>
      <w:r>
        <w:t xml:space="preserve">Organization. https://apps.who.int/iris/handle/10665/67357</w:t>
      </w:r>
      <w:r>
        <w:t xml:space="preserve"> </w:t>
      </w:r>
      <w:r>
        <w:t xml:space="preserve">Internet</w:t>
      </w:r>
      <w:r>
        <w:t xml:space="preserve"> </w:t>
      </w:r>
      <w:r>
        <w:t xml:space="preserve">purchases</w:t>
      </w:r>
      <w:r>
        <w:t xml:space="preserve"> </w:t>
      </w:r>
      <w:r>
        <w:t xml:space="preserve">–</w:t>
      </w:r>
      <w:r>
        <w:t xml:space="preserve"> </w:t>
      </w:r>
      <w:r>
        <w:t xml:space="preserve">goods</w:t>
      </w:r>
      <w:r>
        <w:t xml:space="preserve"> </w:t>
      </w:r>
      <w:r>
        <w:t xml:space="preserve">or</w:t>
      </w:r>
      <w:r>
        <w:t xml:space="preserve"> </w:t>
      </w:r>
      <w:r>
        <w:t xml:space="preserve">services</w:t>
      </w:r>
      <w:r>
        <w:t xml:space="preserve"> </w:t>
      </w:r>
      <w:r>
        <w:t xml:space="preserve">(2020</w:t>
      </w:r>
      <w:r>
        <w:t xml:space="preserve"> </w:t>
      </w:r>
      <w:r>
        <w:t xml:space="preserve">onwards)</w:t>
      </w:r>
      <w:r>
        <w:t xml:space="preserve"> </w:t>
      </w:r>
      <w:r>
        <w:t xml:space="preserve">[ISOC_EC_IBGS__custom_2139201]. This is the only product category reported in the</w:t>
      </w:r>
      <w:r>
        <w:t xml:space="preserve"> </w:t>
      </w:r>
      <w:r>
        <w:t xml:space="preserve">survey which is subject to CLP requirements. The statistics shows large differences between</w:t>
      </w:r>
      <w:r>
        <w:t xml:space="preserve"> </w:t>
      </w:r>
      <w:r>
        <w:t xml:space="preserve">countries, with 24% of Dutch individuals in 2021 having purchased cleaning products or</w:t>
      </w:r>
      <w:r>
        <w:t xml:space="preserve"> </w:t>
      </w:r>
      <w:r>
        <w:t xml:space="preserve">personal hygiene products online, against 1% of all individuals in Bulgaria.</w:t>
      </w:r>
      <w:r>
        <w:t xml:space="preserve"> </w:t>
      </w:r>
      <w:r>
        <w:t xml:space="preserve">J.M. Brausch and G.M. Rand, A review of personal care products in the aquatic environment:</w:t>
      </w:r>
      <w:r>
        <w:t xml:space="preserve"> </w:t>
      </w:r>
      <w:r>
        <w:t xml:space="preserve">environmental concentrations and toxicity, Chemosphere, 82, 1518-1532, 2010.</w:t>
      </w:r>
      <w:r>
        <w:t xml:space="preserve"> </w:t>
      </w:r>
      <w:r>
        <w:t xml:space="preserve">Kahn, L. G., Philippat, C., Nakayama, S. F., Slama, R., &amp; Trasande, L. (2020): Endocrine-</w:t>
      </w:r>
      <w:r>
        <w:t xml:space="preserve"> </w:t>
      </w:r>
      <w:r>
        <w:t xml:space="preserve">disrupting</w:t>
      </w:r>
      <w:r>
        <w:t xml:space="preserve"> </w:t>
      </w:r>
      <w:r>
        <w:t xml:space="preserve">chemicals:</w:t>
      </w:r>
      <w:r>
        <w:t xml:space="preserve"> </w:t>
      </w:r>
      <w:r>
        <w:t xml:space="preserve">implications</w:t>
      </w:r>
      <w:r>
        <w:t xml:space="preserve"> </w:t>
      </w:r>
      <w:r>
        <w:t xml:space="preserve">for</w:t>
      </w:r>
      <w:r>
        <w:t xml:space="preserve"> </w:t>
      </w:r>
      <w:r>
        <w:t xml:space="preserve">human</w:t>
      </w:r>
      <w:r>
        <w:t xml:space="preserve"> </w:t>
      </w:r>
      <w:r>
        <w:t xml:space="preserve">health. The</w:t>
      </w:r>
      <w:r>
        <w:t xml:space="preserve"> </w:t>
      </w:r>
      <w:r>
        <w:t xml:space="preserve">Lancet.</w:t>
      </w:r>
      <w:r>
        <w:t xml:space="preserve"> </w:t>
      </w:r>
      <w:r>
        <w:t xml:space="preserve">Diabetes</w:t>
      </w:r>
      <w:r>
        <w:t xml:space="preserve"> </w:t>
      </w:r>
      <w:r>
        <w:t xml:space="preserve">&amp;</w:t>
      </w:r>
      <w:r>
        <w:t xml:space="preserve"> </w:t>
      </w:r>
      <w:r>
        <w:t xml:space="preserve">endocrinology, 8(8), 703–718. https://doi.org/10.1016/S2213-8587(20)30129-7</w:t>
      </w:r>
      <w:r>
        <w:t xml:space="preserve"> </w:t>
      </w:r>
      <w:r>
        <w:t xml:space="preserve">Kalyan S. (2007): Prepubertal gynecomastia linked to lavender and tea tree oils. N Engl J</w:t>
      </w:r>
      <w:r>
        <w:t xml:space="preserve"> </w:t>
      </w:r>
      <w:r>
        <w:t xml:space="preserve">Med. 2007 Jun 14;356(24):2542; author reply 2543-4.</w:t>
      </w:r>
      <w:r>
        <w:t xml:space="preserve"> </w:t>
      </w:r>
      <w:r>
        <w:t xml:space="preserve">Kantar (2019): Food safety in the EU. Special Eurobarometer EB91.3. Available at:</w:t>
      </w:r>
      <w:r>
        <w:t xml:space="preserve"> </w:t>
      </w:r>
      <w:r>
        <w:t xml:space="preserve">https://www.efsa.europa.eu/sites/default/files/corporate_publications/files/Eurobarometer201</w:t>
      </w:r>
      <w:r>
        <w:t xml:space="preserve"> </w:t>
      </w:r>
      <w:r>
        <w:t xml:space="preserve">9_Food-safety-in-the-EU_Full-report.pdfF</w:t>
      </w:r>
      <w:r>
        <w:t xml:space="preserve"> </w:t>
      </w:r>
      <w:r>
        <w:t xml:space="preserve">Kantar (2020). Special Eurobarometer 501: attitudes of European citizens towards the</w:t>
      </w:r>
      <w:r>
        <w:t xml:space="preserve"> </w:t>
      </w:r>
      <w:r>
        <w:t xml:space="preserve">environment. Available at: https://europa.eu/eurobarometer/surveys/detail/2257</w:t>
      </w:r>
      <w:r>
        <w:br/>
      </w:r>
      <w:r>
        <w:t xml:space="preserve">Karamertzanis, P.G.; Atlason, P.; Nathanail, A.V.; Provoost, J.; Karhu, E.; Rasenberg, M.</w:t>
      </w:r>
      <w:r>
        <w:t xml:space="preserve"> </w:t>
      </w:r>
      <w:r>
        <w:t xml:space="preserve">(2019): The impact on classifications for carcinogenicity, mutagenicity, reproductive and</w:t>
      </w:r>
      <w:r>
        <w:t xml:space="preserve"> </w:t>
      </w:r>
      <w:r>
        <w:t xml:space="preserve">specific target organ toxicity after repeated exposure in the first ten years of the REACH</w:t>
      </w:r>
      <w:r>
        <w:t xml:space="preserve"> </w:t>
      </w:r>
      <w:r>
        <w:t xml:space="preserve">regulation. Regulatory Toxicology and Pharmacology, 106, 303-315.</w:t>
      </w:r>
    </w:p>
    <w:p>
      <w:pPr>
        <w:pStyle w:val="BodyText"/>
      </w:pPr>
      <w:r>
        <w:t xml:space="preserve">641</w:t>
      </w:r>
    </w:p>
    <w:p>
      <w:pPr>
        <w:pStyle w:val="BodyText"/>
      </w:pPr>
      <w:r>
        <w:t xml:space="preserve">KEMI, Increased e-commerce – increased chemicals risks? A mapping of the challenges of e-</w:t>
      </w:r>
      <w:r>
        <w:t xml:space="preserve"> </w:t>
      </w:r>
      <w:r>
        <w:t xml:space="preserve">commerce and proposed measures. Report of a government assignment, 2021.</w:t>
      </w:r>
      <w:r>
        <w:t xml:space="preserve"> </w:t>
      </w:r>
      <w:r>
        <w:t xml:space="preserve">Kirhensteine et al (2015): Study on the harmonisation of the information to be submitted to</w:t>
      </w:r>
      <w:r>
        <w:t xml:space="preserve"> </w:t>
      </w:r>
      <w:r>
        <w:t xml:space="preserve">poison centres, according to article 45(4) of the Regulation (EC) No. 1272/2008 (CLP</w:t>
      </w:r>
      <w:r>
        <w:t xml:space="preserve"> </w:t>
      </w:r>
      <w:r>
        <w:t xml:space="preserve">Regulation).</w:t>
      </w:r>
      <w:r>
        <w:t xml:space="preserve"> </w:t>
      </w:r>
      <w:r>
        <w:t xml:space="preserve">Klar, M.; Rumar, K.; Ramström, F. (2020): Nordic project on enforcement of internet trade.</w:t>
      </w:r>
      <w:r>
        <w:t xml:space="preserve"> </w:t>
      </w:r>
      <w:r>
        <w:t xml:space="preserve">Nordic</w:t>
      </w:r>
      <w:r>
        <w:t xml:space="preserve"> </w:t>
      </w:r>
      <w:r>
        <w:t xml:space="preserve">working</w:t>
      </w:r>
      <w:r>
        <w:t xml:space="preserve"> </w:t>
      </w:r>
      <w:r>
        <w:t xml:space="preserve">paper.</w:t>
      </w:r>
      <w:r>
        <w:t xml:space="preserve"> </w:t>
      </w:r>
      <w:r>
        <w:t xml:space="preserve">Available</w:t>
      </w:r>
      <w:r>
        <w:t xml:space="preserve"> </w:t>
      </w:r>
      <w:r>
        <w:t xml:space="preserve">at:</w:t>
      </w:r>
      <w:r>
        <w:t xml:space="preserve"> </w:t>
      </w:r>
      <w:r>
        <w:t xml:space="preserve">http://norden.diva-</w:t>
      </w:r>
      <w:r>
        <w:t xml:space="preserve"> </w:t>
      </w:r>
      <w:r>
        <w:t xml:space="preserve">portal.org/smash/record.jsf?pid=diva2%3A1424143&amp;dswid=-3244</w:t>
      </w:r>
      <w:r>
        <w:br/>
      </w:r>
      <w:r>
        <w:t xml:space="preserve">Klaschka, U. (2012): Dangerous cosmetics – criteria for classification, labelling and</w:t>
      </w:r>
      <w:r>
        <w:t xml:space="preserve"> </w:t>
      </w:r>
      <w:r>
        <w:t xml:space="preserve">packaging (EC1272/2008) applied to personal care products. Environmental Sciences</w:t>
      </w:r>
      <w:r>
        <w:t xml:space="preserve"> </w:t>
      </w:r>
      <w:r>
        <w:t xml:space="preserve">Europe, 24(1), 1-10.</w:t>
      </w:r>
      <w:r>
        <w:br/>
      </w:r>
      <w:r>
        <w:t xml:space="preserve">Klaschka, U. (2015): Naturally toxic: natural substances used in personal care</w:t>
      </w:r>
      <w:r>
        <w:t xml:space="preserve"> </w:t>
      </w:r>
      <w:r>
        <w:t xml:space="preserve">products. Environmental Sciences Europe, 27(1), 1-13.</w:t>
      </w:r>
      <w:r>
        <w:br/>
      </w:r>
      <w:r>
        <w:t xml:space="preserve">Klaschka, U. (2016): Natural personal care products—analysis of ingredient lists and legal</w:t>
      </w:r>
      <w:r>
        <w:t xml:space="preserve"> </w:t>
      </w:r>
      <w:r>
        <w:t xml:space="preserve">situation. Environmental Sciences Europe, 28(1), 1-14.</w:t>
      </w:r>
      <w:r>
        <w:br/>
      </w:r>
      <w:r>
        <w:t xml:space="preserve">Kusturica et al. (2016). Reviews of Environmental Contamination and Toxicology, 240, 71-</w:t>
      </w:r>
      <w:r>
        <w:t xml:space="preserve"> </w:t>
      </w:r>
      <w:r>
        <w:t xml:space="preserve">104.</w:t>
      </w:r>
      <w:r>
        <w:br/>
      </w:r>
      <w:r>
        <w:t xml:space="preserve">Kusturica, M. P., Tomas, A., &amp; Sabo, A. (2016): Disposal of unused drugs: Knowledge and</w:t>
      </w:r>
      <w:r>
        <w:t xml:space="preserve"> </w:t>
      </w:r>
      <w:r>
        <w:t xml:space="preserve">behaviour among people around the world. Reviews of Environmental Contamination and</w:t>
      </w:r>
      <w:r>
        <w:t xml:space="preserve"> </w:t>
      </w:r>
      <w:r>
        <w:t xml:space="preserve">Toxicology, 240, 71-104.</w:t>
      </w:r>
      <w:r>
        <w:br/>
      </w:r>
      <w:r>
        <w:t xml:space="preserve">L. G Kahn, C. Philippat, S. F. Nakayama, R. Slama, &amp; L. Trasande, Endocrine-disrupting</w:t>
      </w:r>
      <w:r>
        <w:t xml:space="preserve"> </w:t>
      </w:r>
      <w:r>
        <w:t xml:space="preserve">chemicals: implications for human health, The Lancet. Diabetes &amp; endocrinology, 8(8), 703–</w:t>
      </w:r>
      <w:r>
        <w:t xml:space="preserve"> </w:t>
      </w:r>
      <w:r>
        <w:t xml:space="preserve">718, 2020.</w:t>
      </w:r>
      <w:r>
        <w:t xml:space="preserve"> </w:t>
      </w:r>
      <w:r>
        <w:t xml:space="preserve">L. Persson, B. M. Carney Almroth, C. D. Collins, S. Cornell, C. A. de Wit, M. L. Diamond,</w:t>
      </w:r>
      <w:r>
        <w:t xml:space="preserve"> </w:t>
      </w:r>
      <w:r>
        <w:t xml:space="preserve">P. Fantke, M. Hassellöv, M. MacLeod, M. W. Ryberg, P. Søgaard Jørgensen, P. Villarrubia-</w:t>
      </w:r>
      <w:r>
        <w:t xml:space="preserve"> </w:t>
      </w:r>
      <w:r>
        <w:t xml:space="preserve">Gómez, Z. Wang, and M. Zwicky Hauschild, Outside the Safe Operating Space of the</w:t>
      </w:r>
      <w:r>
        <w:t xml:space="preserve"> </w:t>
      </w:r>
      <w:r>
        <w:t xml:space="preserve">Planetary Boundary for Novel Entities, 2022.</w:t>
      </w:r>
      <w:r>
        <w:t xml:space="preserve"> </w:t>
      </w:r>
      <w:r>
        <w:t xml:space="preserve">L’Oreal,</w:t>
      </w:r>
      <w:r>
        <w:t xml:space="preserve"> </w:t>
      </w:r>
      <w:r>
        <w:t xml:space="preserve">Cosmetics</w:t>
      </w:r>
      <w:r>
        <w:t xml:space="preserve"> </w:t>
      </w:r>
      <w:r>
        <w:t xml:space="preserve">Market</w:t>
      </w:r>
      <w:r>
        <w:t xml:space="preserve"> </w:t>
      </w:r>
      <w:r>
        <w:t xml:space="preserve">2020.</w:t>
      </w:r>
      <w:r>
        <w:t xml:space="preserve"> </w:t>
      </w:r>
      <w:r>
        <w:t xml:space="preserve">https://www.loreal-finance.com/en/annual-report-</w:t>
      </w:r>
      <w:r>
        <w:t xml:space="preserve"> </w:t>
      </w:r>
      <w:r>
        <w:t xml:space="preserve">2020/cosmetics-market-2-1-0/</w:t>
      </w:r>
      <w:r>
        <w:br/>
      </w:r>
      <w:r>
        <w:t xml:space="preserve">Labille, J., Slomberg, D., Catalano, R., Robert, S., Apers-Tremelo, M. L., Boudenne, J. L., …</w:t>
      </w:r>
      <w:r>
        <w:t xml:space="preserve"> </w:t>
      </w:r>
      <w:r>
        <w:t xml:space="preserve">&amp; Radakovitch, O. (2020): Assessing UV filter inputs into beach waters during recreational</w:t>
      </w:r>
      <w:r>
        <w:t xml:space="preserve"> </w:t>
      </w:r>
      <w:r>
        <w:t xml:space="preserve">activity: A field study of three French Mediterranean beaches from consumer survey to water</w:t>
      </w:r>
      <w:r>
        <w:t xml:space="preserve"> </w:t>
      </w:r>
      <w:r>
        <w:t xml:space="preserve">analysis. Science of the Total Environment, 706, 136010.</w:t>
      </w:r>
      <w:r>
        <w:t xml:space="preserve"> </w:t>
      </w:r>
      <w:r>
        <w:t xml:space="preserve">Lam, J., Chan, S. S., Conway, F. D., &amp; Stone, D. (2018): Environmental stewardship</w:t>
      </w:r>
      <w:r>
        <w:t xml:space="preserve"> </w:t>
      </w:r>
      <w:r>
        <w:t xml:space="preserve">practices of veterinary professionals and educators related to use and disposal of</w:t>
      </w:r>
      <w:r>
        <w:t xml:space="preserve"> </w:t>
      </w:r>
      <w:r>
        <w:t xml:space="preserve">pharmaceuticals and personal care products. Journal of the American Veterinary Medical</w:t>
      </w:r>
      <w:r>
        <w:t xml:space="preserve"> </w:t>
      </w:r>
      <w:r>
        <w:t xml:space="preserve">Association, 252(5), 596-604.</w:t>
      </w:r>
      <w:r>
        <w:t xml:space="preserve"> </w:t>
      </w:r>
      <w:r>
        <w:t xml:space="preserve">Liobikienė, G. and Bernatonienė, J. (2017). Journal of Cleaner Production, 162, 109-120.</w:t>
      </w:r>
    </w:p>
    <w:p>
      <w:pPr>
        <w:pStyle w:val="BodyText"/>
      </w:pPr>
      <w:r>
        <w:t xml:space="preserve">642</w:t>
      </w:r>
    </w:p>
    <w:p>
      <w:pPr>
        <w:pStyle w:val="BodyText"/>
      </w:pPr>
      <w:r>
        <w:t xml:space="preserve">Liobikienė, G., &amp; Bernatonienė, J. (2017): Why determinants of green purchase cannot be</w:t>
      </w:r>
      <w:r>
        <w:t xml:space="preserve"> </w:t>
      </w:r>
      <w:r>
        <w:t xml:space="preserve">treated equally? The case of green cosmetics: A literature review. Journal of Cleaner</w:t>
      </w:r>
      <w:r>
        <w:t xml:space="preserve"> </w:t>
      </w:r>
      <w:r>
        <w:t xml:space="preserve">Production, 162, 109-120.</w:t>
      </w:r>
      <w:r>
        <w:br/>
      </w:r>
      <w:r>
        <w:t xml:space="preserve">Liu, R., &amp; Mabury, S. A. (2021): Single-use face masks as a potential source of synthetic</w:t>
      </w:r>
      <w:r>
        <w:t xml:space="preserve"> </w:t>
      </w:r>
      <w:r>
        <w:t xml:space="preserve">antioxidants to the environment. Environmental Science &amp; Technology Letters, 8(8), 651-</w:t>
      </w:r>
      <w:r>
        <w:t xml:space="preserve"> </w:t>
      </w:r>
      <w:r>
        <w:t xml:space="preserve">655.</w:t>
      </w:r>
      <w:r>
        <w:br/>
      </w:r>
      <w:r>
        <w:t xml:space="preserve">Loos, R. et al. (2018): Review of the 1st Watch List under the Water Framework Directive</w:t>
      </w:r>
      <w:r>
        <w:t xml:space="preserve"> </w:t>
      </w:r>
      <w:r>
        <w:t xml:space="preserve">and recommendations for the 2nd Watch List. EUR 29173 EN, Publications Office of the</w:t>
      </w:r>
      <w:r>
        <w:t xml:space="preserve"> </w:t>
      </w:r>
      <w:r>
        <w:t xml:space="preserve">European Union, Luxembourg. ISBN 978-92-79-81838-7 (print), 978-92-79-81839-4 (pdf),</w:t>
      </w:r>
      <w:r>
        <w:t xml:space="preserve"> </w:t>
      </w:r>
      <w:r>
        <w:t xml:space="preserve">doi:10.2760/614367 (online), 10.2760/701879 (print), JRC111198.</w:t>
      </w:r>
      <w:r>
        <w:t xml:space="preserve"> </w:t>
      </w:r>
      <w:r>
        <w:t xml:space="preserve">M. Neumann and I. Schliebner, Protecting the sources of our drinking water: The criteria for</w:t>
      </w:r>
      <w:r>
        <w:t xml:space="preserve"> </w:t>
      </w:r>
      <w:r>
        <w:t xml:space="preserve">identifying persistent, mobile and toxic (PMT) substances and very persistent and very</w:t>
      </w:r>
      <w:r>
        <w:t xml:space="preserve"> </w:t>
      </w:r>
      <w:r>
        <w:t xml:space="preserve">mobile (vPvM) substances under EU Regulation REACH (EC) No 1907/2006, Texte</w:t>
      </w:r>
      <w:r>
        <w:t xml:space="preserve"> </w:t>
      </w:r>
      <w:r>
        <w:t xml:space="preserve">127/2019, Umweltbundesamt, 2019.</w:t>
      </w:r>
      <w:r>
        <w:t xml:space="preserve"> </w:t>
      </w:r>
      <w:r>
        <w:t xml:space="preserve">Maggie Geuens, Dominic Byrne, Geert Boeije, Virginie Peeters and Bert Vandecasteele,</w:t>
      </w:r>
      <w:r>
        <w:t xml:space="preserve"> </w:t>
      </w:r>
      <w:r>
        <w:t xml:space="preserve">2021, “Investigating the effectiveness of simplified labels for safe use communication: The</w:t>
      </w:r>
      <w:r>
        <w:t xml:space="preserve"> </w:t>
      </w:r>
      <w:r>
        <w:t xml:space="preserve">case of household detergents”. International Journal of Consumer Studies, DOI:</w:t>
      </w:r>
      <w:r>
        <w:t xml:space="preserve"> </w:t>
      </w:r>
      <w:r>
        <w:t xml:space="preserve">10.1111/ijcs.12662.</w:t>
      </w:r>
      <w:r>
        <w:br/>
      </w:r>
      <w:r>
        <w:t xml:space="preserve">Makki, M., Hassali, M. A., Awaisu, A., &amp; Hashmi, F. (2019): The prevalence of unused</w:t>
      </w:r>
      <w:r>
        <w:t xml:space="preserve"> </w:t>
      </w:r>
      <w:r>
        <w:t xml:space="preserve">medications in homes. Pharmacy, 7(2), 61.</w:t>
      </w:r>
      <w:r>
        <w:br/>
      </w:r>
      <w:r>
        <w:t xml:space="preserve">McGain, F., &amp; Naylor, C. (2014): Environmental sustainability in hospitals–a systematic</w:t>
      </w:r>
      <w:r>
        <w:t xml:space="preserve"> </w:t>
      </w:r>
      <w:r>
        <w:t xml:space="preserve">review and research agenda. Journal of health services research &amp; policy, 19(4), 245-252.</w:t>
      </w:r>
      <w:r>
        <w:br/>
      </w:r>
      <w:r>
        <w:t xml:space="preserve">MDCG, (2020): Guidance on Classification Rules for in vitro Diagnostic Medical Devices</w:t>
      </w:r>
      <w:r>
        <w:t xml:space="preserve"> </w:t>
      </w:r>
      <w:r>
        <w:t xml:space="preserve">under</w:t>
      </w:r>
      <w:r>
        <w:t xml:space="preserve"> </w:t>
      </w:r>
      <w:r>
        <w:t xml:space="preserve">Regulation</w:t>
      </w:r>
      <w:r>
        <w:t xml:space="preserve"> </w:t>
      </w:r>
      <w:r>
        <w:t xml:space="preserve">(EU)</w:t>
      </w:r>
      <w:r>
        <w:t xml:space="preserve"> </w:t>
      </w:r>
      <w:r>
        <w:t xml:space="preserve">2017/746.</w:t>
      </w:r>
      <w:r>
        <w:t xml:space="preserve"> </w:t>
      </w:r>
      <w:r>
        <w:t xml:space="preserve">Available</w:t>
      </w:r>
      <w:r>
        <w:t xml:space="preserve"> </w:t>
      </w:r>
      <w:r>
        <w:t xml:space="preserve">at:</w:t>
      </w:r>
      <w:r>
        <w:t xml:space="preserve"> </w:t>
      </w:r>
      <w:r>
        <w:t xml:space="preserve">https://ec.europa.eu/health/sites/default/files/md_sector/docs/md_mdcg_2020_guidance_class</w:t>
      </w:r>
      <w:r>
        <w:t xml:space="preserve"> </w:t>
      </w:r>
      <w:r>
        <w:t xml:space="preserve">ification_ivd-md_en.pdf [Accessed on: 30 November 2021]</w:t>
      </w:r>
      <w:r>
        <w:t xml:space="preserve"> </w:t>
      </w:r>
      <w:r>
        <w:t xml:space="preserve">MDCG, (2021): Guidance on classification of medical devices. Available at:</w:t>
      </w:r>
      <w:r>
        <w:t xml:space="preserve"> </w:t>
      </w:r>
      <w:r>
        <w:t xml:space="preserve">https://ec.europa.eu/health/sites/default/files/md_sector/docs/mdcg_2021-24_en.pdf</w:t>
      </w:r>
      <w:r>
        <w:t xml:space="preserve"> </w:t>
      </w:r>
      <w:r>
        <w:t xml:space="preserve">[Accessed on: 30 November 2021]</w:t>
      </w:r>
      <w:r>
        <w:t xml:space="preserve"> </w:t>
      </w:r>
      <w:r>
        <w:t xml:space="preserve">MedTech</w:t>
      </w:r>
      <w:r>
        <w:t xml:space="preserve"> </w:t>
      </w:r>
      <w:r>
        <w:t xml:space="preserve">Europe</w:t>
      </w:r>
      <w:r>
        <w:t xml:space="preserve"> </w:t>
      </w:r>
      <w:r>
        <w:t xml:space="preserve">Facts</w:t>
      </w:r>
      <w:r>
        <w:t xml:space="preserve"> </w:t>
      </w:r>
      <w:r>
        <w:t xml:space="preserve">and</w:t>
      </w:r>
      <w:r>
        <w:t xml:space="preserve"> </w:t>
      </w:r>
      <w:r>
        <w:t xml:space="preserve">Figures</w:t>
      </w:r>
      <w:r>
        <w:t xml:space="preserve"> </w:t>
      </w:r>
      <w:r>
        <w:t xml:space="preserve">2021</w:t>
      </w:r>
      <w:r>
        <w:t xml:space="preserve"> </w:t>
      </w:r>
      <w:r>
        <w:t xml:space="preserve">https://www.medtecheurope.org/wp-</w:t>
      </w:r>
      <w:r>
        <w:t xml:space="preserve"> </w:t>
      </w:r>
      <w:r>
        <w:t xml:space="preserve">content/uploads/2021/06/medtech-europe-facts-and-figures-2021.pdf</w:t>
      </w:r>
      <w:r>
        <w:br/>
      </w:r>
      <w:r>
        <w:t xml:space="preserve">Megatrends, Supporting policy with scientific evidence, Consumers wish to be increasingly</w:t>
      </w:r>
      <w:r>
        <w:t xml:space="preserve"> </w:t>
      </w:r>
      <w:r>
        <w:t xml:space="preserve">aware of the environmental performance of the products they buy; see megatrends in</w:t>
      </w:r>
      <w:r>
        <w:t xml:space="preserve"> </w:t>
      </w:r>
      <w:r>
        <w:t xml:space="preserve">sustainable consumption.</w:t>
      </w:r>
      <w:r>
        <w:br/>
      </w:r>
      <w:r>
        <w:t xml:space="preserve">Mereu, C.; Lantres, O. (2022). Legal aspects of REACH and the medical devices sector.</w:t>
      </w:r>
      <w:r>
        <w:t xml:space="preserve"> </w:t>
      </w:r>
      <w:r>
        <w:t xml:space="preserve">Available at: https://www.fieldfisher.com/en/insights/legal-aspects-of-reach-and-the-medical-</w:t>
      </w:r>
      <w:r>
        <w:t xml:space="preserve"> </w:t>
      </w:r>
      <w:r>
        <w:t xml:space="preserve">devices-sector</w:t>
      </w:r>
      <w:r>
        <w:t xml:space="preserve"> </w:t>
      </w:r>
      <w:r>
        <w:t xml:space="preserve">Milieu Consulting (2020): Technical assistance to review the existing Member States</w:t>
      </w:r>
      <w:r>
        <w:t xml:space="preserve"> </w:t>
      </w:r>
      <w:r>
        <w:t xml:space="preserve">reporting questionnaire under articles 117(1) of REACH and 46(2) of CLP. Available at:</w:t>
      </w:r>
    </w:p>
    <w:p>
      <w:pPr>
        <w:pStyle w:val="BodyText"/>
      </w:pPr>
      <w:r>
        <w:t xml:space="preserve">643</w:t>
      </w:r>
    </w:p>
    <w:p>
      <w:pPr>
        <w:pStyle w:val="BodyText"/>
      </w:pPr>
      <w:r>
        <w:t xml:space="preserve">https://ec.europa.eu/environment/chemicals/reach/pdf/Final%20report_REACH-</w:t>
      </w:r>
      <w:r>
        <w:t xml:space="preserve"> </w:t>
      </w:r>
      <w:r>
        <w:t xml:space="preserve">CLP%20MS%20reporting_2020.pdf</w:t>
      </w:r>
      <w:r>
        <w:t xml:space="preserve"> </w:t>
      </w:r>
      <w:r>
        <w:t xml:space="preserve">N.A. Vita, C.A. Brohem, A. D. P. M. Canavez, C. F. S. Oliveira, O. Kruger, M. Lorencini &amp;</w:t>
      </w:r>
      <w:r>
        <w:t xml:space="preserve"> </w:t>
      </w:r>
      <w:r>
        <w:t xml:space="preserve">C.M. Carvalho, Parameters for assessing the aquatic environmental impact of cosmetic</w:t>
      </w:r>
      <w:r>
        <w:t xml:space="preserve"> </w:t>
      </w:r>
      <w:r>
        <w:t xml:space="preserve">products, Toxicology letters, 287, 70-82, 2018.</w:t>
      </w:r>
      <w:r>
        <w:t xml:space="preserve"> </w:t>
      </w:r>
      <w:r>
        <w:t xml:space="preserve">National Institute of Environmental Health Sciences. (n.d.) Endocrine Disruptors.</w:t>
      </w:r>
      <w:r>
        <w:t xml:space="preserve"> </w:t>
      </w:r>
      <w:r>
        <w:t xml:space="preserve">https://www.niehs.nih.gov/health/topics/agents/endocrine/index.cfm</w:t>
      </w:r>
      <w:r>
        <w:t xml:space="preserve"> </w:t>
      </w:r>
      <w:r>
        <w:t xml:space="preserve">Negrão De Carvalho, R. et al. (2015). Publications Office of the European Union; 2015.</w:t>
      </w:r>
      <w:r>
        <w:t xml:space="preserve"> </w:t>
      </w:r>
      <w:r>
        <w:t xml:space="preserve">JRC95018.</w:t>
      </w:r>
      <w:r>
        <w:t xml:space="preserve"> </w:t>
      </w:r>
      <w:r>
        <w:t xml:space="preserve">Negrão De Carvalho, R. et al. (2015): Development of the First Watch List under the</w:t>
      </w:r>
      <w:r>
        <w:t xml:space="preserve"> </w:t>
      </w:r>
      <w:r>
        <w:t xml:space="preserve">Environmental Quality Standards Directive. EUR 27142. Luxembourg (Luxembourg):</w:t>
      </w:r>
      <w:r>
        <w:t xml:space="preserve"> </w:t>
      </w:r>
      <w:r>
        <w:t xml:space="preserve">Publications Office of the European Union; 2015. JRC95018.</w:t>
      </w:r>
      <w:r>
        <w:t xml:space="preserve"> </w:t>
      </w:r>
      <w:r>
        <w:t xml:space="preserve">Non-compliant with Article 48(2) on advertisement of mixtures, ECHA, Final report on the</w:t>
      </w:r>
      <w:r>
        <w:t xml:space="preserve"> </w:t>
      </w:r>
      <w:r>
        <w:t xml:space="preserve">Forum Pilot Project on CLP focusing on control of internet sales, 2018.</w:t>
      </w:r>
      <w:r>
        <w:t xml:space="preserve"> </w:t>
      </w:r>
      <w:r>
        <w:t xml:space="preserve">NoPILLS</w:t>
      </w:r>
      <w:r>
        <w:t xml:space="preserve"> </w:t>
      </w:r>
      <w:r>
        <w:t xml:space="preserve">report,</w:t>
      </w:r>
      <w:r>
        <w:t xml:space="preserve"> </w:t>
      </w:r>
      <w:r>
        <w:t xml:space="preserve">(2015):</w:t>
      </w:r>
      <w:r>
        <w:t xml:space="preserve"> </w:t>
      </w:r>
      <w:r>
        <w:t xml:space="preserve">Available</w:t>
      </w:r>
      <w:r>
        <w:t xml:space="preserve"> </w:t>
      </w:r>
      <w:r>
        <w:t xml:space="preserve">at:</w:t>
      </w:r>
      <w:r>
        <w:t xml:space="preserve"> </w:t>
      </w:r>
      <w:r>
        <w:t xml:space="preserve">http://www.no-</w:t>
      </w:r>
      <w:r>
        <w:t xml:space="preserve"> </w:t>
      </w:r>
      <w:r>
        <w:t xml:space="preserve">pills.eu/conference/BS_NoPills_Final%20Report_long_EN.pdf</w:t>
      </w:r>
      <w:r>
        <w:t xml:space="preserve"> </w:t>
      </w:r>
      <w:r>
        <w:t xml:space="preserve">OECD (2016): Online product safety: trends and challenges. Available at: https://www.oecd-</w:t>
      </w:r>
      <w:r>
        <w:t xml:space="preserve"> </w:t>
      </w:r>
      <w:r>
        <w:t xml:space="preserve">ilibrary.org/docserver/5jlnb5q93jlt-</w:t>
      </w:r>
      <w:r>
        <w:t xml:space="preserve"> </w:t>
      </w:r>
      <w:r>
        <w:t xml:space="preserve">en.pdf?expires=1634201072&amp;id=id&amp;accname=guest&amp;checksum=C2D7A9711E82EF9F45B</w:t>
      </w:r>
      <w:r>
        <w:t xml:space="preserve"> </w:t>
      </w:r>
      <w:r>
        <w:t xml:space="preserve">1DC68B1FC3A39</w:t>
      </w:r>
      <w:r>
        <w:t xml:space="preserve"> </w:t>
      </w:r>
      <w:r>
        <w:t xml:space="preserve">OECD, (2019): Pharmaceutical Residues in Freshwater: Hazards and Policy Responses.</w:t>
      </w:r>
      <w:r>
        <w:t xml:space="preserve"> </w:t>
      </w:r>
      <w:r>
        <w:t xml:space="preserve">OECD Studies on Water. OECD Publishing, Paris. Available at: https://www.oecd-</w:t>
      </w:r>
      <w:r>
        <w:t xml:space="preserve"> </w:t>
      </w:r>
      <w:r>
        <w:t xml:space="preserve">ilibrary.org/sites/c936f42d-en/index.html?itemId=/content/publication/c936f42d-en</w:t>
      </w:r>
      <w:r>
        <w:t xml:space="preserve"> </w:t>
      </w:r>
      <w:r>
        <w:t xml:space="preserve">[Accessed on: 30 November 2021]</w:t>
      </w:r>
      <w:r>
        <w:t xml:space="preserve"> </w:t>
      </w:r>
      <w:r>
        <w:t xml:space="preserve">O’Flynn, D. et al. (2021): A review of pharmaceutical occurrence and pathways in the aquatic</w:t>
      </w:r>
      <w:r>
        <w:t xml:space="preserve"> </w:t>
      </w:r>
      <w:r>
        <w:t xml:space="preserve">environment in the context of a changing climate and the COVID-19 pandemic. Analytical</w:t>
      </w:r>
      <w:r>
        <w:t xml:space="preserve"> </w:t>
      </w:r>
      <w:r>
        <w:t xml:space="preserve">Methods, 13(5), 575-594.</w:t>
      </w:r>
      <w:r>
        <w:br/>
      </w:r>
      <w:r>
        <w:t xml:space="preserve">Oltmanns, J.; Licht, O.; Bohlen, M.-L.; Schwarz, M.; Escher, S.E.; Silano, V.; MacLeod, M.;</w:t>
      </w:r>
      <w:r>
        <w:t xml:space="preserve"> </w:t>
      </w:r>
      <w:r>
        <w:t xml:space="preserve">Noteborn, H.P.J.M.; Kass, G.E.N.; Merten, C. (2020): Potential emerging chemical risks in</w:t>
      </w:r>
      <w:r>
        <w:t xml:space="preserve"> </w:t>
      </w:r>
      <w:r>
        <w:t xml:space="preserve">the food chain associated with substances registered under REACH. Environmental Science:</w:t>
      </w:r>
      <w:r>
        <w:t xml:space="preserve"> </w:t>
      </w:r>
      <w:r>
        <w:t xml:space="preserve">Processes &amp; Impacts, 22, 105-120.</w:t>
      </w:r>
      <w:r>
        <w:t xml:space="preserve"> </w:t>
      </w:r>
      <w:r>
        <w:t xml:space="preserve">Ozkaya, E., Ozkaya, H., Roxas, J. et al. Factors affecting consumer usage of QR codes. J</w:t>
      </w:r>
      <w:r>
        <w:t xml:space="preserve"> </w:t>
      </w:r>
      <w:r>
        <w:t xml:space="preserve">Direct Data Digit Mark Pract 16, 209–224 (2015). https://doi.org/10.1057/dddmp.2015.18</w:t>
      </w:r>
      <w:r>
        <w:t xml:space="preserve"> </w:t>
      </w:r>
      <w:r>
        <w:t xml:space="preserve">Parliament resolution (2019/2683(RSP))</w:t>
      </w:r>
      <w:r>
        <w:t xml:space="preserve"> </w:t>
      </w:r>
      <w:r>
        <w:t xml:space="preserve">PayPal,</w:t>
      </w:r>
      <w:r>
        <w:t xml:space="preserve"> </w:t>
      </w:r>
      <w:r>
        <w:t xml:space="preserve">Ipsos</w:t>
      </w:r>
      <w:r>
        <w:t xml:space="preserve"> </w:t>
      </w:r>
      <w:r>
        <w:t xml:space="preserve">(2018):</w:t>
      </w:r>
      <w:r>
        <w:t xml:space="preserve"> </w:t>
      </w:r>
      <w:r>
        <w:t xml:space="preserve">PayPal</w:t>
      </w:r>
      <w:r>
        <w:t xml:space="preserve"> </w:t>
      </w:r>
      <w:r>
        <w:t xml:space="preserve">cross-border</w:t>
      </w:r>
      <w:r>
        <w:t xml:space="preserve"> </w:t>
      </w:r>
      <w:r>
        <w:t xml:space="preserve">consumer</w:t>
      </w:r>
      <w:r>
        <w:t xml:space="preserve"> </w:t>
      </w:r>
      <w:r>
        <w:t xml:space="preserve">research.</w:t>
      </w:r>
      <w:r>
        <w:t xml:space="preserve"> </w:t>
      </w:r>
      <w:r>
        <w:t xml:space="preserve">Available</w:t>
      </w:r>
      <w:r>
        <w:t xml:space="preserve"> </w:t>
      </w:r>
      <w:r>
        <w:t xml:space="preserve">at:</w:t>
      </w:r>
      <w:r>
        <w:t xml:space="preserve"> </w:t>
      </w:r>
      <w:r>
        <w:t xml:space="preserve">https://www.paypalobjects.com/digitalassets/c/website/marketing/global/shared/global/media</w:t>
      </w:r>
      <w:r>
        <w:t xml:space="preserve"> </w:t>
      </w:r>
      <w:r>
        <w:t xml:space="preserve">-resources/documents/PayPal_Insights_2018_Global_Report.pdf</w:t>
      </w:r>
    </w:p>
    <w:p>
      <w:pPr>
        <w:pStyle w:val="BodyText"/>
      </w:pPr>
      <w:r>
        <w:t xml:space="preserve">644</w:t>
      </w:r>
    </w:p>
    <w:p>
      <w:pPr>
        <w:pStyle w:val="BodyText"/>
      </w:pPr>
      <w:r>
        <w:t xml:space="preserve">Pesticides Data base, avalable at https://ec.europa.eu/food/plants/pesticides/eu-pesticides-</w:t>
      </w:r>
      <w:r>
        <w:t xml:space="preserve"> </w:t>
      </w:r>
      <w:r>
        <w:t xml:space="preserve">database_en</w:t>
      </w:r>
      <w:r>
        <w:t xml:space="preserve"> </w:t>
      </w:r>
      <w:r>
        <w:t xml:space="preserve">Piccoli, G. B., Nazha, M., Ferraresi, M., Vigotti, F. N., Pereno, A., &amp; Barbero, S. (2015):</w:t>
      </w:r>
      <w:r>
        <w:t xml:space="preserve"> </w:t>
      </w:r>
      <w:r>
        <w:t xml:space="preserve">Eco-dialysis: the financial and ecological costs of dialysis waste products: is a ‘cradle-to-</w:t>
      </w:r>
      <w:r>
        <w:t xml:space="preserve"> </w:t>
      </w:r>
      <w:r>
        <w:t xml:space="preserve">cradle model feasible for planet-friendly haemodialysis waste management?. Nephrology</w:t>
      </w:r>
      <w:r>
        <w:t xml:space="preserve"> </w:t>
      </w:r>
      <w:r>
        <w:t xml:space="preserve">Dialysis Transplantation, 30(6), 1018-1027.</w:t>
      </w:r>
      <w:r>
        <w:t xml:space="preserve"> </w:t>
      </w:r>
      <w:r>
        <w:t xml:space="preserve">Planned, ongoing or completed activities are listed in the Public Activities Coordination Tool</w:t>
      </w:r>
      <w:r>
        <w:t xml:space="preserve"> </w:t>
      </w:r>
      <w:r>
        <w:t xml:space="preserve">(PACT).</w:t>
      </w:r>
      <w:r>
        <w:t xml:space="preserve"> </w:t>
      </w:r>
      <w:r>
        <w:t xml:space="preserve">PPT Presentation CARACAL – 17 - 26th March 2015, 2015.</w:t>
      </w:r>
      <w:r>
        <w:t xml:space="preserve"> </w:t>
      </w:r>
      <w:r>
        <w:t xml:space="preserve">Principato, L., Mattia, G., Di Leo, A., &amp; Pratesi, C. A. (2021): The household wasteful</w:t>
      </w:r>
      <w:r>
        <w:t xml:space="preserve"> </w:t>
      </w:r>
      <w:r>
        <w:t xml:space="preserve">behaviour framework: A systematic review of consumer food waste. Industrial Marketing</w:t>
      </w:r>
      <w:r>
        <w:t xml:space="preserve"> </w:t>
      </w:r>
      <w:r>
        <w:t xml:space="preserve">Management, 93, 641-649.</w:t>
      </w:r>
      <w:r>
        <w:t xml:space="preserve"> </w:t>
      </w:r>
      <w:r>
        <w:t xml:space="preserve">Proposal for a REGULATION OF THE EUROPEAN PARLIAMENT AND OF THE</w:t>
      </w:r>
      <w:r>
        <w:t xml:space="preserve"> </w:t>
      </w:r>
      <w:r>
        <w:t xml:space="preserve">COUNCIL concerning batteries and waste batteries, repealing Directive 2006/66/EC and</w:t>
      </w:r>
      <w:r>
        <w:t xml:space="preserve"> </w:t>
      </w:r>
      <w:r>
        <w:t xml:space="preserve">amending Regulation (EU) No 2019/1020, COM/2020/798 final, available at: https://eur-</w:t>
      </w:r>
      <w:r>
        <w:t xml:space="preserve"> </w:t>
      </w:r>
      <w:r>
        <w:t xml:space="preserve">lex.europa.eu/legal-content/EN/TXT/?uri=CELEX%3A52020PC0798&amp;qid=1639045049210</w:t>
      </w:r>
      <w:r>
        <w:t xml:space="preserve"> </w:t>
      </w:r>
      <w:r>
        <w:t xml:space="preserve">Proposal for a Regulation of the European Parliament and of the Council on a Single Market</w:t>
      </w:r>
      <w:r>
        <w:t xml:space="preserve"> </w:t>
      </w:r>
      <w:r>
        <w:t xml:space="preserve">For Digital Services (Digital Services Act) and amending Directive 2000/31/EC, COM(2020)</w:t>
      </w:r>
      <w:r>
        <w:t xml:space="preserve"> </w:t>
      </w:r>
      <w:r>
        <w:t xml:space="preserve">825 final.</w:t>
      </w:r>
      <w:r>
        <w:br/>
      </w:r>
      <w:r>
        <w:t xml:space="preserve">Proposal for a Regulation of the European Parliament and of the Council on general product</w:t>
      </w:r>
      <w:r>
        <w:t xml:space="preserve"> </w:t>
      </w:r>
      <w:r>
        <w:t xml:space="preserve">safety, amending Regulation (EU) No 1025/2012 of the European Parliament and of the</w:t>
      </w:r>
      <w:r>
        <w:t xml:space="preserve"> </w:t>
      </w:r>
      <w:r>
        <w:t xml:space="preserve">Council, and repealing Council Directive 87/357/EEC and Directive 2001/95/EC of the</w:t>
      </w:r>
      <w:r>
        <w:t xml:space="preserve"> </w:t>
      </w:r>
      <w:r>
        <w:t xml:space="preserve">European Parliament and of the Council, COM(2021) 346 final.</w:t>
      </w:r>
      <w:r>
        <w:t xml:space="preserve"> </w:t>
      </w:r>
      <w:r>
        <w:t xml:space="preserve">Proposal for a Regulation of the European Parliament and of the Council establishing a</w:t>
      </w:r>
      <w:r>
        <w:t xml:space="preserve"> </w:t>
      </w:r>
      <w:r>
        <w:t xml:space="preserve">framework for setting ecodesign requirements for sustainable products and repealing</w:t>
      </w:r>
      <w:r>
        <w:t xml:space="preserve"> </w:t>
      </w:r>
      <w:r>
        <w:t xml:space="preserve">Directive 2009/125/EC, COM(2022) 142 final.</w:t>
      </w:r>
      <w:r>
        <w:t xml:space="preserve"> </w:t>
      </w:r>
      <w:r>
        <w:t xml:space="preserve">Proposal for a Regulation on a Single Market for Digital Services, COM(2020) 825 final.</w:t>
      </w:r>
      <w:r>
        <w:t xml:space="preserve"> </w:t>
      </w:r>
      <w:r>
        <w:t xml:space="preserve">Proposal for a Regulation on general product safety, COM(2021) 346 final.</w:t>
      </w:r>
      <w:r>
        <w:br/>
      </w:r>
      <w:r>
        <w:t xml:space="preserve">Purnhagen, K. &amp; Schebesta, H. (2019): Food Labelling for Consumers EU Law, Regulation</w:t>
      </w:r>
      <w:r>
        <w:t xml:space="preserve"> </w:t>
      </w:r>
      <w:r>
        <w:t xml:space="preserve">and Policy Options. Prepared for the PETI Committee of the European Parliament. Available</w:t>
      </w:r>
      <w:r>
        <w:t xml:space="preserve"> </w:t>
      </w:r>
      <w:r>
        <w:t xml:space="preserve">at:</w:t>
      </w:r>
      <w:r>
        <w:t xml:space="preserve"> </w:t>
      </w:r>
      <w:r>
        <w:t xml:space="preserve">https://op.europa.eu/en/publicationdetail//publication/c4868536707711e99f0501aa75ed71a1/l</w:t>
      </w:r>
      <w:r>
        <w:t xml:space="preserve"> </w:t>
      </w:r>
      <w:r>
        <w:t xml:space="preserve">anguage-en/format-PDF/source-240979181 [Accessed on: 30 November 2021]</w:t>
      </w:r>
      <w:r>
        <w:t xml:space="preserve"> </w:t>
      </w:r>
      <w:r>
        <w:t xml:space="preserve">RAC opinion on 2-EHA metal salts.</w:t>
      </w:r>
      <w:r>
        <w:t xml:space="preserve"> </w:t>
      </w:r>
      <w:r>
        <w:t xml:space="preserve">RAC opinion on 3 lithium salts.</w:t>
      </w:r>
      <w:r>
        <w:t xml:space="preserve"> </w:t>
      </w:r>
      <w:r>
        <w:t xml:space="preserve">Racchi, M.; Govoni, S. (2020): The concept of non-pharmacological mechanism of action in</w:t>
      </w:r>
      <w:r>
        <w:t xml:space="preserve"> </w:t>
      </w:r>
      <w:r>
        <w:t xml:space="preserve">medical devices made of substances in practice: what pharmacology can do to promote the</w:t>
      </w:r>
    </w:p>
    <w:p>
      <w:pPr>
        <w:pStyle w:val="BodyText"/>
      </w:pPr>
      <w:r>
        <w:t xml:space="preserve">645</w:t>
      </w:r>
    </w:p>
    <w:p>
      <w:pPr>
        <w:pStyle w:val="BodyText"/>
      </w:pPr>
      <w:r>
        <w:t xml:space="preserve">scientific implementation of the European medical device regulation. Pharmadvances, 01s, p. </w:t>
      </w:r>
      <w:r>
        <w:t xml:space="preserve"> </w:t>
      </w:r>
      <w:r>
        <w:t xml:space="preserve">4-12. DOI: 10.36118/pharmadvances.01.2020.02s</w:t>
      </w:r>
      <w:r>
        <w:t xml:space="preserve"> </w:t>
      </w:r>
      <w:r>
        <w:t xml:space="preserve">Ramsey JT, Li Y, Arao Y, Naidu A, Coons LA, Diaz A, Korach KS. (2019): Lavender</w:t>
      </w:r>
      <w:r>
        <w:t xml:space="preserve"> </w:t>
      </w:r>
      <w:r>
        <w:t xml:space="preserve">Products Associated With Premature Thelarche and Prepubertal Gynecomastia: Case Reports</w:t>
      </w:r>
      <w:r>
        <w:t xml:space="preserve"> </w:t>
      </w:r>
      <w:r>
        <w:t xml:space="preserve">and Endocrine-Disrupting Chemical Activities. J Clin Endocrinol Metab. 2019 Nov</w:t>
      </w:r>
      <w:r>
        <w:t xml:space="preserve"> </w:t>
      </w:r>
      <w:r>
        <w:t xml:space="preserve">1;104(11):5393-5405. doi: 10.1210/jc.2018-01880.</w:t>
      </w:r>
      <w:r>
        <w:t xml:space="preserve"> </w:t>
      </w:r>
      <w:r>
        <w:t xml:space="preserve">RAPEX web reports.</w:t>
      </w:r>
      <w:r>
        <w:br/>
      </w:r>
      <w:r>
        <w:t xml:space="preserve">Rauert et al. (2014): Proposal for a harmonised PBT identification across different regulatory</w:t>
      </w:r>
      <w:r>
        <w:t xml:space="preserve"> </w:t>
      </w:r>
      <w:r>
        <w:t xml:space="preserve">frameworks. Environmental Sciences Europe. 26:9.</w:t>
      </w:r>
      <w:r>
        <w:t xml:space="preserve"> </w:t>
      </w:r>
      <w:r>
        <w:t xml:space="preserve">REACH</w:t>
      </w:r>
      <w:r>
        <w:t xml:space="preserve"> </w:t>
      </w:r>
      <w:r>
        <w:t xml:space="preserve">Competent</w:t>
      </w:r>
      <w:r>
        <w:t xml:space="preserve"> </w:t>
      </w:r>
      <w:r>
        <w:t xml:space="preserve">authorities,</w:t>
      </w:r>
      <w:r>
        <w:t xml:space="preserve"> </w:t>
      </w:r>
      <w:r>
        <w:t xml:space="preserve">available</w:t>
      </w:r>
      <w:r>
        <w:t xml:space="preserve"> </w:t>
      </w:r>
      <w:r>
        <w:t xml:space="preserve">at:</w:t>
      </w:r>
      <w:r>
        <w:t xml:space="preserve"> </w:t>
      </w:r>
      <w:r>
        <w:t xml:space="preserve">https://ec.europa.eu/environment/chemicals/reach/competent_authorities_en.htm</w:t>
      </w:r>
      <w:r>
        <w:t xml:space="preserve"> </w:t>
      </w:r>
      <w:r>
        <w:t xml:space="preserve">REACH Guidance for downstream users, re-branders, which are actors who affix their own</w:t>
      </w:r>
      <w:r>
        <w:t xml:space="preserve"> </w:t>
      </w:r>
      <w:r>
        <w:t xml:space="preserve">brand to a product that somebody else has manufacturer, are distributors.</w:t>
      </w:r>
      <w:r>
        <w:br/>
      </w:r>
      <w:r>
        <w:t xml:space="preserve">Regulation (EU) No 649/2012.</w:t>
      </w:r>
      <w:r>
        <w:t xml:space="preserve"> </w:t>
      </w:r>
      <w:r>
        <w:t xml:space="preserve">Regulation (EC) No 1107/2009 of the European Parliament and of the Council of 21 October</w:t>
      </w:r>
      <w:r>
        <w:t xml:space="preserve"> </w:t>
      </w:r>
      <w:r>
        <w:t xml:space="preserve">2009 concerning the placing of plant protection products on the market and repealing Council</w:t>
      </w:r>
      <w:r>
        <w:t xml:space="preserve"> </w:t>
      </w:r>
      <w:r>
        <w:t xml:space="preserve">Directives 79/117/EEC and 91/414/EEC. OJ L 309, 24.11.2009.</w:t>
      </w:r>
      <w:r>
        <w:t xml:space="preserve"> </w:t>
      </w:r>
      <w:r>
        <w:t xml:space="preserve">Regulation (EC) No 1223/2009 of the European Parliament and of the Council of 30</w:t>
      </w:r>
      <w:r>
        <w:t xml:space="preserve"> </w:t>
      </w:r>
      <w:r>
        <w:t xml:space="preserve">November 2009 on cosmetic products, available at https://eur-lex.europa.eu/legal-</w:t>
      </w:r>
      <w:r>
        <w:t xml:space="preserve"> </w:t>
      </w:r>
      <w:r>
        <w:t xml:space="preserve">content/EN/ALL/?uri=CELEX%3A32009R1223</w:t>
      </w:r>
      <w:r>
        <w:t xml:space="preserve"> </w:t>
      </w:r>
      <w:r>
        <w:t xml:space="preserve">Regulation (EC) No 1907/2006 of the European Parliament and of the Council of 18</w:t>
      </w:r>
      <w:r>
        <w:t xml:space="preserve"> </w:t>
      </w:r>
      <w:r>
        <w:t xml:space="preserve">December 2006 concerning the Registration, Evaluation, Authorisation and Restriction of</w:t>
      </w:r>
      <w:r>
        <w:t xml:space="preserve"> </w:t>
      </w:r>
      <w:r>
        <w:t xml:space="preserve">Chemicals (REACH), establishing a European Chemicals Agency, amending Directive</w:t>
      </w:r>
      <w:r>
        <w:t xml:space="preserve"> </w:t>
      </w:r>
      <w:r>
        <w:t xml:space="preserve">1999/45/EC and repealing Council Regulation (EEC) No 793/93 and Commission Regulation</w:t>
      </w:r>
      <w:r>
        <w:t xml:space="preserve"> </w:t>
      </w:r>
      <w:r>
        <w:t xml:space="preserve">(EC) No 1488/94 as well as Council Directive 76/769/EEC and Commission Directives</w:t>
      </w:r>
      <w:r>
        <w:t xml:space="preserve"> </w:t>
      </w:r>
      <w:r>
        <w:t xml:space="preserve">91/155/EEC, 93/67/EEC, 93/105/EC and 2000/21/EC.</w:t>
      </w:r>
      <w:r>
        <w:t xml:space="preserve"> </w:t>
      </w:r>
      <w:r>
        <w:t xml:space="preserve">Regulation (EC) No 648/2004 of the European Parliament and of the Council of 31 March</w:t>
      </w:r>
      <w:r>
        <w:t xml:space="preserve"> </w:t>
      </w:r>
      <w:r>
        <w:t xml:space="preserve">2004 on detergents.</w:t>
      </w:r>
      <w:r>
        <w:br/>
      </w:r>
      <w:r>
        <w:t xml:space="preserve">Regulation (EU) 2019/1021 of the European Parliament and of the Council of 20 June 2019</w:t>
      </w:r>
      <w:r>
        <w:t xml:space="preserve"> </w:t>
      </w:r>
      <w:r>
        <w:t xml:space="preserve">on persistent organic pollutants</w:t>
      </w:r>
      <w:r>
        <w:t xml:space="preserve"> </w:t>
      </w:r>
      <w:r>
        <w:t xml:space="preserve">Regulation (EU) 2017/745 of the European Parliament and of the Council of 5 April 2017 on</w:t>
      </w:r>
      <w:r>
        <w:t xml:space="preserve"> </w:t>
      </w:r>
      <w:r>
        <w:t xml:space="preserve">medical devices, OJ L 117, 5.5.2017, p. 1–175; Regulation (EU) 2017/746 of the European</w:t>
      </w:r>
      <w:r>
        <w:t xml:space="preserve"> </w:t>
      </w:r>
      <w:r>
        <w:t xml:space="preserve">Parliament and of the Council of 5 April 2017 on in vitro diagnostic medical devices, OJ L</w:t>
      </w:r>
      <w:r>
        <w:t xml:space="preserve"> </w:t>
      </w:r>
      <w:r>
        <w:t xml:space="preserve">117, 5.5.2017, p. 176–332</w:t>
      </w:r>
      <w:r>
        <w:t xml:space="preserve"> </w:t>
      </w:r>
      <w:r>
        <w:t xml:space="preserve">Regulation (EU) 2019/1020 of the European Parliament and of the Council of 20 June 2019</w:t>
      </w:r>
      <w:r>
        <w:t xml:space="preserve"> </w:t>
      </w:r>
      <w:r>
        <w:t xml:space="preserve">on market surveillance and compliance of products and amending Directive 2004/42/EC and</w:t>
      </w:r>
      <w:r>
        <w:t xml:space="preserve"> </w:t>
      </w:r>
      <w:r>
        <w:t xml:space="preserve">Regulations (EC) No 765/2008 and (EU) No 305/2011, OJ L 169, p. 1.</w:t>
      </w:r>
    </w:p>
    <w:p>
      <w:pPr>
        <w:pStyle w:val="BodyText"/>
      </w:pPr>
      <w:r>
        <w:t xml:space="preserve">646</w:t>
      </w:r>
    </w:p>
    <w:p>
      <w:pPr>
        <w:pStyle w:val="BodyText"/>
      </w:pPr>
      <w:r>
        <w:t xml:space="preserve">Regulation (EU) 2021/2117 of the European Parliament and of the Council of 2 December</w:t>
      </w:r>
      <w:r>
        <w:t xml:space="preserve"> </w:t>
      </w:r>
      <w:r>
        <w:t xml:space="preserve">2021 amending Regulations (EU) No 1308/2013 establishing a common organisation of the</w:t>
      </w:r>
      <w:r>
        <w:t xml:space="preserve"> </w:t>
      </w:r>
      <w:r>
        <w:t xml:space="preserve">markets in agricultural products, (EU) No 1151/2012 on quality schemes for agricultural</w:t>
      </w:r>
      <w:r>
        <w:t xml:space="preserve"> </w:t>
      </w:r>
      <w:r>
        <w:t xml:space="preserve">products and foodstuffs, (EU) No 251/2014 on the definition, description, presentation,</w:t>
      </w:r>
      <w:r>
        <w:t xml:space="preserve"> </w:t>
      </w:r>
      <w:r>
        <w:t xml:space="preserve">labelling and the protection of geographical indications of aromatised wine products and</w:t>
      </w:r>
      <w:r>
        <w:t xml:space="preserve"> </w:t>
      </w:r>
      <w:r>
        <w:t xml:space="preserve">(EU) No 228/2013 laying down specific measures for agriculture in the outermost regions of</w:t>
      </w:r>
      <w:r>
        <w:t xml:space="preserve"> </w:t>
      </w:r>
      <w:r>
        <w:t xml:space="preserve">the</w:t>
      </w:r>
      <w:r>
        <w:t xml:space="preserve"> </w:t>
      </w:r>
      <w:r>
        <w:t xml:space="preserve">Union,</w:t>
      </w:r>
      <w:r>
        <w:t xml:space="preserve"> </w:t>
      </w:r>
      <w:r>
        <w:t xml:space="preserve">available</w:t>
      </w:r>
      <w:r>
        <w:t xml:space="preserve"> </w:t>
      </w:r>
      <w:r>
        <w:t xml:space="preserve">at:</w:t>
      </w:r>
      <w:r>
        <w:t xml:space="preserve"> </w:t>
      </w:r>
      <w:r>
        <w:t xml:space="preserve">https://eur-lex.europa.eu/legal-</w:t>
      </w:r>
      <w:r>
        <w:t xml:space="preserve"> </w:t>
      </w:r>
      <w:r>
        <w:t xml:space="preserve">content/EN/TXT/?uri=CELEX%3A32021R2117&amp;qid=1645715904558</w:t>
      </w:r>
      <w:r>
        <w:t xml:space="preserve"> </w:t>
      </w:r>
      <w:r>
        <w:t xml:space="preserve">Regulation (EU) No 528/2012 of the European Parliament and of the Council of 22 May</w:t>
      </w:r>
      <w:r>
        <w:t xml:space="preserve"> </w:t>
      </w:r>
      <w:r>
        <w:t xml:space="preserve">2012 concerning the making available on the market and use of biocidal products. OJ L 167</w:t>
      </w:r>
      <w:r>
        <w:t xml:space="preserve"> </w:t>
      </w:r>
      <w:r>
        <w:t xml:space="preserve">27.6.2012.</w:t>
      </w:r>
      <w:r>
        <w:t xml:space="preserve"> </w:t>
      </w:r>
      <w:r>
        <w:t xml:space="preserve">Regulation (EU) No 952/2013 of the European Parliament and of the Council of 9 October</w:t>
      </w:r>
      <w:r>
        <w:t xml:space="preserve"> </w:t>
      </w:r>
      <w:r>
        <w:t xml:space="preserve">2013 laying down the Union Customs Code (“UCC”), OJ L 269 10.10.2013, p. 1;</w:t>
      </w:r>
      <w:r>
        <w:t xml:space="preserve"> </w:t>
      </w:r>
      <w:r>
        <w:t xml:space="preserve">amendments made in 2019 and 2020 to the UCC Delegated Regulation (EU) 2015/2446 of 28</w:t>
      </w:r>
      <w:r>
        <w:t xml:space="preserve"> </w:t>
      </w:r>
      <w:r>
        <w:t xml:space="preserve">July 2015 supplementing Regulation (EU) No 952/2013 of the European Parliament and of</w:t>
      </w:r>
      <w:r>
        <w:t xml:space="preserve"> </w:t>
      </w:r>
      <w:r>
        <w:t xml:space="preserve">the Council as regards detailed rules concerning certain provisions of the Union Customs, OJ</w:t>
      </w:r>
      <w:r>
        <w:t xml:space="preserve"> </w:t>
      </w:r>
      <w:r>
        <w:t xml:space="preserve">L 343 29.12.2015, p. 1; Implementing Regulation (EU) 2015/2447 of 24 November 2015</w:t>
      </w:r>
      <w:r>
        <w:t xml:space="preserve"> </w:t>
      </w:r>
      <w:r>
        <w:t xml:space="preserve">laying down detailed rules for implementing certain provisions of Regulation (EU) No</w:t>
      </w:r>
      <w:r>
        <w:t xml:space="preserve"> </w:t>
      </w:r>
      <w:r>
        <w:t xml:space="preserve">952/2013 of the European Parliament and of the Council laying down the Union Customs</w:t>
      </w:r>
      <w:r>
        <w:t xml:space="preserve"> </w:t>
      </w:r>
      <w:r>
        <w:t xml:space="preserve">Code, OJ L 343 29.12.2015, p. 558.</w:t>
      </w:r>
      <w:r>
        <w:br/>
      </w:r>
      <w:r>
        <w:t xml:space="preserve">Regulation 2019/1020, OJ L 169, p. 1.</w:t>
      </w:r>
      <w:r>
        <w:t xml:space="preserve"> </w:t>
      </w:r>
      <w:r>
        <w:t xml:space="preserve">REPORT FROM THE COMMISSION TO THE EUROPEAN PARLIAMENT, THE</w:t>
      </w:r>
      <w:r>
        <w:t xml:space="preserve"> </w:t>
      </w:r>
      <w:r>
        <w:t xml:space="preserve">COUNCIL, THE EUROPEAN ECONOMIC AND SOCIAL COMMITTEE AND THE</w:t>
      </w:r>
      <w:r>
        <w:t xml:space="preserve"> </w:t>
      </w:r>
      <w:r>
        <w:t xml:space="preserve">COMMITTEE OF THE REGIONS Findings of the Fitness Check of the most relevant</w:t>
      </w:r>
      <w:r>
        <w:t xml:space="preserve"> </w:t>
      </w:r>
      <w:r>
        <w:t xml:space="preserve">chemicals legislation (excluding REACH) and identified challenges, gaps and weaknesses</w:t>
      </w:r>
      <w:r>
        <w:t xml:space="preserve"> </w:t>
      </w:r>
      <w:r>
        <w:t xml:space="preserve">(COM/2019/264</w:t>
      </w:r>
      <w:r>
        <w:t xml:space="preserve"> </w:t>
      </w:r>
      <w:r>
        <w:t xml:space="preserve">final):</w:t>
      </w:r>
      <w:r>
        <w:t xml:space="preserve"> </w:t>
      </w:r>
      <w:r>
        <w:t xml:space="preserve">https://eur-lex.europa.eu/legal-</w:t>
      </w:r>
      <w:r>
        <w:t xml:space="preserve"> </w:t>
      </w:r>
      <w:r>
        <w:t xml:space="preserve">content/EN/TXT/?qid=1561530857605&amp;uri=COM:2019:264:FIN</w:t>
      </w:r>
      <w:r>
        <w:t xml:space="preserve"> </w:t>
      </w:r>
      <w:r>
        <w:t xml:space="preserve">Results on the performance of the Simplified Label with QR code may be found further</w:t>
      </w:r>
      <w:r>
        <w:t xml:space="preserve"> </w:t>
      </w:r>
      <w:r>
        <w:t xml:space="preserve">COMMISSION STAFF WORKING DOCUMENT FITNESS CHECK of the most relevant</w:t>
      </w:r>
      <w:r>
        <w:t xml:space="preserve"> </w:t>
      </w:r>
      <w:r>
        <w:t xml:space="preserve">chemicals legislation (excluding REACH), as well as related aspects of legislation applied to</w:t>
      </w:r>
      <w:r>
        <w:t xml:space="preserve"> </w:t>
      </w:r>
      <w:r>
        <w:t xml:space="preserve">downstream industries Accompanying the document REPORT FROM THE COMMISSION</w:t>
      </w:r>
      <w:r>
        <w:t xml:space="preserve"> </w:t>
      </w:r>
      <w:r>
        <w:t xml:space="preserve">TO THE EUROPEAN PARLIAMENT, THE COUNCIL, THE EUROPEAN ECONOMIC</w:t>
      </w:r>
      <w:r>
        <w:t xml:space="preserve"> </w:t>
      </w:r>
      <w:r>
        <w:t xml:space="preserve">AND SOCIAL COMMITTEE AND THE COMMITTEE OF THE REGIONS Findings of</w:t>
      </w:r>
      <w:r>
        <w:t xml:space="preserve"> </w:t>
      </w:r>
      <w:r>
        <w:t xml:space="preserve">the Fitness Check of the most relevant chemicals legislation (excluding REACH) and</w:t>
      </w:r>
      <w:r>
        <w:t xml:space="preserve"> </w:t>
      </w:r>
      <w:r>
        <w:t xml:space="preserve">identified</w:t>
      </w:r>
      <w:r>
        <w:t xml:space="preserve"> </w:t>
      </w:r>
      <w:r>
        <w:t xml:space="preserve">challenges,</w:t>
      </w:r>
      <w:r>
        <w:t xml:space="preserve"> </w:t>
      </w:r>
      <w:r>
        <w:t xml:space="preserve">gaps</w:t>
      </w:r>
      <w:r>
        <w:t xml:space="preserve"> </w:t>
      </w:r>
      <w:r>
        <w:t xml:space="preserve">and</w:t>
      </w:r>
      <w:r>
        <w:t xml:space="preserve"> </w:t>
      </w:r>
      <w:r>
        <w:t xml:space="preserve">weaknesses,</w:t>
      </w:r>
      <w:r>
        <w:t xml:space="preserve"> </w:t>
      </w:r>
      <w:r>
        <w:t xml:space="preserve">p</w:t>
      </w:r>
      <w:r>
        <w:t xml:space="preserve"> </w:t>
      </w:r>
      <w:r>
        <w:t xml:space="preserve">164-178,</w:t>
      </w:r>
      <w:r>
        <w:t xml:space="preserve"> </w:t>
      </w:r>
      <w:r>
        <w:t xml:space="preserve">https://ec.europa.eu/info/sites/default/files/swd_2019_0199_en.pdf .</w:t>
      </w:r>
      <w:r>
        <w:t xml:space="preserve"> </w:t>
      </w:r>
      <w:r>
        <w:t xml:space="preserve">Ricardo (2021): Economic Analysis of the Impacts of the Chemicals Strategy for</w:t>
      </w:r>
      <w:r>
        <w:t xml:space="preserve"> </w:t>
      </w:r>
      <w:r>
        <w:t xml:space="preserve">Sustainability. Phase 1 Report. Report for the European Chemicals Industry Council (Cefic).</w:t>
      </w:r>
      <w:r>
        <w:t xml:space="preserve"> </w:t>
      </w:r>
      <w:r>
        <w:t xml:space="preserve">ED 14790. Issue number 1. Date 18/11/2021.</w:t>
      </w:r>
      <w:r>
        <w:t xml:space="preserve"> </w:t>
      </w:r>
      <w:r>
        <w:t xml:space="preserve">RPA et al (2017b): Study on the regulatory fitness of the legislative framework governing the</w:t>
      </w:r>
      <w:r>
        <w:t xml:space="preserve"> </w:t>
      </w:r>
      <w:r>
        <w:t xml:space="preserve">risk management of chemicals (excluding REACH), in particular the CLP Regulation and</w:t>
      </w:r>
      <w:r>
        <w:t xml:space="preserve"> </w:t>
      </w:r>
      <w:r>
        <w:t xml:space="preserve">related legislation. Annex I to V. Luxembourg: Publications Office of the European Union,</w:t>
      </w:r>
      <w:r>
        <w:t xml:space="preserve"> </w:t>
      </w:r>
      <w:r>
        <w:t xml:space="preserve">2017.</w:t>
      </w:r>
    </w:p>
    <w:p>
      <w:pPr>
        <w:pStyle w:val="BodyText"/>
      </w:pPr>
      <w:r>
        <w:t xml:space="preserve">647</w:t>
      </w:r>
    </w:p>
    <w:p>
      <w:pPr>
        <w:pStyle w:val="BodyText"/>
      </w:pPr>
      <w:r>
        <w:t xml:space="preserve">RPA et al (2017c): Study on the regulatory fitness of the legislative framework governing the</w:t>
      </w:r>
      <w:r>
        <w:t xml:space="preserve"> </w:t>
      </w:r>
      <w:r>
        <w:t xml:space="preserve">risk management of chemicals (excluding REACH), in particular the CLP Regulation and</w:t>
      </w:r>
      <w:r>
        <w:t xml:space="preserve"> </w:t>
      </w:r>
      <w:r>
        <w:t xml:space="preserve">related legislation. Annex VI. Luxembourg: Publications Office of the European Union,</w:t>
      </w:r>
      <w:r>
        <w:t xml:space="preserve"> </w:t>
      </w:r>
      <w:r>
        <w:t xml:space="preserve">2017.</w:t>
      </w:r>
      <w:r>
        <w:t xml:space="preserve"> </w:t>
      </w:r>
      <w:r>
        <w:t xml:space="preserve">RPA et al., (2018): Support to the Evaluation of Regulation (EC) No 648/2004 (Detergents</w:t>
      </w:r>
      <w:r>
        <w:t xml:space="preserve"> </w:t>
      </w:r>
      <w:r>
        <w:t xml:space="preserve">Regulation). Report prepared for the European Commission DG GROW. Luxembourg:</w:t>
      </w:r>
      <w:r>
        <w:t xml:space="preserve"> </w:t>
      </w:r>
      <w:r>
        <w:t xml:space="preserve">Publications Office of the European Union, 2018.</w:t>
      </w:r>
      <w:r>
        <w:t xml:space="preserve"> </w:t>
      </w:r>
      <w:r>
        <w:t xml:space="preserve">S. Bom, J. Jorge, H.M. Ribeiro &amp; J. Marto, A step forward on sustainability in the cosmetics</w:t>
      </w:r>
      <w:r>
        <w:t xml:space="preserve"> </w:t>
      </w:r>
      <w:r>
        <w:t xml:space="preserve">industry: A review, Journal of Cleaner Production, 225, 270-290, 2019.</w:t>
      </w:r>
      <w:r>
        <w:t xml:space="preserve"> </w:t>
      </w:r>
      <w:r>
        <w:t xml:space="preserve">Schanes, K., Dobernig, K., &amp; Gözet, B. (2018): Food waste matters-A systematic review of</w:t>
      </w:r>
      <w:r>
        <w:t xml:space="preserve"> </w:t>
      </w:r>
      <w:r>
        <w:t xml:space="preserve">household food waste practices and their policy implications. Journal of Cleaner</w:t>
      </w:r>
      <w:r>
        <w:t xml:space="preserve"> </w:t>
      </w:r>
      <w:r>
        <w:t xml:space="preserve">Production, 182, 978-991.</w:t>
      </w:r>
      <w:r>
        <w:t xml:space="preserve"> </w:t>
      </w:r>
      <w:r>
        <w:t xml:space="preserve">Schenk, L.; Deng, U.; Johanson, G. (2015): Derived No-effect Levels (DNELs) under the</w:t>
      </w:r>
      <w:r>
        <w:t xml:space="preserve"> </w:t>
      </w:r>
      <w:r>
        <w:t xml:space="preserve">European Chemicals Regulation REACH - An analysis of long-term inhalation worker-</w:t>
      </w:r>
      <w:r>
        <w:t xml:space="preserve"> </w:t>
      </w:r>
      <w:r>
        <w:t xml:space="preserve">DNELs presented by industry. Annals of Occupational Hygiene, 59, 416-438</w:t>
      </w:r>
      <w:r>
        <w:t xml:space="preserve"> </w:t>
      </w:r>
      <w:r>
        <w:t xml:space="preserve">Schenk, L.; Johanson, G. (2011): A quantitative comparison of the safety margins in the</w:t>
      </w:r>
      <w:r>
        <w:t xml:space="preserve"> </w:t>
      </w:r>
      <w:r>
        <w:t xml:space="preserve">European indicative occupational exposure limits and the derived no-effect levels for workers</w:t>
      </w:r>
      <w:r>
        <w:t xml:space="preserve"> </w:t>
      </w:r>
      <w:r>
        <w:t xml:space="preserve">under REACH. Toxicological Sciences, 121, 408-416.</w:t>
      </w:r>
      <w:r>
        <w:t xml:space="preserve"> </w:t>
      </w:r>
      <w:r>
        <w:t xml:space="preserve">Schenk, L.; Palmen, N.; Theodori, D. (2014): Evaluation of worker inhalation DNELs. Part</w:t>
      </w:r>
      <w:r>
        <w:t xml:space="preserve"> </w:t>
      </w:r>
      <w:r>
        <w:t xml:space="preserve">A: Quality assessment of a selection of DNELs. Part B: Discussion paper on the possibilities</w:t>
      </w:r>
      <w:r>
        <w:t xml:space="preserve"> </w:t>
      </w:r>
      <w:r>
        <w:t xml:space="preserve">to improve the overall quality of DN(M)ELs. RIVM Letter report 110001001/2014. RIVM,</w:t>
      </w:r>
      <w:r>
        <w:t xml:space="preserve"> </w:t>
      </w:r>
      <w:r>
        <w:t xml:space="preserve">National Institute for Public Health and the Environment.</w:t>
      </w:r>
      <w:r>
        <w:t xml:space="preserve"> </w:t>
      </w:r>
      <w:r>
        <w:t xml:space="preserve">Schneider, K.; Dilger, M. (2019): Comparison of methods for deriving OELs. Discussion</w:t>
      </w:r>
      <w:r>
        <w:t xml:space="preserve"> </w:t>
      </w:r>
      <w:r>
        <w:t xml:space="preserve">paper. Research Project F2437: Derivation of occupational exposure limits for airborne</w:t>
      </w:r>
      <w:r>
        <w:t xml:space="preserve"> </w:t>
      </w:r>
      <w:r>
        <w:t xml:space="preserve">chemicals – Comparison of methods and protection levels. FoBiG, Forschungs- und</w:t>
      </w:r>
      <w:r>
        <w:t xml:space="preserve"> </w:t>
      </w:r>
      <w:r>
        <w:t xml:space="preserve">Beratungsinstitut Gefahrstoffe GmbH, Freiburg. Prepared on behalf of: Federal Institute for</w:t>
      </w:r>
      <w:r>
        <w:t xml:space="preserve"> </w:t>
      </w:r>
      <w:r>
        <w:t xml:space="preserve">Occupational</w:t>
      </w:r>
      <w:r>
        <w:t xml:space="preserve"> </w:t>
      </w:r>
      <w:r>
        <w:t xml:space="preserve">Safety</w:t>
      </w:r>
      <w:r>
        <w:t xml:space="preserve"> </w:t>
      </w:r>
      <w:r>
        <w:t xml:space="preserve">and</w:t>
      </w:r>
      <w:r>
        <w:t xml:space="preserve"> </w:t>
      </w:r>
      <w:r>
        <w:t xml:space="preserve">Health</w:t>
      </w:r>
      <w:r>
        <w:t xml:space="preserve"> </w:t>
      </w:r>
      <w:r>
        <w:t xml:space="preserve">(BAuA)</w:t>
      </w:r>
      <w:r>
        <w:t xml:space="preserve"> </w:t>
      </w:r>
      <w:r>
        <w:t xml:space="preserve">Dortmund.</w:t>
      </w:r>
      <w:r>
        <w:t xml:space="preserve"> </w:t>
      </w:r>
      <w:r>
        <w:t xml:space="preserve">https://www.baua.de/DE/Aufgaben/Forschung/Forschungsprojekte/f2437.html</w:t>
      </w:r>
      <w:r>
        <w:br/>
      </w:r>
      <w:r>
        <w:t xml:space="preserve">Schwonbeck, S. et al. (2021): Feasibility Study of an Active-substance-based Review System</w:t>
      </w:r>
      <w:r>
        <w:t xml:space="preserve"> </w:t>
      </w:r>
      <w:r>
        <w:t xml:space="preserve">(‘Monographs’) and Other Potential Alternatives for the Environmental Risk Assessment of</w:t>
      </w:r>
      <w:r>
        <w:t xml:space="preserve"> </w:t>
      </w:r>
      <w:r>
        <w:t xml:space="preserve">Veterinary Medicinal Products. Available at: https://op.europa.eu/en/publication-detail/-</w:t>
      </w:r>
      <w:r>
        <w:t xml:space="preserve"> </w:t>
      </w:r>
      <w:r>
        <w:t xml:space="preserve">/publication/03055c4d-42a6-11ec-89db-01aa75ed71a1/language-en/format-PDF/source-</w:t>
      </w:r>
      <w:r>
        <w:t xml:space="preserve"> </w:t>
      </w:r>
      <w:r>
        <w:t xml:space="preserve">search</w:t>
      </w:r>
      <w:r>
        <w:t xml:space="preserve"> </w:t>
      </w:r>
      <w:r>
        <w:t xml:space="preserve">Science Daily, Environmental toxins impair immune system over multiple generations, 2019.</w:t>
      </w:r>
      <w:r>
        <w:t xml:space="preserve"> </w:t>
      </w:r>
      <w:r>
        <w:t xml:space="preserve">Scudo A., et al. (2017): Intentionally added microplastics in products. Available at:</w:t>
      </w:r>
      <w:r>
        <w:t xml:space="preserve"> </w:t>
      </w:r>
      <w:r>
        <w:t xml:space="preserve">https://ec.europa.eu/environment/chemicals/reach/pdf/39168%20Intentionally%20added%20</w:t>
      </w:r>
      <w:r>
        <w:t xml:space="preserve"> </w:t>
      </w:r>
      <w:r>
        <w:t xml:space="preserve">microplastics%20-%20Final%20report%2020171020.pdf</w:t>
      </w:r>
      <w:r>
        <w:t xml:space="preserve"> </w:t>
      </w:r>
      <w:r>
        <w:t xml:space="preserve">S.E. Hale, H.P.H. Arp, I. Schliebner, et al., Persistent, mobile and toxic (PMT) and very</w:t>
      </w:r>
      <w:r>
        <w:t xml:space="preserve"> </w:t>
      </w:r>
      <w:r>
        <w:t xml:space="preserve">persistent and very mobile (vPvM) substances pose an equivalent level of concern to</w:t>
      </w:r>
      <w:r>
        <w:t xml:space="preserve"> </w:t>
      </w:r>
      <w:r>
        <w:t xml:space="preserve">persistent, bioaccumulative and toxic (PBT) and very persistent and very bioaccumulative</w:t>
      </w:r>
      <w:r>
        <w:t xml:space="preserve"> </w:t>
      </w:r>
      <w:r>
        <w:t xml:space="preserve">(vPvB) substances under REACH, Environ Sci Eur 32, 155, 2020</w:t>
      </w:r>
    </w:p>
    <w:p>
      <w:pPr>
        <w:pStyle w:val="BodyText"/>
      </w:pPr>
      <w:r>
        <w:t xml:space="preserve">648</w:t>
      </w:r>
    </w:p>
    <w:p>
      <w:pPr>
        <w:pStyle w:val="BodyText"/>
      </w:pPr>
      <w:r>
        <w:t xml:space="preserve">Service contract “Technical and Scientific Support to the Commission’s Impact Assessment</w:t>
      </w:r>
      <w:r>
        <w:t xml:space="preserve"> </w:t>
      </w:r>
      <w:r>
        <w:t xml:space="preserve">for the revision of the Regulation on Classification, Labelling and Packaging of substances</w:t>
      </w:r>
      <w:r>
        <w:t xml:space="preserve"> </w:t>
      </w:r>
      <w:r>
        <w:t xml:space="preserve">and mixtures”, under the framework contract No. ENV.B.2/FRA/2020/0010 (group led by</w:t>
      </w:r>
      <w:r>
        <w:t xml:space="preserve"> </w:t>
      </w:r>
      <w:r>
        <w:t xml:space="preserve">RPA Europe S.R.L.), “Scientific and technical assistance for the implementation of chemicals</w:t>
      </w:r>
      <w:r>
        <w:t xml:space="preserve"> </w:t>
      </w:r>
      <w:r>
        <w:t xml:space="preserve">legislations on REACH, CLP, PIC and POPs”.</w:t>
      </w:r>
      <w:r>
        <w:t xml:space="preserve"> </w:t>
      </w:r>
      <w:r>
        <w:t xml:space="preserve">SMILES notations dataset https://zenodo.org/record/2613616#.YYaDJ7oo-Uk.</w:t>
      </w:r>
      <w:r>
        <w:t xml:space="preserve"> </w:t>
      </w:r>
      <w:r>
        <w:t xml:space="preserve">Sobek, A., Bejgarn, S., Rudén, C., Molander, L., &amp; Breitholtz, M. (2013): In the shadow of</w:t>
      </w:r>
      <w:r>
        <w:t xml:space="preserve"> </w:t>
      </w:r>
      <w:r>
        <w:t xml:space="preserve">the Cosmetic Directive—Inconsistencies in EU environmental hazard classification</w:t>
      </w:r>
      <w:r>
        <w:t xml:space="preserve"> </w:t>
      </w:r>
      <w:r>
        <w:t xml:space="preserve">requirements for UV filters. Science of the total environment, 461, 706-711.</w:t>
      </w:r>
      <w:r>
        <w:br/>
      </w:r>
      <w:r>
        <w:t xml:space="preserve">Sousa, A. C., Veiga, A., Maurício, A. C., Lopes, M. A., Santos, J. D., &amp; Neto, B. (2021):</w:t>
      </w:r>
      <w:r>
        <w:t xml:space="preserve"> </w:t>
      </w:r>
      <w:r>
        <w:t xml:space="preserve">Assessment of the environmental impacts of medical devices: a review. Environment,</w:t>
      </w:r>
      <w:r>
        <w:t xml:space="preserve"> </w:t>
      </w:r>
      <w:r>
        <w:t xml:space="preserve">Development and Sustainability, 23(7), 9641-9666.</w:t>
      </w:r>
      <w:r>
        <w:br/>
      </w:r>
      <w:r>
        <w:t xml:space="preserve">Stockholm</w:t>
      </w:r>
      <w:r>
        <w:t xml:space="preserve"> </w:t>
      </w:r>
      <w:r>
        <w:t xml:space="preserve">Convention</w:t>
      </w:r>
      <w:r>
        <w:t xml:space="preserve"> </w:t>
      </w:r>
      <w:r>
        <w:t xml:space="preserve">on</w:t>
      </w:r>
      <w:r>
        <w:t xml:space="preserve"> </w:t>
      </w:r>
      <w:r>
        <w:t xml:space="preserve">persistent</w:t>
      </w:r>
      <w:r>
        <w:t xml:space="preserve"> </w:t>
      </w:r>
      <w:r>
        <w:t xml:space="preserve">organic</w:t>
      </w:r>
      <w:r>
        <w:t xml:space="preserve"> </w:t>
      </w:r>
      <w:r>
        <w:t xml:space="preserve">pollutants</w:t>
      </w:r>
      <w:r>
        <w:t xml:space="preserve"> </w:t>
      </w:r>
      <w:r>
        <w:t xml:space="preserve">(POPs),</w:t>
      </w:r>
      <w:r>
        <w:t xml:space="preserve"> </w:t>
      </w:r>
      <w:r>
        <w:t xml:space="preserve">available</w:t>
      </w:r>
      <w:r>
        <w:t xml:space="preserve"> </w:t>
      </w:r>
      <w:r>
        <w:t xml:space="preserve">at:</w:t>
      </w:r>
      <w:r>
        <w:t xml:space="preserve"> </w:t>
      </w:r>
      <w:r>
        <w:t xml:space="preserve">http://chm.pops.int/TheConvention/Overview/TextoftheConvention/tabid/2232/Default.aspx</w:t>
      </w:r>
      <w:r>
        <w:t xml:space="preserve"> </w:t>
      </w:r>
      <w:r>
        <w:t xml:space="preserve">Study on the harmonisation of the information to be submitted to Poison Centres, according</w:t>
      </w:r>
      <w:r>
        <w:t xml:space="preserve"> </w:t>
      </w:r>
      <w:r>
        <w:t xml:space="preserve">to Aarticle 45 (4) of the Rregulation (EC) No. 1272/2008 (CLP Regulation), DocsRoom -</w:t>
      </w:r>
      <w:r>
        <w:t xml:space="preserve"> </w:t>
      </w:r>
      <w:r>
        <w:t xml:space="preserve">European Commission (europa.eu).</w:t>
      </w:r>
      <w:r>
        <w:t xml:space="preserve"> </w:t>
      </w:r>
      <w:r>
        <w:t xml:space="preserve">Study on the regulatory fitness of the legislative framework governing the risk management</w:t>
      </w:r>
      <w:r>
        <w:t xml:space="preserve"> </w:t>
      </w:r>
      <w:r>
        <w:t xml:space="preserve">of chemicals (excluding REACH), in particular the CLP Regulation and related legislation,</w:t>
      </w:r>
      <w:r>
        <w:t xml:space="preserve"> </w:t>
      </w:r>
      <w:r>
        <w:t xml:space="preserve">Ref. Ares(2017)1390364 - 16/03/2017.</w:t>
      </w:r>
      <w:r>
        <w:t xml:space="preserve"> </w:t>
      </w:r>
      <w:r>
        <w:t xml:space="preserve">Summary in CARACAL AD_HOC_CA_11_2021_REV1_CLP LABELLING.</w:t>
      </w:r>
      <w:r>
        <w:br/>
      </w:r>
      <w:r>
        <w:t xml:space="preserve">Support to the Evaluation of Regulation (EC) No 648/2004 (Detergents Regulation), p. 72.</w:t>
      </w:r>
      <w:r>
        <w:t xml:space="preserve"> </w:t>
      </w:r>
      <w:r>
        <w:t xml:space="preserve">Available at: https://op.europa.eu/en/publication-detail/-/publication/ad2fa114-e952-11e8-</w:t>
      </w:r>
      <w:r>
        <w:t xml:space="preserve"> </w:t>
      </w:r>
      <w:r>
        <w:t xml:space="preserve">b690-01aa75ed71a1</w:t>
      </w:r>
      <w:r>
        <w:t xml:space="preserve"> </w:t>
      </w:r>
      <w:r>
        <w:t xml:space="preserve">Support to the evaluation of Regulation (EC) No 648/2004 (Detergents Regulation), p. 132.</w:t>
      </w:r>
      <w:r>
        <w:br/>
      </w:r>
      <w:r>
        <w:t xml:space="preserve">Supporting policy with scientific evidence, Megatrends</w:t>
      </w:r>
      <w:r>
        <w:t xml:space="preserve"> </w:t>
      </w:r>
      <w:r>
        <w:t xml:space="preserve">SWD(2019) 199.</w:t>
      </w:r>
      <w:r>
        <w:t xml:space="preserve"> </w:t>
      </w:r>
      <w:r>
        <w:t xml:space="preserve">SWD(2020) 251.</w:t>
      </w:r>
      <w:r>
        <w:t xml:space="preserve"> </w:t>
      </w:r>
      <w:r>
        <w:t xml:space="preserve">The European Green Deal sets the ambition to empower consumers to make informed</w:t>
      </w:r>
      <w:r>
        <w:t xml:space="preserve"> </w:t>
      </w:r>
      <w:r>
        <w:t xml:space="preserve">purchase choices and play an active role in the ecological transition.</w:t>
      </w:r>
      <w:r>
        <w:t xml:space="preserve"> </w:t>
      </w:r>
      <w:r>
        <w:t xml:space="preserve">The Hazard class table, available at https://www.reach24h.com/en/service/chemical-</w:t>
      </w:r>
      <w:r>
        <w:t xml:space="preserve"> </w:t>
      </w:r>
      <w:r>
        <w:t xml:space="preserve">service/eu-clp.html provides full information for all CLP Hazard Classes and Categories.</w:t>
      </w:r>
      <w:r>
        <w:t xml:space="preserve"> </w:t>
      </w:r>
      <w:r>
        <w:t xml:space="preserve">TNS opinion &amp; social (2017). Special Eurobarometer 456: chemical safety. Available at:</w:t>
      </w:r>
      <w:r>
        <w:t xml:space="preserve"> </w:t>
      </w:r>
      <w:r>
        <w:t xml:space="preserve">https://europa.eu/eurobarometer/surveys/detail/2111</w:t>
      </w:r>
      <w:r>
        <w:t xml:space="preserve"> </w:t>
      </w:r>
      <w:r>
        <w:t xml:space="preserve">Toma, L., Font, M. C., &amp; Thompson, B. (2020): Impact of consumers’ understanding of date</w:t>
      </w:r>
      <w:r>
        <w:t xml:space="preserve"> </w:t>
      </w:r>
      <w:r>
        <w:t xml:space="preserve">labelling on food waste behaviour. Operational Research, 20(2), 543-560.</w:t>
      </w:r>
    </w:p>
    <w:p>
      <w:pPr>
        <w:pStyle w:val="BodyText"/>
      </w:pPr>
      <w:r>
        <w:t xml:space="preserve">649</w:t>
      </w:r>
    </w:p>
    <w:p>
      <w:pPr>
        <w:pStyle w:val="BodyText"/>
      </w:pPr>
      <w:r>
        <w:t xml:space="preserve">Trasande et al. (2015); Bellanger et al. (2015); Hauser et al. (2015); Legler et al. (2015); Hunt</w:t>
      </w:r>
      <w:r>
        <w:t xml:space="preserve"> </w:t>
      </w:r>
      <w:r>
        <w:t xml:space="preserve">et al. (2016); Trasande et al. (2016)</w:t>
      </w:r>
      <w:r>
        <w:t xml:space="preserve"> </w:t>
      </w:r>
      <w:r>
        <w:t xml:space="preserve">Trasande L, Liu Y (2011): Reducing The Staggering Costs Of Environmental Disease In</w:t>
      </w:r>
      <w:r>
        <w:t xml:space="preserve"> </w:t>
      </w:r>
      <w:r>
        <w:t xml:space="preserve">Children, Estimated At $76.6 Billion In 2008. Health Affairs 30:863-870.</w:t>
      </w:r>
      <w:r>
        <w:t xml:space="preserve"> </w:t>
      </w:r>
      <w:r>
        <w:t xml:space="preserve">Tynkkynen, S.; Santonen, T.; Stockmann-Juvala, H. (2015): A comparison of REACH-</w:t>
      </w:r>
      <w:r>
        <w:t xml:space="preserve"> </w:t>
      </w:r>
      <w:r>
        <w:t xml:space="preserve">derived no-effect levels for workers with EU indicative occupational exposure limit values</w:t>
      </w:r>
      <w:r>
        <w:t xml:space="preserve"> </w:t>
      </w:r>
      <w:r>
        <w:t xml:space="preserve">and national limit values in Finland. Annals of Occupational Hygiene, 59, 401-415</w:t>
      </w:r>
      <w:r>
        <w:t xml:space="preserve"> </w:t>
      </w:r>
      <w:r>
        <w:t xml:space="preserve">UK Department of Transport (UK DOT) (2019): Alternative Fuel Labelling Regulations –</w:t>
      </w:r>
      <w:r>
        <w:t xml:space="preserve"> </w:t>
      </w:r>
      <w:r>
        <w:t xml:space="preserve">Impact</w:t>
      </w:r>
      <w:r>
        <w:t xml:space="preserve"> </w:t>
      </w:r>
      <w:r>
        <w:t xml:space="preserve">Assessment.</w:t>
      </w:r>
      <w:r>
        <w:t xml:space="preserve"> </w:t>
      </w:r>
      <w:r>
        <w:t xml:space="preserve">Available</w:t>
      </w:r>
      <w:r>
        <w:t xml:space="preserve"> </w:t>
      </w:r>
      <w:r>
        <w:t xml:space="preserve">at:</w:t>
      </w:r>
      <w:r>
        <w:t xml:space="preserve"> </w:t>
      </w:r>
      <w:r>
        <w:t xml:space="preserve">https://assets.publishing.service.gov.uk/government/uploads/system/uploads/attachment_data</w:t>
      </w:r>
      <w:r>
        <w:t xml:space="preserve"> </w:t>
      </w:r>
      <w:r>
        <w:t xml:space="preserve">/file/873176/alternative-fuel-labelling-impact-assessment-document.pdf</w:t>
      </w:r>
      <w:r>
        <w:t xml:space="preserve"> </w:t>
      </w:r>
      <w:r>
        <w:t xml:space="preserve">Umweltbundesamt,</w:t>
      </w:r>
      <w:r>
        <w:t xml:space="preserve"> </w:t>
      </w:r>
      <w:r>
        <w:t xml:space="preserve">PMT</w:t>
      </w:r>
      <w:r>
        <w:t xml:space="preserve"> </w:t>
      </w:r>
      <w:r>
        <w:t xml:space="preserve">and</w:t>
      </w:r>
      <w:r>
        <w:t xml:space="preserve"> </w:t>
      </w:r>
      <w:r>
        <w:t xml:space="preserve">vPvM</w:t>
      </w:r>
      <w:r>
        <w:t xml:space="preserve"> </w:t>
      </w:r>
      <w:r>
        <w:t xml:space="preserve">substances</w:t>
      </w:r>
      <w:r>
        <w:t xml:space="preserve"> </w:t>
      </w:r>
      <w:r>
        <w:t xml:space="preserve">under</w:t>
      </w:r>
      <w:r>
        <w:t xml:space="preserve"> </w:t>
      </w:r>
      <w:r>
        <w:t xml:space="preserve">REACH,</w:t>
      </w:r>
      <w:r>
        <w:t xml:space="preserve"> </w:t>
      </w:r>
      <w:r>
        <w:t xml:space="preserve">https://www.umweltbundesamt.de/en/PMT-substances</w:t>
      </w:r>
      <w:r>
        <w:t xml:space="preserve"> </w:t>
      </w:r>
      <w:r>
        <w:t xml:space="preserve">UN committee of experts on the transport of dangerous goods and on the globally</w:t>
      </w:r>
      <w:r>
        <w:t xml:space="preserve"> </w:t>
      </w:r>
      <w:r>
        <w:t xml:space="preserve">harmonized system of classification and labelling of chemicals, UN/SCEGHS/18/INF.4,</w:t>
      </w:r>
      <w:r>
        <w:t xml:space="preserve"> </w:t>
      </w:r>
      <w:r>
        <w:t xml:space="preserve">available</w:t>
      </w:r>
      <w:r>
        <w:t xml:space="preserve"> </w:t>
      </w:r>
      <w:r>
        <w:t xml:space="preserve">at</w:t>
      </w:r>
      <w:r>
        <w:t xml:space="preserve"> </w:t>
      </w:r>
      <w:r>
        <w:t xml:space="preserve">https://unece.org/fileadmin/DAM/trans/doc/2009/ac10c4/UN-SCEGHS-18-</w:t>
      </w:r>
      <w:r>
        <w:t xml:space="preserve"> </w:t>
      </w:r>
      <w:r>
        <w:t xml:space="preserve">inf04e.pdf</w:t>
      </w:r>
      <w:r>
        <w:t xml:space="preserve"> </w:t>
      </w:r>
      <w:r>
        <w:t xml:space="preserve">UNECE, About GHS, https://unece.org/about-ghs</w:t>
      </w:r>
      <w:r>
        <w:t xml:space="preserve"> </w:t>
      </w:r>
      <w:r>
        <w:t xml:space="preserve">UNEP State of the Science of Endocrine Disputing Chemicals - IPCP-2012, available at:</w:t>
      </w:r>
      <w:r>
        <w:t xml:space="preserve"> </w:t>
      </w:r>
      <w:r>
        <w:t xml:space="preserve">https://www.unep.org/resources/publication/state-science-endocrine-disputing-chemicals-</w:t>
      </w:r>
      <w:r>
        <w:t xml:space="preserve"> </w:t>
      </w:r>
      <w:r>
        <w:t xml:space="preserve">ipcp-2012?_ga=2.148289463.183897156.1643356524-1526509983.1643356524</w:t>
      </w:r>
      <w:r>
        <w:t xml:space="preserve"> </w:t>
      </w:r>
      <w:r>
        <w:t xml:space="preserve">Unilever, New cosmetics consortium to co-design environmental impact assessment and</w:t>
      </w:r>
      <w:r>
        <w:t xml:space="preserve"> </w:t>
      </w:r>
      <w:r>
        <w:t xml:space="preserve">scoring system, 2021.</w:t>
      </w:r>
      <w:r>
        <w:t xml:space="preserve"> </w:t>
      </w:r>
      <w:r>
        <w:t xml:space="preserve">United Nations Environment Programme, Global Chemicals Outlook II – From Legacies to</w:t>
      </w:r>
      <w:r>
        <w:t xml:space="preserve"> </w:t>
      </w:r>
      <w:r>
        <w:t xml:space="preserve">Innovative Solutions: Implementing the 2030 Agenda for Sustainable Development, 2019, p. </w:t>
      </w:r>
      <w:r>
        <w:t xml:space="preserve"> </w:t>
      </w:r>
      <w:r>
        <w:t xml:space="preserve">550-551.</w:t>
      </w:r>
      <w:r>
        <w:br/>
      </w:r>
      <w:r>
        <w:t xml:space="preserve">US EPA, Environmental Protection Agency (2011): Estimation Programs Interface Suite™</w:t>
      </w:r>
      <w:r>
        <w:t xml:space="preserve"> </w:t>
      </w:r>
      <w:r>
        <w:t xml:space="preserve">for</w:t>
      </w:r>
      <w:r>
        <w:t xml:space="preserve"> </w:t>
      </w:r>
      <w:r>
        <w:t xml:space="preserve">Microsoft®</w:t>
      </w:r>
      <w:r>
        <w:t xml:space="preserve"> </w:t>
      </w:r>
      <w:r>
        <w:t xml:space="preserve">Windows,</w:t>
      </w:r>
      <w:r>
        <w:t xml:space="preserve"> </w:t>
      </w:r>
      <w:r>
        <w:t xml:space="preserve">v</w:t>
      </w:r>
      <w:r>
        <w:t xml:space="preserve"> </w:t>
      </w:r>
      <w:r>
        <w:t xml:space="preserve">4.10.</w:t>
      </w:r>
      <w:r>
        <w:t xml:space="preserve"> </w:t>
      </w:r>
      <w:r>
        <w:t xml:space="preserve">Online:</w:t>
      </w:r>
      <w:r>
        <w:t xml:space="preserve"> </w:t>
      </w:r>
      <w:r>
        <w:t xml:space="preserve">http://www.epa.gov/oppt/exposure/pubs/episuite.htm,</w:t>
      </w:r>
      <w:r>
        <w:t xml:space="preserve"> </w:t>
      </w:r>
      <w:r>
        <w:t xml:space="preserve">Druckdatum:</w:t>
      </w:r>
      <w:r>
        <w:t xml:space="preserve"> </w:t>
      </w:r>
      <w:r>
        <w:t xml:space="preserve">2011.</w:t>
      </w:r>
      <w:r>
        <w:t xml:space="preserve"> </w:t>
      </w:r>
      <w:r>
        <w:t xml:space="preserve">U.S.</w:t>
      </w:r>
      <w:r>
        <w:t xml:space="preserve"> </w:t>
      </w:r>
      <w:r>
        <w:t xml:space="preserve">Environmental Protection Agency, Washington, DC, USA.</w:t>
      </w:r>
      <w:r>
        <w:t xml:space="preserve"> </w:t>
      </w:r>
      <w:r>
        <w:t xml:space="preserve">Vatovec, C., Kolodinsky, J., Callas, P., Hart, C., &amp; Gallagher, K. (2021): Pharmaceutical</w:t>
      </w:r>
      <w:r>
        <w:t xml:space="preserve"> </w:t>
      </w:r>
      <w:r>
        <w:t xml:space="preserve">pollution sources and solutions: Survey of human and veterinary medication purchasing, use,</w:t>
      </w:r>
      <w:r>
        <w:t xml:space="preserve"> </w:t>
      </w:r>
      <w:r>
        <w:t xml:space="preserve">and disposal. Journal of Environmental Management, 285, 112106.</w:t>
      </w:r>
      <w:r>
        <w:t xml:space="preserve"> </w:t>
      </w:r>
      <w:r>
        <w:t xml:space="preserve">Vellinga, A., Cormican, S., Driscoll, J., Furey, M., O’Sullivan, M., &amp; Cormican, M. (2014):</w:t>
      </w:r>
      <w:r>
        <w:t xml:space="preserve"> </w:t>
      </w:r>
      <w:r>
        <w:t xml:space="preserve">Public practice regarding disposal of unused medicines in Ireland. Science of the Total</w:t>
      </w:r>
      <w:r>
        <w:t xml:space="preserve"> </w:t>
      </w:r>
      <w:r>
        <w:t xml:space="preserve">Environment, 478, 98-102.</w:t>
      </w:r>
      <w:r>
        <w:br/>
      </w:r>
      <w:r>
        <w:t xml:space="preserve">Vita, N. A., Brohem, C. A., Canavez, A. D. P. M., Oliveira, C. F. S., Kruger, O., Lorencini,</w:t>
      </w:r>
      <w:r>
        <w:t xml:space="preserve"> </w:t>
      </w:r>
      <w:r>
        <w:t xml:space="preserve">M., &amp; Carvalho, C. M. (2018): Parameters for assessing the aquatic environmental impact of</w:t>
      </w:r>
      <w:r>
        <w:t xml:space="preserve"> </w:t>
      </w:r>
      <w:r>
        <w:t xml:space="preserve">cosmetic products. Toxicology letters, 287, 70-82.</w:t>
      </w:r>
    </w:p>
    <w:p>
      <w:pPr>
        <w:pStyle w:val="BodyText"/>
      </w:pPr>
      <w:r>
        <w:t xml:space="preserve">650</w:t>
      </w:r>
    </w:p>
    <w:p>
      <w:pPr>
        <w:pStyle w:val="BodyText"/>
      </w:pPr>
      <w:r>
        <w:t xml:space="preserve">Vollmer, G. (2010): Disposal of pharmaceutical waste in households–a European survey.</w:t>
      </w:r>
      <w:r>
        <w:t xml:space="preserve"> </w:t>
      </w:r>
      <w:r>
        <w:t xml:space="preserve">In Green and Sustainable pharmacy (pp. 165-178). Springer, Berlin, Heidelberg:</w:t>
      </w:r>
      <w:r>
        <w:t xml:space="preserve"> </w:t>
      </w:r>
      <w:r>
        <w:t xml:space="preserve">VVA (2021) Impact Assessment Study on the simplification of the labelling requirements for</w:t>
      </w:r>
      <w:r>
        <w:t xml:space="preserve"> </w:t>
      </w:r>
      <w:r>
        <w:t xml:space="preserve">chemicals and the use of e-labelling</w:t>
      </w:r>
      <w:r>
        <w:t xml:space="preserve"> </w:t>
      </w:r>
      <w:r>
        <w:t xml:space="preserve">VVA Economics &amp; Policy, ConPolicy, Ecorys (2021). Impact assessment study on the</w:t>
      </w:r>
      <w:r>
        <w:t xml:space="preserve"> </w:t>
      </w:r>
      <w:r>
        <w:t xml:space="preserve">simplification of the labelling requirements for chemicals and the use of the e-labelling.</w:t>
      </w:r>
      <w:r>
        <w:t xml:space="preserve"> </w:t>
      </w:r>
      <w:r>
        <w:t xml:space="preserve">Available at: in press.</w:t>
      </w:r>
      <w:r>
        <w:t xml:space="preserve"> </w:t>
      </w:r>
      <w:r>
        <w:t xml:space="preserve">Wang, W., Xiong, P., Zhang, H., Zhu, Q., Liao, C., &amp; Jiang, G. (2021): Analysis, occurrence,</w:t>
      </w:r>
      <w:r>
        <w:t xml:space="preserve"> </w:t>
      </w:r>
      <w:r>
        <w:t xml:space="preserve">toxicity and environmental health risks of synthetic phenolic antioxidants: A</w:t>
      </w:r>
      <w:r>
        <w:t xml:space="preserve"> </w:t>
      </w:r>
      <w:r>
        <w:t xml:space="preserve">review. Environmental Research, 111531.</w:t>
      </w:r>
      <w:r>
        <w:t xml:space="preserve"> </w:t>
      </w:r>
      <w:r>
        <w:t xml:space="preserve">WHO</w:t>
      </w:r>
      <w:r>
        <w:t xml:space="preserve"> </w:t>
      </w:r>
      <w:r>
        <w:t xml:space="preserve">(2021):</w:t>
      </w:r>
      <w:r>
        <w:t xml:space="preserve"> </w:t>
      </w:r>
      <w:r>
        <w:t xml:space="preserve">Nomenclature</w:t>
      </w:r>
      <w:r>
        <w:t xml:space="preserve"> </w:t>
      </w:r>
      <w:r>
        <w:t xml:space="preserve">of</w:t>
      </w:r>
      <w:r>
        <w:t xml:space="preserve"> </w:t>
      </w:r>
      <w:r>
        <w:t xml:space="preserve">medical</w:t>
      </w:r>
      <w:r>
        <w:t xml:space="preserve"> </w:t>
      </w:r>
      <w:r>
        <w:t xml:space="preserve">devices.</w:t>
      </w:r>
      <w:r>
        <w:t xml:space="preserve"> </w:t>
      </w:r>
      <w:r>
        <w:t xml:space="preserve">Available</w:t>
      </w:r>
      <w:r>
        <w:t xml:space="preserve"> </w:t>
      </w:r>
      <w:r>
        <w:t xml:space="preserve">at:</w:t>
      </w:r>
      <w:r>
        <w:t xml:space="preserve"> </w:t>
      </w:r>
      <w:r>
        <w:t xml:space="preserve">https://www.who.int/teams/health-product-policy-and-standards/assistive-and-medical-</w:t>
      </w:r>
      <w:r>
        <w:t xml:space="preserve"> </w:t>
      </w:r>
      <w:r>
        <w:t xml:space="preserve">technology/medical-devices/nomenclature</w:t>
      </w:r>
      <w:r>
        <w:t xml:space="preserve"> </w:t>
      </w:r>
      <w:r>
        <w:t xml:space="preserve">Wood (2019): Study on workability issues concerning the implementation of Annex VIII of</w:t>
      </w:r>
      <w:r>
        <w:t xml:space="preserve"> </w:t>
      </w:r>
      <w:r>
        <w:t xml:space="preserve">Regulation (EC) No 1272/2008 on harmonised information relating to emergency health</w:t>
      </w:r>
      <w:r>
        <w:t xml:space="preserve"> </w:t>
      </w:r>
      <w:r>
        <w:t xml:space="preserve">response</w:t>
      </w:r>
      <w:r>
        <w:t xml:space="preserve"> </w:t>
      </w:r>
      <w:r>
        <w:t xml:space="preserve">and</w:t>
      </w:r>
      <w:r>
        <w:t xml:space="preserve"> </w:t>
      </w:r>
      <w:r>
        <w:t xml:space="preserve">preventative</w:t>
      </w:r>
      <w:r>
        <w:t xml:space="preserve"> </w:t>
      </w:r>
      <w:r>
        <w:t xml:space="preserve">measures.</w:t>
      </w:r>
      <w:r>
        <w:t xml:space="preserve"> </w:t>
      </w:r>
      <w:r>
        <w:t xml:space="preserve">Available</w:t>
      </w:r>
      <w:r>
        <w:t xml:space="preserve"> </w:t>
      </w:r>
      <w:r>
        <w:t xml:space="preserve">at:</w:t>
      </w:r>
      <w:r>
        <w:t xml:space="preserve"> </w:t>
      </w:r>
      <w:r>
        <w:t xml:space="preserve">https://ec.europa.eu/docsroom/documents/39421</w:t>
      </w:r>
      <w:r>
        <w:t xml:space="preserve"> </w:t>
      </w:r>
      <w:r>
        <w:t xml:space="preserve">Wood, Study supporting the Evaluation of Directive 91/271/EEC concerning urban waste</w:t>
      </w:r>
      <w:r>
        <w:t xml:space="preserve"> </w:t>
      </w:r>
      <w:r>
        <w:t xml:space="preserve">water treatment, 2019.</w:t>
      </w:r>
      <w:r>
        <w:br/>
      </w:r>
      <w:r>
        <w:t xml:space="preserve">Wunder, E. et al. (2018): EU policy review for food waste prevention and valorisation.</w:t>
      </w:r>
      <w:r>
        <w:t xml:space="preserve"> </w:t>
      </w:r>
      <w:r>
        <w:t xml:space="preserve">Available</w:t>
      </w:r>
      <w:r>
        <w:t xml:space="preserve"> </w:t>
      </w:r>
      <w:r>
        <w:t xml:space="preserve">at:</w:t>
      </w:r>
      <w:r>
        <w:t xml:space="preserve"> </w:t>
      </w:r>
      <w:r>
        <w:t xml:space="preserve">https://www.ecologic.eu/sites/default/files/publication/2018/refresh_d3.3_eu_policy_screenin</w:t>
      </w:r>
      <w:r>
        <w:t xml:space="preserve"> </w:t>
      </w:r>
      <w:r>
        <w:t xml:space="preserve">g_18052018_published_1.pdf [Accessed on: 30 November 2021]</w:t>
      </w:r>
      <w:r>
        <w:t xml:space="preserve"> </w:t>
      </w:r>
      <w:r>
        <w:t xml:space="preserve">Zhou, S., Di Paolo, C., Wu, X., Shao, Y., Seiler, T. B., &amp; Hollert, H. (2019): Optimization of</w:t>
      </w:r>
      <w:r>
        <w:t xml:space="preserve"> </w:t>
      </w:r>
      <w:r>
        <w:t xml:space="preserve">screening-level risk assessment and priority selection of emerging pollutants–the case of</w:t>
      </w:r>
      <w:r>
        <w:t xml:space="preserve"> </w:t>
      </w:r>
      <w:r>
        <w:t xml:space="preserve">pharmaceuticals in European surface waters. Environment international, 128, 1-10.</w:t>
      </w:r>
      <w:r>
        <w:br/>
      </w:r>
      <w:r>
        <w:t xml:space="preserve">Zorpas, A. A., Dimitriou, M., &amp; Voukkali, I. (2018): Disposal of household pharmaceuticals in insular</w:t>
      </w:r>
      <w:r>
        <w:t xml:space="preserve"> </w:t>
      </w:r>
      <w:r>
        <w:t xml:space="preserve">communities: social attitude, behaviour evaluation and prevention activities. Environmental Science</w:t>
      </w:r>
      <w:r>
        <w:t xml:space="preserve"> </w:t>
      </w:r>
      <w:r>
        <w:t xml:space="preserve">and Pollution Research, 25(27), 26725-26735</w:t>
      </w:r>
    </w:p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734">
    <w:nsid w:val="00A99734"/>
    <w:multiLevelType w:val="multilevel"/>
    <w:lvl w:ilvl="0">
      <w:start w:val="4"/>
      <w:numFmt w:val="lowerLetter"/>
      <w:lvlText w:val="(%1)"/>
      <w:lvlJc w:val="left"/>
      <w:pPr>
        <w:ind w:left="720" w:hanging="360"/>
      </w:pPr>
    </w:lvl>
    <w:lvl w:ilvl="1">
      <w:start w:val="4"/>
      <w:numFmt w:val="lowerLetter"/>
      <w:lvlText w:val="(%2)"/>
      <w:lvlJc w:val="left"/>
      <w:pPr>
        <w:ind w:left="1440" w:hanging="360"/>
      </w:pPr>
    </w:lvl>
    <w:lvl w:ilvl="2">
      <w:start w:val="4"/>
      <w:numFmt w:val="lowerLetter"/>
      <w:lvlText w:val="(%3)"/>
      <w:lvlJc w:val="left"/>
      <w:pPr>
        <w:ind w:left="2160" w:hanging="360"/>
      </w:pPr>
    </w:lvl>
    <w:lvl w:ilvl="3">
      <w:start w:val="4"/>
      <w:numFmt w:val="lowerLetter"/>
      <w:lvlText w:val="(%4)"/>
      <w:lvlJc w:val="left"/>
      <w:pPr>
        <w:ind w:left="2880" w:hanging="360"/>
      </w:pPr>
    </w:lvl>
    <w:lvl w:ilvl="4">
      <w:start w:val="4"/>
      <w:numFmt w:val="lowerLetter"/>
      <w:lvlText w:val="(%5)"/>
      <w:lvlJc w:val="left"/>
      <w:pPr>
        <w:ind w:left="3600" w:hanging="360"/>
      </w:pPr>
    </w:lvl>
    <w:lvl w:ilvl="5">
      <w:start w:val="4"/>
      <w:numFmt w:val="lowerLetter"/>
      <w:lvlText w:val="(%6)"/>
      <w:lvlJc w:val="left"/>
      <w:pPr>
        <w:ind w:left="4320" w:hanging="360"/>
      </w:pPr>
    </w:lvl>
    <w:lvl w:ilvl="6">
      <w:start w:val="4"/>
      <w:numFmt w:val="lowerLetter"/>
      <w:lvlText w:val="(%7)"/>
      <w:lvlJc w:val="left"/>
      <w:pPr>
        <w:ind w:left="5040" w:hanging="360"/>
      </w:pPr>
    </w:lvl>
    <w:lvl w:ilvl="7">
      <w:start w:val="4"/>
      <w:numFmt w:val="lowerLetter"/>
      <w:lvlText w:val="(%8)"/>
      <w:lvlJc w:val="left"/>
      <w:pPr>
        <w:ind w:left="5760" w:hanging="360"/>
      </w:pPr>
    </w:lvl>
    <w:lvl w:ilvl="8">
      <w:start w:val="4"/>
      <w:numFmt w:val="lowerLetter"/>
      <w:lvlText w:val="(%9)"/>
      <w:lvlJc w:val="left"/>
      <w:pPr>
        <w:ind w:left="6480" w:hanging="360"/>
      </w:pPr>
    </w:lvl>
  </w:abstractNum>
  <w:abstractNum w:abstractNumId="99412">
    <w:nsid w:val="00A99412"/>
    <w:multiLevelType w:val="multilevel"/>
    <w:lvl w:ilvl="0">
      <w:start w:val="2"/>
      <w:numFmt w:val="decimal"/>
      <w:lvlText w:val="%1."/>
      <w:lvlJc w:val="left"/>
      <w:pPr>
        <w:ind w:left="720" w:hanging="360"/>
      </w:pPr>
    </w:lvl>
    <w:lvl w:ilvl="1">
      <w:start w:val="2"/>
      <w:numFmt w:val="decimal"/>
      <w:lvlText w:val="%2."/>
      <w:lvlJc w:val="left"/>
      <w:pPr>
        <w:ind w:left="1440" w:hanging="360"/>
      </w:pPr>
    </w:lvl>
    <w:lvl w:ilvl="2">
      <w:start w:val="2"/>
      <w:numFmt w:val="decimal"/>
      <w:lvlText w:val="%3."/>
      <w:lvlJc w:val="left"/>
      <w:pPr>
        <w:ind w:left="2160" w:hanging="360"/>
      </w:pPr>
    </w:lvl>
    <w:lvl w:ilvl="3">
      <w:start w:val="2"/>
      <w:numFmt w:val="decimal"/>
      <w:lvlText w:val="%4."/>
      <w:lvlJc w:val="left"/>
      <w:pPr>
        <w:ind w:left="2880" w:hanging="360"/>
      </w:pPr>
    </w:lvl>
    <w:lvl w:ilvl="4">
      <w:start w:val="2"/>
      <w:numFmt w:val="decimal"/>
      <w:lvlText w:val="%5."/>
      <w:lvlJc w:val="left"/>
      <w:pPr>
        <w:ind w:left="3600" w:hanging="360"/>
      </w:pPr>
    </w:lvl>
    <w:lvl w:ilvl="5">
      <w:start w:val="2"/>
      <w:numFmt w:val="decimal"/>
      <w:lvlText w:val="%6."/>
      <w:lvlJc w:val="left"/>
      <w:pPr>
        <w:ind w:left="4320" w:hanging="360"/>
      </w:pPr>
    </w:lvl>
    <w:lvl w:ilvl="6">
      <w:start w:val="2"/>
      <w:numFmt w:val="decimal"/>
      <w:lvlText w:val="%7."/>
      <w:lvlJc w:val="left"/>
      <w:pPr>
        <w:ind w:left="5040" w:hanging="360"/>
      </w:pPr>
    </w:lvl>
    <w:lvl w:ilvl="7">
      <w:start w:val="2"/>
      <w:numFmt w:val="decimal"/>
      <w:lvlText w:val="%8."/>
      <w:lvlJc w:val="left"/>
      <w:pPr>
        <w:ind w:left="5760" w:hanging="360"/>
      </w:pPr>
    </w:lvl>
    <w:lvl w:ilvl="8">
      <w:start w:val="2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734"/>
    <w:lvlOverride w:ilvl="0">
      <w:startOverride w:val="4"/>
    </w:lvlOverride>
    <w:lvlOverride w:ilvl="1">
      <w:startOverride w:val="4"/>
    </w:lvlOverride>
    <w:lvlOverride w:ilvl="2">
      <w:startOverride w:val="4"/>
    </w:lvlOverride>
    <w:lvlOverride w:ilvl="3">
      <w:startOverride w:val="4"/>
    </w:lvlOverride>
    <w:lvlOverride w:ilvl="4">
      <w:startOverride w:val="4"/>
    </w:lvlOverride>
    <w:lvlOverride w:ilvl="5">
      <w:startOverride w:val="4"/>
    </w:lvlOverride>
    <w:lvlOverride w:ilvl="6">
      <w:startOverride w:val="4"/>
    </w:lvlOverride>
    <w:lvlOverride w:ilvl="7">
      <w:startOverride w:val="4"/>
    </w:lvlOverride>
    <w:lvlOverride w:ilvl="8">
      <w:startOverride w:val="4"/>
    </w:lvlOverride>
  </w:num>
  <w:num w:numId="1002">
    <w:abstractNumId w:val="9941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100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2026-07-31T16:47:36Z</dcterms:created>
  <dcterms:modified xsi:type="dcterms:W3CDTF">2026-07-31T16:47:36Z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